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00C6" w14:textId="77777777" w:rsidR="00C13DCD" w:rsidRPr="00C13DCD" w:rsidRDefault="00C13DCD" w:rsidP="00C13DCD">
      <w:pPr>
        <w:widowControl w:val="0"/>
        <w:spacing w:after="0" w:line="240" w:lineRule="auto"/>
        <w:jc w:val="both"/>
        <w:rPr>
          <w:rFonts w:ascii="Times New Roman" w:hAnsi="Times New Roman" w:cs="Times New Roman"/>
          <w:noProof/>
          <w:sz w:val="20"/>
          <w:szCs w:val="20"/>
          <w:lang w:val="en-US"/>
        </w:rPr>
      </w:pPr>
    </w:p>
    <w:p w14:paraId="2E2367B9" w14:textId="77777777" w:rsidR="00C13DCD" w:rsidRPr="00C13DCD" w:rsidRDefault="00C13DCD" w:rsidP="00C13DCD">
      <w:pPr>
        <w:pStyle w:val="BodyTextIndent"/>
        <w:rPr>
          <w:noProof/>
          <w:lang w:val="en-US"/>
        </w:rPr>
      </w:pPr>
      <w:r w:rsidRPr="00C13DCD">
        <w:rPr>
          <w:noProof/>
          <w:lang w:val="en-US"/>
        </w:rPr>
        <w:t>Text consolidated by Valsts valodas centrs (State Language Centre) with amending laws of:</w:t>
      </w:r>
    </w:p>
    <w:p w14:paraId="1F4EFC1A" w14:textId="77777777" w:rsidR="00C13DCD" w:rsidRPr="00C13DCD" w:rsidRDefault="00C13DCD" w:rsidP="00C13DCD">
      <w:pPr>
        <w:pStyle w:val="BlockText"/>
        <w:ind w:left="0" w:right="26"/>
        <w:jc w:val="center"/>
        <w:rPr>
          <w:noProof/>
          <w:lang w:val="en-US"/>
        </w:rPr>
      </w:pPr>
      <w:r w:rsidRPr="00C13DCD">
        <w:rPr>
          <w:noProof/>
          <w:lang w:val="en-US"/>
        </w:rPr>
        <w:t>22 May 2003 [shall come into force from 20 June 2003];</w:t>
      </w:r>
    </w:p>
    <w:p w14:paraId="342A2765" w14:textId="77777777" w:rsidR="00C13DCD" w:rsidRPr="00C13DCD" w:rsidRDefault="00C13DCD" w:rsidP="00C13DCD">
      <w:pPr>
        <w:pStyle w:val="BlockText"/>
        <w:ind w:left="0" w:right="26"/>
        <w:jc w:val="center"/>
        <w:rPr>
          <w:noProof/>
          <w:lang w:val="en-US"/>
        </w:rPr>
      </w:pPr>
      <w:r w:rsidRPr="00C13DCD">
        <w:rPr>
          <w:noProof/>
          <w:lang w:val="en-US"/>
        </w:rPr>
        <w:t>31 March 2004 [shall come into force from 1 May 2004];</w:t>
      </w:r>
    </w:p>
    <w:p w14:paraId="50361F23" w14:textId="77777777" w:rsidR="00C13DCD" w:rsidRPr="00C13DCD" w:rsidRDefault="00C13DCD" w:rsidP="00C13DCD">
      <w:pPr>
        <w:pStyle w:val="BlockText"/>
        <w:ind w:left="0" w:right="26"/>
        <w:jc w:val="center"/>
        <w:rPr>
          <w:noProof/>
          <w:lang w:val="en-US"/>
        </w:rPr>
      </w:pPr>
      <w:r w:rsidRPr="00C13DCD">
        <w:rPr>
          <w:noProof/>
          <w:lang w:val="en-US"/>
        </w:rPr>
        <w:t>20 January 2005 [shall come into force from 16 February 2005];</w:t>
      </w:r>
    </w:p>
    <w:p w14:paraId="47556C90" w14:textId="77777777" w:rsidR="00C13DCD" w:rsidRPr="00C13DCD" w:rsidRDefault="00C13DCD" w:rsidP="00C13DCD">
      <w:pPr>
        <w:pStyle w:val="BlockText"/>
        <w:ind w:left="0" w:right="26"/>
        <w:jc w:val="center"/>
        <w:rPr>
          <w:noProof/>
          <w:lang w:val="en-US"/>
        </w:rPr>
      </w:pPr>
      <w:r w:rsidRPr="00C13DCD">
        <w:rPr>
          <w:noProof/>
          <w:lang w:val="en-US"/>
        </w:rPr>
        <w:t>19 December 2006 [shall come into force from 1 January 2006];</w:t>
      </w:r>
    </w:p>
    <w:p w14:paraId="3332AAE7" w14:textId="77777777" w:rsidR="00C13DCD" w:rsidRPr="00C13DCD" w:rsidRDefault="00C13DCD" w:rsidP="00C13DCD">
      <w:pPr>
        <w:pStyle w:val="BlockText"/>
        <w:ind w:left="0" w:right="26"/>
        <w:jc w:val="center"/>
        <w:rPr>
          <w:noProof/>
          <w:lang w:val="en-US"/>
        </w:rPr>
      </w:pPr>
      <w:r w:rsidRPr="00C13DCD">
        <w:rPr>
          <w:noProof/>
          <w:lang w:val="en-US"/>
        </w:rPr>
        <w:t>5 May 2011 [shall come into force from 8 June 2011];</w:t>
      </w:r>
    </w:p>
    <w:p w14:paraId="39D32A8C" w14:textId="77777777" w:rsidR="00C13DCD" w:rsidRPr="00C13DCD" w:rsidRDefault="00C13DCD" w:rsidP="00C13DCD">
      <w:pPr>
        <w:pStyle w:val="BlockText"/>
        <w:ind w:left="0" w:right="26"/>
        <w:jc w:val="center"/>
        <w:rPr>
          <w:noProof/>
          <w:lang w:val="en-US"/>
        </w:rPr>
      </w:pPr>
      <w:r w:rsidRPr="00C13DCD">
        <w:rPr>
          <w:noProof/>
          <w:lang w:val="en-US"/>
        </w:rPr>
        <w:t>4 April 2013 [shall come into force from 9 May 2013];</w:t>
      </w:r>
    </w:p>
    <w:p w14:paraId="75141366" w14:textId="77777777" w:rsidR="00C13DCD" w:rsidRPr="00C13DCD" w:rsidRDefault="00C13DCD" w:rsidP="00C13DCD">
      <w:pPr>
        <w:pStyle w:val="BlockText"/>
        <w:ind w:left="0" w:right="26"/>
        <w:jc w:val="center"/>
        <w:rPr>
          <w:noProof/>
          <w:lang w:val="en-US"/>
        </w:rPr>
      </w:pPr>
      <w:r w:rsidRPr="00C13DCD">
        <w:rPr>
          <w:noProof/>
          <w:lang w:val="en-US"/>
        </w:rPr>
        <w:t>12 September 2013 [shall come into force from 1 January 2014];</w:t>
      </w:r>
    </w:p>
    <w:p w14:paraId="1E392864" w14:textId="77777777" w:rsidR="00C13DCD" w:rsidRPr="00C13DCD" w:rsidRDefault="00C13DCD" w:rsidP="00C13DCD">
      <w:pPr>
        <w:pStyle w:val="BlockText"/>
        <w:ind w:left="0" w:right="26"/>
        <w:jc w:val="center"/>
        <w:rPr>
          <w:noProof/>
          <w:lang w:val="en-US"/>
        </w:rPr>
      </w:pPr>
      <w:r w:rsidRPr="00C13DCD">
        <w:rPr>
          <w:noProof/>
          <w:lang w:val="en-US"/>
        </w:rPr>
        <w:t>3 July 2014 [shall come into force from 11 July 2014];</w:t>
      </w:r>
    </w:p>
    <w:p w14:paraId="11CF5361" w14:textId="77777777" w:rsidR="00C13DCD" w:rsidRPr="00C13DCD" w:rsidRDefault="00C13DCD" w:rsidP="00C13DCD">
      <w:pPr>
        <w:pStyle w:val="BlockText"/>
        <w:ind w:left="0" w:right="26"/>
        <w:jc w:val="center"/>
        <w:rPr>
          <w:noProof/>
          <w:lang w:val="en-US"/>
        </w:rPr>
      </w:pPr>
      <w:r w:rsidRPr="00C13DCD">
        <w:rPr>
          <w:noProof/>
          <w:lang w:val="en-US"/>
        </w:rPr>
        <w:t>16 June 2016 [shall come into force from 15 July 2016];</w:t>
      </w:r>
    </w:p>
    <w:p w14:paraId="59BE7BEA" w14:textId="77777777" w:rsidR="00C13DCD" w:rsidRPr="00C13DCD" w:rsidRDefault="00C13DCD" w:rsidP="00C13DCD">
      <w:pPr>
        <w:pStyle w:val="BlockText"/>
        <w:ind w:left="0" w:right="26"/>
        <w:jc w:val="center"/>
        <w:rPr>
          <w:noProof/>
          <w:lang w:val="en-US"/>
        </w:rPr>
      </w:pPr>
      <w:r w:rsidRPr="00C13DCD">
        <w:rPr>
          <w:noProof/>
          <w:lang w:val="en-US"/>
        </w:rPr>
        <w:t>1 March 2018 [shall come into force from 7 March 2018];</w:t>
      </w:r>
    </w:p>
    <w:p w14:paraId="7BA4AB60" w14:textId="77777777" w:rsidR="00C13DCD" w:rsidRPr="00C13DCD" w:rsidRDefault="00C13DCD" w:rsidP="00C13DCD">
      <w:pPr>
        <w:pStyle w:val="BlockText"/>
        <w:ind w:left="0" w:right="26"/>
        <w:jc w:val="center"/>
        <w:rPr>
          <w:noProof/>
          <w:lang w:val="en-US"/>
        </w:rPr>
      </w:pPr>
      <w:r w:rsidRPr="00C13DCD">
        <w:rPr>
          <w:noProof/>
          <w:lang w:val="en-US"/>
        </w:rPr>
        <w:t>14 May 2020 [shall come into force from 11 June 2020];</w:t>
      </w:r>
    </w:p>
    <w:p w14:paraId="774F8D3D" w14:textId="77777777" w:rsidR="00C13DCD" w:rsidRPr="00C13DCD" w:rsidRDefault="00C13DCD" w:rsidP="00C13DCD">
      <w:pPr>
        <w:pStyle w:val="BlockText"/>
        <w:ind w:left="0" w:right="26"/>
        <w:jc w:val="center"/>
        <w:rPr>
          <w:noProof/>
          <w:lang w:val="en-US"/>
        </w:rPr>
      </w:pPr>
      <w:r w:rsidRPr="00C13DCD">
        <w:rPr>
          <w:noProof/>
          <w:lang w:val="en-US"/>
        </w:rPr>
        <w:t>13 May 2021 [shall come into force from 8 June 2021];</w:t>
      </w:r>
    </w:p>
    <w:p w14:paraId="41EA57AB" w14:textId="77777777" w:rsidR="00C13DCD" w:rsidRPr="00C13DCD" w:rsidRDefault="00C13DCD" w:rsidP="00C13DCD">
      <w:pPr>
        <w:pStyle w:val="BlockText"/>
        <w:ind w:left="0" w:right="26"/>
        <w:jc w:val="center"/>
        <w:rPr>
          <w:noProof/>
          <w:lang w:val="en-US"/>
        </w:rPr>
      </w:pPr>
      <w:r w:rsidRPr="00C13DCD">
        <w:rPr>
          <w:noProof/>
          <w:lang w:val="en-US"/>
        </w:rPr>
        <w:t>3 March 2022 [shall come into force from 5 March 2022].</w:t>
      </w:r>
    </w:p>
    <w:p w14:paraId="5632145C" w14:textId="77777777" w:rsidR="00C13DCD" w:rsidRPr="00C13DCD" w:rsidRDefault="00C13DCD" w:rsidP="00C13DCD">
      <w:pPr>
        <w:pStyle w:val="BlockText"/>
        <w:ind w:left="0" w:right="26"/>
        <w:rPr>
          <w:noProof/>
          <w:lang w:val="en-US"/>
        </w:rPr>
      </w:pPr>
      <w:r w:rsidRPr="00C13DC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43F413" w14:textId="77777777" w:rsidR="00C13DCD" w:rsidRPr="00C13DCD" w:rsidRDefault="00C13DCD" w:rsidP="00C13DCD">
      <w:pPr>
        <w:spacing w:after="0" w:line="240" w:lineRule="auto"/>
        <w:jc w:val="right"/>
        <w:rPr>
          <w:rFonts w:ascii="Times New Roman" w:hAnsi="Times New Roman"/>
          <w:noProof/>
          <w:sz w:val="24"/>
          <w:szCs w:val="24"/>
          <w:lang w:val="en-US"/>
        </w:rPr>
      </w:pPr>
    </w:p>
    <w:p w14:paraId="7BF750E5" w14:textId="77777777" w:rsidR="00C13DCD" w:rsidRPr="00C13DCD" w:rsidRDefault="00C13DCD" w:rsidP="00C13DCD">
      <w:pPr>
        <w:spacing w:after="0" w:line="240" w:lineRule="auto"/>
        <w:jc w:val="right"/>
        <w:rPr>
          <w:rFonts w:ascii="Times New Roman" w:eastAsia="Times New Roman" w:hAnsi="Times New Roman" w:cs="Times New Roman"/>
          <w:noProof/>
          <w:sz w:val="24"/>
          <w:szCs w:val="24"/>
          <w:lang w:val="en-US"/>
        </w:rPr>
      </w:pPr>
      <w:r w:rsidRPr="00C13DCD">
        <w:rPr>
          <w:rFonts w:ascii="Times New Roman" w:hAnsi="Times New Roman"/>
          <w:noProof/>
          <w:sz w:val="24"/>
          <w:szCs w:val="24"/>
          <w:lang w:val="en-US"/>
        </w:rPr>
        <w:t xml:space="preserve">The </w:t>
      </w:r>
      <w:r w:rsidRPr="00C13DCD">
        <w:rPr>
          <w:rFonts w:ascii="Times New Roman" w:hAnsi="Times New Roman"/>
          <w:i/>
          <w:noProof/>
          <w:sz w:val="24"/>
          <w:szCs w:val="24"/>
          <w:lang w:val="en-US"/>
        </w:rPr>
        <w:t>Saeima </w:t>
      </w:r>
      <w:r w:rsidRPr="00C13DCD">
        <w:rPr>
          <w:rFonts w:ascii="Times New Roman" w:hAnsi="Times New Roman"/>
          <w:iCs/>
          <w:noProof/>
          <w:sz w:val="24"/>
          <w:szCs w:val="24"/>
          <w:vertAlign w:val="superscript"/>
          <w:lang w:val="en-US"/>
        </w:rPr>
        <w:t xml:space="preserve">1 </w:t>
      </w:r>
      <w:r w:rsidRPr="00C13DCD">
        <w:rPr>
          <w:rFonts w:ascii="Times New Roman" w:hAnsi="Times New Roman"/>
          <w:noProof/>
          <w:sz w:val="24"/>
          <w:szCs w:val="24"/>
          <w:lang w:val="en-US"/>
        </w:rPr>
        <w:t>has adopted and</w:t>
      </w:r>
    </w:p>
    <w:p w14:paraId="59E752C8" w14:textId="77777777" w:rsidR="00C13DCD" w:rsidRPr="00C13DCD" w:rsidRDefault="00C13DCD" w:rsidP="00C13DCD">
      <w:pPr>
        <w:spacing w:after="0" w:line="240" w:lineRule="auto"/>
        <w:jc w:val="right"/>
        <w:rPr>
          <w:rFonts w:ascii="Times New Roman" w:hAnsi="Times New Roman"/>
          <w:noProof/>
          <w:sz w:val="24"/>
          <w:lang w:val="en-US"/>
        </w:rPr>
      </w:pPr>
      <w:r w:rsidRPr="00C13DCD">
        <w:rPr>
          <w:rFonts w:ascii="Times New Roman" w:hAnsi="Times New Roman"/>
          <w:noProof/>
          <w:sz w:val="24"/>
          <w:lang w:val="en-US"/>
        </w:rPr>
        <w:t>the President has proclaimed the following law:</w:t>
      </w:r>
    </w:p>
    <w:p w14:paraId="1A5FAA9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31FED7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AE6F308" w14:textId="77777777" w:rsidR="00C13DCD" w:rsidRPr="00C13DCD" w:rsidRDefault="00C13DCD" w:rsidP="00C13DCD">
      <w:pPr>
        <w:spacing w:after="0" w:line="240" w:lineRule="auto"/>
        <w:jc w:val="center"/>
        <w:rPr>
          <w:rFonts w:ascii="Times New Roman" w:hAnsi="Times New Roman"/>
          <w:b/>
          <w:noProof/>
          <w:sz w:val="28"/>
          <w:lang w:val="en-US"/>
        </w:rPr>
      </w:pPr>
      <w:r w:rsidRPr="00C13DCD">
        <w:rPr>
          <w:rFonts w:ascii="Times New Roman" w:hAnsi="Times New Roman"/>
          <w:b/>
          <w:noProof/>
          <w:sz w:val="28"/>
          <w:lang w:val="en-US"/>
        </w:rPr>
        <w:t>On the Application of Taxes in Free Ports and Special Economic Zones</w:t>
      </w:r>
    </w:p>
    <w:p w14:paraId="6906683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5D854C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7383CFD" w14:textId="77777777" w:rsidR="00C13DCD" w:rsidRPr="00C13DCD" w:rsidRDefault="00C13DCD" w:rsidP="00C13DCD">
      <w:pPr>
        <w:spacing w:after="0" w:line="240" w:lineRule="auto"/>
        <w:jc w:val="center"/>
        <w:rPr>
          <w:rFonts w:ascii="Times New Roman" w:hAnsi="Times New Roman"/>
          <w:b/>
          <w:noProof/>
          <w:sz w:val="24"/>
          <w:lang w:val="en-US"/>
        </w:rPr>
      </w:pPr>
      <w:bookmarkStart w:id="0" w:name="n1"/>
      <w:bookmarkStart w:id="1" w:name="n-19440"/>
      <w:bookmarkEnd w:id="0"/>
      <w:bookmarkEnd w:id="1"/>
      <w:r w:rsidRPr="00C13DCD">
        <w:rPr>
          <w:rFonts w:ascii="Times New Roman" w:hAnsi="Times New Roman"/>
          <w:b/>
          <w:noProof/>
          <w:sz w:val="24"/>
          <w:lang w:val="en-US"/>
        </w:rPr>
        <w:t>Chapter I</w:t>
      </w:r>
    </w:p>
    <w:p w14:paraId="53889DAF"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General Provisions</w:t>
      </w:r>
    </w:p>
    <w:p w14:paraId="3B16325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D971A49" w14:textId="77777777" w:rsidR="00C13DCD" w:rsidRPr="00C13DCD" w:rsidRDefault="00C13DCD" w:rsidP="00C13DCD">
      <w:pPr>
        <w:spacing w:after="0" w:line="240" w:lineRule="auto"/>
        <w:jc w:val="both"/>
        <w:rPr>
          <w:rFonts w:ascii="Times New Roman" w:hAnsi="Times New Roman"/>
          <w:b/>
          <w:noProof/>
          <w:sz w:val="24"/>
          <w:lang w:val="en-US"/>
        </w:rPr>
      </w:pPr>
      <w:bookmarkStart w:id="2" w:name="p-1053781"/>
      <w:bookmarkStart w:id="3" w:name="p1"/>
      <w:bookmarkEnd w:id="2"/>
      <w:r w:rsidRPr="00C13DCD">
        <w:rPr>
          <w:rFonts w:ascii="Times New Roman" w:hAnsi="Times New Roman"/>
          <w:b/>
          <w:noProof/>
          <w:sz w:val="24"/>
          <w:lang w:val="en-US"/>
        </w:rPr>
        <w:t>Section 1. Terms Used in this Law</w:t>
      </w:r>
    </w:p>
    <w:p w14:paraId="08D8501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D84651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Terms used in The Free Port of Riga Law, The Free Port of Ventspils Law, Law on the Latgale Special Economic Zone, Law on the Liepāja Special Economic Zone and Law on the Rēzekne Special Economic Zone, the Law on Control of Aid for Commercial Activity, the law On Taxes and Duties, the Value Added Tax Law and the Enterprise Income Tax Law and also terms used in the laws and regulations governing customs matters are the terms used in this Law, unless otherwise provided for in this Law.</w:t>
      </w:r>
    </w:p>
    <w:p w14:paraId="0B26A65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following terms shall also be used in this Law:</w:t>
      </w:r>
    </w:p>
    <w:p w14:paraId="64C8AEB9"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 </w:t>
      </w:r>
      <w:r w:rsidRPr="00C13DCD">
        <w:rPr>
          <w:rFonts w:ascii="Times New Roman" w:hAnsi="Times New Roman"/>
          <w:b/>
          <w:noProof/>
          <w:sz w:val="24"/>
          <w:lang w:val="en-US"/>
        </w:rPr>
        <w:t>permission to apply the direct tax reliefs</w:t>
      </w:r>
      <w:r w:rsidRPr="00C13DCD">
        <w:rPr>
          <w:rFonts w:ascii="Times New Roman" w:hAnsi="Times New Roman"/>
          <w:noProof/>
          <w:sz w:val="24"/>
          <w:lang w:val="en-US"/>
        </w:rPr>
        <w:t>:</w:t>
      </w:r>
    </w:p>
    <w:p w14:paraId="01E3DBDB"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a certificate issued by the Liepāja Special Economic Zone Authority to a capital company of the special economic zone on the right to apply the direct tax reliefs;</w:t>
      </w:r>
    </w:p>
    <w:p w14:paraId="1D762293"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a permit issued by the Rēzekne Special Economic Zone Authority to a capital company of the special economic zone for the right to apply the direct tax reliefs;</w:t>
      </w:r>
    </w:p>
    <w:p w14:paraId="581915DA"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a certificate issued to a capital company licensed by the Free Port of Ventspils Authority on the right to apply the direct tax reliefs,</w:t>
      </w:r>
    </w:p>
    <w:p w14:paraId="556842BB"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a certificate issued to a capital company licensed by Free Port of Riga Authority regarding on the right to apply the direct tax reliefs;</w:t>
      </w:r>
    </w:p>
    <w:p w14:paraId="1BD4E769"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e) a permit issued by the Latgale Special Economic Zone Authority to a capital company of the special economic zone for the right to apply the direct tax reliefs;</w:t>
      </w:r>
    </w:p>
    <w:p w14:paraId="51BE7B10"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2) </w:t>
      </w:r>
      <w:r w:rsidRPr="00C13DCD">
        <w:rPr>
          <w:rFonts w:ascii="Times New Roman" w:hAnsi="Times New Roman"/>
          <w:b/>
          <w:noProof/>
          <w:sz w:val="24"/>
          <w:lang w:val="en-US"/>
        </w:rPr>
        <w:t>free port authority </w:t>
      </w:r>
      <w:r w:rsidRPr="00C13DCD">
        <w:rPr>
          <w:rFonts w:ascii="Times New Roman" w:hAnsi="Times New Roman"/>
          <w:noProof/>
          <w:sz w:val="24"/>
          <w:lang w:val="en-US"/>
        </w:rPr>
        <w:t>– the Free Port of Riga Authority or Free Port of Ventspils Authority;</w:t>
      </w:r>
    </w:p>
    <w:p w14:paraId="1383FF70"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3) </w:t>
      </w:r>
      <w:r w:rsidRPr="00C13DCD">
        <w:rPr>
          <w:rFonts w:ascii="Times New Roman" w:hAnsi="Times New Roman"/>
          <w:b/>
          <w:noProof/>
          <w:sz w:val="24"/>
          <w:lang w:val="en-US"/>
        </w:rPr>
        <w:t>licensed capital company </w:t>
      </w:r>
      <w:r w:rsidRPr="00C13DCD">
        <w:rPr>
          <w:rFonts w:ascii="Times New Roman" w:hAnsi="Times New Roman"/>
          <w:noProof/>
          <w:sz w:val="24"/>
          <w:lang w:val="en-US"/>
        </w:rPr>
        <w:t>– a capital company which has concluded a contract with the free port authority for licensed commercial activities in the territory of the Free Port of Riga or the Free Port of Ventspils;</w:t>
      </w:r>
    </w:p>
    <w:p w14:paraId="49EB315F"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lastRenderedPageBreak/>
        <w:t xml:space="preserve">4) </w:t>
      </w:r>
      <w:r w:rsidRPr="00C13DCD">
        <w:rPr>
          <w:rFonts w:ascii="Times New Roman" w:hAnsi="Times New Roman"/>
          <w:b/>
          <w:noProof/>
          <w:sz w:val="24"/>
          <w:lang w:val="en-US"/>
        </w:rPr>
        <w:t>indirect taxes </w:t>
      </w:r>
      <w:r w:rsidRPr="00C13DCD">
        <w:rPr>
          <w:rFonts w:ascii="Times New Roman" w:hAnsi="Times New Roman"/>
          <w:noProof/>
          <w:sz w:val="24"/>
          <w:lang w:val="en-US"/>
        </w:rPr>
        <w:t>– customs duty, natural resources tax, excise duty and the value added tax;</w:t>
      </w:r>
    </w:p>
    <w:p w14:paraId="5ED1E080"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w:t>
      </w:r>
      <w:r w:rsidRPr="00C13DCD">
        <w:rPr>
          <w:rFonts w:ascii="Times New Roman" w:hAnsi="Times New Roman"/>
          <w:noProof/>
          <w:sz w:val="24"/>
          <w:vertAlign w:val="superscript"/>
          <w:lang w:val="en-US"/>
        </w:rPr>
        <w:t>1</w:t>
      </w:r>
      <w:r w:rsidRPr="00C13DCD">
        <w:rPr>
          <w:rFonts w:ascii="Times New Roman" w:hAnsi="Times New Roman"/>
          <w:noProof/>
          <w:sz w:val="24"/>
          <w:lang w:val="en-US"/>
        </w:rPr>
        <w:t xml:space="preserve">) </w:t>
      </w:r>
      <w:r w:rsidRPr="00C13DCD">
        <w:rPr>
          <w:rFonts w:ascii="Times New Roman" w:hAnsi="Times New Roman"/>
          <w:b/>
          <w:bCs/>
          <w:noProof/>
          <w:sz w:val="24"/>
          <w:lang w:val="en-US"/>
        </w:rPr>
        <w:t>estimated wage costs </w:t>
      </w:r>
      <w:r w:rsidRPr="00C13DCD">
        <w:rPr>
          <w:rFonts w:ascii="Times New Roman" w:hAnsi="Times New Roman"/>
          <w:noProof/>
          <w:sz w:val="24"/>
          <w:lang w:val="en-US"/>
        </w:rPr>
        <w:t>– costs of newly created workplaces in the Latgale Special Economic Zone, the Rēzekne Special Economic Zone, and the Liepāja Special Economic Zone caused as a result of initial investments laid down in Clause 12 of this Paragraph of this Section which conform to the following conditions:</w:t>
      </w:r>
    </w:p>
    <w:p w14:paraId="349E8A4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they have been laid down in the contract for the settlement of estimated wage costs concluded by a zone authority and a capital company;</w:t>
      </w:r>
    </w:p>
    <w:p w14:paraId="412BC8B1"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they comprise gross wage before payment of taxes and are calculated for the time period of two years by comprising the mandatory State social insurance contributions of the employer;</w:t>
      </w:r>
    </w:p>
    <w:p w14:paraId="47BF14A7"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compared with the average indicator over the previous 12 months, the investment project creates a net increase in the number of employees within the meaning of Article 2(32) of Commission Regulation (EU) No 651/2014 of 17 June 2014 declaring certain categories of aid compatible with the internal market in application of Articles 107 and 108 of the Treaty (hereinafter – Commission Regulation No 651/2014);</w:t>
      </w:r>
    </w:p>
    <w:p w14:paraId="0888292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a capital company ensures, not later than within three years after completing initial investments, each workplace with an employee whose declared place of residence is located in the Latgale Planning Region in respect of the Latgale Special Economic Zone and the Rēzekne Special Economic Zone capital companies, but in respect of the Liepāja Special Economic Zone capital companies – in Liepāja local government, Dienvidkurzeme municipality, or Alsunga rural territory of Kuldīga municipality included in the Kurzeme Planning Region;</w:t>
      </w:r>
    </w:p>
    <w:p w14:paraId="6A9F98E1"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e) each workplace is retained for at least five years in a large capital company, whereas in small or medium-sized capital companies – for at least three years from the day when the relevant workplace was ensured for the first time, except for the case where a workplace has been lost during the time period from 1 January 2020 to 30 June 2021;</w:t>
      </w:r>
    </w:p>
    <w:p w14:paraId="07B8D62B"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5) </w:t>
      </w:r>
      <w:r w:rsidRPr="00C13DCD">
        <w:rPr>
          <w:rFonts w:ascii="Times New Roman" w:hAnsi="Times New Roman"/>
          <w:b/>
          <w:noProof/>
          <w:sz w:val="24"/>
          <w:lang w:val="en-US"/>
        </w:rPr>
        <w:t>direct taxes </w:t>
      </w:r>
      <w:r w:rsidRPr="00C13DCD">
        <w:rPr>
          <w:rFonts w:ascii="Times New Roman" w:hAnsi="Times New Roman"/>
          <w:noProof/>
          <w:sz w:val="24"/>
          <w:lang w:val="en-US"/>
        </w:rPr>
        <w:t>– enterprise income tax and immovable property tax;</w:t>
      </w:r>
    </w:p>
    <w:p w14:paraId="58FCEEB6"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6) </w:t>
      </w:r>
      <w:r w:rsidRPr="00C13DCD">
        <w:rPr>
          <w:rFonts w:ascii="Times New Roman" w:hAnsi="Times New Roman"/>
          <w:b/>
          <w:noProof/>
          <w:sz w:val="24"/>
          <w:lang w:val="en-US"/>
        </w:rPr>
        <w:t>accumulated sum of eligible costs</w:t>
      </w:r>
      <w:r w:rsidRPr="00C13DCD">
        <w:rPr>
          <w:rFonts w:ascii="Times New Roman" w:hAnsi="Times New Roman"/>
          <w:noProof/>
          <w:sz w:val="24"/>
          <w:lang w:val="en-US"/>
        </w:rPr>
        <w:t>:</w:t>
      </w:r>
    </w:p>
    <w:p w14:paraId="7A5E93B5"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the sum of all the initial investments by a zone capital company or licensed capital company which are made from the start of the taxation period in which the relevant capital company has concluded a contract with a zone authority or free port authority for the making of investments in the territory of the zone or free port up to the taxation period (inclusive) for which the calculation is made – for a Liepāja Special Economic Zone capital company, a Rēzekne Special Economic Zone capital company, a Latgale Special Economic Zone capital company, a capital company licensed by the Free Port of Rīga, or a capital company licensed by the Free Port of Ventspils;</w:t>
      </w:r>
    </w:p>
    <w:p w14:paraId="19556D8F"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the amount of all estimated wage costs of a zone capital company that are settled from the start of the taxation period in which the relevant capital company has concluded a contract with a zone authority for the settlement of estimated wage costs in the territory of the zone up to the taxation period (inclusive) for which the calculation is made – for a Rēzekne Special Economic Zone capital company, a Latgale Special Economic Zone capital company, or a Liepāja Special Economic Zone capital company;</w:t>
      </w:r>
    </w:p>
    <w:p w14:paraId="7D58C284"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7) </w:t>
      </w:r>
      <w:r w:rsidRPr="00C13DCD">
        <w:rPr>
          <w:rFonts w:ascii="Times New Roman" w:hAnsi="Times New Roman"/>
          <w:b/>
          <w:noProof/>
          <w:sz w:val="24"/>
          <w:lang w:val="en-US"/>
        </w:rPr>
        <w:t>accumulated sum of the direct tax reliefs </w:t>
      </w:r>
      <w:r w:rsidRPr="00C13DCD">
        <w:rPr>
          <w:rFonts w:ascii="Times New Roman" w:hAnsi="Times New Roman"/>
          <w:noProof/>
          <w:sz w:val="24"/>
          <w:lang w:val="en-US"/>
        </w:rPr>
        <w:t>– the sum of all direct tax reliefs used in accordance with this Law commencing from the taxation period in which the zone capital company or licensed capital company has been issued with a permit to apply the direct tax reliefs up to the taxation period (not inclusive) for which the calculation is made;</w:t>
      </w:r>
    </w:p>
    <w:p w14:paraId="512B2B4D"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8) </w:t>
      </w:r>
      <w:r w:rsidRPr="00C13DCD">
        <w:rPr>
          <w:rFonts w:ascii="Times New Roman" w:hAnsi="Times New Roman"/>
          <w:b/>
          <w:noProof/>
          <w:sz w:val="24"/>
          <w:lang w:val="en-US"/>
        </w:rPr>
        <w:t>zone authority </w:t>
      </w:r>
      <w:r w:rsidRPr="00C13DCD">
        <w:rPr>
          <w:rFonts w:ascii="Times New Roman" w:hAnsi="Times New Roman"/>
          <w:noProof/>
          <w:sz w:val="24"/>
          <w:lang w:val="en-US"/>
        </w:rPr>
        <w:t>– the Liepāja Special Economic Zone Authority, the Rēzekne Special Economic Zone Authority and the Latgale Special Economic Zone Authority;</w:t>
      </w:r>
    </w:p>
    <w:p w14:paraId="002911CD"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lastRenderedPageBreak/>
        <w:t xml:space="preserve">9) </w:t>
      </w:r>
      <w:r w:rsidRPr="00C13DCD">
        <w:rPr>
          <w:rFonts w:ascii="Times New Roman" w:hAnsi="Times New Roman"/>
          <w:b/>
          <w:noProof/>
          <w:sz w:val="24"/>
          <w:lang w:val="en-US"/>
        </w:rPr>
        <w:t>territory of a zone </w:t>
      </w:r>
      <w:r w:rsidRPr="00C13DCD">
        <w:rPr>
          <w:rFonts w:ascii="Times New Roman" w:hAnsi="Times New Roman"/>
          <w:noProof/>
          <w:sz w:val="24"/>
          <w:lang w:val="en-US"/>
        </w:rPr>
        <w:t>– the special economic zone territory as laid down in accordance with the Law on the Liepāja Special Economic Zone, Law on the Rēzekne Special Economic Zone or Law on the Latgale Special Economic Zone;</w:t>
      </w:r>
    </w:p>
    <w:p w14:paraId="429C9D5F"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10) </w:t>
      </w:r>
      <w:r w:rsidRPr="00C13DCD">
        <w:rPr>
          <w:rFonts w:ascii="Times New Roman" w:hAnsi="Times New Roman"/>
          <w:b/>
          <w:noProof/>
          <w:sz w:val="24"/>
          <w:lang w:val="en-US"/>
        </w:rPr>
        <w:t>territory of a free port </w:t>
      </w:r>
      <w:r w:rsidRPr="00C13DCD">
        <w:rPr>
          <w:rFonts w:ascii="Times New Roman" w:hAnsi="Times New Roman"/>
          <w:noProof/>
          <w:sz w:val="24"/>
          <w:lang w:val="en-US"/>
        </w:rPr>
        <w:t>– the free port territory laid down in the Free Port of Ventspils Law or the Free Port of Rīga Law;</w:t>
      </w:r>
    </w:p>
    <w:p w14:paraId="0D4E0C53"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11) </w:t>
      </w:r>
      <w:r w:rsidRPr="00C13DCD">
        <w:rPr>
          <w:rFonts w:ascii="Times New Roman" w:hAnsi="Times New Roman"/>
          <w:b/>
          <w:bCs/>
          <w:noProof/>
          <w:sz w:val="24"/>
          <w:lang w:val="en-US"/>
        </w:rPr>
        <w:t>zone capital company </w:t>
      </w:r>
      <w:r w:rsidRPr="00C13DCD">
        <w:rPr>
          <w:rFonts w:ascii="Times New Roman" w:hAnsi="Times New Roman"/>
          <w:noProof/>
          <w:sz w:val="24"/>
          <w:lang w:val="en-US"/>
        </w:rPr>
        <w:t>– a Liepāja Special Economic Zone capital company with which the zone authority has concluded a contract for the performance of commercial activities and making of investments or the settlement of estimated wage costs in the territory of the Liepāja Special Economic Zone, a Rēzekne Special Economic Zone capital company with which the zone authority has concluded a contract for the performance of commercial activities and making of investments or the settlement of estimated wages costs in the territory of the Rēzekne Special Economic Zone, and a Latgale Special Economic Zone capital company which performs commercial activities in the territory of the Latgale Special Economic Zone and has concluded a contract with the zone authority for the making of investments or the settlement of estimated wage costs in the territory of the zone;</w:t>
      </w:r>
    </w:p>
    <w:p w14:paraId="063B809B"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12) </w:t>
      </w:r>
      <w:r w:rsidRPr="00C13DCD">
        <w:rPr>
          <w:rFonts w:ascii="Times New Roman" w:hAnsi="Times New Roman"/>
          <w:b/>
          <w:bCs/>
          <w:noProof/>
          <w:sz w:val="24"/>
          <w:lang w:val="en-US"/>
        </w:rPr>
        <w:t>investments made by a zone capital company or a licensed capital company </w:t>
      </w:r>
      <w:r w:rsidRPr="00C13DCD">
        <w:rPr>
          <w:rFonts w:ascii="Times New Roman" w:hAnsi="Times New Roman"/>
          <w:noProof/>
          <w:sz w:val="24"/>
          <w:lang w:val="en-US"/>
        </w:rPr>
        <w:t>– the long-term tangible investments (buildings, structures, equipment, including the costs of energy generating equipment and machinery) and intangible investments (costs for the obtaining of patents and acquisition of technologies and costs for the purchase of information technology software) made in the fixed assets of a zone capital company or a licensed capital company, and also of a zone authority or free port authority which conform to the following conditions:</w:t>
      </w:r>
    </w:p>
    <w:p w14:paraId="33C1737B"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are provided for in the contract concluded between the zone authority and the zone capital company or the port authority and the licensed capital company for the making of investments;</w:t>
      </w:r>
    </w:p>
    <w:p w14:paraId="1F77FFDD"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they qualify as initial investments, that is investment in the establishment of a new capital company, increase in production or service capacity of an existing capital company, diversification of the production of an existing capital company with products that have not been previously produced in the capital company, or fundamental change in the production processes of an existing capital company;</w:t>
      </w:r>
    </w:p>
    <w:p w14:paraId="599F9461"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the assets purchased are new, except for the case when they are purchased by a capital company that conforms to the status of a small or medium-sized capital company laid down in Annex I to Commission Regulation No 651/2014;</w:t>
      </w:r>
    </w:p>
    <w:p w14:paraId="5A0C37EF"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intangible assets conform to the requirements laid down in Article 14(8) of Commission Regulation No 651/2014;</w:t>
      </w:r>
    </w:p>
    <w:p w14:paraId="21CABED7"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e) after completion, the investments made remain in the zone or free port for at least five years or three years, if investments are made by a capital company that conforms to the status of a small or medium-sized capital company laid down in Annex I to Commission Regulation No 651/2014;</w:t>
      </w:r>
    </w:p>
    <w:p w14:paraId="7A0810F9"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f) the assets related to the modernisation process conform to the requirements laid down in Article 14(7) of Commission Regulation No 651/2014;</w:t>
      </w:r>
    </w:p>
    <w:p w14:paraId="22801C9E"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13) [3 July 2014].</w:t>
      </w:r>
    </w:p>
    <w:p w14:paraId="27D68C2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22 May 2003; 31 March 2004; 20 January 2005; 19 December 2006; 5 May 2011; 4 April 2013; 3 July 2014; 16 June 2016; 1 March 2018; 14 May 2020; 13 May 2021; 3 March 2022</w:t>
      </w:r>
      <w:r w:rsidRPr="00C13DCD">
        <w:rPr>
          <w:rFonts w:ascii="Times New Roman" w:hAnsi="Times New Roman"/>
          <w:noProof/>
          <w:sz w:val="24"/>
          <w:lang w:val="en-US"/>
        </w:rPr>
        <w:t>]</w:t>
      </w:r>
    </w:p>
    <w:p w14:paraId="6CCA805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FAA65D8" w14:textId="77777777" w:rsidR="00C13DCD" w:rsidRPr="00C13DCD" w:rsidRDefault="00C13DCD" w:rsidP="00C13DCD">
      <w:pPr>
        <w:keepNext/>
        <w:keepLines/>
        <w:spacing w:after="0" w:line="240" w:lineRule="auto"/>
        <w:jc w:val="both"/>
        <w:rPr>
          <w:rFonts w:ascii="Times New Roman" w:hAnsi="Times New Roman"/>
          <w:b/>
          <w:noProof/>
          <w:sz w:val="24"/>
          <w:lang w:val="en-US"/>
        </w:rPr>
      </w:pPr>
      <w:bookmarkStart w:id="4" w:name="p2"/>
      <w:bookmarkStart w:id="5" w:name="p-595493"/>
      <w:bookmarkEnd w:id="4"/>
      <w:bookmarkEnd w:id="5"/>
      <w:r w:rsidRPr="00C13DCD">
        <w:rPr>
          <w:rFonts w:ascii="Times New Roman" w:hAnsi="Times New Roman"/>
          <w:b/>
          <w:noProof/>
          <w:sz w:val="24"/>
          <w:lang w:val="en-US"/>
        </w:rPr>
        <w:lastRenderedPageBreak/>
        <w:t>Section 2. Purpose of this Law</w:t>
      </w:r>
    </w:p>
    <w:p w14:paraId="3711DA06" w14:textId="77777777" w:rsidR="00C13DCD" w:rsidRPr="00C13DCD" w:rsidRDefault="00C13DCD" w:rsidP="00C13DCD">
      <w:pPr>
        <w:keepNext/>
        <w:keepLines/>
        <w:spacing w:after="0" w:line="240" w:lineRule="auto"/>
        <w:jc w:val="both"/>
        <w:rPr>
          <w:rFonts w:ascii="Times New Roman" w:eastAsia="Times New Roman" w:hAnsi="Times New Roman" w:cs="Times New Roman"/>
          <w:noProof/>
          <w:sz w:val="24"/>
          <w:szCs w:val="24"/>
          <w:lang w:val="en-US" w:eastAsia="lv-LV"/>
        </w:rPr>
      </w:pPr>
    </w:p>
    <w:p w14:paraId="42E5E7C1" w14:textId="77777777" w:rsidR="00C13DCD" w:rsidRPr="00C13DCD" w:rsidRDefault="00C13DCD" w:rsidP="00C13DCD">
      <w:pPr>
        <w:keepNext/>
        <w:keepLines/>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This Law prescribes the procedures for the application of:</w:t>
      </w:r>
    </w:p>
    <w:p w14:paraId="08F8AD36" w14:textId="77777777" w:rsidR="00C13DCD" w:rsidRPr="00C13DCD" w:rsidRDefault="00C13DCD" w:rsidP="00C13DCD">
      <w:pPr>
        <w:keepNext/>
        <w:keepLines/>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indirect taxes in the Free Port of Riga, the Free Port of Ventspils, the Latgale Special Economic Zone, the Liepāja Special Economic Zone and the Rēzekne Special Economic Zone;</w:t>
      </w:r>
    </w:p>
    <w:p w14:paraId="471998C7" w14:textId="77777777" w:rsidR="00C13DCD" w:rsidRPr="00C13DCD" w:rsidRDefault="00C13DCD" w:rsidP="00C13DCD">
      <w:pPr>
        <w:keepNext/>
        <w:keepLines/>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direct tax reliefs in the Latgale Special Economic Zone, the Liepāja Special Economic Zone, the Rēzekne Special Economic Zone, the Free Port of Ventspils and the Free Port of Riga.</w:t>
      </w:r>
    </w:p>
    <w:p w14:paraId="3C06F1E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 16 June 2016</w:t>
      </w:r>
      <w:r w:rsidRPr="00C13DCD">
        <w:rPr>
          <w:rFonts w:ascii="Times New Roman" w:hAnsi="Times New Roman"/>
          <w:noProof/>
          <w:sz w:val="24"/>
          <w:lang w:val="en-US"/>
        </w:rPr>
        <w:t>]</w:t>
      </w:r>
    </w:p>
    <w:p w14:paraId="717BA63A"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6" w:name="p2_1"/>
      <w:bookmarkStart w:id="7" w:name="p-783461"/>
      <w:bookmarkEnd w:id="6"/>
      <w:bookmarkEnd w:id="7"/>
    </w:p>
    <w:p w14:paraId="2FA4E17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t>Section 2.</w:t>
      </w:r>
      <w:r w:rsidRPr="00C13DCD">
        <w:rPr>
          <w:rFonts w:ascii="Times New Roman" w:hAnsi="Times New Roman"/>
          <w:b/>
          <w:noProof/>
          <w:sz w:val="24"/>
          <w:vertAlign w:val="superscript"/>
          <w:lang w:val="en-US"/>
        </w:rPr>
        <w:t xml:space="preserve">1 </w:t>
      </w:r>
      <w:r w:rsidRPr="00C13DCD">
        <w:rPr>
          <w:rFonts w:ascii="Times New Roman" w:hAnsi="Times New Roman"/>
          <w:b/>
          <w:noProof/>
          <w:sz w:val="24"/>
          <w:lang w:val="en-US"/>
        </w:rPr>
        <w:t>Application of Tax Laws</w:t>
      </w:r>
    </w:p>
    <w:p w14:paraId="6369E5A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09BE83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Unless otherwise provided for by this Law, zone capital companies, licensed capital companies, zone authorities and port authorities shall apply, calculate, declare and pay taxes and also perform other activities necessary for ensuring the correct payment of taxes in accordance with tax laws and the laws and regulations in the field of customs matters.</w:t>
      </w:r>
    </w:p>
    <w:p w14:paraId="2828A12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tax reliefs provided for in this Law shall not be applied to a zone capital company and a licensed capital company in which the owner or holder of more than 25 per cent of capital shares (stocks) is located, set up, or established in a low-tax or tax-free country or territory. A low-tax or tax-free country or territory shall be determined in accordance with the Enterprise Income Tax Law.</w:t>
      </w:r>
    </w:p>
    <w:p w14:paraId="39BB5C4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22 May 2003; 31 March 2004; 19 December 2006; 13 May 2021 / See Paragraph 20 of Transitional Provisions</w:t>
      </w:r>
      <w:r w:rsidRPr="00C13DCD">
        <w:rPr>
          <w:rFonts w:ascii="Times New Roman" w:hAnsi="Times New Roman"/>
          <w:noProof/>
          <w:sz w:val="24"/>
          <w:lang w:val="en-US"/>
        </w:rPr>
        <w:t>]</w:t>
      </w:r>
    </w:p>
    <w:p w14:paraId="63CF634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 w:name="n2"/>
      <w:bookmarkStart w:id="9" w:name="n-19443"/>
      <w:bookmarkEnd w:id="8"/>
      <w:bookmarkEnd w:id="9"/>
    </w:p>
    <w:p w14:paraId="2620C568"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Chapter II</w:t>
      </w:r>
    </w:p>
    <w:p w14:paraId="5241F11C"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Application of Indirect Taxes</w:t>
      </w:r>
    </w:p>
    <w:p w14:paraId="46CBA034"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10" w:name="p3"/>
      <w:bookmarkStart w:id="11" w:name="p-467378"/>
      <w:bookmarkEnd w:id="10"/>
      <w:bookmarkEnd w:id="11"/>
    </w:p>
    <w:p w14:paraId="0CCDCD5A"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3. Application of Indirect Taxes to Delivery of Goods and Services</w:t>
      </w:r>
    </w:p>
    <w:p w14:paraId="4E4B9CB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5C8A42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Goods which are not intended for further exportation and which are supplied to a licensed capital company, a zone capital company, a zone authority or a free port authority by a registered value added taxpayer shall be taxable with the standard rate or reduced rate of the value added tax in accordance with the Value Added Tax Law unless otherwise provided for in this Section.</w:t>
      </w:r>
    </w:p>
    <w:p w14:paraId="3D4D329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following shall be subject to zero per cent rate of the value added tax:</w:t>
      </w:r>
    </w:p>
    <w:p w14:paraId="5599E7C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supply of goods to a licensed capital company, a zone capital company, a zone authority or a free port authority in the free zone within the territory of a free port or special economic zone (hereinafter – the free zone) by a registered value added taxpayer for further exportation;</w:t>
      </w:r>
    </w:p>
    <w:p w14:paraId="0C5E785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supply of such goods to a licensed capital company, a zone capital company, a zone authority or a free port authority which conform to the requirements laid down in Section 1, Paragraph two, Clause 12 of this Law;</w:t>
      </w:r>
    </w:p>
    <w:p w14:paraId="1F3C804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[20 January 2005];</w:t>
      </w:r>
    </w:p>
    <w:p w14:paraId="6F11B3E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[20 January 2005];</w:t>
      </w:r>
    </w:p>
    <w:p w14:paraId="152F80C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[20 January 2005].</w:t>
      </w:r>
    </w:p>
    <w:p w14:paraId="5A6C46C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If the goods referred to in Paragraph two, Clause 1 of this Section are sold in the free zone they shall be taxable with the standard rate or reduced rate of the value added tax in accordance with the Value Added Tax Law.</w:t>
      </w:r>
    </w:p>
    <w:p w14:paraId="06E537F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 xml:space="preserve">(4) If the licensed capital company, a zone capital company, a zone authority or a free port authority supplies the goods referred to in Paragraph two, Clause 2 of this Section to another person earlier than five years from the moment of its purchase, the licensed capital company, a zone capital company, a zone authority or a free port authority shall calculate the value added </w:t>
      </w:r>
      <w:r w:rsidRPr="00C13DCD">
        <w:rPr>
          <w:rFonts w:ascii="Times New Roman" w:hAnsi="Times New Roman"/>
          <w:noProof/>
          <w:sz w:val="24"/>
          <w:lang w:val="en-US"/>
        </w:rPr>
        <w:lastRenderedPageBreak/>
        <w:t>tax from the initial value, and pay such tax into the State budget in the taxation period when the supply of the goods took place and this tax may not be deducted as the input tax.</w:t>
      </w:r>
    </w:p>
    <w:p w14:paraId="22A18EA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[20 January 2005]</w:t>
      </w:r>
    </w:p>
    <w:p w14:paraId="2AEA307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[20 January 2005]</w:t>
      </w:r>
    </w:p>
    <w:p w14:paraId="755183D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(7) Petroleum products which are supplied to a licensed capital company, a zone capital company, a zone authority or a free port authority shall be exempt from the excise duty while the they are located in the territory of the free zone of the licensed capital company, zone capital company, zone authority or free port authority.</w:t>
      </w:r>
    </w:p>
    <w:p w14:paraId="533AD32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(8) Petroleum products shall be exempt from the excise duty when these products are used by a licensed capital company, a zone capital company, a zone authority or a port authority:</w:t>
      </w:r>
    </w:p>
    <w:p w14:paraId="12C42EB5"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in ships and other watercrafts which are not used for leisure and recreational needs;</w:t>
      </w:r>
    </w:p>
    <w:p w14:paraId="0B40829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in ships for the manufacture, testing and maintenance needs;</w:t>
      </w:r>
    </w:p>
    <w:p w14:paraId="44DD999E"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in ships and other watercrafts which are used for works of excavation and enlargement of waterways;</w:t>
      </w:r>
    </w:p>
    <w:p w14:paraId="045B0AE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for the generation of energy or in combined equipment generating electricity and thermal energy.</w:t>
      </w:r>
    </w:p>
    <w:p w14:paraId="33BF1FB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If in the cases referred to in Paragraph eight of this Section, diesel fuel, kerosene or fuel oil the colorimetric index of which is less than 2.0 and the kinematic viscosity at 50</w:t>
      </w:r>
      <w:r w:rsidRPr="00C13DCD">
        <w:rPr>
          <w:rFonts w:ascii="Times New Roman" w:hAnsi="Times New Roman"/>
          <w:noProof/>
          <w:sz w:val="24"/>
          <w:vertAlign w:val="superscript"/>
          <w:lang w:val="en-US"/>
        </w:rPr>
        <w:t>o</w:t>
      </w:r>
      <w:r w:rsidRPr="00C13DCD">
        <w:rPr>
          <w:rFonts w:ascii="Times New Roman" w:hAnsi="Times New Roman"/>
          <w:noProof/>
          <w:sz w:val="24"/>
          <w:lang w:val="en-US"/>
        </w:rPr>
        <w:t>C is less than 25 cSt, or the substitute products and components of such petroleum products is used, then the relevant petroleum products shall be exempt from the excise duty if they are labelled (marked) in accordance with the requirements of the law On Excise Duties.</w:t>
      </w:r>
    </w:p>
    <w:p w14:paraId="4630350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(9) The rate specified in Section 14, Paragraph two of the law On Excise Duties shall be applied to the petroleum products referred to in Section 14, Paragraph one, Clauses 3, 4 and 6 of the law On Excise Duties, which are labelled (marked) in accordance with the requirements of the law On Excise Duties and which are used by a licensed capital company, a zone capital company, a zone authority or a port authority in the territory of the free zone for:</w:t>
      </w:r>
    </w:p>
    <w:p w14:paraId="426F11F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stationary installations;</w:t>
      </w:r>
    </w:p>
    <w:p w14:paraId="3A10914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cranes and other similar objects;</w:t>
      </w:r>
    </w:p>
    <w:p w14:paraId="28A1861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equipment which is used in construction work only in the territory of the free zone;</w:t>
      </w:r>
    </w:p>
    <w:p w14:paraId="57A1F68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machines, which according to the construction are not intended for participation in traffic on public roads.</w:t>
      </w:r>
    </w:p>
    <w:p w14:paraId="7B7B482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(10) The Cabinet shall determine conditions for the circulation and control of those petroleum products to which exemptions and reliefs from the excise duty shall be applied in accordance with Paragraphs seven, eight, 8.</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nine of this Section, as well as the conditions for the registration of the users of such petroleum products.</w:t>
      </w:r>
    </w:p>
    <w:p w14:paraId="438CA37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22 May 2003; 31 March 2004; 20 January 2005; 19 December 2006; 5 May 2011; 4 April 2013</w:t>
      </w:r>
      <w:r w:rsidRPr="00C13DCD">
        <w:rPr>
          <w:rFonts w:ascii="Times New Roman" w:hAnsi="Times New Roman"/>
          <w:noProof/>
          <w:sz w:val="24"/>
          <w:lang w:val="en-US"/>
        </w:rPr>
        <w:t>]</w:t>
      </w:r>
    </w:p>
    <w:p w14:paraId="0568D4A5"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12" w:name="p4"/>
      <w:bookmarkStart w:id="13" w:name="p-467379"/>
      <w:bookmarkEnd w:id="12"/>
      <w:bookmarkEnd w:id="13"/>
    </w:p>
    <w:p w14:paraId="21B27671"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4. Restrictions on Retail Trade</w:t>
      </w:r>
    </w:p>
    <w:p w14:paraId="56767EE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AEE4F9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In the territory of the free zone of licensed capital companies and zone capital companies, the delivery of goods and provision of services to natural persons (hereinafter – the retail trade) is prohibited, except for:</w:t>
      </w:r>
    </w:p>
    <w:p w14:paraId="436F084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delivery of food and medical goods;</w:t>
      </w:r>
    </w:p>
    <w:p w14:paraId="159D51C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public catering, medical, communications and financial transactions;</w:t>
      </w:r>
    </w:p>
    <w:p w14:paraId="4F570BC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trade in tax-free shops, which have been established in accordance with the Customs Law and operate in accordance with the procedures stipulated by the Cabinet.</w:t>
      </w:r>
    </w:p>
    <w:p w14:paraId="596C560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retail goods delivered and services provided in the territory of the free zone of a licensed capital company and a zone capital company that have been referred to in Paragraph one, Clauses 1 and 2 of this Section shall be taxable with the standard rate or reduced rate of the value added tax in accordance with the Value Added Tax Law, except those goods and services which are exempt from the value added tax in accordance with the Value Added Tax Law.</w:t>
      </w:r>
    </w:p>
    <w:p w14:paraId="2C2DC20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(3) Delivery of the goods referred to in Paragraph one, Clause 1 of this Section and provision of the services referred to in Paragraph one, Clause 2 of this Section to natural persons shall be permitted only for those licensed capital companies or zone capital companies which have concluded a contract for retail trade in the territory of a free zone or the territory of a free port with a zone authority or a free port authority. The territory and premises intended for retail trade, as well as storage of relevant goods shall be indicated in the contract.</w:t>
      </w:r>
    </w:p>
    <w:p w14:paraId="7279852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22 May 2003; 31 March 2004; 19 December 2006; 5 May 2011; 4 April 2013</w:t>
      </w:r>
      <w:r w:rsidRPr="00C13DCD">
        <w:rPr>
          <w:rFonts w:ascii="Times New Roman" w:hAnsi="Times New Roman"/>
          <w:noProof/>
          <w:sz w:val="24"/>
          <w:lang w:val="en-US"/>
        </w:rPr>
        <w:t>]</w:t>
      </w:r>
    </w:p>
    <w:p w14:paraId="3AF6C1C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14" w:name="n3"/>
      <w:bookmarkStart w:id="15" w:name="n-520744"/>
      <w:bookmarkEnd w:id="14"/>
      <w:bookmarkEnd w:id="15"/>
    </w:p>
    <w:p w14:paraId="2774AC36"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Chapter III</w:t>
      </w:r>
    </w:p>
    <w:p w14:paraId="41FF60F2"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Application of the Direct Tax Reliefs</w:t>
      </w:r>
    </w:p>
    <w:p w14:paraId="7D36E8C5" w14:textId="77777777" w:rsidR="00C13DCD" w:rsidRPr="00C13DCD" w:rsidRDefault="00C13DCD" w:rsidP="00C13DCD">
      <w:pPr>
        <w:spacing w:after="0" w:line="240" w:lineRule="auto"/>
        <w:jc w:val="center"/>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 / Amendment shall come into force on 1 September 2014. See Paragraph 17 of Transitional Provisions</w:t>
      </w:r>
      <w:r w:rsidRPr="00C13DCD">
        <w:rPr>
          <w:rFonts w:ascii="Times New Roman" w:hAnsi="Times New Roman"/>
          <w:noProof/>
          <w:sz w:val="24"/>
          <w:lang w:val="en-US"/>
        </w:rPr>
        <w:t>]</w:t>
      </w:r>
    </w:p>
    <w:p w14:paraId="3E8CCAFF"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16" w:name="p5"/>
      <w:bookmarkStart w:id="17" w:name="p-1053782"/>
      <w:bookmarkEnd w:id="16"/>
      <w:bookmarkEnd w:id="17"/>
    </w:p>
    <w:p w14:paraId="3A54752D"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5. Permit to Apply the Direct Tax Reliefs</w:t>
      </w:r>
    </w:p>
    <w:p w14:paraId="551FFF5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79364B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Permit to apply the direct tax reliefs shall be granted by a zone authority or a free port authority in accordance with the procedures specified by the Law.</w:t>
      </w:r>
    </w:p>
    <w:p w14:paraId="7C8C0F4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Permit to apply the direct tax reliefs may be granted to a zone capital company or a licensed capital company which conforms to the following conditions:</w:t>
      </w:r>
    </w:p>
    <w:p w14:paraId="2433239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is located in the territory of a special economic zone or free port;</w:t>
      </w:r>
    </w:p>
    <w:p w14:paraId="58E8F0A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performs commercial activities only in the territory of a special economic zone or free port. Permit to apply the direct tax reliefs in the Latgale Special Economic Zone may be granted to a capital company which performs commercial activities in the territory of the Latgale Special Economic Zone or outside the territory of the Latgale Special Economic Zone by conforming with the following conditions:</w:t>
      </w:r>
    </w:p>
    <w:p w14:paraId="7B653B96"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the location of the implementation of an investment project planned by the capital company is in the territory of the Latgale Special Economic Zone;</w:t>
      </w:r>
    </w:p>
    <w:p w14:paraId="75ABF28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if the capital company has several structural units, it shall clearly separate the financial flow between the territories of activity in the Latgale Special Economic Zone for which the permit to apply the direct tax reliefs has been granted to the capital company and the territories of activity for which the permit to apply the direct tax reliefs has not been granted to it, and that are not included in the territory of the Latgale Special Economic Zone;</w:t>
      </w:r>
    </w:p>
    <w:p w14:paraId="60845426"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the capital company establishes a separated financial flow in respect of the activity that is performed in sectors to be supported in the territory of the Latgale Special Economic Zone and other structural units outside the territory of the Latgale Special Economic Zone;</w:t>
      </w:r>
    </w:p>
    <w:p w14:paraId="4F9D22A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following shall not be considered to be commercial activity outside of the territory of a special economic zone or free port:</w:t>
      </w:r>
    </w:p>
    <w:p w14:paraId="5A481DC3"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the location of the administrative authority or representation offices of a zone capital company or licensed capital company outside of the territory of a special economic zone or free port;</w:t>
      </w:r>
    </w:p>
    <w:p w14:paraId="1BAAB6A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negotiations and the concluding of contracts outside of the territory of a special economic zone or free port;</w:t>
      </w:r>
    </w:p>
    <w:p w14:paraId="7F2E0552"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the transit of goods from or to the territory of a special economic zone or free port;</w:t>
      </w:r>
    </w:p>
    <w:p w14:paraId="238F2722"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other activities which do not have the nature of the execution of a goods-money (also clearing) transaction.</w:t>
      </w:r>
    </w:p>
    <w:p w14:paraId="45DCFF1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xml:space="preserve">) A permit to apply the direct tax reliefs may be granted to a Rēzekne Special Economic Zone capital company, a Latgale Special Economic Zone capital company, and a Liepāja Special Economic Zone capital company which conforms to the conditions referred to in </w:t>
      </w:r>
      <w:r w:rsidRPr="00C13DCD">
        <w:rPr>
          <w:rFonts w:ascii="Times New Roman" w:hAnsi="Times New Roman"/>
          <w:noProof/>
          <w:sz w:val="24"/>
          <w:lang w:val="en-US"/>
        </w:rPr>
        <w:lastRenderedPageBreak/>
        <w:t>Paragraph two of this Section and has selected the type of eligible costs referred to in Section 1, Paragraph two, Clause 6, Sub-clause “a” or “b” of this Law.</w:t>
      </w:r>
    </w:p>
    <w:p w14:paraId="4A32267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Permit to apply the direct tax reliefs shall no longer be in effect if at least one of the following conditions exists:</w:t>
      </w:r>
    </w:p>
    <w:p w14:paraId="00FA5D4E"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term of operation of the special economic zone has expired or the free port has been abolished;</w:t>
      </w:r>
    </w:p>
    <w:p w14:paraId="1FDA240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the term of validity of such permission has expired;</w:t>
      </w:r>
    </w:p>
    <w:p w14:paraId="0EA5A85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zone authority or free port authority and the zone or licensed capital company agree to terminate the contract for the performance of commercial activities in the territory of the zone or free port;</w:t>
      </w:r>
    </w:p>
    <w:p w14:paraId="0438F27C"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3</w:t>
      </w:r>
      <w:r w:rsidRPr="00C13DCD">
        <w:rPr>
          <w:rFonts w:ascii="Times New Roman" w:hAnsi="Times New Roman"/>
          <w:noProof/>
          <w:sz w:val="24"/>
          <w:vertAlign w:val="superscript"/>
          <w:lang w:val="en-US"/>
        </w:rPr>
        <w:t>1</w:t>
      </w:r>
      <w:r w:rsidRPr="00C13DCD">
        <w:rPr>
          <w:rFonts w:ascii="Times New Roman" w:hAnsi="Times New Roman"/>
          <w:noProof/>
          <w:sz w:val="24"/>
          <w:lang w:val="en-US"/>
        </w:rPr>
        <w:t>) the Latgale Special Economic Zone Authority and a Latgale Special Economic Zone capital company agree to revoke the contract for the making of investments or the settlement of estimated wage costs;</w:t>
      </w:r>
    </w:p>
    <w:p w14:paraId="17BB301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a court gives the ruling to terminate the contract between a zone or free port authority and a zone or licensed capital company for the performance of commercial activities in the territory of the zone or free port and to annul the permit issued to the capital company to apply the direct tax reliefs;</w:t>
      </w:r>
    </w:p>
    <w:p w14:paraId="0330A48F"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w:t>
      </w:r>
      <w:r w:rsidRPr="00C13DCD">
        <w:rPr>
          <w:rFonts w:ascii="Times New Roman" w:hAnsi="Times New Roman"/>
          <w:noProof/>
          <w:sz w:val="24"/>
          <w:vertAlign w:val="superscript"/>
          <w:lang w:val="en-US"/>
        </w:rPr>
        <w:t>1</w:t>
      </w:r>
      <w:r w:rsidRPr="00C13DCD">
        <w:rPr>
          <w:rFonts w:ascii="Times New Roman" w:hAnsi="Times New Roman"/>
          <w:noProof/>
          <w:sz w:val="24"/>
          <w:lang w:val="en-US"/>
        </w:rPr>
        <w:t>) a court gives the ruling to revoke the contract between the Latgale Special Economic Zone Authority and a Latgale Special Economic Zone capital company for the making of investments or the settlement of estimated wage costs and to annul the permit issued to the capital company to apply the direct tax reliefs;</w:t>
      </w:r>
    </w:p>
    <w:p w14:paraId="7C25B4A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the zone capital company or the licensed capital company is liquidated or reorganised, as well as commercial activity is terminated as laid down in other cases by law;</w:t>
      </w:r>
    </w:p>
    <w:p w14:paraId="4D8FB9A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the applicable maximum amount of the direct tax reliefs determined in contracts concluded for the making of investments or the settlement of estimated wage costs has been reached in relation to the accumulated sum of eligible costs.</w:t>
      </w:r>
    </w:p>
    <w:p w14:paraId="1DD137B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Permit to apply the direct tax reliefs in the case laid down in Section 1, Paragraph two, Clause 12 of this Law shall not be granted by a zone authority or a free port authority to the following capital companies:</w:t>
      </w:r>
    </w:p>
    <w:p w14:paraId="7E536CB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capital companies of the transport sector referred to in Article 2(45) of Commission Regulation No 651/2014 and related transport infrastructure as defined in Article 13(b) of Commission Regulation No 651/2014;</w:t>
      </w:r>
    </w:p>
    <w:p w14:paraId="617E0D9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the capital companies of the steel sector referred to in Article 2(43) of Commission Regulation No 651/2014 as defined in Article 13(a) of Commission Regulation No 651/2014;</w:t>
      </w:r>
    </w:p>
    <w:p w14:paraId="3BDBDF0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capital companies of the synthetic fibres sector referred to in Article 2(44) of Commission Regulation No 651/2014 as defined in Article 13(a) of Commission Regulation No 651/2014;</w:t>
      </w:r>
    </w:p>
    <w:p w14:paraId="7D07D77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the capital companies of the agriculture sector referred to in Article 2(8)(9)(10) and (11) of Commission Regulation No 651/2014 as defined in Article 1(3)(b) and (c) of Commission Regulation No 651/2014;</w:t>
      </w:r>
    </w:p>
    <w:p w14:paraId="30E2252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the capital companies of the fishery and aquaculture sector referred to in Article 1(3)(a) of Commission Regulation No 651/2014;</w:t>
      </w:r>
    </w:p>
    <w:p w14:paraId="6EB9490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the capital companies of the coal sector referred to in Article 2(13) of Commission Regulation No 651/2014 as defined in Article 13(a) of Commission Regulation No 651/2014;</w:t>
      </w:r>
    </w:p>
    <w:p w14:paraId="553359E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7) the capital companies of the shipbuilding sector referred to in Article 13(a) of Commission Regulation No 651/2014 and Paragraph 1 of Annex 7 to this Law;</w:t>
      </w:r>
    </w:p>
    <w:p w14:paraId="2E0D9E8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8) the capital companies of the energy generation and distribution sector referred to in Article 13(b) of Commission Regulation No 651/2014 and energy infrastructure referred to in Article 2(130) of Commission Regulation No 651/2014, except for the zone capital companies or licensed capital companies which have included the costs of energy generating equipment in the calculation of investment costs and they conform to all of the following conditions:</w:t>
      </w:r>
    </w:p>
    <w:p w14:paraId="5B889609"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lastRenderedPageBreak/>
        <w:t>a) the principal objective of the project is not focused on energy generation and trade;</w:t>
      </w:r>
    </w:p>
    <w:p w14:paraId="21F0B90E"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initial investments in energy generating equipment are planned in a smaller amount in respect of all initial investments to be made within the scope of the project. The costs of energy generating equipment are eligible in the amount not exceeding 30 per cent of the total investment value in the project;</w:t>
      </w:r>
    </w:p>
    <w:p w14:paraId="2AF80323"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energy has been generated for own consumption of a zone capital company or a licensed capital company, and energy generation capacity must be adjusted for ensuring the production or services of a zone capital company or a licensed capital company;</w:t>
      </w:r>
    </w:p>
    <w:p w14:paraId="079D2046"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investments are attributable to renewable energy sources or high-efficiency co-generation.</w:t>
      </w:r>
    </w:p>
    <w:p w14:paraId="31EBC6A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w:t>
      </w:r>
      <w:r w:rsidRPr="00C13DCD">
        <w:rPr>
          <w:rFonts w:ascii="Times New Roman" w:hAnsi="Times New Roman"/>
          <w:noProof/>
          <w:sz w:val="24"/>
          <w:vertAlign w:val="superscript"/>
          <w:lang w:val="en-US"/>
        </w:rPr>
        <w:t>1</w:t>
      </w:r>
      <w:r w:rsidRPr="00C13DCD">
        <w:rPr>
          <w:rFonts w:ascii="Times New Roman" w:hAnsi="Times New Roman"/>
          <w:noProof/>
          <w:sz w:val="24"/>
          <w:lang w:val="en-US"/>
        </w:rPr>
        <w:t>) The Latgale Special Economic Zone Authority shall not grant the permit to apply the direct tax reliefs for that laid down in Section 1, Paragraph two, Clauses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12 of this Law in addition to that referred to in Paragraph four of this Section to capital companies which implement an investment project in the following sectors:</w:t>
      </w:r>
    </w:p>
    <w:p w14:paraId="3D3057A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growing of tobacco (NACE Code: A01.15);</w:t>
      </w:r>
    </w:p>
    <w:p w14:paraId="02A0300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manufacture of beverages (NACE Code: C11), except for the manufacture of soft drinks; production of mineral waters and other bottled waters (NACE Code: 11.07);</w:t>
      </w:r>
    </w:p>
    <w:p w14:paraId="565EA45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manufacture of tobacco products (NACE Code: C12);</w:t>
      </w:r>
    </w:p>
    <w:p w14:paraId="07D3F28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retail trade (NACE Code: G), except for the retail trade of the manufactured products in the territories of the Latgale Special Economic Zone;</w:t>
      </w:r>
    </w:p>
    <w:p w14:paraId="690D049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financial and insurance activities (NACE Code: K);</w:t>
      </w:r>
    </w:p>
    <w:p w14:paraId="3376920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gambling and betting activities (NACE Code: R92);</w:t>
      </w:r>
    </w:p>
    <w:p w14:paraId="66CD5A6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7) other personal service activities (NACE Code: S96).</w:t>
      </w:r>
    </w:p>
    <w:p w14:paraId="6F121A4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w:t>
      </w:r>
      <w:r w:rsidRPr="00C13DCD">
        <w:rPr>
          <w:rFonts w:ascii="Times New Roman" w:hAnsi="Times New Roman"/>
          <w:noProof/>
          <w:sz w:val="24"/>
          <w:vertAlign w:val="superscript"/>
          <w:lang w:val="en-US"/>
        </w:rPr>
        <w:t>2</w:t>
      </w:r>
      <w:r w:rsidRPr="00C13DCD">
        <w:rPr>
          <w:rFonts w:ascii="Times New Roman" w:hAnsi="Times New Roman"/>
          <w:noProof/>
          <w:sz w:val="24"/>
          <w:lang w:val="en-US"/>
        </w:rPr>
        <w:t>) The Rēzekne Special Economic Zone Authority shall not grant the permit to apply the direct tax reliefs for that laid down in Section 1, Paragraph two, Clause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of this Law in addition to that referred to in Paragraph four of this Section to capital companies which implement an investment project in the following sectors:</w:t>
      </w:r>
    </w:p>
    <w:p w14:paraId="2486EF1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growing of tobacco (NACE Code: A01.15);</w:t>
      </w:r>
    </w:p>
    <w:p w14:paraId="678FCC6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manufacture of beverages (NACE Code: C11), except for the manufacture of soft drinks; production of mineral waters and other bottled waters (NACE Code: 11.07);</w:t>
      </w:r>
    </w:p>
    <w:p w14:paraId="12A267D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manufacture of tobacco products (NACE Code: C12);</w:t>
      </w:r>
    </w:p>
    <w:p w14:paraId="7B76485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retail trade (NACE Code: G), except for the retail trade of the manufactured products in the territories of the Rēzekne Special Economic Zone;</w:t>
      </w:r>
    </w:p>
    <w:p w14:paraId="03C23C60"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financial and insurance activities (NACE Code: K);</w:t>
      </w:r>
    </w:p>
    <w:p w14:paraId="4D92F1A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gambling and betting activities (NACE Code: R92);</w:t>
      </w:r>
    </w:p>
    <w:p w14:paraId="194CCDF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7) other personal service activities (NACE Code: S96).</w:t>
      </w:r>
    </w:p>
    <w:p w14:paraId="3287193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w:t>
      </w:r>
      <w:r w:rsidRPr="00C13DCD">
        <w:rPr>
          <w:rFonts w:ascii="Times New Roman" w:hAnsi="Times New Roman"/>
          <w:noProof/>
          <w:sz w:val="24"/>
          <w:vertAlign w:val="superscript"/>
          <w:lang w:val="en-US"/>
        </w:rPr>
        <w:t>3</w:t>
      </w:r>
      <w:r w:rsidRPr="00C13DCD">
        <w:rPr>
          <w:rFonts w:ascii="Times New Roman" w:hAnsi="Times New Roman"/>
          <w:noProof/>
          <w:sz w:val="24"/>
          <w:lang w:val="en-US"/>
        </w:rPr>
        <w:t>) The Liepāja Special Economic Zone Authority shall not grant the permit to apply the direct tax reliefs for that laid down in Section 1, Paragraph two, Clauses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12 of this Law in addition to that referred to in Paragraph four of this Section to capital companies which implement an investment project in the following sectors:</w:t>
      </w:r>
    </w:p>
    <w:p w14:paraId="03DFE0B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growing of tobacco (NACE Code: A01.15);</w:t>
      </w:r>
    </w:p>
    <w:p w14:paraId="3EBCEF7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manufacture of beverages (NACE Code: C11), except for the manufacture of soft drinks; production of mineral waters and other bottled waters (NACE Code: 11.07);</w:t>
      </w:r>
    </w:p>
    <w:p w14:paraId="713AEB3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manufacture of tobacco products (NACE Code: C12);</w:t>
      </w:r>
    </w:p>
    <w:p w14:paraId="7C5F628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retail trade (NACE Code: G), except for the retail trade of the manufactured products in the territories of the Liepāja Special Economic Zone;</w:t>
      </w:r>
    </w:p>
    <w:p w14:paraId="7254512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financial and insurance activities (NACE Code: K);</w:t>
      </w:r>
    </w:p>
    <w:p w14:paraId="27BB0DB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gambling and betting activities (NACE Code: R92);</w:t>
      </w:r>
    </w:p>
    <w:p w14:paraId="4E0A857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7) other personal service activities (NACE Code: S96).</w:t>
      </w:r>
    </w:p>
    <w:p w14:paraId="04AE16F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(5) If a capital company is operating in both the sectors laid down in Paragraph four, Clauses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4.</w:t>
      </w:r>
      <w:r w:rsidRPr="00C13DCD">
        <w:rPr>
          <w:rFonts w:ascii="Times New Roman" w:hAnsi="Times New Roman"/>
          <w:noProof/>
          <w:sz w:val="24"/>
          <w:vertAlign w:val="superscript"/>
          <w:lang w:val="en-US"/>
        </w:rPr>
        <w:t xml:space="preserve">2 </w:t>
      </w:r>
      <w:r w:rsidRPr="00C13DCD">
        <w:rPr>
          <w:rFonts w:ascii="Times New Roman" w:hAnsi="Times New Roman"/>
          <w:noProof/>
          <w:sz w:val="24"/>
          <w:lang w:val="en-US"/>
        </w:rPr>
        <w:t>of this Section and in other sectors, a zone authority or a free port authority shall grant the permit to apply the direct tax reliefs if the capital company clearly separates the financial flows for the implementation of a project in the sector to be supported from the financial flow of other operational sectors during investing, and throughout the entire time period of application of tax reliefs until the maximum applicable amount of the direct tax rebates in relation to the accumulated sum of eligible costs is reached. Within the meaning of this Law, financial flow is the flow of the expenses and revenue of the economic transactions where the revenue and expenses in the sector to be supported of the principal activity, investment activity and financing activity of a zone capital company or a licensed capital company are separated from the revenue and expenses of a capital company of other operational sectors.</w:t>
      </w:r>
    </w:p>
    <w:p w14:paraId="25B3F68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Upon applying the direct tax reliefs, the zone authority or free port authority shall not grant the permit if:</w:t>
      </w:r>
    </w:p>
    <w:p w14:paraId="0406132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conditions of Article 1(2)(c) and (d) and (4)(a) and (c) of Commission Regulation No 651/2014 are fulfilled;</w:t>
      </w:r>
    </w:p>
    <w:p w14:paraId="7819A52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a capital company has not provided any certification stating that within the past two years before the submission of the application for the conclusion of a contract for making investments, except for the time period from 1 January 2020 to 30 June 2021, it has not carried out relocation as defined in Article 2(61)(a) of Commission Regulation No 651/2014 (hereinafter – the relocation) to the respective territory of the zone or free port where the initial investment for which aid is requested will be made and undertakes not to do so for two years after completing the initial investment for which aid is requested.</w:t>
      </w:r>
    </w:p>
    <w:p w14:paraId="0AE15E7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22 May 2003; 31 March 2004; 19 December 2006; 3 July 2014; 16 June 2016; 1 March 2018; 14 May 2020; 13 May 2021; 3 March 2022</w:t>
      </w:r>
      <w:r w:rsidRPr="00C13DCD">
        <w:rPr>
          <w:rFonts w:ascii="Times New Roman" w:hAnsi="Times New Roman"/>
          <w:noProof/>
          <w:sz w:val="24"/>
          <w:lang w:val="en-US"/>
        </w:rPr>
        <w:t>]</w:t>
      </w:r>
    </w:p>
    <w:p w14:paraId="02F12BBC"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18" w:name="p5_1"/>
      <w:bookmarkStart w:id="19" w:name="p-783463"/>
      <w:bookmarkEnd w:id="18"/>
      <w:bookmarkEnd w:id="19"/>
    </w:p>
    <w:p w14:paraId="7927897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t>Section 5.</w:t>
      </w:r>
      <w:r w:rsidRPr="00C13DCD">
        <w:rPr>
          <w:rFonts w:ascii="Times New Roman" w:hAnsi="Times New Roman"/>
          <w:b/>
          <w:noProof/>
          <w:sz w:val="24"/>
          <w:vertAlign w:val="superscript"/>
          <w:lang w:val="en-US"/>
        </w:rPr>
        <w:t xml:space="preserve">1 </w:t>
      </w:r>
      <w:r w:rsidRPr="00C13DCD">
        <w:rPr>
          <w:rFonts w:ascii="Times New Roman" w:hAnsi="Times New Roman"/>
          <w:b/>
          <w:noProof/>
          <w:sz w:val="24"/>
          <w:lang w:val="en-US"/>
        </w:rPr>
        <w:t>Right to Apply the Direct Tax Reliefs</w:t>
      </w:r>
    </w:p>
    <w:p w14:paraId="7CD2511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B7E81B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The permit issued by a zone authority or a free port authority shall certify the right to receive the direct tax reliefs laid down in this Law, but the contract concluded for the making of investments or the settlement of estimated wage costs shall determine the conditions for the application of direct tax reliefs to the investments provided for in the particular contract for the making of investments or the settlement of estimated wage costs for estimated wage costs.</w:t>
      </w:r>
    </w:p>
    <w:p w14:paraId="2F42AAD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A contract for the making of investments is an agreement concluded between a capital company and the free port authority or zone authority for the making of investments in the free port or special economic zone. The contract shall include at least the following information:</w:t>
      </w:r>
    </w:p>
    <w:p w14:paraId="2BA0A26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name of the investment project;</w:t>
      </w:r>
    </w:p>
    <w:p w14:paraId="4C83B212"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investment objects and investment amount;</w:t>
      </w:r>
    </w:p>
    <w:p w14:paraId="7353362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time limit for investments which does not exceed five years from the conclusion of the contract;</w:t>
      </w:r>
    </w:p>
    <w:p w14:paraId="5A51594C"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4) the aid percentage applicable to the investment, which is in effect on the day of concluding the contract, in addition taking into account the provisions of Sections 8.</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8.</w:t>
      </w:r>
      <w:r w:rsidRPr="00C13DCD">
        <w:rPr>
          <w:rFonts w:ascii="Times New Roman" w:hAnsi="Times New Roman"/>
          <w:noProof/>
          <w:sz w:val="24"/>
          <w:vertAlign w:val="superscript"/>
          <w:lang w:val="en-US"/>
        </w:rPr>
        <w:t xml:space="preserve">2 </w:t>
      </w:r>
      <w:r w:rsidRPr="00C13DCD">
        <w:rPr>
          <w:rFonts w:ascii="Times New Roman" w:hAnsi="Times New Roman"/>
          <w:noProof/>
          <w:sz w:val="24"/>
          <w:lang w:val="en-US"/>
        </w:rPr>
        <w:t>of this Law for determining the aid percentage;</w:t>
      </w:r>
    </w:p>
    <w:p w14:paraId="7DDB9E6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certification of the capital company that it will ensure the financial investment in the amount of at least 25 per cent from the total investment project costs provided for in the contract for the making of investments,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6D5A02C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the maximum applicable sum of direct tax rebates for the investments provided for in the contract;</w:t>
      </w:r>
    </w:p>
    <w:p w14:paraId="31289ED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lastRenderedPageBreak/>
        <w:t>7) application of the aid percentage determined in the contract until the moment when the maximum applicable amount of direct tax reliefs laid down in the contract for the making of investments in relation to the accumulated sum of eligible costs is reached;</w:t>
      </w:r>
    </w:p>
    <w:p w14:paraId="7E61D01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8) application of the aid percentage determined in the contract to the enterprise income tax reliefs and immovable property tax rebates laid down in this Law.</w:t>
      </w:r>
    </w:p>
    <w:p w14:paraId="0979724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The contract for the settlement of estimated wage costs is an agreement concluded between a zone capital company and a zone authority for the settlement of estimated wage costs in a special economic zone. At least the following information shall be included in the contract:</w:t>
      </w:r>
    </w:p>
    <w:p w14:paraId="1321D8F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name of the investment project;</w:t>
      </w:r>
    </w:p>
    <w:p w14:paraId="148C9CE0"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investment objects and the amount of initial investments;</w:t>
      </w:r>
    </w:p>
    <w:p w14:paraId="716AF27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planned number of newly created workplaces;</w:t>
      </w:r>
    </w:p>
    <w:p w14:paraId="2EE5EA0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the amount of estimated wage costs;</w:t>
      </w:r>
    </w:p>
    <w:p w14:paraId="454FB3A2"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5) the aid percentage applicable to estimated wage costs which is effective on the day of concluding the contract for the settlement of estimated wage costs by additionally taking into account the conditions of Section 8, Paragraphs one and two, Section 8.</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Section 8.</w:t>
      </w:r>
      <w:r w:rsidRPr="00C13DCD">
        <w:rPr>
          <w:rFonts w:ascii="Times New Roman" w:hAnsi="Times New Roman"/>
          <w:noProof/>
          <w:sz w:val="24"/>
          <w:vertAlign w:val="superscript"/>
          <w:lang w:val="en-US"/>
        </w:rPr>
        <w:t>2</w:t>
      </w:r>
      <w:r w:rsidRPr="00C13DCD">
        <w:rPr>
          <w:rFonts w:ascii="Times New Roman" w:hAnsi="Times New Roman"/>
          <w:noProof/>
          <w:sz w:val="24"/>
          <w:lang w:val="en-US"/>
        </w:rPr>
        <w:t>, Paragraph four of this Law;</w:t>
      </w:r>
    </w:p>
    <w:p w14:paraId="1DAB2452"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6) the certification of a zone capital company that the investment project will create a net increase in the number of employees within the meaning of Article 2(32) of Commission Regulation No 651/2014, compared with the average indicator over the previous 12 months, and that the workplace is ensured by a capital company within three years after completing initial investments by considering that the declared place of residence of the employee is located in the Latgale Planning Region in respect of a Rēzekne Special Economic Zone and Latgale Special Economic Zone capital company, but in respect of a Liepāja Special Economic Zone capital company – in Liepāja local government, Dienvidkurzeme municipality, or Alsunga rural territory of Kuldīga municipality included in the Kurzeme Planning Region, and the workplace will be retained for at least five years in a large capital company, whereas in small or medium-sized capital companies – for at least three years from the day when the respective workplace was ensured for the first time;</w:t>
      </w:r>
    </w:p>
    <w:p w14:paraId="499D28C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7) the certification of a zone capital company that it would ensure the financial investment in the amount of at least 25 per cent from the total estimated wage costs within the scope of an investment project provided for in the contract for the settlement of estimated wage costs for which State aid has not been received, that is, the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2D32C6C5"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8) the certification of a zone capital company that works on the project in conformity with that laid down in Section 1, Paragraph two, Clause 12 of this Law would be commenced only after the contract for the settlement of estimated wage costs has come into effect;</w:t>
      </w:r>
    </w:p>
    <w:p w14:paraId="100030F0"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9) the maximum applicable sum of direct tax reliefs in the contract for the settlement of estimated wage costs;</w:t>
      </w:r>
    </w:p>
    <w:p w14:paraId="7262119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10) application of the aid percentage determined in the contract until the moment when the maximum applicable amount of direct tax reliefs laid down in the contract for the settlement of estimated wage costs in relation to the accumulated sum of eligible costs is reached;</w:t>
      </w:r>
    </w:p>
    <w:p w14:paraId="3749ED1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11) application of the aid percentage determined in the contract to the enterprise income tax reliefs and immovable property tax reliefs laid down in this Law.</w:t>
      </w:r>
    </w:p>
    <w:p w14:paraId="2A18F1A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For the conclusion of a contract for the making of investments, the capital company shall submit at least the information indicated in Annex 8 to this Law to the zone authority or free port authority.</w:t>
      </w:r>
    </w:p>
    <w:p w14:paraId="19FB884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(3</w:t>
      </w:r>
      <w:r w:rsidRPr="00C13DCD">
        <w:rPr>
          <w:rFonts w:ascii="Times New Roman" w:hAnsi="Times New Roman"/>
          <w:noProof/>
          <w:sz w:val="24"/>
          <w:vertAlign w:val="superscript"/>
          <w:lang w:val="en-US"/>
        </w:rPr>
        <w:t>1</w:t>
      </w:r>
      <w:r w:rsidRPr="00C13DCD">
        <w:rPr>
          <w:rFonts w:ascii="Times New Roman" w:hAnsi="Times New Roman"/>
          <w:noProof/>
          <w:sz w:val="24"/>
          <w:lang w:val="en-US"/>
        </w:rPr>
        <w:t>) For the conclusion of a contract for the settlement of estimated wage costs, the zone capital company shall submit at least the information indicated in Annex 9 to this Law to the zone authority.</w:t>
      </w:r>
    </w:p>
    <w:p w14:paraId="61A717B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lastRenderedPageBreak/>
        <w:t>(4) The right to apply the direct tax reliefs to the investments provided for in a contract for the making of investments may be exercised if the capital company has made investments only after the contract for the making of investments has entered into effect. If the capital company wishes to cumulate the aid laid down in this Law in the form of tax reliefs with other aid for making of initial investments, the contract for the making of investments which has been concluded with the zone authority or free port authority shall enter into effect and the capital company shall commence making of investments only after all the authorities involved have taken the decision to provide aid to the investment project. In the cases referred to in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five of this Law, the contract for the making of investments shall enter into effect only after receipt of the decision of the European Commission.</w:t>
      </w:r>
    </w:p>
    <w:p w14:paraId="62462CE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The right to receive direct tax reliefs for the estimated wage costs provided for in the contract for the settlement of estimated wage costs may be exercised if the zone capital company has started works on the project in conformity with that laid down in Section 1, Paragraph two, Clause 12 of this Law only after entering into effect of the contract for the settlement of estimated wage costs.</w:t>
      </w:r>
    </w:p>
    <w:p w14:paraId="3935C78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3 July 2014; 14 May 2020; 13 May 2021</w:t>
      </w:r>
      <w:r w:rsidRPr="00C13DCD">
        <w:rPr>
          <w:rFonts w:ascii="Times New Roman" w:hAnsi="Times New Roman"/>
          <w:noProof/>
          <w:sz w:val="24"/>
          <w:lang w:val="en-US"/>
        </w:rPr>
        <w:t>]</w:t>
      </w:r>
    </w:p>
    <w:p w14:paraId="5F345A8F"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20" w:name="p6"/>
      <w:bookmarkStart w:id="21" w:name="p-735886"/>
      <w:bookmarkEnd w:id="20"/>
      <w:bookmarkEnd w:id="21"/>
    </w:p>
    <w:p w14:paraId="76831BF4"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6. Immovable Property Tax Rebate</w:t>
      </w:r>
    </w:p>
    <w:p w14:paraId="1ED4511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2376CC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 A zone or licensed capital company is entitled to receive an immovable property tax rebate in the amount of 80 per cent of the calculated tax sum (not receiving other rebates) for the immovable property located in the territory of the zone or free port which is in its ownership, legal possession, or which has been granted for use thereto, unless otherwise provided for in the binding regulations of the local government issued in accordance with Paragraphs 2.</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2.</w:t>
      </w:r>
      <w:r w:rsidRPr="00C13DCD">
        <w:rPr>
          <w:rFonts w:ascii="Times New Roman" w:hAnsi="Times New Roman"/>
          <w:noProof/>
          <w:sz w:val="24"/>
          <w:vertAlign w:val="superscript"/>
          <w:lang w:val="en-US"/>
        </w:rPr>
        <w:t xml:space="preserve">2 </w:t>
      </w:r>
      <w:r w:rsidRPr="00C13DCD">
        <w:rPr>
          <w:rFonts w:ascii="Times New Roman" w:hAnsi="Times New Roman"/>
          <w:noProof/>
          <w:sz w:val="24"/>
          <w:lang w:val="en-US"/>
        </w:rPr>
        <w:t>of this Section.</w:t>
      </w:r>
    </w:p>
    <w:p w14:paraId="335488C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By the decision of a local government, a zone or licensed capital company is entitled to receive an immovable property tax rebate up to the amount of 20 per cent of the calculated tax sum (not receiving other rebates) for the immovable property located in the territory of the zone or free port which is in its ownership, legal possession, or which has been granted for use thereto.</w:t>
      </w:r>
    </w:p>
    <w:p w14:paraId="4D0EF6A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A local government, upon issuing binding regulations, is entitled to reduce the percentage amount of the immovable property tax rebate referred to in Paragraph one of this Section, determining the amount thereof not less than 10 per cent of the calculated tax sum (not applying other rebates). Upon exercising the right provided for in this Paragraph of this Section, a local government is not entitled to concurrently apply Paragraph two of this Section.</w:t>
      </w:r>
    </w:p>
    <w:p w14:paraId="52195AC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w:t>
      </w:r>
      <w:r w:rsidRPr="00C13DCD">
        <w:rPr>
          <w:rFonts w:ascii="Times New Roman" w:hAnsi="Times New Roman"/>
          <w:noProof/>
          <w:sz w:val="24"/>
          <w:vertAlign w:val="superscript"/>
          <w:lang w:val="en-US"/>
        </w:rPr>
        <w:t>2</w:t>
      </w:r>
      <w:r w:rsidRPr="00C13DCD">
        <w:rPr>
          <w:rFonts w:ascii="Times New Roman" w:hAnsi="Times New Roman"/>
          <w:noProof/>
          <w:sz w:val="24"/>
          <w:lang w:val="en-US"/>
        </w:rPr>
        <w:t>) A local government, upon issuing the binding regulations provided for in Paragraph 2.</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of this Section, shall comply with the conditions of this Law and also the principles for determining tax reliefs provided for in Section 3.</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one and Paragraph two, Clause 2 of the law On Immovable Property Tax and shall publish the adopted binding regulation by 1 November of the pre-taxation year.</w:t>
      </w:r>
    </w:p>
    <w:p w14:paraId="31BB822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In the immovable property tax notification, a local government shall state the sum of immovable property tax to be paid within the taxation period, taking into account the tax rebate determined in accordance with the provisions laid down in this Section.</w:t>
      </w:r>
    </w:p>
    <w:p w14:paraId="017C8BB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The immovable property tax rebate referred to in Paragraph one of this Section shall be taken into account when making the immovable property tax forecast to be used by local governments for the calculation of local government financial equalisation account for the next financial year.</w:t>
      </w:r>
    </w:p>
    <w:p w14:paraId="2209209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A zone authority or the Free Port of Rīga Authority shall not pay the immovable property tax or any other tax which may be introduced in place of the referred to tax for the immovable property which is located outside the territory of the zone or free port and belongs to the State or local government, and which in accordance with law has been granted for use to a zone authority or free port authority and has not been transferred further to another user.</w:t>
      </w:r>
    </w:p>
    <w:p w14:paraId="5333CEF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lastRenderedPageBreak/>
        <w:t>[</w:t>
      </w:r>
      <w:r w:rsidRPr="00C13DCD">
        <w:rPr>
          <w:rFonts w:ascii="Times New Roman" w:hAnsi="Times New Roman"/>
          <w:i/>
          <w:noProof/>
          <w:sz w:val="24"/>
          <w:lang w:val="en-US"/>
        </w:rPr>
        <w:t>19 December 2006; 16 June 2016; 14 May 2020</w:t>
      </w:r>
      <w:r w:rsidRPr="00C13DCD">
        <w:rPr>
          <w:rFonts w:ascii="Times New Roman" w:hAnsi="Times New Roman"/>
          <w:noProof/>
          <w:sz w:val="24"/>
          <w:lang w:val="en-US"/>
        </w:rPr>
        <w:t>]</w:t>
      </w:r>
    </w:p>
    <w:p w14:paraId="0596DE97"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22" w:name="p7"/>
      <w:bookmarkStart w:id="23" w:name="p-735887"/>
      <w:bookmarkEnd w:id="22"/>
      <w:bookmarkEnd w:id="23"/>
    </w:p>
    <w:p w14:paraId="07E5F95C"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7. Enterprise Income Tax Relief</w:t>
      </w:r>
    </w:p>
    <w:p w14:paraId="1C9C023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80E7A0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A zone capital company or a licensed capital company is entitled to receive the enterprise income tax rebate in the amount of 80 per cent of the calculated tax sum.</w:t>
      </w:r>
    </w:p>
    <w:p w14:paraId="4E6C74A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[1 March 2018]</w:t>
      </w:r>
    </w:p>
    <w:p w14:paraId="31C2F14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[3 July 2014]</w:t>
      </w:r>
    </w:p>
    <w:p w14:paraId="1EAFBBE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[3 July 2014]</w:t>
      </w:r>
    </w:p>
    <w:p w14:paraId="56C8C88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 3 July 2014; 1 March 2018; 14 May 2020</w:t>
      </w:r>
      <w:r w:rsidRPr="00C13DCD">
        <w:rPr>
          <w:rFonts w:ascii="Times New Roman" w:hAnsi="Times New Roman"/>
          <w:noProof/>
          <w:sz w:val="24"/>
          <w:lang w:val="en-US"/>
        </w:rPr>
        <w:t>]</w:t>
      </w:r>
    </w:p>
    <w:p w14:paraId="6FC22960"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24" w:name="p8"/>
      <w:bookmarkStart w:id="25" w:name="p-1053783"/>
      <w:bookmarkEnd w:id="24"/>
      <w:bookmarkEnd w:id="25"/>
    </w:p>
    <w:p w14:paraId="06BA4083"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8. Restrictions on the Application of the Direct Tax Rebates</w:t>
      </w:r>
    </w:p>
    <w:p w14:paraId="3249A62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E77E15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 A zone capital company or a licensed capital company is entitled to receive the tax rebates prescribed in Section 6, Paragraph one, Paragraphs one and two or Paragraph 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and Section 7, Paragraph one of this Law within a taxation period if the accumulated sum of direct tax rebates and the rebates calculated for the taxation period in accordance with Section 6, Paragraph one, Paragraphs one and two or Paragraph 2.</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Section 7, Paragraph one of this Law together do not exceed the percentage of the accumulated sum of eligible costs to be applied to the relevant capital company:</w:t>
      </w:r>
    </w:p>
    <w:p w14:paraId="680D734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to a zone capital company or a licensed capital company which does not conform to the criteria laid down in Annex I to Commission Regulation No 651/2014 – 30 per cent of the accumulated sum of eligible costs in the Free Port of Riga and 40 per cent of the accumulated sum of eligible costs in the Free Port of Ventspils, the Liepāja Special Economic Zone, the Rēzekne Special Economic Zone, and the Latgale Special Economic Zone;</w:t>
      </w:r>
    </w:p>
    <w:p w14:paraId="670CDB2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to a zone capital company or a licensed capital company which conforms to the status of a medium-sized capital company laid down in Annex I to Commission Regulation No 651/2014 – 40 per cent of the accumulated sum of eligible costs in the Free Port of Riga and 50 per cent of the accumulated sum of eligible costs in the Free Port of Ventspils, the Liepāja Special Economic Zone, the Rēzekne Special Economic Zone, and the Latgale Special Economic Zone;</w:t>
      </w:r>
    </w:p>
    <w:p w14:paraId="7340A8B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to a zone capital company or a licensed capital company which conforms to the status of a small capital company laid down in Annex I to Commission Regulation No 651/2014 – 50 per cent of the accumulated sum of eligible costs in the Free Port of Riga and 60 per cent of the accumulated sum of eligible costs in the Free Port of Ventspils, the Liepāja Special Economic Zone, the Rēzekne Special Economic Zone, and the Latgale Special Economic Zone.</w:t>
      </w:r>
    </w:p>
    <w:p w14:paraId="1295086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[14 May 2020]</w:t>
      </w:r>
    </w:p>
    <w:p w14:paraId="7A708A4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[19 December 2006]</w:t>
      </w:r>
    </w:p>
    <w:p w14:paraId="4A75690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[3 July 2014]</w:t>
      </w:r>
    </w:p>
    <w:p w14:paraId="154A59F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(5) If a zone capital company or a licensed capital company which has made investments in conformity with Section 1, Paragraph two, Clause 12 of this Law or the settlement of estimated wage costs in conformity with Section 1, Paragraph two, Clause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of this Law is liquidated or the purchased assets are alienated prior to the end of the time period referred to in Article 14(5) of Commission Regulation No 651/2014 or the workplaces created as a result of investments are not retained until the end of the time period referred to in Article 14(9)(c) of Commission Regulation No 651/2014, or relocation is carried out within two years after completion of the initial investment for which aid is requested in the form of direct tax reliefs, or has violated other requirements laid down in Commission Regulation No 651/2014, it shall recalculate direct taxes for the taxation periods in which direct tax reliefs were applied, and shall pay into the State budget and local government budget accordingly the entire amount in respect of which the taxes to be paid were reduced as a result of the application of such relief.</w:t>
      </w:r>
    </w:p>
    <w:p w14:paraId="6069B28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(6) If prior to the end of the time period referred to in Article 14(5) of Commission Regulation No 651/2014 a zone capital company or a licensed capital company is reorganised in conformity with Section 1, Paragraph three, five or nineteen of the Enterprise Income Tax Law and its investments which have been made in accordance with Section 1, Paragraph two, Clause 12 of this Law transfers to the ownership of another capital company:</w:t>
      </w:r>
    </w:p>
    <w:p w14:paraId="51F259B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reorganised (acquiring, acquired, to be acquired or to be divided) capital company has the right to receive the direct tax reliefs specified in this Law in relation to the unused accrued rebate sum in proportion to the retained or taken over amount of investments (the initial value of the investments shall be taken as the basis for the calculation thereof), if the reorganised capital company has acquired the status of a zone capital company or a licensed capital company under the following conditions:</w:t>
      </w:r>
    </w:p>
    <w:p w14:paraId="5969245D"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the value of the investments retained or taken over by the reorganised capital company forms more than 75 per cent of the total value of the investments made thereby in accordance with Section 1, Paragraph two, Clause 12 of this Law;</w:t>
      </w:r>
    </w:p>
    <w:p w14:paraId="31A4DDED"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the basic type of commercial activity of the reorganised capital company which comprises at least 75 per cent of the net turnover of the capital company conforms to the basic type of commercial activity of the capital company to be reorganised and is preserved for the entire time period of validity of the permit to receive the direct tax reliefs;</w:t>
      </w:r>
    </w:p>
    <w:p w14:paraId="1CE2944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the commercial activity of the reorganised capital company takes place in same territory of the special economic zone or free port in which the zone capital company or licensed capital company to be reorganised performed commercial activities prior to reorganisation;</w:t>
      </w:r>
    </w:p>
    <w:p w14:paraId="3B5F5710"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which has not acquired the status of a zone capital company or a licensed capital company, the capital company to be reorganised shall recalculate the direct taxes for the taxation periods in which direct tax reliefs were applied, and shall pay into the budget the sum by which the taxes to be paid were reduced as a result of the application of such reliefs.</w:t>
      </w:r>
    </w:p>
    <w:p w14:paraId="539BD08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(7) In the cases referred to in Paragraph five and Paragraph six, Clause 2 of this Section, the reduced sum of direct taxes which has formed as a result of the application of direct tax reliefs shall be deemed to be a late tax payment, and late payment charge shall be calculated for it in accordance with the procedures laid down in the law On Taxes and Duties.</w:t>
      </w:r>
    </w:p>
    <w:p w14:paraId="1B9BFBC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(8) If an illegal State aid is to be recovered for the period which exceeds the time period laid down in Section 23, Paragraph two of the law On Taxes and Duties, a zone capital company or a licensed capital company shall pay the illegally received State aid together with interest into the State and local government budget accordingly in addition to the sum referred to in Paragraphs five and seven of this Section. Interest shall be calculated in accordance with their rates which are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adding 100 base points to interest in compliance with the method for applying the interest laid down in Article 11 of Commission Regulation (EC) No 794/2004 of 21 April 2004 implementing Council Regulation (EU) 2015/1589 laying down detailed rules for the application of Article 108 of the Treaty on the Functioning of the European Union.</w:t>
      </w:r>
    </w:p>
    <w:p w14:paraId="4A17ADC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(9) The Cabinet shall determine the procedures for the calculation and collection of the illegal State aid and interest referred to in Paragraph eight of this Section and the authorities responsible for the recovery of the illegal State aid and their obligations.</w:t>
      </w:r>
    </w:p>
    <w:p w14:paraId="0971AD7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22 May 2003; 31 March 2004; 19 December 2006; 12 September 2013; 3 July 2014; 16 June 2016; 1 March 2018; 14 May 2020; 3 March 2022</w:t>
      </w:r>
      <w:r w:rsidRPr="00C13DCD">
        <w:rPr>
          <w:rFonts w:ascii="Times New Roman" w:hAnsi="Times New Roman"/>
          <w:noProof/>
          <w:sz w:val="24"/>
          <w:lang w:val="en-US"/>
        </w:rPr>
        <w:t>]</w:t>
      </w:r>
    </w:p>
    <w:p w14:paraId="69196F39"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26" w:name="p8_1"/>
      <w:bookmarkStart w:id="27" w:name="p-1053784"/>
      <w:bookmarkEnd w:id="26"/>
      <w:bookmarkEnd w:id="27"/>
    </w:p>
    <w:p w14:paraId="0FCCBD3E" w14:textId="77777777" w:rsidR="00C13DCD" w:rsidRPr="00C13DCD" w:rsidRDefault="00C13DCD" w:rsidP="00C13DCD">
      <w:pPr>
        <w:keepNext/>
        <w:keepLines/>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lastRenderedPageBreak/>
        <w:t>Section 8.</w:t>
      </w:r>
      <w:r w:rsidRPr="00C13DCD">
        <w:rPr>
          <w:rFonts w:ascii="Times New Roman" w:hAnsi="Times New Roman"/>
          <w:b/>
          <w:noProof/>
          <w:sz w:val="24"/>
          <w:vertAlign w:val="superscript"/>
          <w:lang w:val="en-US"/>
        </w:rPr>
        <w:t xml:space="preserve">1 </w:t>
      </w:r>
      <w:r w:rsidRPr="00C13DCD">
        <w:rPr>
          <w:rFonts w:ascii="Times New Roman" w:hAnsi="Times New Roman"/>
          <w:b/>
          <w:noProof/>
          <w:sz w:val="24"/>
          <w:lang w:val="en-US"/>
        </w:rPr>
        <w:t>Application of Tax Rebates to Large Investment Projects</w:t>
      </w:r>
    </w:p>
    <w:p w14:paraId="3C84BDB4" w14:textId="77777777" w:rsidR="00C13DCD" w:rsidRPr="00C13DCD" w:rsidRDefault="00C13DCD" w:rsidP="00C13DCD">
      <w:pPr>
        <w:keepNext/>
        <w:keepLines/>
        <w:spacing w:after="0" w:line="240" w:lineRule="auto"/>
        <w:jc w:val="both"/>
        <w:rPr>
          <w:rFonts w:ascii="Times New Roman" w:eastAsia="Times New Roman" w:hAnsi="Times New Roman" w:cs="Times New Roman"/>
          <w:noProof/>
          <w:sz w:val="24"/>
          <w:szCs w:val="24"/>
          <w:lang w:val="en-US" w:eastAsia="lv-LV"/>
        </w:rPr>
      </w:pPr>
    </w:p>
    <w:p w14:paraId="4B6E757C" w14:textId="77777777" w:rsidR="00C13DCD" w:rsidRPr="00C13DCD" w:rsidRDefault="00C13DCD" w:rsidP="00C13DCD">
      <w:pPr>
        <w:keepNext/>
        <w:keepLines/>
        <w:spacing w:after="0" w:line="240" w:lineRule="auto"/>
        <w:jc w:val="both"/>
        <w:rPr>
          <w:rFonts w:ascii="Times New Roman" w:hAnsi="Times New Roman"/>
          <w:noProof/>
          <w:sz w:val="24"/>
          <w:lang w:val="en-US"/>
        </w:rPr>
      </w:pPr>
      <w:r w:rsidRPr="00C13DCD">
        <w:rPr>
          <w:rFonts w:ascii="Times New Roman" w:hAnsi="Times New Roman"/>
          <w:noProof/>
          <w:sz w:val="24"/>
          <w:lang w:val="en-US"/>
        </w:rPr>
        <w:t>(1) For the application of this Law, a project of a zone capital company or licensed capital company the amount of eligible costs of which exceeds EUR 50 million shall be considered a large investment project. The maximum permissible percentage laid down in Section 8, Paragraph one of this Law shall not be applied to a large investment project.</w:t>
      </w:r>
    </w:p>
    <w:p w14:paraId="679E00B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When determining the amount of the planned project and the permissible percentage for the application of tax reliefs, all initial investments of a capital company initiated by the capital company (at group level) within three years from the day when works on the new initial investment were started which were made in the same Level III region of the Nomenclature of Territorial Units for Statistics (NUTS) (single investment project), and for the making of which the capital company has received or is planning to receive aid, shall be taken into account. The actual initial investments and investments intended for the relevant projects, but which have not been made yet, shall be taken into account, when determining the amount of all initial investments.</w:t>
      </w:r>
    </w:p>
    <w:p w14:paraId="338F6C0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For large investment projects, regardless of whether investments are made by a small, medium-sized or large capital company, a zone authority or a free port authority shall determine the permissible percentage which may be reached by the sum of the direct tax reliefs accumulated by a zone capital company or a licensed capital company during a taxation period in relation to the accumulated sum of eligible costs of the zone capital company or licensed capital company in the contract for the making of investments or in the contract for the settlement of estimated wage costs by conforming with the following conditions:</w:t>
      </w:r>
    </w:p>
    <w:p w14:paraId="20308E8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30 per cent of the accumulated sum of eligible costs is applied to a project in the amount of up to EUR 50 million;</w:t>
      </w:r>
    </w:p>
    <w:p w14:paraId="01D7C0A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15 per cent of the accumulated sum of eligible costs is applied to the part of the project in the amount from EUR 50 to 100 million;</w:t>
      </w:r>
    </w:p>
    <w:p w14:paraId="4D06C60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0 per cent of the accumulated sum of eligible costs are applied to the part of the project which exceeds EUR 100 million.</w:t>
      </w:r>
    </w:p>
    <w:p w14:paraId="17E88C1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The maximum sum of the direct tax rebates applicable to large investment projects shall not exceed EUR 22.5 million.</w:t>
      </w:r>
    </w:p>
    <w:p w14:paraId="4F53DF2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For a large investment project, the estimated eligible costs of which exceed EUR 100 million and the sum of the direct tax reliefs exceeds EUR 22.5 million, a zone authority or a free port authority may determine the maximum applicable amount of direct tax reliefs which exceeds EUR 22.5 million in the contract for the making of investments or for the settlement of estimated wage costs if:</w:t>
      </w:r>
    </w:p>
    <w:p w14:paraId="5FA55C05"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Cabinet has taken the decision to support a large investment project and on the maximum applicable sum of direct tax reliefs which exceeds EUR 22.5 million;</w:t>
      </w:r>
    </w:p>
    <w:p w14:paraId="65C81F2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the decision of the European Commission on the compatibility of aid with the common market has been received.</w:t>
      </w:r>
    </w:p>
    <w:p w14:paraId="495F23B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In case of exceeding the sum of direct tax rebates specified in Paragraph five of this Section, the Ministry of Transport shall submit the necessary information to the Cabinet. After receipt of the Cabinet decision, the Ministry of Transport shall submit a State aid notification to the European Commission in accordance with the procedures laid down in the laws and regulations regarding control of aid to commercial activities.</w:t>
      </w:r>
    </w:p>
    <w:p w14:paraId="61EAA89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14 May 2020; 3 March 2022</w:t>
      </w:r>
      <w:r w:rsidRPr="00C13DCD">
        <w:rPr>
          <w:rFonts w:ascii="Times New Roman" w:hAnsi="Times New Roman"/>
          <w:noProof/>
          <w:sz w:val="24"/>
          <w:lang w:val="en-US"/>
        </w:rPr>
        <w:t>]</w:t>
      </w:r>
    </w:p>
    <w:p w14:paraId="02531CD3"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28" w:name="p8_2"/>
      <w:bookmarkStart w:id="29" w:name="p-735890"/>
      <w:bookmarkEnd w:id="28"/>
      <w:bookmarkEnd w:id="29"/>
    </w:p>
    <w:p w14:paraId="49858E5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t>Section 8.</w:t>
      </w:r>
      <w:r w:rsidRPr="00C13DCD">
        <w:rPr>
          <w:rFonts w:ascii="Times New Roman" w:hAnsi="Times New Roman"/>
          <w:b/>
          <w:noProof/>
          <w:sz w:val="24"/>
          <w:vertAlign w:val="superscript"/>
          <w:lang w:val="en-US"/>
        </w:rPr>
        <w:t xml:space="preserve">2 </w:t>
      </w:r>
      <w:r w:rsidRPr="00C13DCD">
        <w:rPr>
          <w:rFonts w:ascii="Times New Roman" w:hAnsi="Times New Roman"/>
          <w:b/>
          <w:noProof/>
          <w:sz w:val="24"/>
          <w:lang w:val="en-US"/>
        </w:rPr>
        <w:t>Cumulation of Tax Reliefs with Other Aid to Initial Investments</w:t>
      </w:r>
    </w:p>
    <w:p w14:paraId="23B16DB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8CB612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 xml:space="preserve">(1) If a zone capital company or licensed capital company receives or is planning to receive another aid for making initial investments for the same costs in addition to the aid laid down in this Law, then the maximum permissible percentage specified in Section 8, Paragraph one of this Law shall not be applied, but in the contract for the making of investments the zone </w:t>
      </w:r>
      <w:r w:rsidRPr="00C13DCD">
        <w:rPr>
          <w:rFonts w:ascii="Times New Roman" w:hAnsi="Times New Roman"/>
          <w:noProof/>
          <w:sz w:val="24"/>
          <w:lang w:val="en-US"/>
        </w:rPr>
        <w:lastRenderedPageBreak/>
        <w:t>authority or free port authority shall determine the maximum permissible percentage for the investments specified in the contract for the making of investments.</w:t>
      </w:r>
    </w:p>
    <w:p w14:paraId="5D5B9E5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 Upon determining the maximum permissible percentage, it must be ensured that, as a result of cumulating aids, the percentage applicable to the respective capital company does not exceed the permissible percentage laid down in Section 8, Paragraph one and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three of this Law for the application of tax reliefs.</w:t>
      </w:r>
    </w:p>
    <w:p w14:paraId="1ED642C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[14 May 2020]</w:t>
      </w:r>
    </w:p>
    <w:p w14:paraId="1CCC979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If aid for estimated wage costs is applied to a zone capital company, this aid may not be combined with regional aid within the scope of the same or other regional aid projects or programmes, including in respect of aid for wage costs or initial investment costs, and also with other aid for the settlement of wage costs within the scope of other aid projects or programmes.</w:t>
      </w:r>
    </w:p>
    <w:p w14:paraId="6FE0911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 14 May 2020</w:t>
      </w:r>
      <w:r w:rsidRPr="00C13DCD">
        <w:rPr>
          <w:rFonts w:ascii="Times New Roman" w:hAnsi="Times New Roman"/>
          <w:noProof/>
          <w:sz w:val="24"/>
          <w:lang w:val="en-US"/>
        </w:rPr>
        <w:t>]</w:t>
      </w:r>
    </w:p>
    <w:p w14:paraId="152BD8C9"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30" w:name="p9"/>
      <w:bookmarkStart w:id="31" w:name="p-735891"/>
      <w:bookmarkEnd w:id="30"/>
      <w:bookmarkEnd w:id="31"/>
    </w:p>
    <w:p w14:paraId="4E284300"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9. Conditions for the Application of Direct Tax Reliefs</w:t>
      </w:r>
    </w:p>
    <w:p w14:paraId="799F48B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EB6708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A zone capital company or a licensed capital company shall acquire the right to receive the direct tax reliefs as of the taxation period in which the permit to apply the direct tax reliefs has been issued and the contract for the making of investments or for the settlement of estimated wage costs has been concluded.</w:t>
      </w:r>
    </w:p>
    <w:p w14:paraId="680793E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right to receive the direct tax reliefs shall expire as of the taxation period in which the permit to apply the direct tax reliefs has lost its validity.</w:t>
      </w:r>
    </w:p>
    <w:p w14:paraId="05C0F86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The taxation period of the enterprise income tax and immovable property tax for a zone capital company or licensed capital company and a zone authority or free port authority is the calendar year. The first taxation period may be shorter than a calendar year, but may not exceed 12 months.</w:t>
      </w:r>
    </w:p>
    <w:p w14:paraId="570757B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 3 July 2014; 14 May 2020</w:t>
      </w:r>
      <w:r w:rsidRPr="00C13DCD">
        <w:rPr>
          <w:rFonts w:ascii="Times New Roman" w:hAnsi="Times New Roman"/>
          <w:noProof/>
          <w:sz w:val="24"/>
          <w:lang w:val="en-US"/>
        </w:rPr>
        <w:t>]</w:t>
      </w:r>
    </w:p>
    <w:p w14:paraId="4FBC294C"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32" w:name="p10"/>
      <w:bookmarkStart w:id="33" w:name="p-735892"/>
      <w:bookmarkEnd w:id="32"/>
      <w:bookmarkEnd w:id="33"/>
    </w:p>
    <w:p w14:paraId="00891617"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10. Procedures for the Application of the Enterprise Tax Rebate</w:t>
      </w:r>
    </w:p>
    <w:p w14:paraId="26211CC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[14 May 2020]</w:t>
      </w:r>
    </w:p>
    <w:p w14:paraId="5F5A4035"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34" w:name="p11"/>
      <w:bookmarkStart w:id="35" w:name="p-735893"/>
      <w:bookmarkEnd w:id="34"/>
      <w:bookmarkEnd w:id="35"/>
    </w:p>
    <w:p w14:paraId="245E19E5"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11. Application of the Enterprise Income Tax Rebate</w:t>
      </w:r>
    </w:p>
    <w:p w14:paraId="49141FE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[14 May 2020]</w:t>
      </w:r>
    </w:p>
    <w:p w14:paraId="24181C10"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36" w:name="p12"/>
      <w:bookmarkStart w:id="37" w:name="p-735894"/>
      <w:bookmarkEnd w:id="36"/>
      <w:bookmarkEnd w:id="37"/>
    </w:p>
    <w:p w14:paraId="4BF9480F"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12. Provision of Information Regarding the Application of the Direct Tax Rebates</w:t>
      </w:r>
    </w:p>
    <w:p w14:paraId="354E54C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916E3EF"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The following information shall be submitted to the State Revenue Service:</w:t>
      </w:r>
    </w:p>
    <w:p w14:paraId="1E32FD8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by a zone capital company or a licensed capital company which receives the direct tax rebates concurrently with the annual statement of the company within the time period laid down in the Law on the Annual Financial Statements and Consolidated Financial Statements:</w:t>
      </w:r>
    </w:p>
    <w:p w14:paraId="2535C6C4"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a report on the application of the enterprise income tax rebate within the taxation period;</w:t>
      </w:r>
    </w:p>
    <w:p w14:paraId="1B171E0E"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information on other aid received for the making of initial investments, including de minimis aid granted for making initial investments for the same eligible costs, and a report on the accumulated sum of the direct tax rebates and accumulated sum of eligible costs;</w:t>
      </w:r>
    </w:p>
    <w:p w14:paraId="60E8B22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by a local government by 1 May of the post-taxation year – a report on the application of the immovable property tax rebates in the taxation period.</w:t>
      </w:r>
    </w:p>
    <w:p w14:paraId="5A08B0A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submission of the reports and information referred to in Paragraph one of this Section, sample forms and the procedures for their filling in shall be determined by the Cabinet.</w:t>
      </w:r>
    </w:p>
    <w:p w14:paraId="1A6CFE7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The State Revenue Service shall submit the information laid down in Article 9(1)(c) and 9(2) of Commission Regulation No 651/2014 to the zone authority and free port authority by 1 October of the post-taxation year.</w:t>
      </w:r>
    </w:p>
    <w:p w14:paraId="626BA76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(4) A zone authority or a free port authority shall, by 1 March of the post-taxation year, submit to the State Revenue Service, the local government, the Ministry of Transport, the Ministry of Environmental Protection and Regional Development and the Ministry of Finance information regarding the zone capital companies or licensed capital companies:</w:t>
      </w:r>
    </w:p>
    <w:p w14:paraId="5701D16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to which the permit to apply the direct tax reliefs has been issued within the taxation period;</w:t>
      </w:r>
    </w:p>
    <w:p w14:paraId="7BCBB5C8"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 with which a new contract for making investments has been concluded in the taxation period by indicating the total sum of investments, the investment periods, the maximum applicable amount of the direct tax rebates, the aid percentage applicable to investments which is determined by having regard to the conditions of Section 8, Paragraph one,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or Section 8.</w:t>
      </w:r>
      <w:r w:rsidRPr="00C13DCD">
        <w:rPr>
          <w:rFonts w:ascii="Times New Roman" w:hAnsi="Times New Roman"/>
          <w:noProof/>
          <w:sz w:val="24"/>
          <w:vertAlign w:val="superscript"/>
          <w:lang w:val="en-US"/>
        </w:rPr>
        <w:t>2</w:t>
      </w:r>
      <w:r w:rsidRPr="00C13DCD">
        <w:rPr>
          <w:rFonts w:ascii="Times New Roman" w:hAnsi="Times New Roman"/>
          <w:noProof/>
          <w:sz w:val="24"/>
          <w:lang w:val="en-US"/>
        </w:rPr>
        <w:t>, Paragraphs one and two of this Law;</w:t>
      </w:r>
    </w:p>
    <w:p w14:paraId="5109B789" w14:textId="77777777" w:rsidR="00C13DCD" w:rsidRPr="00C13DCD" w:rsidRDefault="00C13DCD" w:rsidP="00C13DCD">
      <w:pPr>
        <w:spacing w:after="0" w:line="240" w:lineRule="auto"/>
        <w:ind w:firstLine="709"/>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with which a new contract for the settlement of estimated wage costs has been concluded in the taxation period by indicating the total sum of estimated wage costs, start and end dates, the maximum applicable amount of the direct tax rebates, and the applicable aid percentage which is determined by having regard to the conditions of Section 8, Paragraphs one and two, Section 8.</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Section 8.</w:t>
      </w:r>
      <w:r w:rsidRPr="00C13DCD">
        <w:rPr>
          <w:rFonts w:ascii="Times New Roman" w:hAnsi="Times New Roman"/>
          <w:noProof/>
          <w:sz w:val="24"/>
          <w:vertAlign w:val="superscript"/>
          <w:lang w:val="en-US"/>
        </w:rPr>
        <w:t>2</w:t>
      </w:r>
      <w:r w:rsidRPr="00C13DCD">
        <w:rPr>
          <w:rFonts w:ascii="Times New Roman" w:hAnsi="Times New Roman"/>
          <w:noProof/>
          <w:sz w:val="24"/>
          <w:lang w:val="en-US"/>
        </w:rPr>
        <w:t>, Paragraph four of this Law;</w:t>
      </w:r>
    </w:p>
    <w:p w14:paraId="7CD2E29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whom the issued permit to apply the direct tax relief has lost its validity within the taxation period;</w:t>
      </w:r>
    </w:p>
    <w:p w14:paraId="414C13F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which discontinue commercial activity or whose activity has been terminated in accordance with the Commercial Law.</w:t>
      </w:r>
    </w:p>
    <w:p w14:paraId="1EA806C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A zone authority or a free port authority shall, upon a request of the State Revenue Service, local government, the Ministry of Transport or the Ministry of Finance, submit to it a copy of the contract for the making of investments or for the settlement of estimated wage costs concluded between it and a zone capital company or a licensed capital company and the annex to the contract – the planned investment schedule.</w:t>
      </w:r>
    </w:p>
    <w:p w14:paraId="2F183A9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A zone capital company or a licensed capital company shall, by 1 March of the post-taxation year, inform the zone authority or free port authority on the year when it received the direct tax rebates in accordance with the conditions of this Law for the last time.</w:t>
      </w:r>
    </w:p>
    <w:p w14:paraId="4F8D4F5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 16 June 2016; 14 May 2020</w:t>
      </w:r>
      <w:r w:rsidRPr="00C13DCD">
        <w:rPr>
          <w:rFonts w:ascii="Times New Roman" w:hAnsi="Times New Roman"/>
          <w:noProof/>
          <w:sz w:val="24"/>
          <w:lang w:val="en-US"/>
        </w:rPr>
        <w:t>]</w:t>
      </w:r>
    </w:p>
    <w:p w14:paraId="7B2A4A58"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38" w:name="p12_1"/>
      <w:bookmarkStart w:id="39" w:name="p-735895"/>
      <w:bookmarkEnd w:id="38"/>
      <w:bookmarkEnd w:id="39"/>
    </w:p>
    <w:p w14:paraId="20730E9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t>Section 12.</w:t>
      </w:r>
      <w:r w:rsidRPr="00C13DCD">
        <w:rPr>
          <w:rFonts w:ascii="Times New Roman" w:hAnsi="Times New Roman"/>
          <w:b/>
          <w:noProof/>
          <w:sz w:val="24"/>
          <w:vertAlign w:val="superscript"/>
          <w:lang w:val="en-US"/>
        </w:rPr>
        <w:t xml:space="preserve">1 </w:t>
      </w:r>
      <w:r w:rsidRPr="00C13DCD">
        <w:rPr>
          <w:rFonts w:ascii="Times New Roman" w:hAnsi="Times New Roman"/>
          <w:b/>
          <w:noProof/>
          <w:sz w:val="24"/>
          <w:lang w:val="en-US"/>
        </w:rPr>
        <w:t>Storage of Information Regarding the Application of the Direct Tax Rebates</w:t>
      </w:r>
    </w:p>
    <w:p w14:paraId="7902F9F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23B528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A zone capital company or a licensed capital company which receives the direct tax rebates within the scope of this Law shall store data on the investments, wage costs made and the direct tax rebates received for 10 years from the year when the direct tax rebates were received by the zone capital company or licensed capital company in accordance with the conditions of this Law for the last time.</w:t>
      </w:r>
    </w:p>
    <w:p w14:paraId="38DA56C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State Revenue Service and the local government shall store reports on the application of the direct tax rebates in the taxation period which have been received in accordance with Section 12, Paragraph one of this Law for 10 years from the year when the direct tax rebates were received by a zone capital company or a licensed capital company in accordance with the conditions of this Law for the last time.</w:t>
      </w:r>
    </w:p>
    <w:p w14:paraId="2B3F86D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A zone authority or a free port authority shall store the contracts for the making of investments and for the settlement of estimated wage costs concluded with a commercial company for 10 years from the year when the direct tax rebates were received by a zone capital company or a licensed capital company in accordance with the conditions of this Law for the last time.</w:t>
      </w:r>
    </w:p>
    <w:p w14:paraId="3F254E6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14 May 2020</w:t>
      </w:r>
      <w:r w:rsidRPr="00C13DCD">
        <w:rPr>
          <w:rFonts w:ascii="Times New Roman" w:hAnsi="Times New Roman"/>
          <w:noProof/>
          <w:sz w:val="24"/>
          <w:lang w:val="en-US"/>
        </w:rPr>
        <w:t>]</w:t>
      </w:r>
    </w:p>
    <w:p w14:paraId="153CE2BE"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40" w:name="p12_2"/>
      <w:bookmarkStart w:id="41" w:name="p-595500"/>
      <w:bookmarkEnd w:id="40"/>
      <w:bookmarkEnd w:id="41"/>
    </w:p>
    <w:p w14:paraId="5BD33E08" w14:textId="77777777" w:rsidR="00C13DCD" w:rsidRPr="00C13DCD" w:rsidRDefault="00C13DCD" w:rsidP="00C13DCD">
      <w:pPr>
        <w:keepNext/>
        <w:keepLines/>
        <w:spacing w:after="0" w:line="240" w:lineRule="auto"/>
        <w:ind w:left="1418" w:hanging="1418"/>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lastRenderedPageBreak/>
        <w:t>Section 12.</w:t>
      </w:r>
      <w:r w:rsidRPr="00C13DCD">
        <w:rPr>
          <w:rFonts w:ascii="Times New Roman" w:hAnsi="Times New Roman"/>
          <w:b/>
          <w:noProof/>
          <w:sz w:val="24"/>
          <w:vertAlign w:val="superscript"/>
          <w:lang w:val="en-US"/>
        </w:rPr>
        <w:t xml:space="preserve">2 </w:t>
      </w:r>
      <w:r w:rsidRPr="00C13DCD">
        <w:rPr>
          <w:rFonts w:ascii="Times New Roman" w:hAnsi="Times New Roman"/>
          <w:b/>
          <w:noProof/>
          <w:sz w:val="24"/>
          <w:lang w:val="en-US"/>
        </w:rPr>
        <w:t>Publishing Information on Aid for Commercial Activity by Applying the Direct Tax Reliefs</w:t>
      </w:r>
    </w:p>
    <w:p w14:paraId="51FF9CC9" w14:textId="77777777" w:rsidR="00C13DCD" w:rsidRPr="00C13DCD" w:rsidRDefault="00C13DCD" w:rsidP="00C13DCD">
      <w:pPr>
        <w:keepNext/>
        <w:keepLines/>
        <w:spacing w:after="0" w:line="240" w:lineRule="auto"/>
        <w:jc w:val="both"/>
        <w:rPr>
          <w:rFonts w:ascii="Times New Roman" w:eastAsia="Times New Roman" w:hAnsi="Times New Roman" w:cs="Times New Roman"/>
          <w:noProof/>
          <w:sz w:val="24"/>
          <w:szCs w:val="24"/>
          <w:lang w:val="en-US" w:eastAsia="lv-LV"/>
        </w:rPr>
      </w:pPr>
    </w:p>
    <w:p w14:paraId="562EA9BA" w14:textId="77777777" w:rsidR="00C13DCD" w:rsidRPr="00C13DCD" w:rsidRDefault="00C13DCD" w:rsidP="00C13DCD">
      <w:pPr>
        <w:keepNext/>
        <w:keepLines/>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Publication of information on aid for commercial activity provided within the framework of this Law by applying the direct tax reliefs shall be ensured by the respective zone authority or free port authority in conformity with Article 9(1), (2) and (4) of Commission Regulation No 651/2014. Information shall be published in conformity with the requirements laid down in Annexes II and III to Commission Regulation No 651/2014.</w:t>
      </w:r>
    </w:p>
    <w:p w14:paraId="5732353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16 June 2016</w:t>
      </w:r>
      <w:r w:rsidRPr="00C13DCD">
        <w:rPr>
          <w:rFonts w:ascii="Times New Roman" w:hAnsi="Times New Roman"/>
          <w:noProof/>
          <w:sz w:val="24"/>
          <w:lang w:val="en-US"/>
        </w:rPr>
        <w:t>]</w:t>
      </w:r>
    </w:p>
    <w:p w14:paraId="3C2F4C80"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42" w:name="p12_3"/>
      <w:bookmarkStart w:id="43" w:name="p-520808"/>
      <w:bookmarkEnd w:id="42"/>
      <w:bookmarkEnd w:id="43"/>
    </w:p>
    <w:p w14:paraId="7D96B11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b/>
          <w:noProof/>
          <w:sz w:val="24"/>
          <w:lang w:val="en-US"/>
        </w:rPr>
        <w:t>Section 12.</w:t>
      </w:r>
      <w:r w:rsidRPr="00C13DCD">
        <w:rPr>
          <w:rFonts w:ascii="Times New Roman" w:hAnsi="Times New Roman"/>
          <w:b/>
          <w:noProof/>
          <w:sz w:val="24"/>
          <w:vertAlign w:val="superscript"/>
          <w:lang w:val="en-US"/>
        </w:rPr>
        <w:t xml:space="preserve">3 </w:t>
      </w:r>
      <w:r w:rsidRPr="00C13DCD">
        <w:rPr>
          <w:rFonts w:ascii="Times New Roman" w:hAnsi="Times New Roman"/>
          <w:b/>
          <w:noProof/>
          <w:sz w:val="24"/>
          <w:lang w:val="en-US"/>
        </w:rPr>
        <w:t>Control of the Sum of the Tax Reliefs Applied</w:t>
      </w:r>
    </w:p>
    <w:p w14:paraId="1914194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31B219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In order to ensure the enforcement of the restriction laid down in Article 1(2)(a) of Commission Regulation No 651/2014, the State Revenue Service shall, by 1 October of the post-taxation year, inform the Ministry of Transport whether the total sum of the direct tax rebates applied in the taxation period in accordance with this Law exceeds the restrictions for the annual State aid expenditures laid down in Article 1(2)(a) of Commission Regulation No 651/2014.</w:t>
      </w:r>
    </w:p>
    <w:p w14:paraId="32E4ABC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In case of exceeding the restriction for the annual State aid expenditures laid down in Article 1(2)(a) of Commission Regulation No 651/2014, the Ministry of Transport shall, within 20 working days after receipt of information from the State Revenue Service, submit an evaluation plan to the European Commission.</w:t>
      </w:r>
    </w:p>
    <w:p w14:paraId="099E7F7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w:t>
      </w:r>
      <w:r w:rsidRPr="00C13DCD">
        <w:rPr>
          <w:rFonts w:ascii="Times New Roman" w:hAnsi="Times New Roman"/>
          <w:noProof/>
          <w:sz w:val="24"/>
          <w:lang w:val="en-US"/>
        </w:rPr>
        <w:t>]</w:t>
      </w:r>
    </w:p>
    <w:p w14:paraId="208C6BA5" w14:textId="77777777" w:rsidR="00C13DCD" w:rsidRPr="00C13DCD" w:rsidRDefault="00C13DCD" w:rsidP="00C13DCD">
      <w:pPr>
        <w:spacing w:after="0" w:line="240" w:lineRule="auto"/>
        <w:jc w:val="both"/>
        <w:rPr>
          <w:rFonts w:ascii="Times New Roman" w:eastAsia="Times New Roman" w:hAnsi="Times New Roman" w:cs="Times New Roman"/>
          <w:b/>
          <w:bCs/>
          <w:noProof/>
          <w:sz w:val="24"/>
          <w:szCs w:val="24"/>
          <w:lang w:val="en-US"/>
        </w:rPr>
      </w:pPr>
      <w:bookmarkStart w:id="44" w:name="p13"/>
      <w:bookmarkStart w:id="45" w:name="p-520827"/>
      <w:bookmarkEnd w:id="44"/>
      <w:bookmarkEnd w:id="45"/>
    </w:p>
    <w:p w14:paraId="460A5F0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b/>
          <w:noProof/>
          <w:sz w:val="24"/>
          <w:lang w:val="en-US"/>
        </w:rPr>
        <w:t xml:space="preserve">Section 13. </w:t>
      </w:r>
      <w:r w:rsidRPr="00C13DCD">
        <w:rPr>
          <w:rFonts w:ascii="Times New Roman" w:hAnsi="Times New Roman"/>
          <w:noProof/>
          <w:sz w:val="24"/>
          <w:lang w:val="en-US"/>
        </w:rPr>
        <w:t>[1 September 2014; 3 July 2014 / See Paragraph 17 of Transitional Provisions]</w:t>
      </w:r>
    </w:p>
    <w:p w14:paraId="16EB5679" w14:textId="77777777" w:rsidR="00C13DCD" w:rsidRPr="00C13DCD" w:rsidRDefault="00C13DCD" w:rsidP="00C13DCD">
      <w:pPr>
        <w:spacing w:after="0" w:line="240" w:lineRule="auto"/>
        <w:jc w:val="both"/>
        <w:rPr>
          <w:rFonts w:ascii="Times New Roman" w:hAnsi="Times New Roman"/>
          <w:noProof/>
          <w:sz w:val="24"/>
          <w:lang w:val="en-US"/>
        </w:rPr>
      </w:pPr>
      <w:bookmarkStart w:id="46" w:name="p14"/>
      <w:bookmarkStart w:id="47" w:name="p-1053785"/>
      <w:bookmarkEnd w:id="46"/>
      <w:bookmarkEnd w:id="47"/>
    </w:p>
    <w:p w14:paraId="5D6120C5" w14:textId="77777777" w:rsidR="00C13DCD" w:rsidRPr="00C13DCD" w:rsidRDefault="00C13DCD" w:rsidP="00C13DCD">
      <w:pPr>
        <w:spacing w:after="0" w:line="240" w:lineRule="auto"/>
        <w:jc w:val="both"/>
        <w:rPr>
          <w:rFonts w:ascii="Times New Roman" w:hAnsi="Times New Roman"/>
          <w:b/>
          <w:noProof/>
          <w:sz w:val="24"/>
          <w:lang w:val="en-US"/>
        </w:rPr>
      </w:pPr>
      <w:r w:rsidRPr="00C13DCD">
        <w:rPr>
          <w:rFonts w:ascii="Times New Roman" w:hAnsi="Times New Roman"/>
          <w:b/>
          <w:noProof/>
          <w:sz w:val="24"/>
          <w:lang w:val="en-US"/>
        </w:rPr>
        <w:t>Section 14. Legal Basis for Providing Aid</w:t>
      </w:r>
    </w:p>
    <w:p w14:paraId="723303F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A2C629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Within the framework of this Law, aid shall be provided in accordance with Chapter III, Section 1 “Regional Aid” of Commission Regulation (EU) No 651/2014 (published in the Official Journal of the European Union L 187/1, 26.6.2014), as amended by Commission Regulation (EU) No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(published in the Official Journal of the European Union L 156/1, 20.6.2017), as amended by Commission Regulation (EU) 2020/972 of 2 July 2020 amending Regulation (EU) No 1407/2013 as regards its prolongation and amending Regulation (EU) No 651/2014 as regards its prolongation and relevant adjustments (published in the Official Journal of the European Union L 215/3, 7.7.2020), and as amended by Commission Regulation (EU) 2021/1237 of 23 July 2021 amending Regulation (EU) No 651/2014 declaring certain categories of aid compatible with the internal market in application of Articles 107 and 108 of the Treaty (published in the Official Journal of European Union L 270/39, 29.7.2021).</w:t>
      </w:r>
    </w:p>
    <w:p w14:paraId="03CE18F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3 March 2022</w:t>
      </w:r>
      <w:r w:rsidRPr="00C13DCD">
        <w:rPr>
          <w:rFonts w:ascii="Times New Roman" w:hAnsi="Times New Roman"/>
          <w:noProof/>
          <w:sz w:val="24"/>
          <w:lang w:val="en-US"/>
        </w:rPr>
        <w:t>]</w:t>
      </w:r>
    </w:p>
    <w:p w14:paraId="149F74E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48" w:name="19456"/>
      <w:bookmarkEnd w:id="48"/>
    </w:p>
    <w:p w14:paraId="44536601"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Transitional Provisions</w:t>
      </w:r>
      <w:bookmarkStart w:id="49" w:name="pn-19456"/>
      <w:bookmarkEnd w:id="49"/>
    </w:p>
    <w:p w14:paraId="4E7D09C8"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50" w:name="p-60157"/>
      <w:bookmarkStart w:id="51" w:name="pn1"/>
      <w:bookmarkEnd w:id="50"/>
      <w:bookmarkEnd w:id="51"/>
    </w:p>
    <w:p w14:paraId="2DED1A3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 xml:space="preserve">1. Until 30 April 2004, construction services provided to a zone capital company or a licensed capital company, a free port authority or a zone authority by a person taxable with the value added tax in the free zone shall be taxable with the zero per cent rate of the value added. The zero per cent rate of the value added tax shall, until 30 April 2004, also be applied to those </w:t>
      </w:r>
      <w:r w:rsidRPr="00C13DCD">
        <w:rPr>
          <w:rFonts w:ascii="Times New Roman" w:hAnsi="Times New Roman"/>
          <w:noProof/>
          <w:sz w:val="24"/>
          <w:lang w:val="en-US"/>
        </w:rPr>
        <w:lastRenderedPageBreak/>
        <w:t>construction services which are provided by taxable persons to a free port authority or a zone authority outside the territory of free zones.</w:t>
      </w:r>
    </w:p>
    <w:p w14:paraId="7C12B02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22 May 2003; 19 December 2006</w:t>
      </w:r>
      <w:r w:rsidRPr="00C13DCD">
        <w:rPr>
          <w:rFonts w:ascii="Times New Roman" w:hAnsi="Times New Roman"/>
          <w:noProof/>
          <w:sz w:val="24"/>
          <w:lang w:val="en-US"/>
        </w:rPr>
        <w:t>]</w:t>
      </w:r>
    </w:p>
    <w:p w14:paraId="73FCA6A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52" w:name="p-60158"/>
      <w:bookmarkStart w:id="53" w:name="pn2"/>
      <w:bookmarkEnd w:id="52"/>
      <w:bookmarkEnd w:id="53"/>
    </w:p>
    <w:p w14:paraId="3E92307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Permits to apply the direct tax reliefs that are issued to zone capital companies until 31 December 2001 shall be considered to be in effect.</w:t>
      </w:r>
    </w:p>
    <w:p w14:paraId="0959BF9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w:t>
      </w:r>
      <w:r w:rsidRPr="00C13DCD">
        <w:rPr>
          <w:rFonts w:ascii="Times New Roman" w:hAnsi="Times New Roman"/>
          <w:noProof/>
          <w:sz w:val="24"/>
          <w:lang w:val="en-US"/>
        </w:rPr>
        <w:t>]</w:t>
      </w:r>
    </w:p>
    <w:p w14:paraId="5318ABF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54" w:name="p-60159"/>
      <w:bookmarkStart w:id="55" w:name="pn3"/>
      <w:bookmarkEnd w:id="54"/>
      <w:bookmarkEnd w:id="55"/>
    </w:p>
    <w:p w14:paraId="748A434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As of 1 January 2003, the restrictions on the application of the direct tax rebates specified in this Law shall be applicable to zone capital companies which have acquired the status of a zone capital company until 31 December 2001 and to which the permit to apply the direct tax reliefs has been issued until 31 December 2001, and to capital companies licensed by the Free Port of Riga.</w:t>
      </w:r>
    </w:p>
    <w:p w14:paraId="7744C4A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w:t>
      </w:r>
      <w:r w:rsidRPr="00C13DCD">
        <w:rPr>
          <w:rFonts w:ascii="Times New Roman" w:hAnsi="Times New Roman"/>
          <w:noProof/>
          <w:sz w:val="24"/>
          <w:lang w:val="en-US"/>
        </w:rPr>
        <w:t>]</w:t>
      </w:r>
    </w:p>
    <w:p w14:paraId="24381E7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56" w:name="p-60160"/>
      <w:bookmarkStart w:id="57" w:name="pn4"/>
      <w:bookmarkEnd w:id="56"/>
      <w:bookmarkEnd w:id="57"/>
    </w:p>
    <w:p w14:paraId="17F4B9AF"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Section 6 of this Law shall not apply to the licensed capital companies to which the licence has been issued by the Free Port of Ventspils Authority until the day of coming into force of this Law.</w:t>
      </w:r>
    </w:p>
    <w:p w14:paraId="22841FE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w:t>
      </w:r>
      <w:r w:rsidRPr="00C13DCD">
        <w:rPr>
          <w:rFonts w:ascii="Times New Roman" w:hAnsi="Times New Roman"/>
          <w:noProof/>
          <w:sz w:val="24"/>
          <w:lang w:val="en-US"/>
        </w:rPr>
        <w:t>]</w:t>
      </w:r>
    </w:p>
    <w:p w14:paraId="41C7C22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58" w:name="p-60161"/>
      <w:bookmarkStart w:id="59" w:name="pn5"/>
      <w:bookmarkEnd w:id="58"/>
      <w:bookmarkEnd w:id="59"/>
    </w:p>
    <w:p w14:paraId="276FE34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Capital companies of the Liepāja Special Economic Zone and the Rēzekne Special Economic Zone which, until the day of coming into force of this Law, have calculated the depreciation of fixed assets used for economic activities for the purposes of calculating the enterprise income tax on the basis of rates which differ from those specified in the law On Enterprise Income Tax in relation to fixed assets which have been acquired until the day of coming into force of this Law shall continue to apply the previously applied fixed asset depreciation rates until the final writing off of the relevant fixed asset or fixed asset category depreciation. The writing off of the depreciation of the fixed assets used in economic activity which are acquired after the day of coming into force of this Law shall be performed in accordance with the general procedures specified in the law On Enterprise Income Tax.</w:t>
      </w:r>
    </w:p>
    <w:p w14:paraId="0A6DF7F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w:t>
      </w:r>
      <w:r w:rsidRPr="00C13DCD">
        <w:rPr>
          <w:rFonts w:ascii="Times New Roman" w:hAnsi="Times New Roman"/>
          <w:noProof/>
          <w:sz w:val="24"/>
          <w:lang w:val="en-US"/>
        </w:rPr>
        <w:t>]</w:t>
      </w:r>
    </w:p>
    <w:p w14:paraId="37CEF09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60" w:name="p-735896"/>
      <w:bookmarkStart w:id="61" w:name="pn6"/>
      <w:bookmarkEnd w:id="60"/>
      <w:bookmarkEnd w:id="61"/>
    </w:p>
    <w:p w14:paraId="18F172C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A licensed capital company, a zone capital company and a free port authority are entitled to apply the direct tax reliefs provided for in Sections 6, 7, 8, 9, 12, and 13 of this Law to such investments that have been made by 31 December 2035 (inclusive) and wage costs settled by 31 December 2024 (inclusive) by not exceeding the permissible the State aid intensity laid down in this Law and the contract for the making of investments or for the settlement of estimated wage costs for the accumulated direct tax relief ratio against the accumulated sum of eligible costs.</w:t>
      </w:r>
    </w:p>
    <w:p w14:paraId="01CC270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14 May 2020</w:t>
      </w:r>
      <w:r w:rsidRPr="00C13DCD">
        <w:rPr>
          <w:rFonts w:ascii="Times New Roman" w:hAnsi="Times New Roman"/>
          <w:noProof/>
          <w:sz w:val="24"/>
          <w:lang w:val="en-US"/>
        </w:rPr>
        <w:t>]</w:t>
      </w:r>
    </w:p>
    <w:p w14:paraId="100264B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62" w:name="p-520836"/>
      <w:bookmarkStart w:id="63" w:name="pn7"/>
      <w:bookmarkEnd w:id="62"/>
      <w:bookmarkEnd w:id="63"/>
    </w:p>
    <w:p w14:paraId="46DE1E7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7. [3 July 2014]</w:t>
      </w:r>
    </w:p>
    <w:p w14:paraId="52439A3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64" w:name="p-467382"/>
      <w:bookmarkStart w:id="65" w:name="pn8"/>
      <w:bookmarkEnd w:id="64"/>
      <w:bookmarkEnd w:id="65"/>
    </w:p>
    <w:p w14:paraId="0680FC4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8. [4 April 2013]</w:t>
      </w:r>
    </w:p>
    <w:p w14:paraId="1D5B6C7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66" w:name="p-60164"/>
      <w:bookmarkStart w:id="67" w:name="pn9"/>
      <w:bookmarkEnd w:id="66"/>
      <w:bookmarkEnd w:id="67"/>
    </w:p>
    <w:p w14:paraId="575CD2F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9. Until 31 December 2003, a zone capital company or a licensed capital company which pays the immovable property tax for buildings and structures shall calculate the sum of tax to be paid into the budget for the taxation year by taking into account the rebate specified in Section 6, Paragraphs one and two of this Law, as well as the procedures for the application of the immovable property tax rebate specified in Section 10 of this Law.</w:t>
      </w:r>
    </w:p>
    <w:p w14:paraId="1F154CD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22 May 2003; 19 December 2006</w:t>
      </w:r>
      <w:r w:rsidRPr="00C13DCD">
        <w:rPr>
          <w:rFonts w:ascii="Times New Roman" w:hAnsi="Times New Roman"/>
          <w:noProof/>
          <w:sz w:val="24"/>
          <w:lang w:val="en-US"/>
        </w:rPr>
        <w:t>]</w:t>
      </w:r>
    </w:p>
    <w:p w14:paraId="0F32373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68" w:name="p-21697"/>
      <w:bookmarkStart w:id="69" w:name="pn10"/>
      <w:bookmarkEnd w:id="68"/>
      <w:bookmarkEnd w:id="69"/>
    </w:p>
    <w:p w14:paraId="147D01A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10. [31 March 2004]</w:t>
      </w:r>
    </w:p>
    <w:p w14:paraId="1AB5919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70" w:name="p-30700"/>
      <w:bookmarkStart w:id="71" w:name="pn11"/>
      <w:bookmarkEnd w:id="70"/>
      <w:bookmarkEnd w:id="71"/>
    </w:p>
    <w:p w14:paraId="429EA4C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11. Amendments to Section 1, Paragraph two of this Law (the terms used in this Law in relation to the Rēzekne Special Economic Zone) shall come into force simultaneously with the relevant amendments to the Law on the Rēzekne Special Economic Zone.</w:t>
      </w:r>
    </w:p>
    <w:p w14:paraId="5B24EB4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20 January 2005</w:t>
      </w:r>
      <w:r w:rsidRPr="00C13DCD">
        <w:rPr>
          <w:rFonts w:ascii="Times New Roman" w:hAnsi="Times New Roman"/>
          <w:noProof/>
          <w:sz w:val="24"/>
          <w:lang w:val="en-US"/>
        </w:rPr>
        <w:t>]</w:t>
      </w:r>
    </w:p>
    <w:p w14:paraId="326282A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72" w:name="p-30701"/>
      <w:bookmarkStart w:id="73" w:name="pn12"/>
      <w:bookmarkEnd w:id="72"/>
      <w:bookmarkEnd w:id="73"/>
    </w:p>
    <w:p w14:paraId="083ABFD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12. Section 3, Paragraph ten of this Law shall come into force on 1 July 2005.</w:t>
      </w:r>
    </w:p>
    <w:p w14:paraId="50DE9B6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20 January 2005</w:t>
      </w:r>
      <w:r w:rsidRPr="00C13DCD">
        <w:rPr>
          <w:rFonts w:ascii="Times New Roman" w:hAnsi="Times New Roman"/>
          <w:noProof/>
          <w:sz w:val="24"/>
          <w:lang w:val="en-US"/>
        </w:rPr>
        <w:t>]</w:t>
      </w:r>
    </w:p>
    <w:p w14:paraId="06FBD73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74" w:name="p-735897"/>
      <w:bookmarkStart w:id="75" w:name="pn13"/>
      <w:bookmarkEnd w:id="74"/>
      <w:bookmarkEnd w:id="75"/>
    </w:p>
    <w:p w14:paraId="067D3AC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13. A zone capital company or a licensed capital company which operates in the fishery sector referred to in Annex 5 to this Law shall, after 1 January 2007, continue to receive the direct tax reliefs for the investments which were made up to 31 December 2006 in accordance with the norms of the Law which were in force until 31 December 2006.</w:t>
      </w:r>
    </w:p>
    <w:p w14:paraId="0D454C5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 14 May 2020</w:t>
      </w:r>
      <w:r w:rsidRPr="00C13DCD">
        <w:rPr>
          <w:rFonts w:ascii="Times New Roman" w:hAnsi="Times New Roman"/>
          <w:noProof/>
          <w:sz w:val="24"/>
          <w:lang w:val="en-US"/>
        </w:rPr>
        <w:t>]</w:t>
      </w:r>
    </w:p>
    <w:p w14:paraId="368EBA9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76" w:name="p-735898"/>
      <w:bookmarkStart w:id="77" w:name="pn14"/>
      <w:bookmarkEnd w:id="76"/>
      <w:bookmarkEnd w:id="77"/>
    </w:p>
    <w:p w14:paraId="1C98040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14. A zone capital company or a licensed capital company which operates in the fishery sector referred to in Annex 5 to this Law shall, after 1 January 2007, continue to receive the direct tax reliefs for the investments which were made after 1 January 2007 in accordance with a contract for the making of investments which has been concluded between the zone authority and the zone capital company or the free port authority and the licensed capital company until 30 December 2006. In order for the capital company operating in the fishery sector to receive tax reliefs for the investments made after 1 January 2007, the concluded contract must precisely indicate the investment plans, the investment sums and periods in which the investments shall be made. The direct tax reliefs shall be applied to the investments made after 1 January 2007 in accordance the norms of the Law which were in force until 31 December 2006.</w:t>
      </w:r>
    </w:p>
    <w:p w14:paraId="0EE0231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 14 May 2020</w:t>
      </w:r>
      <w:r w:rsidRPr="00C13DCD">
        <w:rPr>
          <w:rFonts w:ascii="Times New Roman" w:hAnsi="Times New Roman"/>
          <w:noProof/>
          <w:sz w:val="24"/>
          <w:lang w:val="en-US"/>
        </w:rPr>
        <w:t>]</w:t>
      </w:r>
    </w:p>
    <w:p w14:paraId="47AFF8C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78" w:name="p-467383"/>
      <w:bookmarkStart w:id="79" w:name="pn15"/>
      <w:bookmarkEnd w:id="78"/>
      <w:bookmarkEnd w:id="79"/>
    </w:p>
    <w:p w14:paraId="44E8FEE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15. A zone capital company or a licensed capital company which has not concluded a contract with a zone authority or free port authority in accordance with Section 1, Paragraph two, Clause 13 of this Law shall apply to the investments actually made until 31 December 2013 the percentage referred to in Section 8 of this Law until the taxation period when the maximum amount of the interest rate of the accumulated investment amount applicable to the capital company determined in the contract is reached.</w:t>
      </w:r>
    </w:p>
    <w:p w14:paraId="3987DEB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4 April 2013</w:t>
      </w:r>
      <w:r w:rsidRPr="00C13DCD">
        <w:rPr>
          <w:rFonts w:ascii="Times New Roman" w:hAnsi="Times New Roman"/>
          <w:noProof/>
          <w:sz w:val="24"/>
          <w:lang w:val="en-US"/>
        </w:rPr>
        <w:t>]</w:t>
      </w:r>
    </w:p>
    <w:p w14:paraId="2C78543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0" w:name="p-520837"/>
      <w:bookmarkStart w:id="81" w:name="pn16"/>
      <w:bookmarkEnd w:id="80"/>
      <w:bookmarkEnd w:id="81"/>
    </w:p>
    <w:p w14:paraId="1F44C41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16. Amendments shall be made to the contracts for the making of investments concluded until 30 June 2014 by determining the maximum amount of the direct tax rebates applicable to investments provided for in the contract in relation to the accumulated sum of investments.</w:t>
      </w:r>
    </w:p>
    <w:p w14:paraId="2C23599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w:t>
      </w:r>
      <w:r w:rsidRPr="00C13DCD">
        <w:rPr>
          <w:rFonts w:ascii="Times New Roman" w:hAnsi="Times New Roman"/>
          <w:noProof/>
          <w:sz w:val="24"/>
          <w:lang w:val="en-US"/>
        </w:rPr>
        <w:t>]</w:t>
      </w:r>
    </w:p>
    <w:p w14:paraId="6331727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2" w:name="p-520846"/>
      <w:bookmarkStart w:id="83" w:name="pn17"/>
      <w:bookmarkEnd w:id="82"/>
      <w:bookmarkEnd w:id="83"/>
    </w:p>
    <w:p w14:paraId="7B001870"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17. Amendments to Section 1, Paragraph two, Clause 1 of this Law in relation to deletion of the words “and the special procedure for making State social insurance payments”, amendments to Section 2, Paragraph two, the title of Chapter III and in relation to deletion of Section 13 shall come into force on 1 September 2014.</w:t>
      </w:r>
    </w:p>
    <w:p w14:paraId="4DB6742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3 July 2014</w:t>
      </w:r>
      <w:r w:rsidRPr="00C13DCD">
        <w:rPr>
          <w:rFonts w:ascii="Times New Roman" w:hAnsi="Times New Roman"/>
          <w:noProof/>
          <w:sz w:val="24"/>
          <w:lang w:val="en-US"/>
        </w:rPr>
        <w:t>]</w:t>
      </w:r>
    </w:p>
    <w:p w14:paraId="6B92D28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4" w:name="p-650266"/>
      <w:bookmarkStart w:id="85" w:name="pn18"/>
      <w:bookmarkEnd w:id="84"/>
      <w:bookmarkEnd w:id="85"/>
    </w:p>
    <w:p w14:paraId="7AA4A25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 xml:space="preserve">18. Contracts for the making of investments which have been concluded in the period from 10 January 2018 until the date of the entry into force of amendments to Section 5, Paragraph six, Clause 2 of and Paragraph 22 of Annex 8 to this Law regarding the obligation to provide a certification shall be effective if the capital company has, prior to concluding the contract for the making of investments, submitted to the zone authority or free port authority certification </w:t>
      </w:r>
      <w:r w:rsidRPr="00C13DCD">
        <w:rPr>
          <w:rFonts w:ascii="Times New Roman" w:hAnsi="Times New Roman"/>
          <w:noProof/>
          <w:sz w:val="24"/>
          <w:lang w:val="en-US"/>
        </w:rPr>
        <w:lastRenderedPageBreak/>
        <w:t>stating that within the last two years before the submission of the application for the conclusion of the contract for making investments it has not carried out relocation to the respective territory of the zone or free port where the initial investment for which aid is requested shall be made and undertakes not to do so for two years after completion of the initial investment for which aid is requested, and the zone authority or free port authority has verified the compliance of such certification with Article 14(16) of Commission Regulation No 651/2014 and also other requirements laid down in this Law have been complied with.</w:t>
      </w:r>
    </w:p>
    <w:p w14:paraId="18F5077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 March 2018</w:t>
      </w:r>
      <w:r w:rsidRPr="00C13DCD">
        <w:rPr>
          <w:rFonts w:ascii="Times New Roman" w:hAnsi="Times New Roman"/>
          <w:noProof/>
          <w:sz w:val="24"/>
          <w:lang w:val="en-US"/>
        </w:rPr>
        <w:t>]</w:t>
      </w:r>
    </w:p>
    <w:p w14:paraId="0B2C906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6" w:name="p-735899"/>
      <w:bookmarkStart w:id="87" w:name="pn19"/>
      <w:bookmarkEnd w:id="86"/>
      <w:bookmarkEnd w:id="87"/>
    </w:p>
    <w:p w14:paraId="47AC013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19. The Cabinet shall issue the regulations referred to in Section 8, Paragraph nine of this Law by 31 December 2020.</w:t>
      </w:r>
    </w:p>
    <w:p w14:paraId="2CB7F10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14 May 2020</w:t>
      </w:r>
      <w:r w:rsidRPr="00C13DCD">
        <w:rPr>
          <w:rFonts w:ascii="Times New Roman" w:hAnsi="Times New Roman"/>
          <w:noProof/>
          <w:sz w:val="24"/>
          <w:lang w:val="en-US"/>
        </w:rPr>
        <w:t>]</w:t>
      </w:r>
    </w:p>
    <w:p w14:paraId="27A7578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88" w:name="p-783464"/>
      <w:bookmarkStart w:id="89" w:name="pn20"/>
      <w:bookmarkEnd w:id="88"/>
      <w:bookmarkEnd w:id="89"/>
    </w:p>
    <w:p w14:paraId="59D61E7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20. The provisions of Section 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two of this Law shall be applicable to the contracts of zone capital companies and licensed capital companies for making investments or for the settlement of the estimated wage costs in the territory of the zone or free port that are concluded with a zone authority or free port authority starting from the day when Section 2.</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two comes into force.</w:t>
      </w:r>
    </w:p>
    <w:p w14:paraId="065C03E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13 May 2021</w:t>
      </w:r>
      <w:r w:rsidRPr="00C13DCD">
        <w:rPr>
          <w:rFonts w:ascii="Times New Roman" w:hAnsi="Times New Roman"/>
          <w:noProof/>
          <w:sz w:val="24"/>
          <w:lang w:val="en-US"/>
        </w:rPr>
        <w:t>]</w:t>
      </w:r>
    </w:p>
    <w:p w14:paraId="130E05F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90" w:name="p-783465"/>
      <w:bookmarkStart w:id="91" w:name="pn21"/>
      <w:bookmarkEnd w:id="90"/>
      <w:bookmarkEnd w:id="91"/>
    </w:p>
    <w:p w14:paraId="1C06A64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21. Until the first meeting of the council of Liepāja local government, Dienvidkurzeme municipality, and Kuldīga municipality (in respect of the Alsunga rural territory) elected in the local government election of 2021, the provisions of this Law regarding the State aid in the form of direct taxes for the newly created workplaces as a result of initial investments in respect of the Liepāja Special Economic Zone shall be applicable to such employees of a zone capital company whose declared place of residence is in the city of Liepāja, Aizpute municipality, Alsunga municipality, Durbe municipality, Grobiņa municipality, Nīca municipality, Pāvilosta municipality, Priekule municipality, Rucava municipality, and Vaiņode municipality.</w:t>
      </w:r>
    </w:p>
    <w:p w14:paraId="462690D8"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13 May 2021</w:t>
      </w:r>
      <w:r w:rsidRPr="00C13DCD">
        <w:rPr>
          <w:rFonts w:ascii="Times New Roman" w:hAnsi="Times New Roman"/>
          <w:noProof/>
          <w:sz w:val="24"/>
          <w:lang w:val="en-US"/>
        </w:rPr>
        <w:t>]</w:t>
      </w:r>
    </w:p>
    <w:p w14:paraId="508F832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92" w:name="p-783466"/>
      <w:bookmarkStart w:id="93" w:name="pn22"/>
      <w:bookmarkEnd w:id="92"/>
      <w:bookmarkEnd w:id="93"/>
    </w:p>
    <w:p w14:paraId="2CA6B94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22. The Ministry of Transport shall ensure that the notification requirement laid down in Article 11 of Commission Regulation No 651/2014 is complied with in relation to the application of the State aid in the form of direct taxes for the newly created workplaces as a result of initial investments to the Liepāja Special Economic Zone.</w:t>
      </w:r>
    </w:p>
    <w:p w14:paraId="131F5B7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13 May 2021</w:t>
      </w:r>
      <w:r w:rsidRPr="00C13DCD">
        <w:rPr>
          <w:rFonts w:ascii="Times New Roman" w:hAnsi="Times New Roman"/>
          <w:noProof/>
          <w:sz w:val="24"/>
          <w:lang w:val="en-US"/>
        </w:rPr>
        <w:t>]</w:t>
      </w:r>
    </w:p>
    <w:p w14:paraId="3503FF2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94" w:name="650267"/>
      <w:bookmarkEnd w:id="94"/>
    </w:p>
    <w:p w14:paraId="756053BB" w14:textId="77777777" w:rsidR="00C13DCD" w:rsidRPr="00C13DCD" w:rsidRDefault="00C13DCD" w:rsidP="00C13DCD">
      <w:pPr>
        <w:spacing w:after="0" w:line="240" w:lineRule="auto"/>
        <w:jc w:val="center"/>
        <w:rPr>
          <w:rFonts w:ascii="Times New Roman" w:hAnsi="Times New Roman"/>
          <w:b/>
          <w:noProof/>
          <w:sz w:val="24"/>
          <w:lang w:val="en-US"/>
        </w:rPr>
      </w:pPr>
      <w:r w:rsidRPr="00C13DCD">
        <w:rPr>
          <w:rFonts w:ascii="Times New Roman" w:hAnsi="Times New Roman"/>
          <w:b/>
          <w:noProof/>
          <w:sz w:val="24"/>
          <w:lang w:val="en-US"/>
        </w:rPr>
        <w:t>Informative Reference to Commission Regulations</w:t>
      </w:r>
      <w:bookmarkStart w:id="95" w:name="es-650267"/>
      <w:bookmarkEnd w:id="95"/>
    </w:p>
    <w:p w14:paraId="0B79219A"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[1 March 2018]</w:t>
      </w:r>
    </w:p>
    <w:p w14:paraId="410ABD6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410011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5059FF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This Law shall come into force on 1 January 2002.</w:t>
      </w:r>
    </w:p>
    <w:p w14:paraId="43D5FEA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3970A3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This Law has been adopted by the </w:t>
      </w:r>
      <w:r w:rsidRPr="00C13DCD">
        <w:rPr>
          <w:rFonts w:ascii="Times New Roman" w:hAnsi="Times New Roman"/>
          <w:i/>
          <w:noProof/>
          <w:sz w:val="24"/>
          <w:lang w:val="en-US"/>
        </w:rPr>
        <w:t xml:space="preserve">Saeima </w:t>
      </w:r>
      <w:r w:rsidRPr="00C13DCD">
        <w:rPr>
          <w:rFonts w:ascii="Times New Roman" w:hAnsi="Times New Roman"/>
          <w:noProof/>
          <w:sz w:val="24"/>
          <w:lang w:val="en-US"/>
        </w:rPr>
        <w:t>on 27 July 2001.</w:t>
      </w:r>
    </w:p>
    <w:p w14:paraId="546E8BC8"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FF5684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4AE1F7E" w14:textId="77777777" w:rsidR="00C13DCD" w:rsidRPr="00C13DCD" w:rsidRDefault="00C13DCD" w:rsidP="00C13DCD">
      <w:pPr>
        <w:tabs>
          <w:tab w:val="left" w:pos="7230"/>
        </w:tabs>
        <w:spacing w:after="0" w:line="240" w:lineRule="auto"/>
        <w:jc w:val="both"/>
        <w:rPr>
          <w:rFonts w:ascii="Times New Roman" w:hAnsi="Times New Roman"/>
          <w:noProof/>
          <w:sz w:val="24"/>
          <w:lang w:val="en-US"/>
        </w:rPr>
      </w:pPr>
      <w:r w:rsidRPr="00C13DCD">
        <w:rPr>
          <w:rFonts w:ascii="Times New Roman" w:hAnsi="Times New Roman"/>
          <w:noProof/>
          <w:sz w:val="24"/>
          <w:lang w:val="en-US"/>
        </w:rPr>
        <w:t>President</w:t>
      </w:r>
      <w:r w:rsidRPr="00C13DCD">
        <w:rPr>
          <w:rFonts w:ascii="Times New Roman" w:hAnsi="Times New Roman"/>
          <w:noProof/>
          <w:sz w:val="24"/>
          <w:lang w:val="en-US"/>
        </w:rPr>
        <w:tab/>
        <w:t>V. Vīķe-Freiberga</w:t>
      </w:r>
    </w:p>
    <w:p w14:paraId="56FB0B5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7EF48C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Riga, 10 August 2001</w:t>
      </w:r>
    </w:p>
    <w:p w14:paraId="31C8906E" w14:textId="77777777" w:rsidR="00C13DCD" w:rsidRPr="00C13DCD" w:rsidRDefault="00C13DCD" w:rsidP="00C13DCD">
      <w:pPr>
        <w:rPr>
          <w:noProof/>
          <w:lang w:val="en-US"/>
        </w:rPr>
      </w:pPr>
      <w:bookmarkStart w:id="96" w:name="piel1"/>
      <w:bookmarkEnd w:id="96"/>
      <w:r w:rsidRPr="00C13DCD">
        <w:rPr>
          <w:noProof/>
          <w:lang w:val="en-US"/>
        </w:rPr>
        <w:br w:type="page"/>
      </w:r>
    </w:p>
    <w:p w14:paraId="7659890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3EAACCE" w14:textId="77777777" w:rsidR="00C13DCD" w:rsidRPr="00C13DCD" w:rsidRDefault="00C13DCD" w:rsidP="00C13DCD">
      <w:pPr>
        <w:spacing w:after="0" w:line="240" w:lineRule="auto"/>
        <w:jc w:val="right"/>
        <w:rPr>
          <w:rFonts w:ascii="Times New Roman" w:hAnsi="Times New Roman"/>
          <w:noProof/>
          <w:sz w:val="24"/>
          <w:lang w:val="en-US"/>
        </w:rPr>
      </w:pPr>
      <w:r w:rsidRPr="00C13DCD">
        <w:rPr>
          <w:rFonts w:ascii="Times New Roman" w:hAnsi="Times New Roman"/>
          <w:noProof/>
          <w:sz w:val="24"/>
          <w:lang w:val="en-US"/>
        </w:rPr>
        <w:t>Law On the Application of Taxes in Free Ports and Special Economic Zones</w:t>
      </w:r>
    </w:p>
    <w:p w14:paraId="3CF43DF7"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1</w:t>
      </w:r>
      <w:bookmarkStart w:id="97" w:name="piel-60130"/>
      <w:bookmarkEnd w:id="97"/>
    </w:p>
    <w:p w14:paraId="00FA127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4A3EC2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FA7441F" w14:textId="77777777" w:rsidR="00C13DCD" w:rsidRPr="00C13DCD" w:rsidRDefault="00C13DCD" w:rsidP="00C13DCD">
      <w:pPr>
        <w:spacing w:after="0" w:line="240" w:lineRule="auto"/>
        <w:jc w:val="center"/>
        <w:rPr>
          <w:rFonts w:ascii="Times New Roman" w:hAnsi="Times New Roman"/>
          <w:b/>
          <w:noProof/>
          <w:sz w:val="28"/>
          <w:lang w:val="en-US"/>
        </w:rPr>
      </w:pPr>
      <w:bookmarkStart w:id="98" w:name="520869"/>
      <w:bookmarkStart w:id="99" w:name="n-520869"/>
      <w:bookmarkEnd w:id="98"/>
      <w:bookmarkEnd w:id="99"/>
      <w:r w:rsidRPr="00C13DCD">
        <w:rPr>
          <w:rFonts w:ascii="Times New Roman" w:hAnsi="Times New Roman"/>
          <w:b/>
          <w:noProof/>
          <w:sz w:val="28"/>
          <w:lang w:val="en-US"/>
        </w:rPr>
        <w:t>Transport Sector Capital Companies</w:t>
      </w:r>
    </w:p>
    <w:p w14:paraId="7EED4831"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6FF769D2" w14:textId="77777777" w:rsidR="00C13DCD" w:rsidRPr="00C13DCD" w:rsidRDefault="00C13DCD" w:rsidP="00C13DCD">
      <w:pPr>
        <w:rPr>
          <w:noProof/>
          <w:lang w:val="en-US"/>
        </w:rPr>
      </w:pPr>
      <w:r w:rsidRPr="00C13DCD">
        <w:rPr>
          <w:noProof/>
          <w:lang w:val="en-US"/>
        </w:rPr>
        <w:br w:type="page"/>
      </w:r>
    </w:p>
    <w:p w14:paraId="01A39E6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D003AF7" w14:textId="77777777" w:rsidR="00C13DCD" w:rsidRPr="00C13DCD" w:rsidRDefault="00C13DCD" w:rsidP="00C13DCD">
      <w:pPr>
        <w:spacing w:after="0" w:line="240" w:lineRule="auto"/>
        <w:jc w:val="right"/>
        <w:rPr>
          <w:rFonts w:ascii="Times New Roman" w:hAnsi="Times New Roman"/>
          <w:noProof/>
          <w:sz w:val="24"/>
          <w:lang w:val="en-US"/>
        </w:rPr>
      </w:pPr>
      <w:bookmarkStart w:id="100" w:name="piel2"/>
      <w:bookmarkEnd w:id="100"/>
      <w:r w:rsidRPr="00C13DCD">
        <w:rPr>
          <w:rFonts w:ascii="Times New Roman" w:hAnsi="Times New Roman"/>
          <w:noProof/>
          <w:sz w:val="24"/>
          <w:lang w:val="en-US"/>
        </w:rPr>
        <w:t>Law On the Application of Taxes in Free Ports and Special Economic Zones</w:t>
      </w:r>
    </w:p>
    <w:p w14:paraId="0CE3115E"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2</w:t>
      </w:r>
      <w:bookmarkStart w:id="101" w:name="piel-60133"/>
      <w:bookmarkEnd w:id="101"/>
    </w:p>
    <w:p w14:paraId="7E1DF6E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E96A94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4E8F836" w14:textId="77777777" w:rsidR="00C13DCD" w:rsidRPr="00C13DCD" w:rsidRDefault="00C13DCD" w:rsidP="00C13DCD">
      <w:pPr>
        <w:spacing w:after="0" w:line="240" w:lineRule="auto"/>
        <w:jc w:val="center"/>
        <w:rPr>
          <w:rFonts w:ascii="Times New Roman" w:hAnsi="Times New Roman"/>
          <w:b/>
          <w:noProof/>
          <w:sz w:val="28"/>
          <w:lang w:val="en-US"/>
        </w:rPr>
      </w:pPr>
      <w:bookmarkStart w:id="102" w:name="520871"/>
      <w:bookmarkStart w:id="103" w:name="n-520871"/>
      <w:bookmarkEnd w:id="102"/>
      <w:bookmarkEnd w:id="103"/>
      <w:r w:rsidRPr="00C13DCD">
        <w:rPr>
          <w:rFonts w:ascii="Times New Roman" w:hAnsi="Times New Roman"/>
          <w:b/>
          <w:noProof/>
          <w:sz w:val="28"/>
          <w:lang w:val="en-US"/>
        </w:rPr>
        <w:t>Steel Industry Sector Capital Companies</w:t>
      </w:r>
    </w:p>
    <w:p w14:paraId="08870D48"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40153895" w14:textId="77777777" w:rsidR="00C13DCD" w:rsidRPr="00C13DCD" w:rsidRDefault="00C13DCD" w:rsidP="00C13DCD">
      <w:pPr>
        <w:rPr>
          <w:noProof/>
          <w:lang w:val="en-US"/>
        </w:rPr>
      </w:pPr>
      <w:r w:rsidRPr="00C13DCD">
        <w:rPr>
          <w:noProof/>
          <w:lang w:val="en-US"/>
        </w:rPr>
        <w:br w:type="page"/>
      </w:r>
    </w:p>
    <w:p w14:paraId="0928732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FD6CD39" w14:textId="77777777" w:rsidR="00C13DCD" w:rsidRPr="00C13DCD" w:rsidRDefault="00C13DCD" w:rsidP="00C13DCD">
      <w:pPr>
        <w:spacing w:after="0" w:line="240" w:lineRule="auto"/>
        <w:jc w:val="right"/>
        <w:rPr>
          <w:rFonts w:ascii="Times New Roman" w:hAnsi="Times New Roman"/>
          <w:noProof/>
          <w:sz w:val="24"/>
          <w:lang w:val="en-US"/>
        </w:rPr>
      </w:pPr>
      <w:bookmarkStart w:id="104" w:name="piel3"/>
      <w:bookmarkEnd w:id="104"/>
      <w:r w:rsidRPr="00C13DCD">
        <w:rPr>
          <w:rFonts w:ascii="Times New Roman" w:hAnsi="Times New Roman"/>
          <w:noProof/>
          <w:sz w:val="24"/>
          <w:lang w:val="en-US"/>
        </w:rPr>
        <w:t>Law On the Application of Taxes in Free Ports and Special Economic Zones</w:t>
      </w:r>
    </w:p>
    <w:p w14:paraId="1E8C020A"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3</w:t>
      </w:r>
      <w:bookmarkStart w:id="105" w:name="piel-60136"/>
      <w:bookmarkEnd w:id="105"/>
    </w:p>
    <w:p w14:paraId="7C36F6B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3A30C4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11B5604" w14:textId="77777777" w:rsidR="00C13DCD" w:rsidRPr="00C13DCD" w:rsidRDefault="00C13DCD" w:rsidP="00C13DCD">
      <w:pPr>
        <w:spacing w:after="0" w:line="240" w:lineRule="auto"/>
        <w:jc w:val="center"/>
        <w:rPr>
          <w:rFonts w:ascii="Times New Roman" w:hAnsi="Times New Roman"/>
          <w:b/>
          <w:noProof/>
          <w:sz w:val="28"/>
          <w:lang w:val="en-US"/>
        </w:rPr>
      </w:pPr>
      <w:bookmarkStart w:id="106" w:name="520873"/>
      <w:bookmarkStart w:id="107" w:name="n-520873"/>
      <w:bookmarkEnd w:id="106"/>
      <w:bookmarkEnd w:id="107"/>
      <w:r w:rsidRPr="00C13DCD">
        <w:rPr>
          <w:rFonts w:ascii="Times New Roman" w:hAnsi="Times New Roman"/>
          <w:b/>
          <w:noProof/>
          <w:sz w:val="28"/>
          <w:lang w:val="en-US"/>
        </w:rPr>
        <w:t>Synthetic Fibre Manufacturing Sector Capital Companies</w:t>
      </w:r>
    </w:p>
    <w:p w14:paraId="10BF96D8"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210AA993" w14:textId="77777777" w:rsidR="00C13DCD" w:rsidRPr="00C13DCD" w:rsidRDefault="00C13DCD" w:rsidP="00C13DCD">
      <w:pPr>
        <w:rPr>
          <w:noProof/>
          <w:lang w:val="en-US"/>
        </w:rPr>
      </w:pPr>
      <w:r w:rsidRPr="00C13DCD">
        <w:rPr>
          <w:noProof/>
          <w:lang w:val="en-US"/>
        </w:rPr>
        <w:br w:type="page"/>
      </w:r>
    </w:p>
    <w:p w14:paraId="311827D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6BDEEA4" w14:textId="77777777" w:rsidR="00C13DCD" w:rsidRPr="00C13DCD" w:rsidRDefault="00C13DCD" w:rsidP="00C13DCD">
      <w:pPr>
        <w:spacing w:after="0" w:line="240" w:lineRule="auto"/>
        <w:jc w:val="right"/>
        <w:rPr>
          <w:rFonts w:ascii="Times New Roman" w:hAnsi="Times New Roman"/>
          <w:noProof/>
          <w:sz w:val="24"/>
          <w:lang w:val="en-US"/>
        </w:rPr>
      </w:pPr>
      <w:bookmarkStart w:id="108" w:name="piel4"/>
      <w:bookmarkEnd w:id="108"/>
      <w:r w:rsidRPr="00C13DCD">
        <w:rPr>
          <w:rFonts w:ascii="Times New Roman" w:hAnsi="Times New Roman"/>
          <w:noProof/>
          <w:sz w:val="24"/>
          <w:lang w:val="en-US"/>
        </w:rPr>
        <w:t>Law On the Application of Taxes in Free Ports and Special Economic Zones</w:t>
      </w:r>
    </w:p>
    <w:p w14:paraId="3F78BEE4"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4</w:t>
      </w:r>
      <w:bookmarkStart w:id="109" w:name="piel-60139"/>
      <w:bookmarkEnd w:id="109"/>
    </w:p>
    <w:p w14:paraId="16400098"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063753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294F9C6" w14:textId="77777777" w:rsidR="00C13DCD" w:rsidRPr="00C13DCD" w:rsidRDefault="00C13DCD" w:rsidP="00C13DCD">
      <w:pPr>
        <w:spacing w:after="0" w:line="240" w:lineRule="auto"/>
        <w:jc w:val="center"/>
        <w:rPr>
          <w:rFonts w:ascii="Times New Roman" w:hAnsi="Times New Roman"/>
          <w:b/>
          <w:noProof/>
          <w:sz w:val="28"/>
          <w:lang w:val="en-US"/>
        </w:rPr>
      </w:pPr>
      <w:bookmarkStart w:id="110" w:name="520875"/>
      <w:bookmarkStart w:id="111" w:name="n-520875"/>
      <w:bookmarkEnd w:id="110"/>
      <w:bookmarkEnd w:id="111"/>
      <w:r w:rsidRPr="00C13DCD">
        <w:rPr>
          <w:rFonts w:ascii="Times New Roman" w:hAnsi="Times New Roman"/>
          <w:b/>
          <w:noProof/>
          <w:sz w:val="28"/>
          <w:lang w:val="en-US"/>
        </w:rPr>
        <w:t>Agricultural Sector Capital Companies</w:t>
      </w:r>
    </w:p>
    <w:p w14:paraId="583F1A9D"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07ECD247" w14:textId="77777777" w:rsidR="00C13DCD" w:rsidRPr="00C13DCD" w:rsidRDefault="00C13DCD" w:rsidP="00C13DCD">
      <w:pPr>
        <w:rPr>
          <w:noProof/>
          <w:lang w:val="en-US"/>
        </w:rPr>
      </w:pPr>
      <w:r w:rsidRPr="00C13DCD">
        <w:rPr>
          <w:noProof/>
          <w:lang w:val="en-US"/>
        </w:rPr>
        <w:br w:type="page"/>
      </w:r>
    </w:p>
    <w:p w14:paraId="234BAE1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9622FA0" w14:textId="77777777" w:rsidR="00C13DCD" w:rsidRPr="00C13DCD" w:rsidRDefault="00C13DCD" w:rsidP="00C13DCD">
      <w:pPr>
        <w:spacing w:after="0" w:line="240" w:lineRule="auto"/>
        <w:jc w:val="right"/>
        <w:rPr>
          <w:rFonts w:ascii="Times New Roman" w:hAnsi="Times New Roman"/>
          <w:noProof/>
          <w:sz w:val="24"/>
          <w:lang w:val="en-US"/>
        </w:rPr>
      </w:pPr>
      <w:bookmarkStart w:id="112" w:name="piel5"/>
      <w:bookmarkEnd w:id="112"/>
      <w:r w:rsidRPr="00C13DCD">
        <w:rPr>
          <w:rFonts w:ascii="Times New Roman" w:hAnsi="Times New Roman"/>
          <w:noProof/>
          <w:sz w:val="24"/>
          <w:lang w:val="en-US"/>
        </w:rPr>
        <w:t>Law On the Application of Taxes in Free Ports and Special Economic Zones</w:t>
      </w:r>
    </w:p>
    <w:p w14:paraId="36C9D85B"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5</w:t>
      </w:r>
      <w:bookmarkStart w:id="113" w:name="piel-60142"/>
      <w:bookmarkEnd w:id="113"/>
    </w:p>
    <w:p w14:paraId="787DDC9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F85972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3039F0A" w14:textId="77777777" w:rsidR="00C13DCD" w:rsidRPr="00C13DCD" w:rsidRDefault="00C13DCD" w:rsidP="00C13DCD">
      <w:pPr>
        <w:spacing w:after="0" w:line="240" w:lineRule="auto"/>
        <w:jc w:val="center"/>
        <w:rPr>
          <w:rFonts w:ascii="Times New Roman" w:hAnsi="Times New Roman"/>
          <w:b/>
          <w:noProof/>
          <w:sz w:val="28"/>
          <w:lang w:val="en-US"/>
        </w:rPr>
      </w:pPr>
      <w:bookmarkStart w:id="114" w:name="520877"/>
      <w:bookmarkStart w:id="115" w:name="n-520877"/>
      <w:bookmarkEnd w:id="114"/>
      <w:bookmarkEnd w:id="115"/>
      <w:r w:rsidRPr="00C13DCD">
        <w:rPr>
          <w:rFonts w:ascii="Times New Roman" w:hAnsi="Times New Roman"/>
          <w:b/>
          <w:noProof/>
          <w:sz w:val="28"/>
          <w:lang w:val="en-US"/>
        </w:rPr>
        <w:t>Fishery Sector Capital Companies</w:t>
      </w:r>
    </w:p>
    <w:p w14:paraId="0CF8F224"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456E08B3" w14:textId="77777777" w:rsidR="00C13DCD" w:rsidRPr="00C13DCD" w:rsidRDefault="00C13DCD" w:rsidP="00C13DCD">
      <w:pPr>
        <w:rPr>
          <w:noProof/>
          <w:lang w:val="en-US"/>
        </w:rPr>
      </w:pPr>
      <w:bookmarkStart w:id="116" w:name="piel6"/>
      <w:bookmarkEnd w:id="116"/>
      <w:r w:rsidRPr="00C13DCD">
        <w:rPr>
          <w:noProof/>
          <w:lang w:val="en-US"/>
        </w:rPr>
        <w:br w:type="page"/>
      </w:r>
    </w:p>
    <w:p w14:paraId="295088A8"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1974F67" w14:textId="77777777" w:rsidR="00C13DCD" w:rsidRPr="00C13DCD" w:rsidRDefault="00C13DCD" w:rsidP="00C13DCD">
      <w:pPr>
        <w:spacing w:after="0" w:line="240" w:lineRule="auto"/>
        <w:jc w:val="right"/>
        <w:rPr>
          <w:rFonts w:ascii="Times New Roman" w:hAnsi="Times New Roman"/>
          <w:noProof/>
          <w:sz w:val="24"/>
          <w:lang w:val="en-US"/>
        </w:rPr>
      </w:pPr>
      <w:r w:rsidRPr="00C13DCD">
        <w:rPr>
          <w:rFonts w:ascii="Times New Roman" w:hAnsi="Times New Roman"/>
          <w:noProof/>
          <w:sz w:val="24"/>
          <w:lang w:val="en-US"/>
        </w:rPr>
        <w:t>Law On the Application of Taxes in Free Ports and Special Economic Zones</w:t>
      </w:r>
    </w:p>
    <w:p w14:paraId="74CDE8FF"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6</w:t>
      </w:r>
      <w:bookmarkStart w:id="117" w:name="piel-60145"/>
      <w:bookmarkEnd w:id="117"/>
    </w:p>
    <w:p w14:paraId="1A7082E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95A08D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E1314A6" w14:textId="77777777" w:rsidR="00C13DCD" w:rsidRPr="00C13DCD" w:rsidRDefault="00C13DCD" w:rsidP="00C13DCD">
      <w:pPr>
        <w:spacing w:after="0" w:line="240" w:lineRule="auto"/>
        <w:jc w:val="center"/>
        <w:rPr>
          <w:rFonts w:ascii="Times New Roman" w:hAnsi="Times New Roman"/>
          <w:b/>
          <w:noProof/>
          <w:sz w:val="28"/>
          <w:lang w:val="en-US"/>
        </w:rPr>
      </w:pPr>
      <w:bookmarkStart w:id="118" w:name="520879"/>
      <w:bookmarkStart w:id="119" w:name="n-520879"/>
      <w:bookmarkEnd w:id="118"/>
      <w:bookmarkEnd w:id="119"/>
      <w:r w:rsidRPr="00C13DCD">
        <w:rPr>
          <w:rFonts w:ascii="Times New Roman" w:hAnsi="Times New Roman"/>
          <w:b/>
          <w:noProof/>
          <w:sz w:val="28"/>
          <w:lang w:val="en-US"/>
        </w:rPr>
        <w:t>Coal Industry Sector Capital Companies</w:t>
      </w:r>
    </w:p>
    <w:p w14:paraId="7D0C02A3" w14:textId="77777777" w:rsidR="00C13DCD" w:rsidRPr="00C13DCD" w:rsidRDefault="00C13DCD" w:rsidP="00C13DCD">
      <w:pPr>
        <w:spacing w:after="0" w:line="240" w:lineRule="auto"/>
        <w:jc w:val="center"/>
        <w:rPr>
          <w:rFonts w:ascii="Times New Roman" w:hAnsi="Times New Roman"/>
          <w:noProof/>
          <w:sz w:val="24"/>
          <w:lang w:val="en-US"/>
        </w:rPr>
      </w:pPr>
      <w:r w:rsidRPr="00C13DCD">
        <w:rPr>
          <w:rFonts w:ascii="Times New Roman" w:hAnsi="Times New Roman"/>
          <w:noProof/>
          <w:sz w:val="24"/>
          <w:lang w:val="en-US"/>
        </w:rPr>
        <w:t>[3 July 2014]</w:t>
      </w:r>
    </w:p>
    <w:p w14:paraId="50CE1B5A" w14:textId="77777777" w:rsidR="00C13DCD" w:rsidRPr="00C13DCD" w:rsidRDefault="00C13DCD" w:rsidP="00C13DCD">
      <w:pPr>
        <w:rPr>
          <w:noProof/>
          <w:lang w:val="en-US"/>
        </w:rPr>
      </w:pPr>
      <w:r w:rsidRPr="00C13DCD">
        <w:rPr>
          <w:noProof/>
          <w:lang w:val="en-US"/>
        </w:rPr>
        <w:br w:type="page"/>
      </w:r>
    </w:p>
    <w:p w14:paraId="0DFC3A8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05DA63B" w14:textId="77777777" w:rsidR="00C13DCD" w:rsidRPr="00C13DCD" w:rsidRDefault="00C13DCD" w:rsidP="00C13DCD">
      <w:pPr>
        <w:spacing w:after="0" w:line="240" w:lineRule="auto"/>
        <w:jc w:val="right"/>
        <w:rPr>
          <w:rFonts w:ascii="Times New Roman" w:hAnsi="Times New Roman"/>
          <w:noProof/>
          <w:sz w:val="24"/>
          <w:lang w:val="en-US"/>
        </w:rPr>
      </w:pPr>
      <w:bookmarkStart w:id="120" w:name="piel7"/>
      <w:bookmarkEnd w:id="120"/>
      <w:r w:rsidRPr="00C13DCD">
        <w:rPr>
          <w:rFonts w:ascii="Times New Roman" w:hAnsi="Times New Roman"/>
          <w:noProof/>
          <w:sz w:val="24"/>
          <w:lang w:val="en-US"/>
        </w:rPr>
        <w:t>Law On the Application of Taxes in Free Ports and Special Economic Zones</w:t>
      </w:r>
    </w:p>
    <w:p w14:paraId="43BEFBD3"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7</w:t>
      </w:r>
      <w:bookmarkStart w:id="121" w:name="piel-60148"/>
      <w:bookmarkEnd w:id="121"/>
    </w:p>
    <w:p w14:paraId="10CFB80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BD4A1D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7527EA3" w14:textId="77777777" w:rsidR="00C13DCD" w:rsidRPr="00C13DCD" w:rsidRDefault="00C13DCD" w:rsidP="00C13DCD">
      <w:pPr>
        <w:spacing w:after="0" w:line="240" w:lineRule="auto"/>
        <w:jc w:val="center"/>
        <w:rPr>
          <w:rFonts w:ascii="Times New Roman" w:hAnsi="Times New Roman"/>
          <w:b/>
          <w:noProof/>
          <w:sz w:val="28"/>
          <w:lang w:val="en-US"/>
        </w:rPr>
      </w:pPr>
      <w:bookmarkStart w:id="122" w:name="60149"/>
      <w:bookmarkStart w:id="123" w:name="n-60149"/>
      <w:bookmarkEnd w:id="122"/>
      <w:bookmarkEnd w:id="123"/>
      <w:r w:rsidRPr="00C13DCD">
        <w:rPr>
          <w:rFonts w:ascii="Times New Roman" w:hAnsi="Times New Roman"/>
          <w:b/>
          <w:noProof/>
          <w:sz w:val="28"/>
          <w:lang w:val="en-US"/>
        </w:rPr>
        <w:t>Ship Building Sector Capital Companies</w:t>
      </w:r>
    </w:p>
    <w:p w14:paraId="32D12DE0" w14:textId="77777777" w:rsidR="00C13DCD" w:rsidRPr="00C13DCD" w:rsidRDefault="00C13DCD" w:rsidP="00C13DCD">
      <w:pPr>
        <w:spacing w:after="0" w:line="240" w:lineRule="auto"/>
        <w:jc w:val="center"/>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noProof/>
          <w:sz w:val="24"/>
          <w:lang w:val="en-US"/>
        </w:rPr>
        <w:t>19 December 2006</w:t>
      </w:r>
      <w:r w:rsidRPr="00C13DCD">
        <w:rPr>
          <w:rFonts w:ascii="Times New Roman" w:hAnsi="Times New Roman"/>
          <w:noProof/>
          <w:sz w:val="24"/>
          <w:lang w:val="en-US"/>
        </w:rPr>
        <w:t>]</w:t>
      </w:r>
    </w:p>
    <w:p w14:paraId="1DD9AB3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2892ED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3D70F94" w14:textId="77777777" w:rsidR="00C13DCD" w:rsidRPr="00C13DCD" w:rsidRDefault="00C13DCD" w:rsidP="00C13DCD">
      <w:pPr>
        <w:spacing w:after="0" w:line="240" w:lineRule="auto"/>
        <w:ind w:firstLine="709"/>
        <w:jc w:val="both"/>
        <w:rPr>
          <w:rFonts w:ascii="Times New Roman" w:hAnsi="Times New Roman"/>
          <w:noProof/>
          <w:sz w:val="24"/>
          <w:lang w:val="en-US"/>
        </w:rPr>
      </w:pPr>
      <w:bookmarkStart w:id="124" w:name="p213"/>
      <w:bookmarkStart w:id="125" w:name="p-60150"/>
      <w:bookmarkEnd w:id="124"/>
      <w:bookmarkEnd w:id="125"/>
      <w:r w:rsidRPr="00C13DCD">
        <w:rPr>
          <w:rFonts w:ascii="Times New Roman" w:hAnsi="Times New Roman"/>
          <w:noProof/>
          <w:sz w:val="24"/>
          <w:lang w:val="en-US"/>
        </w:rPr>
        <w:t>Within the meaning of this Law, ship building sector capital companies are capital companies, which perform:</w:t>
      </w:r>
    </w:p>
    <w:p w14:paraId="0C7D64F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196A35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Ship building, repair or reconstruction, where:</w:t>
      </w:r>
    </w:p>
    <w:p w14:paraId="4B05B52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1) the ship building is the building of self-propelled seaborne trade ships;</w:t>
      </w:r>
    </w:p>
    <w:p w14:paraId="35042E0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2) the ship repair is the repair or renewal of self-propelled seaborne trade ships;</w:t>
      </w:r>
    </w:p>
    <w:p w14:paraId="7C66A29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3) the ship reconstruction is the reconstruction of such self-propelled seaborne trade ships the gross tonnage of which is not less than 1000 tons, on the condition, that the reconstruction includes fundamental changes to the cargo plan, hull, engine system or passenger accommodation;</w:t>
      </w:r>
    </w:p>
    <w:p w14:paraId="0878C28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4) self-propelled seaborne trade ships are:</w:t>
      </w:r>
    </w:p>
    <w:p w14:paraId="1BCC04D2"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a) ships the gross tonnage of which is not less than 100 tons and which are utilised for the carriage of passengers and/or goods;</w:t>
      </w:r>
    </w:p>
    <w:p w14:paraId="7CE1BA36"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b) ships, which provide special services (for example, dredgers and ice-breakers) the gross tonnage of which is not less than 100 tons;</w:t>
      </w:r>
    </w:p>
    <w:p w14:paraId="7AB1A638"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c) tugs the capacity of which is not less than 365 kW;</w:t>
      </w:r>
    </w:p>
    <w:p w14:paraId="0C42B53F"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d) fishing vessels the gross tonnage of which is not less than 100 tons;</w:t>
      </w:r>
    </w:p>
    <w:p w14:paraId="762FF1F3" w14:textId="77777777" w:rsidR="00C13DCD" w:rsidRPr="00C13DCD" w:rsidRDefault="00C13DCD" w:rsidP="00C13DCD">
      <w:pPr>
        <w:spacing w:after="0" w:line="240" w:lineRule="auto"/>
        <w:ind w:left="709" w:firstLine="709"/>
        <w:jc w:val="both"/>
        <w:rPr>
          <w:rFonts w:ascii="Times New Roman" w:hAnsi="Times New Roman"/>
          <w:noProof/>
          <w:sz w:val="24"/>
          <w:lang w:val="en-US"/>
        </w:rPr>
      </w:pPr>
      <w:r w:rsidRPr="00C13DCD">
        <w:rPr>
          <w:rFonts w:ascii="Times New Roman" w:hAnsi="Times New Roman"/>
          <w:noProof/>
          <w:sz w:val="24"/>
          <w:lang w:val="en-US"/>
        </w:rPr>
        <w:t>e) the unfinished hulls of the ships referred to in Clauses “a”, “b”, “c” and “d” of this Paragraph, which are floating and movable;</w:t>
      </w:r>
    </w:p>
    <w:p w14:paraId="2861DCB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5) a self-propelled seaborne ship is a ship which, by using its propulsion and control, has all the characteristics in order that it may be suitable for independent navigation at sea.</w:t>
      </w:r>
    </w:p>
    <w:p w14:paraId="4D5DC9A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20EC03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ship building, repair and reconstruction of warships (ships, which in accordance with their construction characteristics and abilities are specially intended for utilisation only for military purposes, for example, warships and other ships for attack or defence) and other ships intended for utilisation for military purposes, on the condition, that the activities performed on such ships are not hidden activities, which are performed for the benefit of trade ship building.</w:t>
      </w:r>
    </w:p>
    <w:p w14:paraId="2AF12466" w14:textId="77777777" w:rsidR="00C13DCD" w:rsidRPr="00C13DCD" w:rsidRDefault="00C13DCD" w:rsidP="00C13DCD">
      <w:pPr>
        <w:rPr>
          <w:noProof/>
          <w:lang w:val="en-US"/>
        </w:rPr>
      </w:pPr>
      <w:bookmarkStart w:id="126" w:name="piel8"/>
      <w:bookmarkEnd w:id="126"/>
      <w:r w:rsidRPr="00C13DCD">
        <w:rPr>
          <w:noProof/>
          <w:lang w:val="en-US"/>
        </w:rPr>
        <w:br w:type="page"/>
      </w:r>
    </w:p>
    <w:p w14:paraId="000E20C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90CC704" w14:textId="77777777" w:rsidR="00C13DCD" w:rsidRPr="00C13DCD" w:rsidRDefault="00C13DCD" w:rsidP="00C13DCD">
      <w:pPr>
        <w:spacing w:after="0" w:line="240" w:lineRule="auto"/>
        <w:jc w:val="right"/>
        <w:rPr>
          <w:rFonts w:ascii="Times New Roman" w:hAnsi="Times New Roman"/>
          <w:noProof/>
          <w:sz w:val="24"/>
          <w:lang w:val="en-US"/>
        </w:rPr>
      </w:pPr>
      <w:r w:rsidRPr="00C13DCD">
        <w:rPr>
          <w:rFonts w:ascii="Times New Roman" w:hAnsi="Times New Roman"/>
          <w:noProof/>
          <w:sz w:val="24"/>
          <w:lang w:val="en-US"/>
        </w:rPr>
        <w:t>Law On the Application of Taxes in Free Ports and Special Economic Zones</w:t>
      </w:r>
    </w:p>
    <w:p w14:paraId="3A3BB1EE"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8</w:t>
      </w:r>
      <w:bookmarkStart w:id="127" w:name="piel-520881"/>
      <w:bookmarkEnd w:id="127"/>
    </w:p>
    <w:p w14:paraId="1F25D7E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128" w:name="1053786"/>
      <w:bookmarkStart w:id="129" w:name="n-1053786"/>
      <w:bookmarkEnd w:id="128"/>
      <w:bookmarkEnd w:id="129"/>
    </w:p>
    <w:p w14:paraId="09D83D4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7B321B6" w14:textId="77777777" w:rsidR="00C13DCD" w:rsidRPr="00C13DCD" w:rsidRDefault="00C13DCD" w:rsidP="00C13DCD">
      <w:pPr>
        <w:spacing w:after="0" w:line="240" w:lineRule="auto"/>
        <w:jc w:val="center"/>
        <w:rPr>
          <w:rFonts w:ascii="Times New Roman" w:hAnsi="Times New Roman"/>
          <w:b/>
          <w:noProof/>
          <w:sz w:val="28"/>
          <w:lang w:val="en-US"/>
        </w:rPr>
      </w:pPr>
      <w:r w:rsidRPr="00C13DCD">
        <w:rPr>
          <w:rFonts w:ascii="Times New Roman" w:hAnsi="Times New Roman"/>
          <w:b/>
          <w:noProof/>
          <w:sz w:val="28"/>
          <w:lang w:val="en-US"/>
        </w:rPr>
        <w:t>Information to be Provided to the Zone Authority or Free Port Authority for the Conclusion of a Contract for the Making of Investments</w:t>
      </w:r>
    </w:p>
    <w:p w14:paraId="3E210BF3" w14:textId="77777777" w:rsidR="00C13DCD" w:rsidRPr="00C13DCD" w:rsidRDefault="00C13DCD" w:rsidP="00C13DCD">
      <w:pPr>
        <w:spacing w:after="0" w:line="240" w:lineRule="auto"/>
        <w:jc w:val="center"/>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3 July 2014; 1 March 2018; 14 May 2020; 3 March 2022</w:t>
      </w:r>
      <w:r w:rsidRPr="00C13DCD">
        <w:rPr>
          <w:rFonts w:ascii="Times New Roman" w:hAnsi="Times New Roman"/>
          <w:noProof/>
          <w:sz w:val="24"/>
          <w:lang w:val="en-US"/>
        </w:rPr>
        <w:t>]</w:t>
      </w:r>
    </w:p>
    <w:p w14:paraId="14D4320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130" w:name="p-1053787"/>
      <w:bookmarkEnd w:id="130"/>
    </w:p>
    <w:p w14:paraId="2B90450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8B6165B"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Name, registration number of the capital company, registration number, contact information of the taxpayer.</w:t>
      </w:r>
    </w:p>
    <w:p w14:paraId="5C848CF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4205C0F"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The zone authority or free port authority to which the application was submitted.</w:t>
      </w:r>
    </w:p>
    <w:p w14:paraId="4878891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330D2F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Level III region of the Nomenclature of Territorial Units for Statistics (NUTS), in which investments will be made.</w:t>
      </w:r>
    </w:p>
    <w:p w14:paraId="1319EE6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4DBA06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Title of the investment project.</w:t>
      </w:r>
    </w:p>
    <w:p w14:paraId="58A4CDE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57D06B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Description of the planned initial investments, indicating whether investments are planned in relation to:</w:t>
      </w:r>
    </w:p>
    <w:p w14:paraId="6878745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the establishment of a new capital company;</w:t>
      </w:r>
    </w:p>
    <w:p w14:paraId="7014658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b) the increase in the production or service capacity of an existing capital company;</w:t>
      </w:r>
    </w:p>
    <w:p w14:paraId="5988CFA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the diversification of the production of an existing capital company with products, which have not been previously produced in the capital company;</w:t>
      </w:r>
    </w:p>
    <w:p w14:paraId="7093163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fundamental change in production processes of a capital company.</w:t>
      </w:r>
    </w:p>
    <w:p w14:paraId="55C7AF3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89ABC2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Amount of the planned initial investments (euros).</w:t>
      </w:r>
    </w:p>
    <w:p w14:paraId="1331342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1ABA6E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7. Start date of the planned initial investments.</w:t>
      </w:r>
    </w:p>
    <w:p w14:paraId="112E856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0C0443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8. End date of the planned initial investments.</w:t>
      </w:r>
    </w:p>
    <w:p w14:paraId="2B06BC1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C6B8A3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9. In relation to other initial investment projects commenced by the capital company, for implementation of which aid is received, including </w:t>
      </w:r>
      <w:r w:rsidRPr="00C13DCD">
        <w:rPr>
          <w:rFonts w:ascii="Times New Roman" w:hAnsi="Times New Roman"/>
          <w:i/>
          <w:noProof/>
          <w:sz w:val="24"/>
          <w:lang w:val="en-US"/>
        </w:rPr>
        <w:t xml:space="preserve">de minimis </w:t>
      </w:r>
      <w:r w:rsidRPr="00C13DCD">
        <w:rPr>
          <w:rFonts w:ascii="Times New Roman" w:hAnsi="Times New Roman"/>
          <w:noProof/>
          <w:sz w:val="24"/>
          <w:lang w:val="en-US"/>
        </w:rPr>
        <w:t>aid, the following information shall be indicated:</w:t>
      </w:r>
    </w:p>
    <w:p w14:paraId="04A2261E"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title of the project;</w:t>
      </w:r>
    </w:p>
    <w:p w14:paraId="5B9D00F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b) Level III region of the Nomenclature of Territorial Units for Statistics (NUTS), in which investments will be made;</w:t>
      </w:r>
    </w:p>
    <w:p w14:paraId="313B338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investment objects and their relation to the planned investments for receipt of tax reliefs;</w:t>
      </w:r>
    </w:p>
    <w:p w14:paraId="47340760"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the maximum aid interest rate applied;</w:t>
      </w:r>
    </w:p>
    <w:p w14:paraId="320BBF1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e) amount of investments (euros);</w:t>
      </w:r>
    </w:p>
    <w:p w14:paraId="07AEF807"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f) start and end date for making investments;</w:t>
      </w:r>
    </w:p>
    <w:p w14:paraId="5E6DE52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g) legal basis for providing aid (law, Cabinet regulation, etc.);</w:t>
      </w:r>
    </w:p>
    <w:p w14:paraId="38FC12D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h) date of the decision of the authority providing aid to assign aid.</w:t>
      </w:r>
    </w:p>
    <w:p w14:paraId="396C3CAB"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8602F3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10. In relation to other planned initial investment projects of the capital company for the implementation of which aid, including </w:t>
      </w:r>
      <w:r w:rsidRPr="00C13DCD">
        <w:rPr>
          <w:rFonts w:ascii="Times New Roman" w:hAnsi="Times New Roman"/>
          <w:i/>
          <w:noProof/>
          <w:sz w:val="24"/>
          <w:lang w:val="en-US"/>
        </w:rPr>
        <w:t xml:space="preserve">de minimis </w:t>
      </w:r>
      <w:r w:rsidRPr="00C13DCD">
        <w:rPr>
          <w:rFonts w:ascii="Times New Roman" w:hAnsi="Times New Roman"/>
          <w:noProof/>
          <w:sz w:val="24"/>
          <w:lang w:val="en-US"/>
        </w:rPr>
        <w:t>aid, is planned to be received, the following information shall be provided:</w:t>
      </w:r>
    </w:p>
    <w:p w14:paraId="6CFEE75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title of the project;</w:t>
      </w:r>
    </w:p>
    <w:p w14:paraId="09FE5A4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lastRenderedPageBreak/>
        <w:t>b) Level III region of the Nomenclature of Territorial Units for Statistics (NUTS), in which investments will be made;</w:t>
      </w:r>
    </w:p>
    <w:p w14:paraId="7DD98BD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investment objects and their relation to the planned investments for receipt of tax reliefs;</w:t>
      </w:r>
    </w:p>
    <w:p w14:paraId="1DD6863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the maximum aid interest rate applied;</w:t>
      </w:r>
    </w:p>
    <w:p w14:paraId="49E8581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e) amount of investments (euros);</w:t>
      </w:r>
    </w:p>
    <w:p w14:paraId="7187DE84"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f) start and end date for making investments;</w:t>
      </w:r>
    </w:p>
    <w:p w14:paraId="0470535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g) legal basis for providing aid (law, Cabinet regulation, etc.);</w:t>
      </w:r>
    </w:p>
    <w:p w14:paraId="6439B49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h) date of the decision of the authority providing aid to assign aid.</w:t>
      </w:r>
    </w:p>
    <w:p w14:paraId="14D15D4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EF4E3A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 xml:space="preserve">11. In relation to other made and completed initial investment projects of the capital company for the implementation of which aid was received, including </w:t>
      </w:r>
      <w:r w:rsidRPr="00C13DCD">
        <w:rPr>
          <w:rFonts w:ascii="Times New Roman" w:hAnsi="Times New Roman"/>
          <w:i/>
          <w:noProof/>
          <w:sz w:val="24"/>
          <w:lang w:val="en-US"/>
        </w:rPr>
        <w:t xml:space="preserve">de minimis </w:t>
      </w:r>
      <w:r w:rsidRPr="00C13DCD">
        <w:rPr>
          <w:rFonts w:ascii="Times New Roman" w:hAnsi="Times New Roman"/>
          <w:noProof/>
          <w:sz w:val="24"/>
          <w:lang w:val="en-US"/>
        </w:rPr>
        <w:t>aid, the following information shall be provided:</w:t>
      </w:r>
    </w:p>
    <w:p w14:paraId="53CF7775"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title of the project;</w:t>
      </w:r>
    </w:p>
    <w:p w14:paraId="592696E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b) Level III region of the Nomenclature of Territorial Units for Statistics (NUTS), in which investments were made;</w:t>
      </w:r>
    </w:p>
    <w:p w14:paraId="3877D5C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investment objects and their relation to the planned investments for receipt of tax reliefs;</w:t>
      </w:r>
    </w:p>
    <w:p w14:paraId="68507C5E"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the maximum aid interest rate applied;</w:t>
      </w:r>
    </w:p>
    <w:p w14:paraId="72C01CE1"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e) amount of investments (euros);</w:t>
      </w:r>
    </w:p>
    <w:p w14:paraId="4F20D1C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f) start and end date for making investments;</w:t>
      </w:r>
    </w:p>
    <w:p w14:paraId="391DC59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g) legal basis for providing aid (law, Cabinet regulation, etc.).</w:t>
      </w:r>
    </w:p>
    <w:p w14:paraId="4632386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FAB9022"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12. If the capital company provides the information referred to in Paragraphs 9, 10 and 11 of this Annex, it shall be indicated whether the initial investment projects implemented and planned by the capital company do not qualify as a single investment project as defined in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two of this Law.</w:t>
      </w:r>
    </w:p>
    <w:p w14:paraId="43C5165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AF78F2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13. The planned aid percentage for the application of tax reliefs (determined in accordance with Section 8, Paragraph one,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three or Section 8.</w:t>
      </w:r>
      <w:r w:rsidRPr="00C13DCD">
        <w:rPr>
          <w:rFonts w:ascii="Times New Roman" w:hAnsi="Times New Roman"/>
          <w:noProof/>
          <w:sz w:val="24"/>
          <w:vertAlign w:val="superscript"/>
          <w:lang w:val="en-US"/>
        </w:rPr>
        <w:t>2</w:t>
      </w:r>
      <w:r w:rsidRPr="00C13DCD">
        <w:rPr>
          <w:rFonts w:ascii="Times New Roman" w:hAnsi="Times New Roman"/>
          <w:noProof/>
          <w:sz w:val="24"/>
          <w:lang w:val="en-US"/>
        </w:rPr>
        <w:t>, Paragraphs one and two of this Law).</w:t>
      </w:r>
    </w:p>
    <w:p w14:paraId="063AB85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5BD87F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14. Status of the capital company at the time of submitting the project application as defined in Annex I to Commission Regulation No 651/2014 (large, medium-sized or small capital company).</w:t>
      </w:r>
    </w:p>
    <w:p w14:paraId="2314E8D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4355419"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15. Certification of the capital company that it will ensure financial investment in the amount of at least 25 per cent from the total investment project costs provided for in the contract for the making of investments,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3CE834A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3399269"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16. Taking into account the sectoral restrictions laid down in Section 5, Paragraph four and Paragraph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of this Law, the goods manufactured or services provided within the scope of the investment project shall be determined according to PRODCOM/NACE/CPA (CPA – in case of service projects) classifications where:</w:t>
      </w:r>
    </w:p>
    <w:p w14:paraId="42B29D8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PRODCOM – production statistics for mining and manufacturing products;</w:t>
      </w:r>
    </w:p>
    <w:p w14:paraId="59517C7C"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NACE – general classification of economic activities;</w:t>
      </w:r>
    </w:p>
    <w:p w14:paraId="26218F5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CPA – Statistical Classification of Products by Activity of the European Union.</w:t>
      </w:r>
    </w:p>
    <w:p w14:paraId="7084E4D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54B8C4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lastRenderedPageBreak/>
        <w:t>17. Certification that investments will remain in the respective district for at least five years (or in case or small or medium-sized capital companies – three years) since their making.</w:t>
      </w:r>
    </w:p>
    <w:p w14:paraId="2E50818A"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186627F"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18. Certification of the capital company that an order on the recovery of unlawfully assigned aid according to a previous decision of the capital company does not apply to the capital company.</w:t>
      </w:r>
    </w:p>
    <w:p w14:paraId="7B7D9A6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C9902F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19. Information that the capital company does not conform to the status of a capital company in difficulty in accordance with Article 2(18) of Commission Regulation No 651/2014, except for the capital companies which were not in difficulty as of 31 December 2019 but became capital companies in difficulty during the period from 1 January 2020 to 31 December 2021 and continue to be such after 31 December 2021.</w:t>
      </w:r>
    </w:p>
    <w:p w14:paraId="351465C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A9129C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20. Certification that the capital company has not commenced and will not commence works on the project prior to entering into effect of the contract for the making of an investment.</w:t>
      </w:r>
    </w:p>
    <w:p w14:paraId="5DFDAB9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7AD6F76"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21. If within the scope of this Law tax reliefs are planned to be cumulated with other aid to investments, certification of the capital company that making of investments has not been commenced.</w:t>
      </w:r>
    </w:p>
    <w:p w14:paraId="039A026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659BDB2"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22. Certification that a capital company, within the past two years prior to the submission of the application for the conclusion a contract for the making of investments, has not carried out relocation to the respective territory of the zone or free port where the initial investment for which aid is requested shall be made and undertakes not to do so for two years after completion of the initial investment for which aid is requested.</w:t>
      </w:r>
    </w:p>
    <w:p w14:paraId="7BCF1E91" w14:textId="77777777" w:rsidR="00C13DCD" w:rsidRPr="00C13DCD" w:rsidRDefault="00C13DCD" w:rsidP="00C13DCD">
      <w:pPr>
        <w:rPr>
          <w:noProof/>
          <w:lang w:val="en-US"/>
        </w:rPr>
      </w:pPr>
      <w:bookmarkStart w:id="131" w:name="piel9"/>
      <w:bookmarkEnd w:id="131"/>
      <w:r w:rsidRPr="00C13DCD">
        <w:rPr>
          <w:noProof/>
          <w:lang w:val="en-US"/>
        </w:rPr>
        <w:br w:type="page"/>
      </w:r>
    </w:p>
    <w:p w14:paraId="53D496C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DA89ADF" w14:textId="77777777" w:rsidR="00C13DCD" w:rsidRPr="00C13DCD" w:rsidRDefault="00C13DCD" w:rsidP="00C13DCD">
      <w:pPr>
        <w:spacing w:after="0" w:line="240" w:lineRule="auto"/>
        <w:jc w:val="right"/>
        <w:rPr>
          <w:rFonts w:ascii="Times New Roman" w:hAnsi="Times New Roman"/>
          <w:noProof/>
          <w:sz w:val="24"/>
          <w:lang w:val="en-US"/>
        </w:rPr>
      </w:pPr>
      <w:r w:rsidRPr="00C13DCD">
        <w:rPr>
          <w:rFonts w:ascii="Times New Roman" w:hAnsi="Times New Roman"/>
          <w:noProof/>
          <w:sz w:val="24"/>
          <w:lang w:val="en-US"/>
        </w:rPr>
        <w:t>Law On the Application of Taxes in Free Ports and Special Economic Zones</w:t>
      </w:r>
    </w:p>
    <w:p w14:paraId="684A234B" w14:textId="77777777" w:rsidR="00C13DCD" w:rsidRPr="00C13DCD" w:rsidRDefault="00C13DCD" w:rsidP="00C13DCD">
      <w:pPr>
        <w:spacing w:after="0" w:line="240" w:lineRule="auto"/>
        <w:jc w:val="right"/>
        <w:rPr>
          <w:rFonts w:ascii="Times New Roman" w:hAnsi="Times New Roman"/>
          <w:b/>
          <w:noProof/>
          <w:sz w:val="24"/>
          <w:lang w:val="en-US"/>
        </w:rPr>
      </w:pPr>
      <w:r w:rsidRPr="00C13DCD">
        <w:rPr>
          <w:rFonts w:ascii="Times New Roman" w:hAnsi="Times New Roman"/>
          <w:b/>
          <w:noProof/>
          <w:sz w:val="24"/>
          <w:lang w:val="en-US"/>
        </w:rPr>
        <w:t>Annex 9</w:t>
      </w:r>
      <w:bookmarkStart w:id="132" w:name="piel-735902"/>
      <w:bookmarkEnd w:id="132"/>
    </w:p>
    <w:p w14:paraId="7F38DC9E"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133" w:name="1053789"/>
      <w:bookmarkStart w:id="134" w:name="n-1053789"/>
      <w:bookmarkEnd w:id="133"/>
      <w:bookmarkEnd w:id="134"/>
    </w:p>
    <w:p w14:paraId="43749A9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B5AD8EF"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741395F" w14:textId="77777777" w:rsidR="00C13DCD" w:rsidRPr="00C13DCD" w:rsidRDefault="00C13DCD" w:rsidP="00C13DCD">
      <w:pPr>
        <w:spacing w:after="0" w:line="240" w:lineRule="auto"/>
        <w:jc w:val="center"/>
        <w:rPr>
          <w:rFonts w:ascii="Times New Roman" w:hAnsi="Times New Roman"/>
          <w:b/>
          <w:noProof/>
          <w:sz w:val="28"/>
          <w:lang w:val="en-US"/>
        </w:rPr>
      </w:pPr>
      <w:r w:rsidRPr="00C13DCD">
        <w:rPr>
          <w:rFonts w:ascii="Times New Roman" w:hAnsi="Times New Roman"/>
          <w:b/>
          <w:noProof/>
          <w:sz w:val="28"/>
          <w:lang w:val="en-US"/>
        </w:rPr>
        <w:t>Information to be Provided to a Zone Authority for the Conclusion of a Contract for the Settlement of Estimated Wage Costs</w:t>
      </w:r>
    </w:p>
    <w:p w14:paraId="3C429E65" w14:textId="77777777" w:rsidR="00C13DCD" w:rsidRPr="00C13DCD" w:rsidRDefault="00C13DCD" w:rsidP="00C13DCD">
      <w:pPr>
        <w:spacing w:after="0" w:line="240" w:lineRule="auto"/>
        <w:jc w:val="center"/>
        <w:rPr>
          <w:rFonts w:ascii="Times New Roman" w:eastAsia="Times New Roman" w:hAnsi="Times New Roman" w:cs="Times New Roman"/>
          <w:noProof/>
          <w:sz w:val="24"/>
          <w:szCs w:val="24"/>
          <w:lang w:val="en-US"/>
        </w:rPr>
      </w:pPr>
      <w:r w:rsidRPr="00C13DCD">
        <w:rPr>
          <w:rFonts w:ascii="Times New Roman" w:hAnsi="Times New Roman"/>
          <w:noProof/>
          <w:sz w:val="24"/>
          <w:lang w:val="en-US"/>
        </w:rPr>
        <w:t>[</w:t>
      </w:r>
      <w:r w:rsidRPr="00C13DCD">
        <w:rPr>
          <w:rFonts w:ascii="Times New Roman" w:hAnsi="Times New Roman"/>
          <w:i/>
          <w:iCs/>
          <w:noProof/>
          <w:sz w:val="24"/>
          <w:lang w:val="en-US"/>
        </w:rPr>
        <w:t>14 May 2020; 13 May 2021; 3 March 2022</w:t>
      </w:r>
      <w:r w:rsidRPr="00C13DCD">
        <w:rPr>
          <w:rFonts w:ascii="Times New Roman" w:hAnsi="Times New Roman"/>
          <w:noProof/>
          <w:sz w:val="24"/>
          <w:lang w:val="en-US"/>
        </w:rPr>
        <w:t>]</w:t>
      </w:r>
    </w:p>
    <w:p w14:paraId="62C35AF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bookmarkStart w:id="135" w:name="p-1053788"/>
      <w:bookmarkEnd w:id="3"/>
      <w:bookmarkEnd w:id="135"/>
    </w:p>
    <w:p w14:paraId="7B857A2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AAB8AB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 Name, registration number, taxpayer registration number and contact information of a zone capital company.</w:t>
      </w:r>
    </w:p>
    <w:p w14:paraId="31F4C3C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6077F7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2. A zone authority to which the application has been submitted.</w:t>
      </w:r>
    </w:p>
    <w:p w14:paraId="38B1A75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26E57EE"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3. Level III region of the Nomenclature of Territorial Units for Statistics (NUTS) in which initial investments will be made.</w:t>
      </w:r>
    </w:p>
    <w:p w14:paraId="2E30015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02AFD26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4. Title of the investment project.</w:t>
      </w:r>
    </w:p>
    <w:p w14:paraId="2E26851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6CBAF0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5. Description of the planned initial investments by indicating whether initial investments are planned in relation to:</w:t>
      </w:r>
    </w:p>
    <w:p w14:paraId="1F056AF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the establishment of a new capital company;</w:t>
      </w:r>
    </w:p>
    <w:p w14:paraId="2DE56903"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b) the increase in the production or service capacity of an existing capital company;</w:t>
      </w:r>
    </w:p>
    <w:p w14:paraId="54FA656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the diversification of the production of an existing capital company with products, which have not been previously produced in the capital company;</w:t>
      </w:r>
    </w:p>
    <w:p w14:paraId="25117EB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fundamental change in production processes of a capital company.</w:t>
      </w:r>
    </w:p>
    <w:p w14:paraId="2B37A300"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075136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6. The planned number of newly created workplaces.</w:t>
      </w:r>
    </w:p>
    <w:p w14:paraId="7675956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7F090F8"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7. The amount of estimated wage costs (EUR).</w:t>
      </w:r>
    </w:p>
    <w:p w14:paraId="02F62EC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396D09A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8. The start and end dates of estimated wage costs.</w:t>
      </w:r>
    </w:p>
    <w:p w14:paraId="2717BCC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4B149B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9. The following information shall be provided in respect of the sums of eligible costs (initial investments or estimated wage costs) settled by a zone capital company during the last three years for which the zone capital company has received aid and also the planned sums of eligible costs:</w:t>
      </w:r>
    </w:p>
    <w:p w14:paraId="30652F18"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a) title of the project;</w:t>
      </w:r>
    </w:p>
    <w:p w14:paraId="34CC881B"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b) Level III region of the Nomenclature of Territorial Units for Statistics (NUTS) in which the sums of eligible costs were settled;</w:t>
      </w:r>
    </w:p>
    <w:p w14:paraId="258E4C3A"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c) investment objects and their relation to the planned sums of eligible costs for the receipt of tax reliefs;</w:t>
      </w:r>
    </w:p>
    <w:p w14:paraId="5F0F0D6F"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d) the maximum aid interest rate applied;</w:t>
      </w:r>
    </w:p>
    <w:p w14:paraId="5F833649"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e) the sum of eligible costs (EUR);</w:t>
      </w:r>
    </w:p>
    <w:p w14:paraId="47C67BFD"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f) the start and end time period for the settlement of eligible costs;</w:t>
      </w:r>
    </w:p>
    <w:p w14:paraId="248F8136" w14:textId="77777777" w:rsidR="00C13DCD" w:rsidRPr="00C13DCD" w:rsidRDefault="00C13DCD" w:rsidP="00C13DCD">
      <w:pPr>
        <w:spacing w:after="0" w:line="240" w:lineRule="auto"/>
        <w:ind w:firstLine="709"/>
        <w:jc w:val="both"/>
        <w:rPr>
          <w:rFonts w:ascii="Times New Roman" w:hAnsi="Times New Roman"/>
          <w:noProof/>
          <w:sz w:val="24"/>
          <w:lang w:val="en-US"/>
        </w:rPr>
      </w:pPr>
      <w:r w:rsidRPr="00C13DCD">
        <w:rPr>
          <w:rFonts w:ascii="Times New Roman" w:hAnsi="Times New Roman"/>
          <w:noProof/>
          <w:sz w:val="24"/>
          <w:lang w:val="en-US"/>
        </w:rPr>
        <w:t>g) legal basis for providing aid (law, Cabinet regulation, etc.).</w:t>
      </w:r>
    </w:p>
    <w:p w14:paraId="305CC87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2833A85"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rPr>
      </w:pPr>
      <w:r w:rsidRPr="00C13DCD">
        <w:rPr>
          <w:rFonts w:ascii="Times New Roman" w:hAnsi="Times New Roman"/>
          <w:noProof/>
          <w:sz w:val="24"/>
          <w:lang w:val="en-US"/>
        </w:rPr>
        <w:t>10. The planned aid percentage for the application of tax reliefs for estimated wage costs (determined in accordance with Section 8, Paragraphs one and two, Section 8.</w:t>
      </w:r>
      <w:r w:rsidRPr="00C13DCD">
        <w:rPr>
          <w:rFonts w:ascii="Times New Roman" w:hAnsi="Times New Roman"/>
          <w:noProof/>
          <w:sz w:val="24"/>
          <w:vertAlign w:val="superscript"/>
          <w:lang w:val="en-US"/>
        </w:rPr>
        <w:t>1</w:t>
      </w:r>
      <w:r w:rsidRPr="00C13DCD">
        <w:rPr>
          <w:rFonts w:ascii="Times New Roman" w:hAnsi="Times New Roman"/>
          <w:noProof/>
          <w:sz w:val="24"/>
          <w:lang w:val="en-US"/>
        </w:rPr>
        <w:t>, Paragraph three or Section 8.</w:t>
      </w:r>
      <w:r w:rsidRPr="00C13DCD">
        <w:rPr>
          <w:rFonts w:ascii="Times New Roman" w:hAnsi="Times New Roman"/>
          <w:noProof/>
          <w:sz w:val="24"/>
          <w:vertAlign w:val="superscript"/>
          <w:lang w:val="en-US"/>
        </w:rPr>
        <w:t>2</w:t>
      </w:r>
      <w:r w:rsidRPr="00C13DCD">
        <w:rPr>
          <w:rFonts w:ascii="Times New Roman" w:hAnsi="Times New Roman"/>
          <w:noProof/>
          <w:sz w:val="24"/>
          <w:lang w:val="en-US"/>
        </w:rPr>
        <w:t>, Paragraph four of this Law).</w:t>
      </w:r>
    </w:p>
    <w:p w14:paraId="2F68F07C"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67DE9BBD"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11. Status of a zone capital company at the time of submitting the project application as laid down in Annex I to Commission Regulation No 651/2014 (large, medium-sized or small capital company).</w:t>
      </w:r>
    </w:p>
    <w:p w14:paraId="62098191"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21BC84B3"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12. The certification of a zone capital company that the investment project will create a net increase in the number of employees within the meaning of Article 2(32) of Commission Regulation No 651/2014, compared with the average indicator over the previous 12 months, and that the workplace is ensured by a capital company at least within three years after completing initial investments by considering that the declared place of residence of the employee is located in the Latgale Planning Region in respect of a Rēzekne Special Economic Zone and Latgale Special Economic Zone capital company, but in respect of a Liepāja Special Economic Zone capital company – in Liepāja local government, Dienvidkurzeme municipality, or Alsunga rural territory of Kuldīga municipality included in the Kurzeme Planning Region, and the workplace will be retained for at least five years in a large capital company, whereas in small or medium-sized capital companies – for at least three years from the day when the relevant workplace was ensured for the first time.</w:t>
      </w:r>
    </w:p>
    <w:p w14:paraId="583B8584"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E7E0585"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13. Certification of a zone capital company that it would ensure the financial investment in the amount of at least 25 per cent from the total estimated wage costs within the scope of an investment project provided for in the contract for the settlement of estimated wage costs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43A6C716"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703075EC"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14. Certification of a zone capital company that works on the project in conformity with that laid down in Section 1, Paragraph two, Clause 12 of this Law would be commenced only after entering into effect of the contract for the settlement of estimated wage costs.</w:t>
      </w:r>
    </w:p>
    <w:p w14:paraId="0E28E443"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51C985D4"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15. Taking into account the restrictions on the types of economic activity laid down for zone capital companies in Section 5, Paragraphs four, 4.</w:t>
      </w:r>
      <w:r w:rsidRPr="00C13DCD">
        <w:rPr>
          <w:rFonts w:ascii="Times New Roman" w:hAnsi="Times New Roman"/>
          <w:noProof/>
          <w:sz w:val="24"/>
          <w:vertAlign w:val="superscript"/>
          <w:lang w:val="en-US"/>
        </w:rPr>
        <w:t xml:space="preserve">1 </w:t>
      </w:r>
      <w:r w:rsidRPr="00C13DCD">
        <w:rPr>
          <w:rFonts w:ascii="Times New Roman" w:hAnsi="Times New Roman"/>
          <w:noProof/>
          <w:sz w:val="24"/>
          <w:lang w:val="en-US"/>
        </w:rPr>
        <w:t>and 4.</w:t>
      </w:r>
      <w:r w:rsidRPr="00C13DCD">
        <w:rPr>
          <w:rFonts w:ascii="Times New Roman" w:hAnsi="Times New Roman"/>
          <w:noProof/>
          <w:sz w:val="24"/>
          <w:vertAlign w:val="superscript"/>
          <w:lang w:val="en-US"/>
        </w:rPr>
        <w:t xml:space="preserve">2 </w:t>
      </w:r>
      <w:r w:rsidRPr="00C13DCD">
        <w:rPr>
          <w:rFonts w:ascii="Times New Roman" w:hAnsi="Times New Roman"/>
          <w:noProof/>
          <w:sz w:val="24"/>
          <w:lang w:val="en-US"/>
        </w:rPr>
        <w:t>of this Law, estimated wage costs within the scope of an investment project shall be determined for zone capital companies with the type of economic activity in conformity with NACE – general classification of economic activities. A zone capital company shall specify the relevant code of its economic activity.</w:t>
      </w:r>
    </w:p>
    <w:p w14:paraId="3B1FE54A" w14:textId="77777777" w:rsidR="00C13DCD" w:rsidRPr="00C13DCD" w:rsidRDefault="00C13DCD" w:rsidP="00C13DCD">
      <w:pPr>
        <w:spacing w:after="0" w:line="240" w:lineRule="auto"/>
        <w:jc w:val="both"/>
        <w:rPr>
          <w:rFonts w:ascii="Times New Roman" w:hAnsi="Times New Roman"/>
          <w:noProof/>
          <w:sz w:val="24"/>
          <w:lang w:val="en-US"/>
        </w:rPr>
      </w:pPr>
    </w:p>
    <w:p w14:paraId="51AC2877"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16. Certification of a zone capital company that an order on the recovery of an illegal and incompatible State aid in accordance with a previous decision of the European Commission does not apply to it.</w:t>
      </w:r>
    </w:p>
    <w:p w14:paraId="54993C3D"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15A8D64A"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17. Information that the zone capital company does not conform to the status of a zone capital company in difficulty in accordance with Article 2(18) of Commission Regulation No 651/2014, except for the capital companies which were not in difficulty as of 31 December 2019 but became capital companies in difficulty during the time period from 1 January 2020 to 31 December 2021 and continue to be such after 31 December 2021.</w:t>
      </w:r>
    </w:p>
    <w:p w14:paraId="09319E77" w14:textId="77777777" w:rsidR="00C13DCD" w:rsidRPr="00C13DCD" w:rsidRDefault="00C13DCD" w:rsidP="00C13DCD">
      <w:pPr>
        <w:spacing w:after="0" w:line="240" w:lineRule="auto"/>
        <w:jc w:val="both"/>
        <w:rPr>
          <w:rFonts w:ascii="Times New Roman" w:eastAsia="Times New Roman" w:hAnsi="Times New Roman" w:cs="Times New Roman"/>
          <w:noProof/>
          <w:sz w:val="24"/>
          <w:szCs w:val="24"/>
          <w:lang w:val="en-US" w:eastAsia="lv-LV"/>
        </w:rPr>
      </w:pPr>
    </w:p>
    <w:p w14:paraId="4F98FCF1" w14:textId="77777777" w:rsidR="00C13DCD" w:rsidRPr="00C13DCD" w:rsidRDefault="00C13DCD" w:rsidP="00C13DCD">
      <w:pPr>
        <w:spacing w:after="0" w:line="240" w:lineRule="auto"/>
        <w:jc w:val="both"/>
        <w:rPr>
          <w:rFonts w:ascii="Times New Roman" w:hAnsi="Times New Roman"/>
          <w:noProof/>
          <w:sz w:val="24"/>
          <w:lang w:val="en-US"/>
        </w:rPr>
      </w:pPr>
      <w:r w:rsidRPr="00C13DCD">
        <w:rPr>
          <w:rFonts w:ascii="Times New Roman" w:hAnsi="Times New Roman"/>
          <w:noProof/>
          <w:sz w:val="24"/>
          <w:lang w:val="en-US"/>
        </w:rPr>
        <w:t>18. Certification that a zone capital company, within the past two years prior to the submission of the application for the conclusion a contract for the settlement of estimated wage costs, has not carried out relocation to the relevant territory of the zone where the settlement of estimated wage costs for which aid is requested shall be made, and undertakes not to do so for two years after completion of the initial investment.</w:t>
      </w:r>
    </w:p>
    <w:p w14:paraId="3B2C8EDB" w14:textId="77777777" w:rsidR="00C13DCD" w:rsidRPr="00C13DCD" w:rsidRDefault="00C13DCD" w:rsidP="00C13DCD">
      <w:pPr>
        <w:spacing w:after="0" w:line="240" w:lineRule="auto"/>
        <w:jc w:val="both"/>
        <w:rPr>
          <w:rFonts w:ascii="Times New Roman" w:hAnsi="Times New Roman"/>
          <w:noProof/>
          <w:sz w:val="24"/>
          <w:lang w:val="en-US"/>
        </w:rPr>
      </w:pPr>
    </w:p>
    <w:sectPr w:rsidR="00C13DCD" w:rsidRPr="00C13DCD" w:rsidSect="00F209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46A7" w14:textId="77777777" w:rsidR="00966E97" w:rsidRPr="00C13DCD" w:rsidRDefault="00966E97" w:rsidP="00F2092C">
      <w:pPr>
        <w:spacing w:after="0" w:line="240" w:lineRule="auto"/>
        <w:rPr>
          <w:noProof/>
          <w:lang w:val="en-US"/>
        </w:rPr>
      </w:pPr>
      <w:r w:rsidRPr="00C13DCD">
        <w:rPr>
          <w:noProof/>
          <w:lang w:val="en-US"/>
        </w:rPr>
        <w:separator/>
      </w:r>
    </w:p>
  </w:endnote>
  <w:endnote w:type="continuationSeparator" w:id="0">
    <w:p w14:paraId="12BD416C" w14:textId="77777777" w:rsidR="00966E97" w:rsidRPr="00C13DCD" w:rsidRDefault="00966E97" w:rsidP="00F2092C">
      <w:pPr>
        <w:spacing w:after="0" w:line="240" w:lineRule="auto"/>
        <w:rPr>
          <w:noProof/>
          <w:lang w:val="en-US"/>
        </w:rPr>
      </w:pPr>
      <w:r w:rsidRPr="00C13DC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0CF3" w14:textId="77777777" w:rsidR="00C13DCD" w:rsidRDefault="00C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C6CD" w14:textId="77777777" w:rsidR="00800F78" w:rsidRPr="00C13DCD" w:rsidRDefault="00800F78" w:rsidP="00800F78">
    <w:pPr>
      <w:pStyle w:val="Footer"/>
      <w:rPr>
        <w:rFonts w:ascii="Times New Roman" w:hAnsi="Times New Roman" w:cs="Times New Roman"/>
        <w:noProof/>
        <w:sz w:val="20"/>
        <w:szCs w:val="20"/>
        <w:lang w:val="en-US"/>
      </w:rPr>
    </w:pPr>
  </w:p>
  <w:p w14:paraId="55BE5A66" w14:textId="77777777" w:rsidR="00800F78" w:rsidRPr="00C13DCD" w:rsidRDefault="00800F78" w:rsidP="00800F78">
    <w:pPr>
      <w:pStyle w:val="Footer"/>
      <w:framePr w:wrap="around" w:vAnchor="text" w:hAnchor="margin" w:xAlign="right" w:y="1"/>
      <w:jc w:val="right"/>
      <w:rPr>
        <w:rStyle w:val="PageNumber"/>
        <w:rFonts w:ascii="Times New Roman" w:hAnsi="Times New Roman"/>
        <w:noProof/>
        <w:sz w:val="20"/>
        <w:szCs w:val="20"/>
        <w:lang w:val="en-US"/>
      </w:rPr>
    </w:pPr>
    <w:r w:rsidRPr="00C13DCD">
      <w:rPr>
        <w:rStyle w:val="PageNumber"/>
        <w:rFonts w:ascii="Times New Roman" w:hAnsi="Times New Roman"/>
        <w:noProof/>
        <w:sz w:val="20"/>
        <w:szCs w:val="20"/>
        <w:lang w:val="en-US"/>
      </w:rPr>
      <w:fldChar w:fldCharType="begin"/>
    </w:r>
    <w:r w:rsidRPr="00C13DCD">
      <w:rPr>
        <w:rStyle w:val="PageNumber"/>
        <w:rFonts w:ascii="Times New Roman" w:hAnsi="Times New Roman"/>
        <w:noProof/>
        <w:sz w:val="20"/>
        <w:szCs w:val="20"/>
        <w:lang w:val="en-US"/>
      </w:rPr>
      <w:instrText xml:space="preserve"> PAGE </w:instrText>
    </w:r>
    <w:r w:rsidRPr="00C13DCD">
      <w:rPr>
        <w:rStyle w:val="PageNumber"/>
        <w:rFonts w:ascii="Times New Roman" w:hAnsi="Times New Roman"/>
        <w:noProof/>
        <w:sz w:val="20"/>
        <w:szCs w:val="20"/>
        <w:lang w:val="en-US"/>
      </w:rPr>
      <w:fldChar w:fldCharType="separate"/>
    </w:r>
    <w:r w:rsidRPr="00C13DCD">
      <w:rPr>
        <w:rStyle w:val="PageNumber"/>
        <w:rFonts w:ascii="Times New Roman" w:hAnsi="Times New Roman"/>
        <w:noProof/>
        <w:sz w:val="20"/>
        <w:szCs w:val="20"/>
        <w:lang w:val="en-US"/>
      </w:rPr>
      <w:t>2</w:t>
    </w:r>
    <w:r w:rsidRPr="00C13DCD">
      <w:rPr>
        <w:rStyle w:val="PageNumber"/>
        <w:rFonts w:ascii="Times New Roman" w:hAnsi="Times New Roman"/>
        <w:noProof/>
        <w:sz w:val="20"/>
        <w:szCs w:val="20"/>
        <w:lang w:val="en-US"/>
      </w:rPr>
      <w:fldChar w:fldCharType="end"/>
    </w:r>
    <w:r w:rsidRPr="00C13DCD">
      <w:rPr>
        <w:rStyle w:val="PageNumber"/>
        <w:rFonts w:ascii="Times New Roman" w:hAnsi="Times New Roman"/>
        <w:noProof/>
        <w:sz w:val="20"/>
        <w:szCs w:val="20"/>
        <w:lang w:val="en-US"/>
      </w:rPr>
      <w:t xml:space="preserve"> </w:t>
    </w:r>
  </w:p>
  <w:p w14:paraId="3619E9BB" w14:textId="34ABBE56" w:rsidR="00A27421" w:rsidRPr="00C13DCD" w:rsidRDefault="00800F78" w:rsidP="00800F78">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lang w:val="en-US"/>
      </w:rPr>
      <w:t xml:space="preserve">Translation </w:t>
    </w:r>
    <w:r w:rsidRPr="00C13DCD">
      <w:rPr>
        <w:rFonts w:ascii="Times New Roman" w:hAnsi="Times New Roman" w:cs="Times New Roman"/>
        <w:noProof/>
        <w:sz w:val="20"/>
        <w:szCs w:val="20"/>
        <w:lang w:val="en-US"/>
      </w:rPr>
      <w:fldChar w:fldCharType="begin"/>
    </w:r>
    <w:r w:rsidRPr="00C13DCD">
      <w:rPr>
        <w:rFonts w:ascii="Times New Roman" w:hAnsi="Times New Roman" w:cs="Times New Roman"/>
        <w:noProof/>
        <w:sz w:val="20"/>
        <w:szCs w:val="20"/>
        <w:lang w:val="en-US"/>
      </w:rPr>
      <w:instrText>symbol 169 \f "UnivrstyRoman TL" \s 8</w:instrText>
    </w:r>
    <w:r w:rsidRPr="00C13DCD">
      <w:rPr>
        <w:rFonts w:ascii="Times New Roman" w:hAnsi="Times New Roman" w:cs="Times New Roman"/>
        <w:noProof/>
        <w:sz w:val="20"/>
        <w:szCs w:val="20"/>
        <w:lang w:val="en-US"/>
      </w:rPr>
      <w:fldChar w:fldCharType="separate"/>
    </w:r>
    <w:r w:rsidRPr="00C13DCD">
      <w:rPr>
        <w:rFonts w:ascii="Times New Roman" w:hAnsi="Times New Roman" w:cs="Times New Roman"/>
        <w:noProof/>
        <w:sz w:val="20"/>
        <w:szCs w:val="20"/>
        <w:lang w:val="en-US"/>
      </w:rPr>
      <w:t>©</w:t>
    </w:r>
    <w:r w:rsidRPr="00C13DCD">
      <w:rPr>
        <w:rFonts w:ascii="Times New Roman" w:hAnsi="Times New Roman" w:cs="Times New Roman"/>
        <w:noProof/>
        <w:sz w:val="20"/>
        <w:szCs w:val="20"/>
        <w:lang w:val="en-US"/>
      </w:rPr>
      <w:fldChar w:fldCharType="end"/>
    </w:r>
    <w:r w:rsidRPr="00C13DCD">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9961" w14:textId="77777777" w:rsidR="00A27421" w:rsidRPr="00C13DCD" w:rsidRDefault="00A27421" w:rsidP="00A27421">
    <w:pPr>
      <w:pStyle w:val="Footer"/>
      <w:rPr>
        <w:rFonts w:ascii="Times New Roman" w:hAnsi="Times New Roman" w:cs="Times New Roman"/>
        <w:noProof/>
        <w:sz w:val="20"/>
        <w:szCs w:val="20"/>
        <w:vertAlign w:val="superscript"/>
        <w:lang w:val="en-US"/>
      </w:rPr>
    </w:pPr>
  </w:p>
  <w:p w14:paraId="23D2E99E" w14:textId="77777777" w:rsidR="00A27421" w:rsidRPr="00C13DCD" w:rsidRDefault="00A27421" w:rsidP="00A27421">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vertAlign w:val="superscript"/>
        <w:lang w:val="en-US"/>
      </w:rPr>
      <w:t xml:space="preserve">1 </w:t>
    </w:r>
    <w:r w:rsidRPr="00C13DCD">
      <w:rPr>
        <w:rFonts w:ascii="Times New Roman" w:hAnsi="Times New Roman" w:cs="Times New Roman"/>
        <w:noProof/>
        <w:sz w:val="20"/>
        <w:szCs w:val="20"/>
        <w:lang w:val="en-US"/>
      </w:rPr>
      <w:t>The Parliament of the Republic of Latvia</w:t>
    </w:r>
  </w:p>
  <w:p w14:paraId="6D5921E5" w14:textId="77777777" w:rsidR="00A27421" w:rsidRPr="00C13DCD" w:rsidRDefault="00A27421" w:rsidP="00A27421">
    <w:pPr>
      <w:pStyle w:val="Footer"/>
      <w:rPr>
        <w:rFonts w:ascii="Times New Roman" w:hAnsi="Times New Roman" w:cs="Times New Roman"/>
        <w:noProof/>
        <w:sz w:val="20"/>
        <w:szCs w:val="20"/>
        <w:lang w:val="en-US"/>
      </w:rPr>
    </w:pPr>
  </w:p>
  <w:p w14:paraId="16D9E10D" w14:textId="556A4BAA" w:rsidR="00A27421" w:rsidRPr="00C13DCD" w:rsidRDefault="00A27421">
    <w:pPr>
      <w:pStyle w:val="Footer"/>
      <w:rPr>
        <w:rFonts w:ascii="Times New Roman" w:hAnsi="Times New Roman" w:cs="Times New Roman"/>
        <w:noProof/>
        <w:sz w:val="20"/>
        <w:szCs w:val="20"/>
        <w:lang w:val="en-US"/>
      </w:rPr>
    </w:pPr>
    <w:r w:rsidRPr="00C13DCD">
      <w:rPr>
        <w:rFonts w:ascii="Times New Roman" w:hAnsi="Times New Roman" w:cs="Times New Roman"/>
        <w:noProof/>
        <w:sz w:val="20"/>
        <w:szCs w:val="20"/>
        <w:lang w:val="en-US"/>
      </w:rPr>
      <w:t xml:space="preserve">Translation </w:t>
    </w:r>
    <w:r w:rsidRPr="00C13DCD">
      <w:rPr>
        <w:rFonts w:ascii="Times New Roman" w:hAnsi="Times New Roman" w:cs="Times New Roman"/>
        <w:noProof/>
        <w:sz w:val="20"/>
        <w:szCs w:val="20"/>
        <w:lang w:val="en-US"/>
      </w:rPr>
      <w:fldChar w:fldCharType="begin"/>
    </w:r>
    <w:r w:rsidRPr="00C13DCD">
      <w:rPr>
        <w:rFonts w:ascii="Times New Roman" w:hAnsi="Times New Roman" w:cs="Times New Roman"/>
        <w:noProof/>
        <w:sz w:val="20"/>
        <w:szCs w:val="20"/>
        <w:lang w:val="en-US"/>
      </w:rPr>
      <w:instrText>symbol 169 \f "UnivrstyRoman TL" \s 8</w:instrText>
    </w:r>
    <w:r w:rsidRPr="00C13DCD">
      <w:rPr>
        <w:rFonts w:ascii="Times New Roman" w:hAnsi="Times New Roman" w:cs="Times New Roman"/>
        <w:noProof/>
        <w:sz w:val="20"/>
        <w:szCs w:val="20"/>
        <w:lang w:val="en-US"/>
      </w:rPr>
      <w:fldChar w:fldCharType="separate"/>
    </w:r>
    <w:r w:rsidRPr="00C13DCD">
      <w:rPr>
        <w:rFonts w:ascii="Times New Roman" w:hAnsi="Times New Roman" w:cs="Times New Roman"/>
        <w:noProof/>
        <w:sz w:val="20"/>
        <w:szCs w:val="20"/>
        <w:lang w:val="en-US"/>
      </w:rPr>
      <w:t>©</w:t>
    </w:r>
    <w:r w:rsidRPr="00C13DCD">
      <w:rPr>
        <w:rFonts w:ascii="Times New Roman" w:hAnsi="Times New Roman" w:cs="Times New Roman"/>
        <w:noProof/>
        <w:sz w:val="20"/>
        <w:szCs w:val="20"/>
        <w:lang w:val="en-US"/>
      </w:rPr>
      <w:fldChar w:fldCharType="end"/>
    </w:r>
    <w:r w:rsidRPr="00C13DCD">
      <w:rPr>
        <w:rFonts w:ascii="Times New Roman" w:hAnsi="Times New Roman" w:cs="Times New Roman"/>
        <w:noProof/>
        <w:sz w:val="20"/>
        <w:szCs w:val="20"/>
        <w:lang w:val="en-US"/>
      </w:rPr>
      <w:t xml:space="preserve"> 202</w:t>
    </w:r>
    <w:r w:rsidR="00800F78" w:rsidRPr="00C13DCD">
      <w:rPr>
        <w:rFonts w:ascii="Times New Roman" w:hAnsi="Times New Roman" w:cs="Times New Roman"/>
        <w:noProof/>
        <w:sz w:val="20"/>
        <w:szCs w:val="20"/>
        <w:lang w:val="en-US"/>
      </w:rPr>
      <w:t>2</w:t>
    </w:r>
    <w:r w:rsidRPr="00C13DCD">
      <w:rPr>
        <w:rFonts w:ascii="Times New Roman" w:hAnsi="Times New Roman" w:cs="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D51D" w14:textId="77777777" w:rsidR="00966E97" w:rsidRPr="00C13DCD" w:rsidRDefault="00966E97" w:rsidP="00F2092C">
      <w:pPr>
        <w:spacing w:after="0" w:line="240" w:lineRule="auto"/>
        <w:rPr>
          <w:noProof/>
          <w:lang w:val="en-US"/>
        </w:rPr>
      </w:pPr>
      <w:r w:rsidRPr="00C13DCD">
        <w:rPr>
          <w:noProof/>
          <w:lang w:val="en-US"/>
        </w:rPr>
        <w:separator/>
      </w:r>
    </w:p>
  </w:footnote>
  <w:footnote w:type="continuationSeparator" w:id="0">
    <w:p w14:paraId="534080A5" w14:textId="77777777" w:rsidR="00966E97" w:rsidRPr="00C13DCD" w:rsidRDefault="00966E97" w:rsidP="00F2092C">
      <w:pPr>
        <w:spacing w:after="0" w:line="240" w:lineRule="auto"/>
        <w:rPr>
          <w:noProof/>
          <w:lang w:val="en-US"/>
        </w:rPr>
      </w:pPr>
      <w:r w:rsidRPr="00C13DC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3341" w14:textId="77777777" w:rsidR="00C13DCD" w:rsidRDefault="00C1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486D" w14:textId="77777777" w:rsidR="00C13DCD" w:rsidRDefault="00C1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ADEA" w14:textId="77777777" w:rsidR="00C13DCD" w:rsidRDefault="00C1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FE"/>
    <w:rsid w:val="000149E6"/>
    <w:rsid w:val="00060A7A"/>
    <w:rsid w:val="00083C40"/>
    <w:rsid w:val="000E31FE"/>
    <w:rsid w:val="00120F0A"/>
    <w:rsid w:val="001F09A5"/>
    <w:rsid w:val="003C6EA6"/>
    <w:rsid w:val="005134B9"/>
    <w:rsid w:val="0054512D"/>
    <w:rsid w:val="00612425"/>
    <w:rsid w:val="006240D0"/>
    <w:rsid w:val="00643FE1"/>
    <w:rsid w:val="006920B8"/>
    <w:rsid w:val="006D72F7"/>
    <w:rsid w:val="00734F71"/>
    <w:rsid w:val="007C0A90"/>
    <w:rsid w:val="00800F78"/>
    <w:rsid w:val="00816996"/>
    <w:rsid w:val="008831FB"/>
    <w:rsid w:val="00921840"/>
    <w:rsid w:val="00954D7F"/>
    <w:rsid w:val="00966E97"/>
    <w:rsid w:val="009D73DF"/>
    <w:rsid w:val="00A05AD6"/>
    <w:rsid w:val="00A27421"/>
    <w:rsid w:val="00A642C8"/>
    <w:rsid w:val="00B218B6"/>
    <w:rsid w:val="00B463F1"/>
    <w:rsid w:val="00BA5295"/>
    <w:rsid w:val="00C13DCD"/>
    <w:rsid w:val="00C21C58"/>
    <w:rsid w:val="00C5457E"/>
    <w:rsid w:val="00D12448"/>
    <w:rsid w:val="00D37592"/>
    <w:rsid w:val="00D9372A"/>
    <w:rsid w:val="00E1403E"/>
    <w:rsid w:val="00E7030E"/>
    <w:rsid w:val="00F2092C"/>
    <w:rsid w:val="00F52435"/>
    <w:rsid w:val="00F56AE9"/>
    <w:rsid w:val="00F655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0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34F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34F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34F71"/>
    <w:rPr>
      <w:color w:val="0000FF"/>
      <w:u w:val="single"/>
    </w:rPr>
  </w:style>
  <w:style w:type="character" w:styleId="FollowedHyperlink">
    <w:name w:val="FollowedHyperlink"/>
    <w:basedOn w:val="DefaultParagraphFont"/>
    <w:uiPriority w:val="99"/>
    <w:semiHidden/>
    <w:unhideWhenUsed/>
    <w:rsid w:val="00734F71"/>
    <w:rPr>
      <w:color w:val="800080"/>
      <w:u w:val="single"/>
    </w:rPr>
  </w:style>
  <w:style w:type="character" w:customStyle="1" w:styleId="fontsize2">
    <w:name w:val="fontsize2"/>
    <w:basedOn w:val="DefaultParagraphFont"/>
    <w:rsid w:val="00734F71"/>
  </w:style>
  <w:style w:type="paragraph" w:customStyle="1" w:styleId="labojumupamats">
    <w:name w:val="labojumu_pamats"/>
    <w:basedOn w:val="Normal"/>
    <w:rsid w:val="00734F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20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2C"/>
  </w:style>
  <w:style w:type="paragraph" w:styleId="Footer">
    <w:name w:val="footer"/>
    <w:basedOn w:val="Normal"/>
    <w:link w:val="FooterChar"/>
    <w:unhideWhenUsed/>
    <w:rsid w:val="00F20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92C"/>
  </w:style>
  <w:style w:type="paragraph" w:styleId="BlockText">
    <w:name w:val="Block Text"/>
    <w:basedOn w:val="Normal"/>
    <w:unhideWhenUsed/>
    <w:rsid w:val="00D9372A"/>
    <w:pPr>
      <w:widowControl w:val="0"/>
      <w:snapToGrid w:val="0"/>
      <w:spacing w:after="0" w:line="240" w:lineRule="auto"/>
      <w:ind w:left="540" w:right="2546"/>
      <w:jc w:val="both"/>
    </w:pPr>
    <w:rPr>
      <w:rFonts w:ascii="Times New Roman" w:eastAsia="Times New Roman" w:hAnsi="Times New Roman" w:cs="Times New Roman"/>
      <w:sz w:val="20"/>
      <w:szCs w:val="20"/>
    </w:rPr>
  </w:style>
  <w:style w:type="paragraph" w:styleId="BodyTextIndent">
    <w:name w:val="Body Text Indent"/>
    <w:basedOn w:val="Normal"/>
    <w:link w:val="BodyTextIndentChar"/>
    <w:rsid w:val="00D9372A"/>
    <w:pPr>
      <w:widowControl w:val="0"/>
      <w:spacing w:after="0" w:line="240" w:lineRule="auto"/>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9372A"/>
    <w:rPr>
      <w:rFonts w:ascii="Times New Roman" w:eastAsia="Times New Roman" w:hAnsi="Times New Roman" w:cs="Times New Roman"/>
      <w:sz w:val="20"/>
      <w:szCs w:val="20"/>
    </w:rPr>
  </w:style>
  <w:style w:type="character" w:styleId="PageNumber">
    <w:name w:val="page number"/>
    <w:rsid w:val="00800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4912">
      <w:bodyDiv w:val="1"/>
      <w:marLeft w:val="0"/>
      <w:marRight w:val="0"/>
      <w:marTop w:val="0"/>
      <w:marBottom w:val="0"/>
      <w:divBdr>
        <w:top w:val="none" w:sz="0" w:space="0" w:color="auto"/>
        <w:left w:val="none" w:sz="0" w:space="0" w:color="auto"/>
        <w:bottom w:val="none" w:sz="0" w:space="0" w:color="auto"/>
        <w:right w:val="none" w:sz="0" w:space="0" w:color="auto"/>
      </w:divBdr>
      <w:divsChild>
        <w:div w:id="344678181">
          <w:marLeft w:val="0"/>
          <w:marRight w:val="0"/>
          <w:marTop w:val="0"/>
          <w:marBottom w:val="0"/>
          <w:divBdr>
            <w:top w:val="none" w:sz="0" w:space="0" w:color="auto"/>
            <w:left w:val="none" w:sz="0" w:space="0" w:color="auto"/>
            <w:bottom w:val="none" w:sz="0" w:space="0" w:color="auto"/>
            <w:right w:val="none" w:sz="0" w:space="0" w:color="auto"/>
          </w:divBdr>
        </w:div>
        <w:div w:id="641084878">
          <w:marLeft w:val="0"/>
          <w:marRight w:val="0"/>
          <w:marTop w:val="0"/>
          <w:marBottom w:val="0"/>
          <w:divBdr>
            <w:top w:val="none" w:sz="0" w:space="0" w:color="auto"/>
            <w:left w:val="none" w:sz="0" w:space="0" w:color="auto"/>
            <w:bottom w:val="none" w:sz="0" w:space="0" w:color="auto"/>
            <w:right w:val="none" w:sz="0" w:space="0" w:color="auto"/>
          </w:divBdr>
        </w:div>
        <w:div w:id="1579246147">
          <w:marLeft w:val="0"/>
          <w:marRight w:val="0"/>
          <w:marTop w:val="0"/>
          <w:marBottom w:val="0"/>
          <w:divBdr>
            <w:top w:val="none" w:sz="0" w:space="0" w:color="auto"/>
            <w:left w:val="none" w:sz="0" w:space="0" w:color="auto"/>
            <w:bottom w:val="none" w:sz="0" w:space="0" w:color="auto"/>
            <w:right w:val="none" w:sz="0" w:space="0" w:color="auto"/>
          </w:divBdr>
        </w:div>
        <w:div w:id="1513110491">
          <w:marLeft w:val="0"/>
          <w:marRight w:val="0"/>
          <w:marTop w:val="0"/>
          <w:marBottom w:val="0"/>
          <w:divBdr>
            <w:top w:val="none" w:sz="0" w:space="0" w:color="auto"/>
            <w:left w:val="none" w:sz="0" w:space="0" w:color="auto"/>
            <w:bottom w:val="none" w:sz="0" w:space="0" w:color="auto"/>
            <w:right w:val="none" w:sz="0" w:space="0" w:color="auto"/>
          </w:divBdr>
        </w:div>
        <w:div w:id="1471939815">
          <w:marLeft w:val="0"/>
          <w:marRight w:val="0"/>
          <w:marTop w:val="0"/>
          <w:marBottom w:val="0"/>
          <w:divBdr>
            <w:top w:val="none" w:sz="0" w:space="0" w:color="auto"/>
            <w:left w:val="none" w:sz="0" w:space="0" w:color="auto"/>
            <w:bottom w:val="none" w:sz="0" w:space="0" w:color="auto"/>
            <w:right w:val="none" w:sz="0" w:space="0" w:color="auto"/>
          </w:divBdr>
        </w:div>
        <w:div w:id="349379631">
          <w:marLeft w:val="0"/>
          <w:marRight w:val="0"/>
          <w:marTop w:val="0"/>
          <w:marBottom w:val="0"/>
          <w:divBdr>
            <w:top w:val="none" w:sz="0" w:space="0" w:color="auto"/>
            <w:left w:val="none" w:sz="0" w:space="0" w:color="auto"/>
            <w:bottom w:val="none" w:sz="0" w:space="0" w:color="auto"/>
            <w:right w:val="none" w:sz="0" w:space="0" w:color="auto"/>
          </w:divBdr>
        </w:div>
        <w:div w:id="1051920640">
          <w:marLeft w:val="0"/>
          <w:marRight w:val="0"/>
          <w:marTop w:val="0"/>
          <w:marBottom w:val="0"/>
          <w:divBdr>
            <w:top w:val="none" w:sz="0" w:space="0" w:color="auto"/>
            <w:left w:val="none" w:sz="0" w:space="0" w:color="auto"/>
            <w:bottom w:val="none" w:sz="0" w:space="0" w:color="auto"/>
            <w:right w:val="none" w:sz="0" w:space="0" w:color="auto"/>
          </w:divBdr>
        </w:div>
        <w:div w:id="1399866433">
          <w:marLeft w:val="0"/>
          <w:marRight w:val="0"/>
          <w:marTop w:val="0"/>
          <w:marBottom w:val="0"/>
          <w:divBdr>
            <w:top w:val="none" w:sz="0" w:space="0" w:color="auto"/>
            <w:left w:val="none" w:sz="0" w:space="0" w:color="auto"/>
            <w:bottom w:val="none" w:sz="0" w:space="0" w:color="auto"/>
            <w:right w:val="none" w:sz="0" w:space="0" w:color="auto"/>
          </w:divBdr>
        </w:div>
        <w:div w:id="2127650885">
          <w:marLeft w:val="0"/>
          <w:marRight w:val="0"/>
          <w:marTop w:val="0"/>
          <w:marBottom w:val="0"/>
          <w:divBdr>
            <w:top w:val="none" w:sz="0" w:space="0" w:color="auto"/>
            <w:left w:val="none" w:sz="0" w:space="0" w:color="auto"/>
            <w:bottom w:val="none" w:sz="0" w:space="0" w:color="auto"/>
            <w:right w:val="none" w:sz="0" w:space="0" w:color="auto"/>
          </w:divBdr>
        </w:div>
        <w:div w:id="1605113816">
          <w:marLeft w:val="0"/>
          <w:marRight w:val="0"/>
          <w:marTop w:val="0"/>
          <w:marBottom w:val="0"/>
          <w:divBdr>
            <w:top w:val="none" w:sz="0" w:space="0" w:color="auto"/>
            <w:left w:val="none" w:sz="0" w:space="0" w:color="auto"/>
            <w:bottom w:val="none" w:sz="0" w:space="0" w:color="auto"/>
            <w:right w:val="none" w:sz="0" w:space="0" w:color="auto"/>
          </w:divBdr>
        </w:div>
        <w:div w:id="1321887793">
          <w:marLeft w:val="0"/>
          <w:marRight w:val="0"/>
          <w:marTop w:val="0"/>
          <w:marBottom w:val="0"/>
          <w:divBdr>
            <w:top w:val="none" w:sz="0" w:space="0" w:color="auto"/>
            <w:left w:val="none" w:sz="0" w:space="0" w:color="auto"/>
            <w:bottom w:val="none" w:sz="0" w:space="0" w:color="auto"/>
            <w:right w:val="none" w:sz="0" w:space="0" w:color="auto"/>
          </w:divBdr>
        </w:div>
        <w:div w:id="929005386">
          <w:marLeft w:val="0"/>
          <w:marRight w:val="0"/>
          <w:marTop w:val="0"/>
          <w:marBottom w:val="0"/>
          <w:divBdr>
            <w:top w:val="none" w:sz="0" w:space="0" w:color="auto"/>
            <w:left w:val="none" w:sz="0" w:space="0" w:color="auto"/>
            <w:bottom w:val="none" w:sz="0" w:space="0" w:color="auto"/>
            <w:right w:val="none" w:sz="0" w:space="0" w:color="auto"/>
          </w:divBdr>
        </w:div>
        <w:div w:id="1883326082">
          <w:marLeft w:val="0"/>
          <w:marRight w:val="0"/>
          <w:marTop w:val="0"/>
          <w:marBottom w:val="0"/>
          <w:divBdr>
            <w:top w:val="none" w:sz="0" w:space="0" w:color="auto"/>
            <w:left w:val="none" w:sz="0" w:space="0" w:color="auto"/>
            <w:bottom w:val="none" w:sz="0" w:space="0" w:color="auto"/>
            <w:right w:val="none" w:sz="0" w:space="0" w:color="auto"/>
          </w:divBdr>
        </w:div>
        <w:div w:id="213008769">
          <w:marLeft w:val="0"/>
          <w:marRight w:val="0"/>
          <w:marTop w:val="0"/>
          <w:marBottom w:val="0"/>
          <w:divBdr>
            <w:top w:val="none" w:sz="0" w:space="0" w:color="auto"/>
            <w:left w:val="none" w:sz="0" w:space="0" w:color="auto"/>
            <w:bottom w:val="none" w:sz="0" w:space="0" w:color="auto"/>
            <w:right w:val="none" w:sz="0" w:space="0" w:color="auto"/>
          </w:divBdr>
        </w:div>
        <w:div w:id="57554590">
          <w:marLeft w:val="0"/>
          <w:marRight w:val="0"/>
          <w:marTop w:val="0"/>
          <w:marBottom w:val="0"/>
          <w:divBdr>
            <w:top w:val="none" w:sz="0" w:space="0" w:color="auto"/>
            <w:left w:val="none" w:sz="0" w:space="0" w:color="auto"/>
            <w:bottom w:val="none" w:sz="0" w:space="0" w:color="auto"/>
            <w:right w:val="none" w:sz="0" w:space="0" w:color="auto"/>
          </w:divBdr>
        </w:div>
        <w:div w:id="1520775975">
          <w:marLeft w:val="0"/>
          <w:marRight w:val="0"/>
          <w:marTop w:val="0"/>
          <w:marBottom w:val="0"/>
          <w:divBdr>
            <w:top w:val="none" w:sz="0" w:space="0" w:color="auto"/>
            <w:left w:val="none" w:sz="0" w:space="0" w:color="auto"/>
            <w:bottom w:val="none" w:sz="0" w:space="0" w:color="auto"/>
            <w:right w:val="none" w:sz="0" w:space="0" w:color="auto"/>
          </w:divBdr>
        </w:div>
        <w:div w:id="2104448262">
          <w:marLeft w:val="0"/>
          <w:marRight w:val="0"/>
          <w:marTop w:val="0"/>
          <w:marBottom w:val="0"/>
          <w:divBdr>
            <w:top w:val="none" w:sz="0" w:space="0" w:color="auto"/>
            <w:left w:val="none" w:sz="0" w:space="0" w:color="auto"/>
            <w:bottom w:val="none" w:sz="0" w:space="0" w:color="auto"/>
            <w:right w:val="none" w:sz="0" w:space="0" w:color="auto"/>
          </w:divBdr>
        </w:div>
        <w:div w:id="1821726892">
          <w:marLeft w:val="0"/>
          <w:marRight w:val="0"/>
          <w:marTop w:val="0"/>
          <w:marBottom w:val="0"/>
          <w:divBdr>
            <w:top w:val="none" w:sz="0" w:space="0" w:color="auto"/>
            <w:left w:val="none" w:sz="0" w:space="0" w:color="auto"/>
            <w:bottom w:val="none" w:sz="0" w:space="0" w:color="auto"/>
            <w:right w:val="none" w:sz="0" w:space="0" w:color="auto"/>
          </w:divBdr>
        </w:div>
        <w:div w:id="1938783026">
          <w:marLeft w:val="0"/>
          <w:marRight w:val="0"/>
          <w:marTop w:val="0"/>
          <w:marBottom w:val="0"/>
          <w:divBdr>
            <w:top w:val="none" w:sz="0" w:space="0" w:color="auto"/>
            <w:left w:val="none" w:sz="0" w:space="0" w:color="auto"/>
            <w:bottom w:val="none" w:sz="0" w:space="0" w:color="auto"/>
            <w:right w:val="none" w:sz="0" w:space="0" w:color="auto"/>
          </w:divBdr>
        </w:div>
        <w:div w:id="1590314588">
          <w:marLeft w:val="0"/>
          <w:marRight w:val="0"/>
          <w:marTop w:val="0"/>
          <w:marBottom w:val="0"/>
          <w:divBdr>
            <w:top w:val="none" w:sz="0" w:space="0" w:color="auto"/>
            <w:left w:val="none" w:sz="0" w:space="0" w:color="auto"/>
            <w:bottom w:val="none" w:sz="0" w:space="0" w:color="auto"/>
            <w:right w:val="none" w:sz="0" w:space="0" w:color="auto"/>
          </w:divBdr>
        </w:div>
        <w:div w:id="1518882447">
          <w:marLeft w:val="0"/>
          <w:marRight w:val="0"/>
          <w:marTop w:val="0"/>
          <w:marBottom w:val="0"/>
          <w:divBdr>
            <w:top w:val="none" w:sz="0" w:space="0" w:color="auto"/>
            <w:left w:val="none" w:sz="0" w:space="0" w:color="auto"/>
            <w:bottom w:val="none" w:sz="0" w:space="0" w:color="auto"/>
            <w:right w:val="none" w:sz="0" w:space="0" w:color="auto"/>
          </w:divBdr>
        </w:div>
        <w:div w:id="1957522304">
          <w:marLeft w:val="0"/>
          <w:marRight w:val="0"/>
          <w:marTop w:val="0"/>
          <w:marBottom w:val="0"/>
          <w:divBdr>
            <w:top w:val="none" w:sz="0" w:space="0" w:color="auto"/>
            <w:left w:val="none" w:sz="0" w:space="0" w:color="auto"/>
            <w:bottom w:val="none" w:sz="0" w:space="0" w:color="auto"/>
            <w:right w:val="none" w:sz="0" w:space="0" w:color="auto"/>
          </w:divBdr>
        </w:div>
        <w:div w:id="730734894">
          <w:marLeft w:val="0"/>
          <w:marRight w:val="0"/>
          <w:marTop w:val="0"/>
          <w:marBottom w:val="0"/>
          <w:divBdr>
            <w:top w:val="none" w:sz="0" w:space="0" w:color="auto"/>
            <w:left w:val="none" w:sz="0" w:space="0" w:color="auto"/>
            <w:bottom w:val="none" w:sz="0" w:space="0" w:color="auto"/>
            <w:right w:val="none" w:sz="0" w:space="0" w:color="auto"/>
          </w:divBdr>
        </w:div>
        <w:div w:id="1709332821">
          <w:marLeft w:val="0"/>
          <w:marRight w:val="0"/>
          <w:marTop w:val="0"/>
          <w:marBottom w:val="0"/>
          <w:divBdr>
            <w:top w:val="none" w:sz="0" w:space="0" w:color="auto"/>
            <w:left w:val="none" w:sz="0" w:space="0" w:color="auto"/>
            <w:bottom w:val="none" w:sz="0" w:space="0" w:color="auto"/>
            <w:right w:val="none" w:sz="0" w:space="0" w:color="auto"/>
          </w:divBdr>
        </w:div>
        <w:div w:id="927352408">
          <w:marLeft w:val="0"/>
          <w:marRight w:val="0"/>
          <w:marTop w:val="0"/>
          <w:marBottom w:val="0"/>
          <w:divBdr>
            <w:top w:val="none" w:sz="0" w:space="0" w:color="auto"/>
            <w:left w:val="none" w:sz="0" w:space="0" w:color="auto"/>
            <w:bottom w:val="none" w:sz="0" w:space="0" w:color="auto"/>
            <w:right w:val="none" w:sz="0" w:space="0" w:color="auto"/>
          </w:divBdr>
        </w:div>
        <w:div w:id="1126394177">
          <w:marLeft w:val="0"/>
          <w:marRight w:val="0"/>
          <w:marTop w:val="0"/>
          <w:marBottom w:val="0"/>
          <w:divBdr>
            <w:top w:val="none" w:sz="0" w:space="0" w:color="auto"/>
            <w:left w:val="none" w:sz="0" w:space="0" w:color="auto"/>
            <w:bottom w:val="none" w:sz="0" w:space="0" w:color="auto"/>
            <w:right w:val="none" w:sz="0" w:space="0" w:color="auto"/>
          </w:divBdr>
        </w:div>
        <w:div w:id="2023626982">
          <w:marLeft w:val="0"/>
          <w:marRight w:val="0"/>
          <w:marTop w:val="0"/>
          <w:marBottom w:val="0"/>
          <w:divBdr>
            <w:top w:val="none" w:sz="0" w:space="0" w:color="auto"/>
            <w:left w:val="none" w:sz="0" w:space="0" w:color="auto"/>
            <w:bottom w:val="none" w:sz="0" w:space="0" w:color="auto"/>
            <w:right w:val="none" w:sz="0" w:space="0" w:color="auto"/>
          </w:divBdr>
        </w:div>
        <w:div w:id="1209225332">
          <w:marLeft w:val="0"/>
          <w:marRight w:val="0"/>
          <w:marTop w:val="0"/>
          <w:marBottom w:val="0"/>
          <w:divBdr>
            <w:top w:val="none" w:sz="0" w:space="0" w:color="auto"/>
            <w:left w:val="none" w:sz="0" w:space="0" w:color="auto"/>
            <w:bottom w:val="none" w:sz="0" w:space="0" w:color="auto"/>
            <w:right w:val="none" w:sz="0" w:space="0" w:color="auto"/>
          </w:divBdr>
        </w:div>
        <w:div w:id="347298130">
          <w:marLeft w:val="0"/>
          <w:marRight w:val="0"/>
          <w:marTop w:val="0"/>
          <w:marBottom w:val="0"/>
          <w:divBdr>
            <w:top w:val="none" w:sz="0" w:space="0" w:color="auto"/>
            <w:left w:val="none" w:sz="0" w:space="0" w:color="auto"/>
            <w:bottom w:val="none" w:sz="0" w:space="0" w:color="auto"/>
            <w:right w:val="none" w:sz="0" w:space="0" w:color="auto"/>
          </w:divBdr>
        </w:div>
        <w:div w:id="799417670">
          <w:marLeft w:val="0"/>
          <w:marRight w:val="0"/>
          <w:marTop w:val="0"/>
          <w:marBottom w:val="0"/>
          <w:divBdr>
            <w:top w:val="none" w:sz="0" w:space="0" w:color="auto"/>
            <w:left w:val="none" w:sz="0" w:space="0" w:color="auto"/>
            <w:bottom w:val="none" w:sz="0" w:space="0" w:color="auto"/>
            <w:right w:val="none" w:sz="0" w:space="0" w:color="auto"/>
          </w:divBdr>
        </w:div>
        <w:div w:id="2115706898">
          <w:marLeft w:val="0"/>
          <w:marRight w:val="0"/>
          <w:marTop w:val="0"/>
          <w:marBottom w:val="0"/>
          <w:divBdr>
            <w:top w:val="none" w:sz="0" w:space="0" w:color="auto"/>
            <w:left w:val="none" w:sz="0" w:space="0" w:color="auto"/>
            <w:bottom w:val="none" w:sz="0" w:space="0" w:color="auto"/>
            <w:right w:val="none" w:sz="0" w:space="0" w:color="auto"/>
          </w:divBdr>
        </w:div>
        <w:div w:id="1939747498">
          <w:marLeft w:val="0"/>
          <w:marRight w:val="0"/>
          <w:marTop w:val="0"/>
          <w:marBottom w:val="0"/>
          <w:divBdr>
            <w:top w:val="none" w:sz="0" w:space="0" w:color="auto"/>
            <w:left w:val="none" w:sz="0" w:space="0" w:color="auto"/>
            <w:bottom w:val="none" w:sz="0" w:space="0" w:color="auto"/>
            <w:right w:val="none" w:sz="0" w:space="0" w:color="auto"/>
          </w:divBdr>
        </w:div>
        <w:div w:id="1258176722">
          <w:marLeft w:val="0"/>
          <w:marRight w:val="0"/>
          <w:marTop w:val="0"/>
          <w:marBottom w:val="0"/>
          <w:divBdr>
            <w:top w:val="none" w:sz="0" w:space="0" w:color="auto"/>
            <w:left w:val="none" w:sz="0" w:space="0" w:color="auto"/>
            <w:bottom w:val="none" w:sz="0" w:space="0" w:color="auto"/>
            <w:right w:val="none" w:sz="0" w:space="0" w:color="auto"/>
          </w:divBdr>
        </w:div>
        <w:div w:id="1344480919">
          <w:marLeft w:val="0"/>
          <w:marRight w:val="0"/>
          <w:marTop w:val="0"/>
          <w:marBottom w:val="0"/>
          <w:divBdr>
            <w:top w:val="none" w:sz="0" w:space="0" w:color="auto"/>
            <w:left w:val="none" w:sz="0" w:space="0" w:color="auto"/>
            <w:bottom w:val="none" w:sz="0" w:space="0" w:color="auto"/>
            <w:right w:val="none" w:sz="0" w:space="0" w:color="auto"/>
          </w:divBdr>
        </w:div>
        <w:div w:id="129175715">
          <w:marLeft w:val="0"/>
          <w:marRight w:val="0"/>
          <w:marTop w:val="0"/>
          <w:marBottom w:val="0"/>
          <w:divBdr>
            <w:top w:val="none" w:sz="0" w:space="0" w:color="auto"/>
            <w:left w:val="none" w:sz="0" w:space="0" w:color="auto"/>
            <w:bottom w:val="none" w:sz="0" w:space="0" w:color="auto"/>
            <w:right w:val="none" w:sz="0" w:space="0" w:color="auto"/>
          </w:divBdr>
        </w:div>
        <w:div w:id="991980437">
          <w:marLeft w:val="0"/>
          <w:marRight w:val="0"/>
          <w:marTop w:val="0"/>
          <w:marBottom w:val="0"/>
          <w:divBdr>
            <w:top w:val="none" w:sz="0" w:space="0" w:color="auto"/>
            <w:left w:val="none" w:sz="0" w:space="0" w:color="auto"/>
            <w:bottom w:val="none" w:sz="0" w:space="0" w:color="auto"/>
            <w:right w:val="none" w:sz="0" w:space="0" w:color="auto"/>
          </w:divBdr>
        </w:div>
        <w:div w:id="1827865439">
          <w:marLeft w:val="0"/>
          <w:marRight w:val="0"/>
          <w:marTop w:val="0"/>
          <w:marBottom w:val="0"/>
          <w:divBdr>
            <w:top w:val="none" w:sz="0" w:space="0" w:color="auto"/>
            <w:left w:val="none" w:sz="0" w:space="0" w:color="auto"/>
            <w:bottom w:val="none" w:sz="0" w:space="0" w:color="auto"/>
            <w:right w:val="none" w:sz="0" w:space="0" w:color="auto"/>
          </w:divBdr>
        </w:div>
        <w:div w:id="1839886582">
          <w:marLeft w:val="0"/>
          <w:marRight w:val="0"/>
          <w:marTop w:val="0"/>
          <w:marBottom w:val="0"/>
          <w:divBdr>
            <w:top w:val="none" w:sz="0" w:space="0" w:color="auto"/>
            <w:left w:val="none" w:sz="0" w:space="0" w:color="auto"/>
            <w:bottom w:val="none" w:sz="0" w:space="0" w:color="auto"/>
            <w:right w:val="none" w:sz="0" w:space="0" w:color="auto"/>
          </w:divBdr>
        </w:div>
        <w:div w:id="1045251242">
          <w:marLeft w:val="0"/>
          <w:marRight w:val="0"/>
          <w:marTop w:val="0"/>
          <w:marBottom w:val="0"/>
          <w:divBdr>
            <w:top w:val="none" w:sz="0" w:space="0" w:color="auto"/>
            <w:left w:val="none" w:sz="0" w:space="0" w:color="auto"/>
            <w:bottom w:val="none" w:sz="0" w:space="0" w:color="auto"/>
            <w:right w:val="none" w:sz="0" w:space="0" w:color="auto"/>
          </w:divBdr>
        </w:div>
        <w:div w:id="1178889059">
          <w:marLeft w:val="0"/>
          <w:marRight w:val="0"/>
          <w:marTop w:val="0"/>
          <w:marBottom w:val="0"/>
          <w:divBdr>
            <w:top w:val="none" w:sz="0" w:space="0" w:color="auto"/>
            <w:left w:val="none" w:sz="0" w:space="0" w:color="auto"/>
            <w:bottom w:val="none" w:sz="0" w:space="0" w:color="auto"/>
            <w:right w:val="none" w:sz="0" w:space="0" w:color="auto"/>
          </w:divBdr>
        </w:div>
        <w:div w:id="1746344399">
          <w:marLeft w:val="0"/>
          <w:marRight w:val="0"/>
          <w:marTop w:val="0"/>
          <w:marBottom w:val="0"/>
          <w:divBdr>
            <w:top w:val="none" w:sz="0" w:space="0" w:color="auto"/>
            <w:left w:val="none" w:sz="0" w:space="0" w:color="auto"/>
            <w:bottom w:val="none" w:sz="0" w:space="0" w:color="auto"/>
            <w:right w:val="none" w:sz="0" w:space="0" w:color="auto"/>
          </w:divBdr>
        </w:div>
        <w:div w:id="636763930">
          <w:marLeft w:val="0"/>
          <w:marRight w:val="0"/>
          <w:marTop w:val="0"/>
          <w:marBottom w:val="0"/>
          <w:divBdr>
            <w:top w:val="none" w:sz="0" w:space="0" w:color="auto"/>
            <w:left w:val="none" w:sz="0" w:space="0" w:color="auto"/>
            <w:bottom w:val="none" w:sz="0" w:space="0" w:color="auto"/>
            <w:right w:val="none" w:sz="0" w:space="0" w:color="auto"/>
          </w:divBdr>
        </w:div>
        <w:div w:id="1789812759">
          <w:marLeft w:val="0"/>
          <w:marRight w:val="0"/>
          <w:marTop w:val="0"/>
          <w:marBottom w:val="0"/>
          <w:divBdr>
            <w:top w:val="none" w:sz="0" w:space="0" w:color="auto"/>
            <w:left w:val="none" w:sz="0" w:space="0" w:color="auto"/>
            <w:bottom w:val="none" w:sz="0" w:space="0" w:color="auto"/>
            <w:right w:val="none" w:sz="0" w:space="0" w:color="auto"/>
          </w:divBdr>
        </w:div>
        <w:div w:id="1983921045">
          <w:marLeft w:val="0"/>
          <w:marRight w:val="0"/>
          <w:marTop w:val="0"/>
          <w:marBottom w:val="0"/>
          <w:divBdr>
            <w:top w:val="none" w:sz="0" w:space="0" w:color="auto"/>
            <w:left w:val="none" w:sz="0" w:space="0" w:color="auto"/>
            <w:bottom w:val="none" w:sz="0" w:space="0" w:color="auto"/>
            <w:right w:val="none" w:sz="0" w:space="0" w:color="auto"/>
          </w:divBdr>
        </w:div>
        <w:div w:id="1346591299">
          <w:marLeft w:val="0"/>
          <w:marRight w:val="0"/>
          <w:marTop w:val="0"/>
          <w:marBottom w:val="0"/>
          <w:divBdr>
            <w:top w:val="none" w:sz="0" w:space="0" w:color="auto"/>
            <w:left w:val="none" w:sz="0" w:space="0" w:color="auto"/>
            <w:bottom w:val="none" w:sz="0" w:space="0" w:color="auto"/>
            <w:right w:val="none" w:sz="0" w:space="0" w:color="auto"/>
          </w:divBdr>
        </w:div>
        <w:div w:id="1418090511">
          <w:marLeft w:val="0"/>
          <w:marRight w:val="0"/>
          <w:marTop w:val="0"/>
          <w:marBottom w:val="0"/>
          <w:divBdr>
            <w:top w:val="none" w:sz="0" w:space="0" w:color="auto"/>
            <w:left w:val="none" w:sz="0" w:space="0" w:color="auto"/>
            <w:bottom w:val="none" w:sz="0" w:space="0" w:color="auto"/>
            <w:right w:val="none" w:sz="0" w:space="0" w:color="auto"/>
          </w:divBdr>
        </w:div>
        <w:div w:id="1293361718">
          <w:marLeft w:val="0"/>
          <w:marRight w:val="0"/>
          <w:marTop w:val="0"/>
          <w:marBottom w:val="0"/>
          <w:divBdr>
            <w:top w:val="none" w:sz="0" w:space="0" w:color="auto"/>
            <w:left w:val="none" w:sz="0" w:space="0" w:color="auto"/>
            <w:bottom w:val="none" w:sz="0" w:space="0" w:color="auto"/>
            <w:right w:val="none" w:sz="0" w:space="0" w:color="auto"/>
          </w:divBdr>
        </w:div>
        <w:div w:id="2112502801">
          <w:marLeft w:val="0"/>
          <w:marRight w:val="0"/>
          <w:marTop w:val="0"/>
          <w:marBottom w:val="0"/>
          <w:divBdr>
            <w:top w:val="none" w:sz="0" w:space="0" w:color="auto"/>
            <w:left w:val="none" w:sz="0" w:space="0" w:color="auto"/>
            <w:bottom w:val="none" w:sz="0" w:space="0" w:color="auto"/>
            <w:right w:val="none" w:sz="0" w:space="0" w:color="auto"/>
          </w:divBdr>
        </w:div>
        <w:div w:id="70272929">
          <w:marLeft w:val="0"/>
          <w:marRight w:val="0"/>
          <w:marTop w:val="0"/>
          <w:marBottom w:val="0"/>
          <w:divBdr>
            <w:top w:val="none" w:sz="0" w:space="0" w:color="auto"/>
            <w:left w:val="none" w:sz="0" w:space="0" w:color="auto"/>
            <w:bottom w:val="none" w:sz="0" w:space="0" w:color="auto"/>
            <w:right w:val="none" w:sz="0" w:space="0" w:color="auto"/>
          </w:divBdr>
        </w:div>
        <w:div w:id="122575260">
          <w:marLeft w:val="0"/>
          <w:marRight w:val="0"/>
          <w:marTop w:val="0"/>
          <w:marBottom w:val="0"/>
          <w:divBdr>
            <w:top w:val="none" w:sz="0" w:space="0" w:color="auto"/>
            <w:left w:val="none" w:sz="0" w:space="0" w:color="auto"/>
            <w:bottom w:val="none" w:sz="0" w:space="0" w:color="auto"/>
            <w:right w:val="none" w:sz="0" w:space="0" w:color="auto"/>
          </w:divBdr>
        </w:div>
        <w:div w:id="1304581018">
          <w:marLeft w:val="0"/>
          <w:marRight w:val="0"/>
          <w:marTop w:val="0"/>
          <w:marBottom w:val="0"/>
          <w:divBdr>
            <w:top w:val="none" w:sz="0" w:space="0" w:color="auto"/>
            <w:left w:val="none" w:sz="0" w:space="0" w:color="auto"/>
            <w:bottom w:val="none" w:sz="0" w:space="0" w:color="auto"/>
            <w:right w:val="none" w:sz="0" w:space="0" w:color="auto"/>
          </w:divBdr>
        </w:div>
        <w:div w:id="1516963579">
          <w:marLeft w:val="0"/>
          <w:marRight w:val="0"/>
          <w:marTop w:val="0"/>
          <w:marBottom w:val="0"/>
          <w:divBdr>
            <w:top w:val="none" w:sz="0" w:space="0" w:color="auto"/>
            <w:left w:val="none" w:sz="0" w:space="0" w:color="auto"/>
            <w:bottom w:val="none" w:sz="0" w:space="0" w:color="auto"/>
            <w:right w:val="none" w:sz="0" w:space="0" w:color="auto"/>
          </w:divBdr>
        </w:div>
        <w:div w:id="1605110579">
          <w:marLeft w:val="0"/>
          <w:marRight w:val="0"/>
          <w:marTop w:val="0"/>
          <w:marBottom w:val="0"/>
          <w:divBdr>
            <w:top w:val="none" w:sz="0" w:space="0" w:color="auto"/>
            <w:left w:val="none" w:sz="0" w:space="0" w:color="auto"/>
            <w:bottom w:val="none" w:sz="0" w:space="0" w:color="auto"/>
            <w:right w:val="none" w:sz="0" w:space="0" w:color="auto"/>
          </w:divBdr>
        </w:div>
        <w:div w:id="757335071">
          <w:marLeft w:val="0"/>
          <w:marRight w:val="0"/>
          <w:marTop w:val="0"/>
          <w:marBottom w:val="0"/>
          <w:divBdr>
            <w:top w:val="none" w:sz="0" w:space="0" w:color="auto"/>
            <w:left w:val="none" w:sz="0" w:space="0" w:color="auto"/>
            <w:bottom w:val="none" w:sz="0" w:space="0" w:color="auto"/>
            <w:right w:val="none" w:sz="0" w:space="0" w:color="auto"/>
          </w:divBdr>
        </w:div>
        <w:div w:id="408967679">
          <w:marLeft w:val="0"/>
          <w:marRight w:val="0"/>
          <w:marTop w:val="0"/>
          <w:marBottom w:val="0"/>
          <w:divBdr>
            <w:top w:val="none" w:sz="0" w:space="0" w:color="auto"/>
            <w:left w:val="none" w:sz="0" w:space="0" w:color="auto"/>
            <w:bottom w:val="none" w:sz="0" w:space="0" w:color="auto"/>
            <w:right w:val="none" w:sz="0" w:space="0" w:color="auto"/>
          </w:divBdr>
        </w:div>
        <w:div w:id="525801152">
          <w:marLeft w:val="0"/>
          <w:marRight w:val="0"/>
          <w:marTop w:val="0"/>
          <w:marBottom w:val="0"/>
          <w:divBdr>
            <w:top w:val="none" w:sz="0" w:space="0" w:color="auto"/>
            <w:left w:val="none" w:sz="0" w:space="0" w:color="auto"/>
            <w:bottom w:val="none" w:sz="0" w:space="0" w:color="auto"/>
            <w:right w:val="none" w:sz="0" w:space="0" w:color="auto"/>
          </w:divBdr>
        </w:div>
        <w:div w:id="1166554312">
          <w:marLeft w:val="0"/>
          <w:marRight w:val="0"/>
          <w:marTop w:val="0"/>
          <w:marBottom w:val="0"/>
          <w:divBdr>
            <w:top w:val="none" w:sz="0" w:space="0" w:color="auto"/>
            <w:left w:val="none" w:sz="0" w:space="0" w:color="auto"/>
            <w:bottom w:val="none" w:sz="0" w:space="0" w:color="auto"/>
            <w:right w:val="none" w:sz="0" w:space="0" w:color="auto"/>
          </w:divBdr>
        </w:div>
        <w:div w:id="58670722">
          <w:marLeft w:val="0"/>
          <w:marRight w:val="0"/>
          <w:marTop w:val="0"/>
          <w:marBottom w:val="0"/>
          <w:divBdr>
            <w:top w:val="none" w:sz="0" w:space="0" w:color="auto"/>
            <w:left w:val="none" w:sz="0" w:space="0" w:color="auto"/>
            <w:bottom w:val="none" w:sz="0" w:space="0" w:color="auto"/>
            <w:right w:val="none" w:sz="0" w:space="0" w:color="auto"/>
          </w:divBdr>
        </w:div>
        <w:div w:id="548151739">
          <w:marLeft w:val="0"/>
          <w:marRight w:val="0"/>
          <w:marTop w:val="0"/>
          <w:marBottom w:val="0"/>
          <w:divBdr>
            <w:top w:val="none" w:sz="0" w:space="0" w:color="auto"/>
            <w:left w:val="none" w:sz="0" w:space="0" w:color="auto"/>
            <w:bottom w:val="none" w:sz="0" w:space="0" w:color="auto"/>
            <w:right w:val="none" w:sz="0" w:space="0" w:color="auto"/>
          </w:divBdr>
        </w:div>
        <w:div w:id="451359623">
          <w:marLeft w:val="0"/>
          <w:marRight w:val="0"/>
          <w:marTop w:val="0"/>
          <w:marBottom w:val="0"/>
          <w:divBdr>
            <w:top w:val="none" w:sz="0" w:space="0" w:color="auto"/>
            <w:left w:val="none" w:sz="0" w:space="0" w:color="auto"/>
            <w:bottom w:val="none" w:sz="0" w:space="0" w:color="auto"/>
            <w:right w:val="none" w:sz="0" w:space="0" w:color="auto"/>
          </w:divBdr>
        </w:div>
        <w:div w:id="1747221335">
          <w:marLeft w:val="0"/>
          <w:marRight w:val="0"/>
          <w:marTop w:val="0"/>
          <w:marBottom w:val="0"/>
          <w:divBdr>
            <w:top w:val="none" w:sz="0" w:space="0" w:color="auto"/>
            <w:left w:val="none" w:sz="0" w:space="0" w:color="auto"/>
            <w:bottom w:val="none" w:sz="0" w:space="0" w:color="auto"/>
            <w:right w:val="none" w:sz="0" w:space="0" w:color="auto"/>
          </w:divBdr>
        </w:div>
        <w:div w:id="1528370048">
          <w:marLeft w:val="0"/>
          <w:marRight w:val="0"/>
          <w:marTop w:val="0"/>
          <w:marBottom w:val="0"/>
          <w:divBdr>
            <w:top w:val="none" w:sz="0" w:space="0" w:color="auto"/>
            <w:left w:val="none" w:sz="0" w:space="0" w:color="auto"/>
            <w:bottom w:val="none" w:sz="0" w:space="0" w:color="auto"/>
            <w:right w:val="none" w:sz="0" w:space="0" w:color="auto"/>
          </w:divBdr>
        </w:div>
        <w:div w:id="451557522">
          <w:marLeft w:val="0"/>
          <w:marRight w:val="0"/>
          <w:marTop w:val="0"/>
          <w:marBottom w:val="0"/>
          <w:divBdr>
            <w:top w:val="none" w:sz="0" w:space="0" w:color="auto"/>
            <w:left w:val="none" w:sz="0" w:space="0" w:color="auto"/>
            <w:bottom w:val="none" w:sz="0" w:space="0" w:color="auto"/>
            <w:right w:val="none" w:sz="0" w:space="0" w:color="auto"/>
          </w:divBdr>
        </w:div>
        <w:div w:id="1142502547">
          <w:marLeft w:val="0"/>
          <w:marRight w:val="0"/>
          <w:marTop w:val="0"/>
          <w:marBottom w:val="0"/>
          <w:divBdr>
            <w:top w:val="none" w:sz="0" w:space="0" w:color="auto"/>
            <w:left w:val="none" w:sz="0" w:space="0" w:color="auto"/>
            <w:bottom w:val="none" w:sz="0" w:space="0" w:color="auto"/>
            <w:right w:val="none" w:sz="0" w:space="0" w:color="auto"/>
          </w:divBdr>
        </w:div>
        <w:div w:id="2083985161">
          <w:marLeft w:val="0"/>
          <w:marRight w:val="0"/>
          <w:marTop w:val="0"/>
          <w:marBottom w:val="0"/>
          <w:divBdr>
            <w:top w:val="none" w:sz="0" w:space="0" w:color="auto"/>
            <w:left w:val="none" w:sz="0" w:space="0" w:color="auto"/>
            <w:bottom w:val="none" w:sz="0" w:space="0" w:color="auto"/>
            <w:right w:val="none" w:sz="0" w:space="0" w:color="auto"/>
          </w:divBdr>
        </w:div>
        <w:div w:id="1055205225">
          <w:marLeft w:val="0"/>
          <w:marRight w:val="0"/>
          <w:marTop w:val="0"/>
          <w:marBottom w:val="0"/>
          <w:divBdr>
            <w:top w:val="none" w:sz="0" w:space="0" w:color="auto"/>
            <w:left w:val="none" w:sz="0" w:space="0" w:color="auto"/>
            <w:bottom w:val="none" w:sz="0" w:space="0" w:color="auto"/>
            <w:right w:val="none" w:sz="0" w:space="0" w:color="auto"/>
          </w:divBdr>
        </w:div>
        <w:div w:id="56828265">
          <w:marLeft w:val="0"/>
          <w:marRight w:val="0"/>
          <w:marTop w:val="0"/>
          <w:marBottom w:val="0"/>
          <w:divBdr>
            <w:top w:val="none" w:sz="0" w:space="0" w:color="auto"/>
            <w:left w:val="none" w:sz="0" w:space="0" w:color="auto"/>
            <w:bottom w:val="none" w:sz="0" w:space="0" w:color="auto"/>
            <w:right w:val="none" w:sz="0" w:space="0" w:color="auto"/>
          </w:divBdr>
        </w:div>
        <w:div w:id="1278558542">
          <w:marLeft w:val="0"/>
          <w:marRight w:val="0"/>
          <w:marTop w:val="0"/>
          <w:marBottom w:val="0"/>
          <w:divBdr>
            <w:top w:val="none" w:sz="0" w:space="0" w:color="auto"/>
            <w:left w:val="none" w:sz="0" w:space="0" w:color="auto"/>
            <w:bottom w:val="none" w:sz="0" w:space="0" w:color="auto"/>
            <w:right w:val="none" w:sz="0" w:space="0" w:color="auto"/>
          </w:divBdr>
        </w:div>
        <w:div w:id="1525092442">
          <w:marLeft w:val="0"/>
          <w:marRight w:val="0"/>
          <w:marTop w:val="0"/>
          <w:marBottom w:val="0"/>
          <w:divBdr>
            <w:top w:val="none" w:sz="0" w:space="0" w:color="auto"/>
            <w:left w:val="none" w:sz="0" w:space="0" w:color="auto"/>
            <w:bottom w:val="none" w:sz="0" w:space="0" w:color="auto"/>
            <w:right w:val="none" w:sz="0" w:space="0" w:color="auto"/>
          </w:divBdr>
        </w:div>
        <w:div w:id="1300915299">
          <w:marLeft w:val="0"/>
          <w:marRight w:val="0"/>
          <w:marTop w:val="0"/>
          <w:marBottom w:val="0"/>
          <w:divBdr>
            <w:top w:val="none" w:sz="0" w:space="0" w:color="auto"/>
            <w:left w:val="none" w:sz="0" w:space="0" w:color="auto"/>
            <w:bottom w:val="none" w:sz="0" w:space="0" w:color="auto"/>
            <w:right w:val="none" w:sz="0" w:space="0" w:color="auto"/>
          </w:divBdr>
        </w:div>
        <w:div w:id="1657607951">
          <w:marLeft w:val="0"/>
          <w:marRight w:val="0"/>
          <w:marTop w:val="0"/>
          <w:marBottom w:val="0"/>
          <w:divBdr>
            <w:top w:val="none" w:sz="0" w:space="0" w:color="auto"/>
            <w:left w:val="none" w:sz="0" w:space="0" w:color="auto"/>
            <w:bottom w:val="none" w:sz="0" w:space="0" w:color="auto"/>
            <w:right w:val="none" w:sz="0" w:space="0" w:color="auto"/>
          </w:divBdr>
        </w:div>
        <w:div w:id="755904028">
          <w:marLeft w:val="0"/>
          <w:marRight w:val="0"/>
          <w:marTop w:val="0"/>
          <w:marBottom w:val="0"/>
          <w:divBdr>
            <w:top w:val="none" w:sz="0" w:space="0" w:color="auto"/>
            <w:left w:val="none" w:sz="0" w:space="0" w:color="auto"/>
            <w:bottom w:val="none" w:sz="0" w:space="0" w:color="auto"/>
            <w:right w:val="none" w:sz="0" w:space="0" w:color="auto"/>
          </w:divBdr>
        </w:div>
        <w:div w:id="202905578">
          <w:marLeft w:val="0"/>
          <w:marRight w:val="0"/>
          <w:marTop w:val="0"/>
          <w:marBottom w:val="0"/>
          <w:divBdr>
            <w:top w:val="none" w:sz="0" w:space="0" w:color="auto"/>
            <w:left w:val="none" w:sz="0" w:space="0" w:color="auto"/>
            <w:bottom w:val="none" w:sz="0" w:space="0" w:color="auto"/>
            <w:right w:val="none" w:sz="0" w:space="0" w:color="auto"/>
          </w:divBdr>
        </w:div>
        <w:div w:id="211211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E0DD7-3E96-4F4B-A94F-1156F0F6262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4798FEC1-1120-4B44-9384-44DDAAF6BCB6}">
  <ds:schemaRefs>
    <ds:schemaRef ds:uri="http://schemas.microsoft.com/sharepoint/v3/contenttype/forms"/>
  </ds:schemaRefs>
</ds:datastoreItem>
</file>

<file path=customXml/itemProps3.xml><?xml version="1.0" encoding="utf-8"?>
<ds:datastoreItem xmlns:ds="http://schemas.openxmlformats.org/officeDocument/2006/customXml" ds:itemID="{1C2CC029-18DD-4F92-85CF-0B491426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54687</Words>
  <Characters>31172</Characters>
  <Application>Microsoft Office Word</Application>
  <DocSecurity>0</DocSecurity>
  <Lines>259</Lines>
  <Paragraphs>171</Paragraphs>
  <ScaleCrop>false</ScaleCrop>
  <Company/>
  <LinksUpToDate>false</LinksUpToDate>
  <CharactersWithSpaces>85688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2022-03-15T07:56:00Z</dcterms:created>
  <dcterms:modified xsi:type="dcterms:W3CDTF">2022-07-19T11:22:00Z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