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0EA9" w14:textId="77777777" w:rsidR="005C1D23" w:rsidRPr="005C1D23" w:rsidRDefault="005C1D23" w:rsidP="005C1D23">
      <w:pPr>
        <w:spacing w:after="0" w:line="240" w:lineRule="auto"/>
        <w:jc w:val="both"/>
        <w:rPr>
          <w:rFonts w:ascii="Times New Roman" w:hAnsi="Times New Roman"/>
          <w:bCs/>
          <w:noProof/>
          <w:sz w:val="24"/>
          <w:lang w:val="en-US"/>
        </w:rPr>
      </w:pPr>
    </w:p>
    <w:p w14:paraId="24661382" w14:textId="77777777" w:rsidR="005C1D23" w:rsidRPr="005C1D23" w:rsidRDefault="005C1D23" w:rsidP="005C1D23">
      <w:pPr>
        <w:spacing w:after="0" w:line="240" w:lineRule="auto"/>
        <w:jc w:val="both"/>
        <w:rPr>
          <w:rFonts w:ascii="Times New Roman" w:hAnsi="Times New Roman"/>
          <w:bCs/>
          <w:noProof/>
          <w:sz w:val="20"/>
          <w:szCs w:val="18"/>
          <w:lang w:val="en-US"/>
        </w:rPr>
      </w:pPr>
      <w:r w:rsidRPr="005C1D23">
        <w:rPr>
          <w:rFonts w:ascii="Times New Roman" w:hAnsi="Times New Roman"/>
          <w:bCs/>
          <w:noProof/>
          <w:sz w:val="20"/>
          <w:szCs w:val="18"/>
          <w:lang w:val="en-US"/>
        </w:rPr>
        <w:t>Text consolidated by Valsts valodas centrs (State Language Centre) with amending decisions of:</w:t>
      </w:r>
    </w:p>
    <w:p w14:paraId="7B0718D9" w14:textId="77777777" w:rsidR="005C1D23" w:rsidRPr="005C1D23" w:rsidRDefault="005C1D23" w:rsidP="005C1D23">
      <w:pPr>
        <w:spacing w:after="0" w:line="240" w:lineRule="auto"/>
        <w:jc w:val="center"/>
        <w:rPr>
          <w:rFonts w:ascii="Times New Roman" w:hAnsi="Times New Roman"/>
          <w:bCs/>
          <w:noProof/>
          <w:sz w:val="20"/>
          <w:szCs w:val="18"/>
          <w:lang w:val="en-US"/>
        </w:rPr>
      </w:pPr>
      <w:r w:rsidRPr="005C1D23">
        <w:rPr>
          <w:rFonts w:ascii="Times New Roman" w:hAnsi="Times New Roman"/>
          <w:bCs/>
          <w:noProof/>
          <w:sz w:val="20"/>
          <w:szCs w:val="18"/>
          <w:lang w:val="en-US"/>
        </w:rPr>
        <w:t>18 December 2019 [shall come into force on 1 January 2020];</w:t>
      </w:r>
    </w:p>
    <w:p w14:paraId="5A513DA2" w14:textId="77777777" w:rsidR="005C1D23" w:rsidRPr="005C1D23" w:rsidRDefault="005C1D23" w:rsidP="005C1D23">
      <w:pPr>
        <w:spacing w:after="0" w:line="240" w:lineRule="auto"/>
        <w:jc w:val="center"/>
        <w:rPr>
          <w:rFonts w:ascii="Times New Roman" w:hAnsi="Times New Roman"/>
          <w:bCs/>
          <w:noProof/>
          <w:sz w:val="20"/>
          <w:szCs w:val="18"/>
          <w:lang w:val="en-US"/>
        </w:rPr>
      </w:pPr>
      <w:r w:rsidRPr="005C1D23">
        <w:rPr>
          <w:rFonts w:ascii="Times New Roman" w:hAnsi="Times New Roman"/>
          <w:bCs/>
          <w:noProof/>
          <w:sz w:val="20"/>
          <w:szCs w:val="18"/>
          <w:lang w:val="en-US"/>
        </w:rPr>
        <w:t>27 May 2021 [shall come into force on 1 June 2021];</w:t>
      </w:r>
    </w:p>
    <w:p w14:paraId="79B652FA" w14:textId="77777777" w:rsidR="005C1D23" w:rsidRPr="005C1D23" w:rsidRDefault="005C1D23" w:rsidP="005C1D23">
      <w:pPr>
        <w:spacing w:after="0" w:line="240" w:lineRule="auto"/>
        <w:jc w:val="center"/>
        <w:rPr>
          <w:rFonts w:ascii="Times New Roman" w:hAnsi="Times New Roman"/>
          <w:bCs/>
          <w:noProof/>
          <w:sz w:val="20"/>
          <w:szCs w:val="18"/>
          <w:lang w:val="en-US"/>
        </w:rPr>
      </w:pPr>
      <w:r w:rsidRPr="005C1D23">
        <w:rPr>
          <w:rFonts w:ascii="Times New Roman" w:hAnsi="Times New Roman"/>
          <w:bCs/>
          <w:noProof/>
          <w:sz w:val="20"/>
          <w:szCs w:val="18"/>
          <w:lang w:val="en-US"/>
        </w:rPr>
        <w:t>13 October 2022 [shall come into force on 18 October 2022].</w:t>
      </w:r>
    </w:p>
    <w:p w14:paraId="629A4CEF" w14:textId="77777777" w:rsidR="005C1D23" w:rsidRPr="005C1D23" w:rsidRDefault="005C1D23" w:rsidP="005C1D23">
      <w:pPr>
        <w:spacing w:after="0" w:line="240" w:lineRule="auto"/>
        <w:jc w:val="both"/>
        <w:rPr>
          <w:rFonts w:ascii="Times New Roman" w:hAnsi="Times New Roman"/>
          <w:bCs/>
          <w:noProof/>
          <w:sz w:val="20"/>
          <w:szCs w:val="18"/>
          <w:lang w:val="en-US"/>
        </w:rPr>
      </w:pPr>
      <w:r w:rsidRPr="005C1D23">
        <w:rPr>
          <w:rFonts w:ascii="Times New Roman" w:hAnsi="Times New Roman"/>
          <w:bCs/>
          <w:noProof/>
          <w:sz w:val="20"/>
          <w:szCs w:val="18"/>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4866070" w14:textId="77777777" w:rsidR="005C1D23" w:rsidRPr="005C1D23" w:rsidRDefault="005C1D23" w:rsidP="005C1D23">
      <w:pPr>
        <w:spacing w:after="0" w:line="240" w:lineRule="auto"/>
        <w:jc w:val="both"/>
        <w:rPr>
          <w:rFonts w:ascii="Times New Roman" w:hAnsi="Times New Roman"/>
          <w:bCs/>
          <w:noProof/>
          <w:sz w:val="24"/>
          <w:lang w:val="en-US"/>
        </w:rPr>
      </w:pPr>
    </w:p>
    <w:p w14:paraId="422E8CF1" w14:textId="77777777" w:rsidR="005C1D23" w:rsidRPr="005C1D23" w:rsidRDefault="005C1D23" w:rsidP="005C1D23">
      <w:pPr>
        <w:spacing w:after="0" w:line="240" w:lineRule="auto"/>
        <w:jc w:val="both"/>
        <w:rPr>
          <w:rFonts w:ascii="Times New Roman" w:hAnsi="Times New Roman"/>
          <w:bCs/>
          <w:noProof/>
          <w:sz w:val="24"/>
          <w:lang w:val="en-US"/>
        </w:rPr>
      </w:pPr>
    </w:p>
    <w:p w14:paraId="0EE1D4BE" w14:textId="77777777" w:rsidR="005C1D23" w:rsidRPr="005C1D23" w:rsidRDefault="005C1D23" w:rsidP="005C1D23">
      <w:pPr>
        <w:spacing w:after="0" w:line="240" w:lineRule="auto"/>
        <w:jc w:val="center"/>
        <w:rPr>
          <w:rFonts w:ascii="Times New Roman" w:hAnsi="Times New Roman"/>
          <w:b/>
          <w:noProof/>
          <w:sz w:val="24"/>
          <w:lang w:val="en-US"/>
        </w:rPr>
      </w:pPr>
      <w:r w:rsidRPr="005C1D23">
        <w:rPr>
          <w:rFonts w:ascii="Times New Roman" w:hAnsi="Times New Roman"/>
          <w:b/>
          <w:noProof/>
          <w:sz w:val="24"/>
          <w:lang w:val="en-US"/>
        </w:rPr>
        <w:t>Decision No. 1/42 of the Board of the Public Utilities Commission</w:t>
      </w:r>
    </w:p>
    <w:p w14:paraId="08AB32AD"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C3CC6C" w14:textId="77777777" w:rsidR="005C1D23" w:rsidRPr="005C1D23" w:rsidRDefault="005C1D23" w:rsidP="005C1D23">
      <w:pPr>
        <w:shd w:val="clear" w:color="auto" w:fill="FFFFFF"/>
        <w:spacing w:after="0" w:line="240" w:lineRule="auto"/>
        <w:jc w:val="center"/>
        <w:rPr>
          <w:rFonts w:ascii="Times New Roman" w:hAnsi="Times New Roman"/>
          <w:noProof/>
          <w:sz w:val="24"/>
          <w:lang w:val="en-US"/>
        </w:rPr>
      </w:pPr>
      <w:r w:rsidRPr="005C1D23">
        <w:rPr>
          <w:rFonts w:ascii="Times New Roman" w:hAnsi="Times New Roman"/>
          <w:noProof/>
          <w:sz w:val="24"/>
          <w:lang w:val="en-US"/>
        </w:rPr>
        <w:t>Adopted 21 December 2017</w:t>
      </w:r>
    </w:p>
    <w:p w14:paraId="34862034"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8E43FC"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D2CCE7" w14:textId="77777777" w:rsidR="005C1D23" w:rsidRPr="005C1D23" w:rsidRDefault="005C1D23" w:rsidP="005C1D23">
      <w:pPr>
        <w:shd w:val="clear" w:color="auto" w:fill="FFFFFF"/>
        <w:spacing w:after="0" w:line="240" w:lineRule="auto"/>
        <w:jc w:val="center"/>
        <w:rPr>
          <w:rFonts w:ascii="Times New Roman" w:hAnsi="Times New Roman"/>
          <w:b/>
          <w:noProof/>
          <w:sz w:val="28"/>
          <w:lang w:val="en-US"/>
        </w:rPr>
      </w:pPr>
      <w:r w:rsidRPr="005C1D23">
        <w:rPr>
          <w:rFonts w:ascii="Times New Roman" w:hAnsi="Times New Roman"/>
          <w:b/>
          <w:noProof/>
          <w:sz w:val="28"/>
          <w:lang w:val="en-US"/>
        </w:rPr>
        <w:t>General Regulations for the Submission of Information</w:t>
      </w:r>
    </w:p>
    <w:p w14:paraId="460B6FCB"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CC893A"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B93EAE" w14:textId="77777777" w:rsidR="005C1D23" w:rsidRPr="005C1D23" w:rsidRDefault="005C1D23" w:rsidP="005C1D23">
      <w:pPr>
        <w:shd w:val="clear" w:color="auto" w:fill="FFFFFF"/>
        <w:spacing w:after="0" w:line="240" w:lineRule="auto"/>
        <w:jc w:val="right"/>
        <w:rPr>
          <w:rFonts w:ascii="Times New Roman" w:hAnsi="Times New Roman"/>
          <w:i/>
          <w:noProof/>
          <w:sz w:val="24"/>
          <w:lang w:val="en-US"/>
        </w:rPr>
      </w:pPr>
      <w:r w:rsidRPr="005C1D23">
        <w:rPr>
          <w:rFonts w:ascii="Times New Roman" w:hAnsi="Times New Roman"/>
          <w:i/>
          <w:noProof/>
          <w:sz w:val="24"/>
          <w:lang w:val="en-US"/>
        </w:rPr>
        <w:t>Issued pursuant to</w:t>
      </w:r>
    </w:p>
    <w:p w14:paraId="71A64D0F" w14:textId="77777777" w:rsidR="005C1D23" w:rsidRPr="005C1D23" w:rsidRDefault="005C1D23" w:rsidP="005C1D23">
      <w:pPr>
        <w:shd w:val="clear" w:color="auto" w:fill="FFFFFF"/>
        <w:spacing w:after="0" w:line="240" w:lineRule="auto"/>
        <w:jc w:val="right"/>
        <w:rPr>
          <w:rFonts w:ascii="Times New Roman" w:hAnsi="Times New Roman"/>
          <w:i/>
          <w:noProof/>
          <w:sz w:val="24"/>
          <w:lang w:val="en-US"/>
        </w:rPr>
      </w:pPr>
      <w:r w:rsidRPr="005C1D23">
        <w:rPr>
          <w:rFonts w:ascii="Times New Roman" w:hAnsi="Times New Roman"/>
          <w:i/>
          <w:noProof/>
          <w:sz w:val="24"/>
          <w:lang w:val="en-US"/>
        </w:rPr>
        <w:t>Section 25, Paragraph one of the law On Regulators of Public Utilities</w:t>
      </w:r>
    </w:p>
    <w:p w14:paraId="13E72CF7"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43777"/>
      <w:bookmarkEnd w:id="0"/>
      <w:bookmarkEnd w:id="1"/>
    </w:p>
    <w:p w14:paraId="26B4C497"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E6ABEB" w14:textId="77777777" w:rsidR="005C1D23" w:rsidRPr="005C1D23" w:rsidRDefault="005C1D23" w:rsidP="005C1D23">
      <w:pPr>
        <w:shd w:val="clear" w:color="auto" w:fill="FFFFFF"/>
        <w:spacing w:after="0" w:line="240" w:lineRule="auto"/>
        <w:jc w:val="center"/>
        <w:rPr>
          <w:rFonts w:ascii="Times New Roman" w:hAnsi="Times New Roman"/>
          <w:b/>
          <w:noProof/>
          <w:sz w:val="24"/>
          <w:lang w:val="en-US"/>
        </w:rPr>
      </w:pPr>
      <w:r w:rsidRPr="005C1D23">
        <w:rPr>
          <w:rFonts w:ascii="Times New Roman" w:hAnsi="Times New Roman"/>
          <w:b/>
          <w:noProof/>
          <w:sz w:val="24"/>
          <w:lang w:val="en-US"/>
        </w:rPr>
        <w:t>I. General Provisions</w:t>
      </w:r>
    </w:p>
    <w:p w14:paraId="4F5E591F"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643778"/>
      <w:bookmarkEnd w:id="2"/>
      <w:bookmarkEnd w:id="3"/>
    </w:p>
    <w:p w14:paraId="718DD2C0"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1. The general regulations for the submission of information (hereinafter – the Regulation) shall prescribe:</w:t>
      </w:r>
    </w:p>
    <w:p w14:paraId="68DAFD71"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1.1. the general procedures by which a provider of public utilities, public electricity trader and electricity system owner (hereinafter collectively – the Merchant) shall submit to the Public Utilities Commission (hereinafter – the Regulator) the information required by the Regulator for the performance of the functions laid down in the law On Regulators of Public Utilities (hereinafter – the Law) and the special laws and regulations of regulated industries;</w:t>
      </w:r>
    </w:p>
    <w:p w14:paraId="3439D542"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1.2. the procedures by which the Merchant shall submit information regarding the calculation of the State fee for the regulation of public utilities (hereinafter – the State fee) to the Regulator.</w:t>
      </w:r>
    </w:p>
    <w:p w14:paraId="29B70C76"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643779"/>
      <w:bookmarkEnd w:id="4"/>
      <w:bookmarkEnd w:id="5"/>
    </w:p>
    <w:p w14:paraId="6E65C948"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2. The Regulator shall hold the Merchant liable in accordance with the procedures laid down in laws and regulations for the failure to provide information at the disposal of the Merchant in accordance with the procedures or time period specified by the Regulator, and also for the provision of false information to the Regulator.</w:t>
      </w:r>
    </w:p>
    <w:p w14:paraId="51E7B4C2"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643780"/>
      <w:bookmarkEnd w:id="6"/>
      <w:bookmarkEnd w:id="7"/>
    </w:p>
    <w:p w14:paraId="410E5C01"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3. The Regulator shall determine the status of restricted information received from the Merchant or any part thereof if the Merchant has fulfilled the requirements laid down in Section 45 of the Law.</w:t>
      </w:r>
    </w:p>
    <w:p w14:paraId="5EEC70EC"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643781"/>
      <w:bookmarkEnd w:id="8"/>
      <w:bookmarkEnd w:id="9"/>
    </w:p>
    <w:p w14:paraId="2FB4F06B" w14:textId="77777777" w:rsidR="005C1D23" w:rsidRPr="005C1D23" w:rsidRDefault="005C1D23" w:rsidP="005C1D23">
      <w:pPr>
        <w:shd w:val="clear" w:color="auto" w:fill="FFFFFF"/>
        <w:spacing w:after="0" w:line="240" w:lineRule="auto"/>
        <w:jc w:val="center"/>
        <w:rPr>
          <w:rFonts w:ascii="Times New Roman" w:hAnsi="Times New Roman"/>
          <w:b/>
          <w:noProof/>
          <w:sz w:val="24"/>
          <w:lang w:val="en-US"/>
        </w:rPr>
      </w:pPr>
      <w:r w:rsidRPr="005C1D23">
        <w:rPr>
          <w:rFonts w:ascii="Times New Roman" w:hAnsi="Times New Roman"/>
          <w:b/>
          <w:noProof/>
          <w:sz w:val="24"/>
          <w:lang w:val="en-US"/>
        </w:rPr>
        <w:t>II. General Procedures for the Submission of Information</w:t>
      </w:r>
    </w:p>
    <w:p w14:paraId="4B77F4D0"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643782"/>
      <w:bookmarkEnd w:id="10"/>
      <w:bookmarkEnd w:id="11"/>
    </w:p>
    <w:p w14:paraId="53F7B564"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4. The Merchant shall submit the information to the Regulator in electronic form by using the System for Input and Processing of Merchant’s Information (hereinafter – the SIPI) under the supervision of the Regulator.</w:t>
      </w:r>
    </w:p>
    <w:p w14:paraId="60F69165"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643783"/>
      <w:bookmarkEnd w:id="12"/>
      <w:bookmarkEnd w:id="13"/>
    </w:p>
    <w:p w14:paraId="6E34C840"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5. If the technical capabilities of the Regulator or the Merchant do not allow the use of SIPI, the Merchant may submit the information to the Regulator in one of the following ways:</w:t>
      </w:r>
    </w:p>
    <w:p w14:paraId="79F3230D"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5.1. by submitting it to the Regulator in person;</w:t>
      </w:r>
    </w:p>
    <w:p w14:paraId="7F94A7D3"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5.2. by sending it to the Regulator by post;</w:t>
      </w:r>
    </w:p>
    <w:p w14:paraId="04F73E78"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5.3. by submitting it to the Regulator with the intermediation of the electronic post sprk@sprk.gov.lv as an electronic document with a secure electronic signature and time stamp.</w:t>
      </w:r>
    </w:p>
    <w:p w14:paraId="1C243BF7"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643784"/>
      <w:bookmarkEnd w:id="14"/>
      <w:bookmarkEnd w:id="15"/>
    </w:p>
    <w:p w14:paraId="351D3950"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6. The Merchant shall submit the information to the Regulator about a change of data included in the notification on registration within 30 days from the day when the relevant changes have been made.</w:t>
      </w:r>
    </w:p>
    <w:p w14:paraId="3D2C8FF3"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643785"/>
      <w:bookmarkEnd w:id="16"/>
      <w:bookmarkEnd w:id="17"/>
    </w:p>
    <w:p w14:paraId="719B279A"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7. In addition to the information specified in the Regulation, in accordance with the procedures, extent and time period laid down in laws and regulations or by the Regulator, the Merchant shall also submit to the Regulator other information which is necessary for the Regulator for the performance of the functions laid down in the Law or the special laws and regulations of regulated industries.</w:t>
      </w:r>
    </w:p>
    <w:p w14:paraId="684B4657"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3"/>
      <w:bookmarkStart w:id="19" w:name="n-643786"/>
      <w:bookmarkEnd w:id="18"/>
      <w:bookmarkEnd w:id="19"/>
    </w:p>
    <w:p w14:paraId="2AD65A23" w14:textId="77777777" w:rsidR="005C1D23" w:rsidRPr="005C1D23" w:rsidRDefault="005C1D23" w:rsidP="005C1D23">
      <w:pPr>
        <w:shd w:val="clear" w:color="auto" w:fill="FFFFFF"/>
        <w:spacing w:after="0" w:line="240" w:lineRule="auto"/>
        <w:jc w:val="center"/>
        <w:rPr>
          <w:rFonts w:ascii="Times New Roman" w:hAnsi="Times New Roman"/>
          <w:b/>
          <w:noProof/>
          <w:sz w:val="24"/>
          <w:lang w:val="en-US"/>
        </w:rPr>
      </w:pPr>
      <w:r w:rsidRPr="005C1D23">
        <w:rPr>
          <w:rFonts w:ascii="Times New Roman" w:hAnsi="Times New Roman"/>
          <w:b/>
          <w:noProof/>
          <w:sz w:val="24"/>
          <w:lang w:val="en-US"/>
        </w:rPr>
        <w:t>III. Submission of the Information Necessary for the Calculation of the State Fee</w:t>
      </w:r>
    </w:p>
    <w:p w14:paraId="7C4CC515"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8"/>
      <w:bookmarkStart w:id="21" w:name="p-643787"/>
      <w:bookmarkEnd w:id="20"/>
      <w:bookmarkEnd w:id="21"/>
    </w:p>
    <w:p w14:paraId="2831A4B3"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8. The provider of public utilities shall submit information regarding the State fee calculated in accordance with the procedures laid down in the Law to the Regulator in the amount specified in Annex 1 to this Regulation.</w:t>
      </w:r>
    </w:p>
    <w:p w14:paraId="13883A6D"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
      <w:bookmarkStart w:id="23" w:name="p-783961"/>
      <w:bookmarkEnd w:id="22"/>
      <w:bookmarkEnd w:id="23"/>
    </w:p>
    <w:p w14:paraId="6C362171"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9. The provider of public utilities shall submit the information about the calculated State fee to the Regulator within the following time periods:</w:t>
      </w:r>
    </w:p>
    <w:p w14:paraId="73ADCE94"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9.1. in the first calendar year of operation – within a period of 30 days after receipt of the licence laid down in laws and regulations, after the sending of the notification on registration or after the registration of the Merchant in the relevant register;</w:t>
      </w:r>
    </w:p>
    <w:p w14:paraId="6DDAFE92"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9.2. in the second calendar year of operation:</w:t>
      </w:r>
    </w:p>
    <w:p w14:paraId="05651C28" w14:textId="77777777" w:rsidR="005C1D23" w:rsidRPr="005C1D23" w:rsidRDefault="005C1D23" w:rsidP="005C1D23">
      <w:pPr>
        <w:shd w:val="clear" w:color="auto" w:fill="FFFFFF"/>
        <w:spacing w:after="0" w:line="240" w:lineRule="auto"/>
        <w:ind w:left="709" w:firstLine="709"/>
        <w:jc w:val="both"/>
        <w:rPr>
          <w:rFonts w:ascii="Times New Roman" w:hAnsi="Times New Roman"/>
          <w:noProof/>
          <w:sz w:val="24"/>
          <w:lang w:val="en-US"/>
        </w:rPr>
      </w:pPr>
      <w:r w:rsidRPr="005C1D23">
        <w:rPr>
          <w:rFonts w:ascii="Times New Roman" w:hAnsi="Times New Roman"/>
          <w:noProof/>
          <w:sz w:val="24"/>
          <w:lang w:val="en-US"/>
        </w:rPr>
        <w:t>9.2.1. until 30 January of the relevant calendar year for the calculated State fee for the relevant calendar year;</w:t>
      </w:r>
    </w:p>
    <w:p w14:paraId="12F5DA6A" w14:textId="77777777" w:rsidR="005C1D23" w:rsidRPr="005C1D23" w:rsidRDefault="005C1D23" w:rsidP="005C1D23">
      <w:pPr>
        <w:shd w:val="clear" w:color="auto" w:fill="FFFFFF"/>
        <w:spacing w:after="0" w:line="240" w:lineRule="auto"/>
        <w:ind w:left="709" w:firstLine="709"/>
        <w:jc w:val="both"/>
        <w:rPr>
          <w:rFonts w:ascii="Times New Roman" w:hAnsi="Times New Roman"/>
          <w:noProof/>
          <w:sz w:val="24"/>
          <w:lang w:val="en-US"/>
        </w:rPr>
      </w:pPr>
      <w:r w:rsidRPr="005C1D23">
        <w:rPr>
          <w:rFonts w:ascii="Times New Roman" w:hAnsi="Times New Roman"/>
          <w:noProof/>
          <w:sz w:val="24"/>
          <w:lang w:val="en-US"/>
        </w:rPr>
        <w:t>9.2.2. until 15 July of the relevant calendar year:</w:t>
      </w:r>
    </w:p>
    <w:p w14:paraId="7CC8CA9A" w14:textId="77777777" w:rsidR="005C1D23" w:rsidRPr="005C1D23" w:rsidRDefault="005C1D23" w:rsidP="005C1D23">
      <w:pPr>
        <w:shd w:val="clear" w:color="auto" w:fill="FFFFFF"/>
        <w:spacing w:after="0" w:line="240" w:lineRule="auto"/>
        <w:ind w:left="1418" w:firstLine="709"/>
        <w:jc w:val="both"/>
        <w:rPr>
          <w:rFonts w:ascii="Times New Roman" w:hAnsi="Times New Roman"/>
          <w:noProof/>
          <w:sz w:val="24"/>
          <w:lang w:val="en-US"/>
        </w:rPr>
      </w:pPr>
      <w:r w:rsidRPr="005C1D23">
        <w:rPr>
          <w:rFonts w:ascii="Times New Roman" w:hAnsi="Times New Roman"/>
          <w:noProof/>
          <w:sz w:val="24"/>
          <w:lang w:val="en-US"/>
        </w:rPr>
        <w:t>9.2.2.1. for the calculated State fee for the subsequent calendar year;</w:t>
      </w:r>
    </w:p>
    <w:p w14:paraId="3E117BB1" w14:textId="77777777" w:rsidR="005C1D23" w:rsidRPr="005C1D23" w:rsidRDefault="005C1D23" w:rsidP="005C1D23">
      <w:pPr>
        <w:shd w:val="clear" w:color="auto" w:fill="FFFFFF"/>
        <w:spacing w:after="0" w:line="240" w:lineRule="auto"/>
        <w:ind w:left="1418" w:firstLine="709"/>
        <w:jc w:val="both"/>
        <w:rPr>
          <w:rFonts w:ascii="Times New Roman" w:hAnsi="Times New Roman"/>
          <w:noProof/>
          <w:sz w:val="24"/>
          <w:lang w:val="en-US"/>
        </w:rPr>
      </w:pPr>
      <w:r w:rsidRPr="005C1D23">
        <w:rPr>
          <w:rFonts w:ascii="Times New Roman" w:hAnsi="Times New Roman"/>
          <w:noProof/>
          <w:sz w:val="24"/>
          <w:lang w:val="en-US"/>
        </w:rPr>
        <w:t>9.2.2.2. if necessary, updated information about the calculated State fee in the first and second calendar year of the operation;</w:t>
      </w:r>
    </w:p>
    <w:p w14:paraId="3FC317FB"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9.3. in the third and subsequent calendar years of operation – until 15 July of the relevant calendar year for the calculated State fee for the subsequent calendar year.</w:t>
      </w:r>
    </w:p>
    <w:p w14:paraId="3A7BDA7D"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r w:rsidRPr="005C1D23">
        <w:rPr>
          <w:rFonts w:ascii="Times New Roman" w:hAnsi="Times New Roman"/>
          <w:noProof/>
          <w:sz w:val="24"/>
          <w:lang w:val="en-US"/>
        </w:rPr>
        <w:t>[</w:t>
      </w:r>
      <w:r w:rsidRPr="005C1D23">
        <w:rPr>
          <w:rFonts w:ascii="Times New Roman" w:hAnsi="Times New Roman"/>
          <w:i/>
          <w:iCs/>
          <w:noProof/>
          <w:sz w:val="24"/>
          <w:lang w:val="en-US"/>
        </w:rPr>
        <w:t>27 May 2021</w:t>
      </w:r>
      <w:r w:rsidRPr="005C1D23">
        <w:rPr>
          <w:rFonts w:ascii="Times New Roman" w:hAnsi="Times New Roman"/>
          <w:noProof/>
          <w:sz w:val="24"/>
          <w:lang w:val="en-US"/>
        </w:rPr>
        <w:t>]</w:t>
      </w:r>
    </w:p>
    <w:p w14:paraId="3C79D33D"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0"/>
      <w:bookmarkStart w:id="25" w:name="p-643789"/>
      <w:bookmarkEnd w:id="24"/>
      <w:bookmarkEnd w:id="25"/>
    </w:p>
    <w:p w14:paraId="28A99F3B"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10. The public electricity trader shall submit the information about the State fee calculated in accordance with the procedures laid down in the Electricity Market Law and the Law to the Regulator in the amount specified in Annex 2 to the Regulation.</w:t>
      </w:r>
    </w:p>
    <w:p w14:paraId="0E4E6CA2"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
      <w:bookmarkStart w:id="27" w:name="p-783962"/>
      <w:bookmarkEnd w:id="26"/>
      <w:bookmarkEnd w:id="27"/>
    </w:p>
    <w:p w14:paraId="71AA404A"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11. The public electricity trader shall submit the information about the calculated State fee to the Regulator within the following time periods:</w:t>
      </w:r>
    </w:p>
    <w:p w14:paraId="2B7154FD"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11.1. until 30 January of the relevant calendar year – in conformity with the forecasts of the public electricity trader about payments made by end-users in the previous calendar year which compensate the costs laid down in the Electricity Market Law (hereinafter – the Payments) for the public electricity trader;</w:t>
      </w:r>
    </w:p>
    <w:p w14:paraId="35D63C5C"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11.2. until 15 July of the relevant calendar year – in conformity with the actual amount of the Payments in the previous calendar year.</w:t>
      </w:r>
    </w:p>
    <w:p w14:paraId="76D67614"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r w:rsidRPr="005C1D23">
        <w:rPr>
          <w:rFonts w:ascii="Times New Roman" w:hAnsi="Times New Roman"/>
          <w:noProof/>
          <w:sz w:val="24"/>
          <w:lang w:val="en-US"/>
        </w:rPr>
        <w:t>[</w:t>
      </w:r>
      <w:r w:rsidRPr="005C1D23">
        <w:rPr>
          <w:rFonts w:ascii="Times New Roman" w:hAnsi="Times New Roman"/>
          <w:i/>
          <w:iCs/>
          <w:noProof/>
          <w:sz w:val="24"/>
          <w:lang w:val="en-US"/>
        </w:rPr>
        <w:t>27 May 2021</w:t>
      </w:r>
      <w:r w:rsidRPr="005C1D23">
        <w:rPr>
          <w:rFonts w:ascii="Times New Roman" w:hAnsi="Times New Roman"/>
          <w:noProof/>
          <w:sz w:val="24"/>
          <w:lang w:val="en-US"/>
        </w:rPr>
        <w:t>]</w:t>
      </w:r>
    </w:p>
    <w:p w14:paraId="1C7CC33F"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2"/>
      <w:bookmarkStart w:id="29" w:name="p-783963"/>
      <w:bookmarkEnd w:id="28"/>
      <w:bookmarkEnd w:id="29"/>
    </w:p>
    <w:p w14:paraId="795B039A"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12. [27 May 2021]</w:t>
      </w:r>
    </w:p>
    <w:p w14:paraId="33A6223B"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3"/>
      <w:bookmarkStart w:id="31" w:name="p-783964"/>
      <w:bookmarkEnd w:id="30"/>
      <w:bookmarkEnd w:id="31"/>
    </w:p>
    <w:p w14:paraId="077C11DF"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13. [27 May 2021]</w:t>
      </w:r>
    </w:p>
    <w:p w14:paraId="3DC642B9"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_1"/>
      <w:bookmarkStart w:id="33" w:name="p-783965"/>
      <w:bookmarkEnd w:id="32"/>
      <w:bookmarkEnd w:id="33"/>
    </w:p>
    <w:p w14:paraId="79FA7B36"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r w:rsidRPr="005C1D23">
        <w:rPr>
          <w:rFonts w:ascii="Times New Roman" w:hAnsi="Times New Roman"/>
          <w:noProof/>
          <w:sz w:val="24"/>
          <w:lang w:val="en-US"/>
        </w:rPr>
        <w:t>13.</w:t>
      </w:r>
      <w:r w:rsidRPr="005C1D23">
        <w:rPr>
          <w:rFonts w:ascii="Times New Roman" w:hAnsi="Times New Roman"/>
          <w:noProof/>
          <w:sz w:val="24"/>
          <w:vertAlign w:val="superscript"/>
          <w:lang w:val="en-US"/>
        </w:rPr>
        <w:t xml:space="preserve">1 </w:t>
      </w:r>
      <w:r w:rsidRPr="005C1D23">
        <w:rPr>
          <w:rFonts w:ascii="Times New Roman" w:hAnsi="Times New Roman"/>
          <w:noProof/>
          <w:sz w:val="24"/>
          <w:lang w:val="en-US"/>
        </w:rPr>
        <w:t>The deposit system operator shall submit information to the Regulator about the State fee calculated in accordance with the procedures laid down in the Packaging Law and the Law in the amount specified in Annex 4 to this Regulation.</w:t>
      </w:r>
    </w:p>
    <w:p w14:paraId="1955B5D0"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r w:rsidRPr="005C1D23">
        <w:rPr>
          <w:rFonts w:ascii="Times New Roman" w:hAnsi="Times New Roman"/>
          <w:noProof/>
          <w:sz w:val="24"/>
          <w:lang w:val="en-US"/>
        </w:rPr>
        <w:t>[</w:t>
      </w:r>
      <w:r w:rsidRPr="005C1D23">
        <w:rPr>
          <w:rFonts w:ascii="Times New Roman" w:hAnsi="Times New Roman"/>
          <w:i/>
          <w:iCs/>
          <w:noProof/>
          <w:sz w:val="24"/>
          <w:lang w:val="en-US"/>
        </w:rPr>
        <w:t>27 May 2021</w:t>
      </w:r>
      <w:r w:rsidRPr="005C1D23">
        <w:rPr>
          <w:rFonts w:ascii="Times New Roman" w:hAnsi="Times New Roman"/>
          <w:noProof/>
          <w:sz w:val="24"/>
          <w:lang w:val="en-US"/>
        </w:rPr>
        <w:t>]</w:t>
      </w:r>
    </w:p>
    <w:p w14:paraId="082CB552"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3_2"/>
      <w:bookmarkStart w:id="35" w:name="p-783966"/>
      <w:bookmarkEnd w:id="34"/>
      <w:bookmarkEnd w:id="35"/>
    </w:p>
    <w:p w14:paraId="3634CC94"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r w:rsidRPr="005C1D23">
        <w:rPr>
          <w:rFonts w:ascii="Times New Roman" w:hAnsi="Times New Roman"/>
          <w:noProof/>
          <w:sz w:val="24"/>
          <w:lang w:val="en-US"/>
        </w:rPr>
        <w:t>13.</w:t>
      </w:r>
      <w:r w:rsidRPr="005C1D23">
        <w:rPr>
          <w:rFonts w:ascii="Times New Roman" w:hAnsi="Times New Roman"/>
          <w:noProof/>
          <w:sz w:val="24"/>
          <w:vertAlign w:val="superscript"/>
          <w:lang w:val="en-US"/>
        </w:rPr>
        <w:t xml:space="preserve">2 </w:t>
      </w:r>
      <w:r w:rsidRPr="005C1D23">
        <w:rPr>
          <w:rFonts w:ascii="Times New Roman" w:hAnsi="Times New Roman"/>
          <w:noProof/>
          <w:sz w:val="24"/>
          <w:lang w:val="en-US"/>
        </w:rPr>
        <w:t>The deposit system operator shall submit information about the calculated State fee to the Regulator within the following time periods:</w:t>
      </w:r>
    </w:p>
    <w:p w14:paraId="22990FAD"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13.</w:t>
      </w:r>
      <w:r w:rsidRPr="005C1D23">
        <w:rPr>
          <w:rFonts w:ascii="Times New Roman" w:hAnsi="Times New Roman"/>
          <w:noProof/>
          <w:sz w:val="24"/>
          <w:vertAlign w:val="superscript"/>
          <w:lang w:val="en-US"/>
        </w:rPr>
        <w:t>2</w:t>
      </w:r>
      <w:r w:rsidRPr="005C1D23">
        <w:rPr>
          <w:rFonts w:ascii="Times New Roman" w:hAnsi="Times New Roman"/>
          <w:noProof/>
          <w:sz w:val="24"/>
          <w:lang w:val="en-US"/>
        </w:rPr>
        <w:t>1. within 30 days of the registration of the Merchant in the relevant register – in conformity with the amount of the deposit fee received during the first calendar year of the provision of public utilities for the planned amount;</w:t>
      </w:r>
    </w:p>
    <w:p w14:paraId="64FB2561"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13.</w:t>
      </w:r>
      <w:r w:rsidRPr="005C1D23">
        <w:rPr>
          <w:rFonts w:ascii="Times New Roman" w:hAnsi="Times New Roman"/>
          <w:noProof/>
          <w:sz w:val="24"/>
          <w:vertAlign w:val="superscript"/>
          <w:lang w:val="en-US"/>
        </w:rPr>
        <w:t xml:space="preserve">2 </w:t>
      </w:r>
      <w:r w:rsidRPr="005C1D23">
        <w:rPr>
          <w:rFonts w:ascii="Times New Roman" w:hAnsi="Times New Roman"/>
          <w:noProof/>
          <w:sz w:val="24"/>
          <w:lang w:val="en-US"/>
        </w:rPr>
        <w:t>2. in the second and subsequent calendar years of the provision of public utilities:</w:t>
      </w:r>
    </w:p>
    <w:p w14:paraId="11D5E9A9" w14:textId="77777777" w:rsidR="005C1D23" w:rsidRPr="005C1D23" w:rsidRDefault="005C1D23" w:rsidP="005C1D23">
      <w:pPr>
        <w:shd w:val="clear" w:color="auto" w:fill="FFFFFF"/>
        <w:spacing w:after="0" w:line="240" w:lineRule="auto"/>
        <w:ind w:left="709" w:firstLine="709"/>
        <w:jc w:val="both"/>
        <w:rPr>
          <w:rFonts w:ascii="Times New Roman" w:hAnsi="Times New Roman"/>
          <w:noProof/>
          <w:sz w:val="24"/>
          <w:lang w:val="en-US"/>
        </w:rPr>
      </w:pPr>
      <w:r w:rsidRPr="005C1D23">
        <w:rPr>
          <w:rFonts w:ascii="Times New Roman" w:hAnsi="Times New Roman"/>
          <w:noProof/>
          <w:sz w:val="24"/>
          <w:lang w:val="en-US"/>
        </w:rPr>
        <w:t>13.</w:t>
      </w:r>
      <w:r w:rsidRPr="005C1D23">
        <w:rPr>
          <w:rFonts w:ascii="Times New Roman" w:hAnsi="Times New Roman"/>
          <w:noProof/>
          <w:sz w:val="24"/>
          <w:vertAlign w:val="superscript"/>
          <w:lang w:val="en-US"/>
        </w:rPr>
        <w:t xml:space="preserve">2 </w:t>
      </w:r>
      <w:r w:rsidRPr="005C1D23">
        <w:rPr>
          <w:rFonts w:ascii="Times New Roman" w:hAnsi="Times New Roman"/>
          <w:noProof/>
          <w:sz w:val="24"/>
          <w:lang w:val="en-US"/>
        </w:rPr>
        <w:t>2.1. until 30 January of the relevant calendar year – in conformity with the forecasts for the amount of deposit fees received in the previous calendar year;</w:t>
      </w:r>
    </w:p>
    <w:p w14:paraId="5671AFB1" w14:textId="77777777" w:rsidR="005C1D23" w:rsidRPr="005C1D23" w:rsidRDefault="005C1D23" w:rsidP="005C1D23">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5C1D23">
        <w:rPr>
          <w:rFonts w:ascii="Times New Roman" w:hAnsi="Times New Roman"/>
          <w:noProof/>
          <w:sz w:val="24"/>
          <w:lang w:val="en-US"/>
        </w:rPr>
        <w:t>13.</w:t>
      </w:r>
      <w:r w:rsidRPr="005C1D23">
        <w:rPr>
          <w:rFonts w:ascii="Times New Roman" w:hAnsi="Times New Roman"/>
          <w:noProof/>
          <w:sz w:val="24"/>
          <w:vertAlign w:val="superscript"/>
          <w:lang w:val="en-US"/>
        </w:rPr>
        <w:t xml:space="preserve">2 </w:t>
      </w:r>
      <w:r w:rsidRPr="005C1D23">
        <w:rPr>
          <w:rFonts w:ascii="Times New Roman" w:hAnsi="Times New Roman"/>
          <w:noProof/>
          <w:sz w:val="24"/>
          <w:lang w:val="en-US"/>
        </w:rPr>
        <w:t>2.2. until 15 July of the relevant calendar year – in conformity with the actual amount of the deposit fee received in the previous calendar year if the information about the calculated State fee differs from the information submitted to the Regulator in accordance with Sub-paragraph 13.</w:t>
      </w:r>
      <w:r w:rsidRPr="005C1D23">
        <w:rPr>
          <w:rFonts w:ascii="Times New Roman" w:hAnsi="Times New Roman"/>
          <w:noProof/>
          <w:sz w:val="24"/>
          <w:vertAlign w:val="superscript"/>
          <w:lang w:val="en-US"/>
        </w:rPr>
        <w:t xml:space="preserve">2 </w:t>
      </w:r>
      <w:r w:rsidRPr="005C1D23">
        <w:rPr>
          <w:rFonts w:ascii="Times New Roman" w:hAnsi="Times New Roman"/>
          <w:noProof/>
          <w:sz w:val="24"/>
          <w:lang w:val="en-US"/>
        </w:rPr>
        <w:t>2.1 of this Regulation.</w:t>
      </w:r>
    </w:p>
    <w:p w14:paraId="626DF516"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r w:rsidRPr="005C1D23">
        <w:rPr>
          <w:rFonts w:ascii="Times New Roman" w:hAnsi="Times New Roman"/>
          <w:noProof/>
          <w:sz w:val="24"/>
          <w:lang w:val="en-US"/>
        </w:rPr>
        <w:t>[</w:t>
      </w:r>
      <w:r w:rsidRPr="005C1D23">
        <w:rPr>
          <w:rFonts w:ascii="Times New Roman" w:hAnsi="Times New Roman"/>
          <w:i/>
          <w:iCs/>
          <w:noProof/>
          <w:sz w:val="24"/>
          <w:lang w:val="en-US"/>
        </w:rPr>
        <w:t>27 May 2021</w:t>
      </w:r>
      <w:r w:rsidRPr="005C1D23">
        <w:rPr>
          <w:rFonts w:ascii="Times New Roman" w:hAnsi="Times New Roman"/>
          <w:noProof/>
          <w:sz w:val="24"/>
          <w:lang w:val="en-US"/>
        </w:rPr>
        <w:t>]</w:t>
      </w:r>
    </w:p>
    <w:p w14:paraId="2F603A64"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4"/>
      <w:bookmarkStart w:id="37" w:name="n-643793"/>
      <w:bookmarkEnd w:id="36"/>
      <w:bookmarkEnd w:id="37"/>
    </w:p>
    <w:p w14:paraId="19ACC94D" w14:textId="77777777" w:rsidR="005C1D23" w:rsidRPr="005C1D23" w:rsidRDefault="005C1D23" w:rsidP="005C1D23">
      <w:pPr>
        <w:shd w:val="clear" w:color="auto" w:fill="FFFFFF"/>
        <w:spacing w:after="0" w:line="240" w:lineRule="auto"/>
        <w:jc w:val="center"/>
        <w:rPr>
          <w:rFonts w:ascii="Times New Roman" w:hAnsi="Times New Roman"/>
          <w:b/>
          <w:noProof/>
          <w:sz w:val="24"/>
          <w:lang w:val="en-US"/>
        </w:rPr>
      </w:pPr>
      <w:r w:rsidRPr="005C1D23">
        <w:rPr>
          <w:rFonts w:ascii="Times New Roman" w:hAnsi="Times New Roman"/>
          <w:b/>
          <w:noProof/>
          <w:sz w:val="24"/>
          <w:lang w:val="en-US"/>
        </w:rPr>
        <w:t>IV. Closing Provisions</w:t>
      </w:r>
    </w:p>
    <w:p w14:paraId="14B34094"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4"/>
      <w:bookmarkStart w:id="39" w:name="p-643794"/>
      <w:bookmarkEnd w:id="38"/>
      <w:bookmarkEnd w:id="39"/>
    </w:p>
    <w:p w14:paraId="3BC12AAF"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14. In 2018 the provider of public utilities:</w:t>
      </w:r>
    </w:p>
    <w:p w14:paraId="7C8F48E6"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14.1. shall submit information about the calculated State fee for 2018 to the Regulator until 30 January 2018 in conformity with the actual net turnover in 2016;</w:t>
      </w:r>
    </w:p>
    <w:p w14:paraId="1FEC8AC8" w14:textId="77777777" w:rsidR="005C1D23" w:rsidRPr="005C1D23" w:rsidRDefault="005C1D23" w:rsidP="005C1D23">
      <w:pPr>
        <w:shd w:val="clear" w:color="auto" w:fill="FFFFFF"/>
        <w:spacing w:after="0" w:line="240" w:lineRule="auto"/>
        <w:ind w:firstLine="709"/>
        <w:jc w:val="both"/>
        <w:rPr>
          <w:rFonts w:ascii="Times New Roman" w:hAnsi="Times New Roman"/>
          <w:noProof/>
          <w:sz w:val="24"/>
          <w:lang w:val="en-US"/>
        </w:rPr>
      </w:pPr>
      <w:r w:rsidRPr="005C1D23">
        <w:rPr>
          <w:rFonts w:ascii="Times New Roman" w:hAnsi="Times New Roman"/>
          <w:noProof/>
          <w:sz w:val="24"/>
          <w:lang w:val="en-US"/>
        </w:rPr>
        <w:t>14.2. shall submit information about the calculated State fee for 2019 to the Regulator not later than until 15 August 2018 in conformity with the actual net turnover in 2017.</w:t>
      </w:r>
    </w:p>
    <w:p w14:paraId="5094CB6F"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5"/>
      <w:bookmarkStart w:id="41" w:name="p-643795"/>
      <w:bookmarkEnd w:id="40"/>
      <w:bookmarkEnd w:id="41"/>
    </w:p>
    <w:p w14:paraId="774D44AD"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15. A provider of public utilities who has received a licence in 2017 or 2018 in accordance with the procedures laid down in laws and regulations, has sent a notification on registration or has been registered in the relevant register shall submit the information about the calculated State fee for 2018 to the Regulator in accordance with the procedures laid down in Paragraphs 8 and 9 of the Regulation.</w:t>
      </w:r>
    </w:p>
    <w:p w14:paraId="6A509B81"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5_1"/>
      <w:bookmarkStart w:id="43" w:name="p-783967"/>
      <w:bookmarkEnd w:id="42"/>
      <w:bookmarkEnd w:id="43"/>
    </w:p>
    <w:p w14:paraId="316A8B0A"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r w:rsidRPr="005C1D23">
        <w:rPr>
          <w:rFonts w:ascii="Times New Roman" w:hAnsi="Times New Roman"/>
          <w:noProof/>
          <w:sz w:val="24"/>
          <w:lang w:val="en-US"/>
        </w:rPr>
        <w:t>15.</w:t>
      </w:r>
      <w:r w:rsidRPr="005C1D23">
        <w:rPr>
          <w:rFonts w:ascii="Times New Roman" w:hAnsi="Times New Roman"/>
          <w:noProof/>
          <w:sz w:val="24"/>
          <w:vertAlign w:val="superscript"/>
          <w:lang w:val="en-US"/>
        </w:rPr>
        <w:t xml:space="preserve">1 </w:t>
      </w:r>
      <w:r w:rsidRPr="005C1D23">
        <w:rPr>
          <w:rFonts w:ascii="Times New Roman" w:hAnsi="Times New Roman"/>
          <w:noProof/>
          <w:sz w:val="24"/>
          <w:lang w:val="en-US"/>
        </w:rPr>
        <w:t>A deposit system operator registered in the Regulator’s register of deposit system operators ensuring the provision of deposit system services until 1 February 2022 shall submit the information on the calculated State fee to the Regulator until 1 March 2022.</w:t>
      </w:r>
    </w:p>
    <w:p w14:paraId="5F64DD0A"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r w:rsidRPr="005C1D23">
        <w:rPr>
          <w:rFonts w:ascii="Times New Roman" w:hAnsi="Times New Roman"/>
          <w:noProof/>
          <w:sz w:val="24"/>
          <w:lang w:val="en-US"/>
        </w:rPr>
        <w:t>[</w:t>
      </w:r>
      <w:r w:rsidRPr="005C1D23">
        <w:rPr>
          <w:rFonts w:ascii="Times New Roman" w:hAnsi="Times New Roman"/>
          <w:i/>
          <w:iCs/>
          <w:noProof/>
          <w:sz w:val="24"/>
          <w:lang w:val="en-US"/>
        </w:rPr>
        <w:t>27 May 2021</w:t>
      </w:r>
      <w:r w:rsidRPr="005C1D23">
        <w:rPr>
          <w:rFonts w:ascii="Times New Roman" w:hAnsi="Times New Roman"/>
          <w:noProof/>
          <w:sz w:val="24"/>
          <w:lang w:val="en-US"/>
        </w:rPr>
        <w:t>]</w:t>
      </w:r>
    </w:p>
    <w:p w14:paraId="3B80C3BE"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6"/>
      <w:bookmarkStart w:id="45" w:name="p-643796"/>
      <w:bookmarkEnd w:id="44"/>
      <w:bookmarkEnd w:id="45"/>
    </w:p>
    <w:p w14:paraId="55E21435"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16. Public Utilities Commission Decision No. 1/5 of 11 November 2009, Regulations Regarding Information to be Submitted to the Public Utilities Commission (</w:t>
      </w:r>
      <w:r w:rsidRPr="005C1D23">
        <w:rPr>
          <w:rFonts w:ascii="Times New Roman" w:hAnsi="Times New Roman"/>
          <w:i/>
          <w:noProof/>
          <w:sz w:val="24"/>
          <w:lang w:val="en-US"/>
        </w:rPr>
        <w:t>Latvijas Vēstnesis </w:t>
      </w:r>
      <w:r w:rsidRPr="005C1D23">
        <w:rPr>
          <w:rFonts w:ascii="Times New Roman" w:hAnsi="Times New Roman"/>
          <w:noProof/>
          <w:sz w:val="24"/>
          <w:lang w:val="en-US"/>
        </w:rPr>
        <w:t>2009, No. 183; 2010, No. 177, 2011, No. 169, 2012, No. 92, 2013, No.241, 2015, No. 5, 2015, No. 250, 2016, No. 169, 2016, No. 187, 2017, No. 74), is repealed.</w:t>
      </w:r>
    </w:p>
    <w:p w14:paraId="5D2E1A55"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bookmarkStart w:id="46" w:name="p17"/>
      <w:bookmarkStart w:id="47" w:name="p-643797"/>
      <w:bookmarkEnd w:id="46"/>
      <w:bookmarkEnd w:id="47"/>
    </w:p>
    <w:p w14:paraId="4CB509FE"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17. This Regulation shall come into force on 1 January 2018.</w:t>
      </w:r>
    </w:p>
    <w:p w14:paraId="584D2A51"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5D457C"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3F7AA4" w14:textId="77777777" w:rsidR="005C1D23" w:rsidRPr="005C1D23" w:rsidRDefault="005C1D23" w:rsidP="005C1D23">
      <w:pPr>
        <w:shd w:val="clear" w:color="auto" w:fill="FFFFFF"/>
        <w:tabs>
          <w:tab w:val="left" w:pos="8222"/>
        </w:tabs>
        <w:spacing w:after="0" w:line="240" w:lineRule="auto"/>
        <w:jc w:val="both"/>
        <w:rPr>
          <w:rFonts w:ascii="Times New Roman" w:hAnsi="Times New Roman"/>
          <w:noProof/>
          <w:sz w:val="24"/>
          <w:lang w:val="en-US"/>
        </w:rPr>
      </w:pPr>
      <w:r w:rsidRPr="005C1D23">
        <w:rPr>
          <w:rFonts w:ascii="Times New Roman" w:hAnsi="Times New Roman"/>
          <w:noProof/>
          <w:sz w:val="24"/>
          <w:lang w:val="en-US"/>
        </w:rPr>
        <w:t>Chair of the Board of the Public Utilities Commission</w:t>
      </w:r>
      <w:r w:rsidRPr="005C1D23">
        <w:rPr>
          <w:rFonts w:ascii="Times New Roman" w:hAnsi="Times New Roman"/>
          <w:noProof/>
          <w:sz w:val="24"/>
          <w:lang w:val="en-US"/>
        </w:rPr>
        <w:tab/>
        <w:t>R. Irklis</w:t>
      </w:r>
    </w:p>
    <w:p w14:paraId="3A50C231" w14:textId="77777777" w:rsidR="005C1D23" w:rsidRPr="005C1D23" w:rsidRDefault="005C1D23" w:rsidP="005C1D23">
      <w:pPr>
        <w:rPr>
          <w:noProof/>
          <w:lang w:val="en-US"/>
        </w:rPr>
      </w:pPr>
      <w:r w:rsidRPr="005C1D23">
        <w:rPr>
          <w:noProof/>
          <w:lang w:val="en-US"/>
        </w:rPr>
        <w:br w:type="page"/>
      </w:r>
    </w:p>
    <w:p w14:paraId="473698C2" w14:textId="77777777" w:rsidR="005C1D23" w:rsidRPr="005C1D23" w:rsidRDefault="005C1D23" w:rsidP="005C1D23">
      <w:pPr>
        <w:shd w:val="clear" w:color="auto" w:fill="FFFFFF"/>
        <w:spacing w:after="0" w:line="240" w:lineRule="auto"/>
        <w:jc w:val="right"/>
        <w:rPr>
          <w:rFonts w:ascii="Times New Roman" w:hAnsi="Times New Roman"/>
          <w:b/>
          <w:noProof/>
          <w:sz w:val="24"/>
          <w:lang w:val="en-US"/>
        </w:rPr>
      </w:pPr>
      <w:r w:rsidRPr="005C1D23">
        <w:rPr>
          <w:rFonts w:ascii="Times New Roman" w:hAnsi="Times New Roman"/>
          <w:b/>
          <w:noProof/>
          <w:sz w:val="24"/>
          <w:lang w:val="en-US"/>
        </w:rPr>
        <w:t>Annex 1</w:t>
      </w:r>
    </w:p>
    <w:p w14:paraId="148F24D8" w14:textId="77777777" w:rsidR="005C1D23" w:rsidRPr="005C1D23" w:rsidRDefault="005C1D23" w:rsidP="005C1D23">
      <w:pPr>
        <w:shd w:val="clear" w:color="auto" w:fill="FFFFFF"/>
        <w:spacing w:after="0" w:line="240" w:lineRule="auto"/>
        <w:jc w:val="right"/>
        <w:rPr>
          <w:rFonts w:ascii="Times New Roman" w:hAnsi="Times New Roman"/>
          <w:noProof/>
          <w:sz w:val="24"/>
          <w:lang w:val="en-US"/>
        </w:rPr>
      </w:pPr>
      <w:r w:rsidRPr="005C1D23">
        <w:rPr>
          <w:rFonts w:ascii="Times New Roman" w:hAnsi="Times New Roman"/>
          <w:noProof/>
          <w:sz w:val="24"/>
          <w:lang w:val="en-US"/>
        </w:rPr>
        <w:t>Decision No. 1/42 of the Public Utilities Commission of 21 December 2017</w:t>
      </w:r>
      <w:bookmarkStart w:id="48" w:name="piel-1142161"/>
      <w:bookmarkStart w:id="49" w:name="piel1"/>
      <w:bookmarkEnd w:id="48"/>
      <w:bookmarkEnd w:id="49"/>
    </w:p>
    <w:p w14:paraId="52852831" w14:textId="77777777" w:rsidR="005C1D23" w:rsidRPr="005C1D23" w:rsidRDefault="005C1D23" w:rsidP="005C1D23">
      <w:pPr>
        <w:shd w:val="clear" w:color="auto" w:fill="FFFFFF"/>
        <w:spacing w:after="0" w:line="240" w:lineRule="auto"/>
        <w:jc w:val="right"/>
        <w:rPr>
          <w:rFonts w:ascii="Times New Roman" w:eastAsia="Times New Roman" w:hAnsi="Times New Roman" w:cs="Times New Roman"/>
          <w:noProof/>
          <w:sz w:val="24"/>
          <w:szCs w:val="24"/>
          <w:lang w:val="en-US"/>
        </w:rPr>
      </w:pPr>
      <w:r w:rsidRPr="005C1D23">
        <w:rPr>
          <w:rFonts w:ascii="Times New Roman" w:hAnsi="Times New Roman"/>
          <w:noProof/>
          <w:sz w:val="24"/>
          <w:lang w:val="en-US"/>
        </w:rPr>
        <w:t>[</w:t>
      </w:r>
      <w:r w:rsidRPr="005C1D23">
        <w:rPr>
          <w:rFonts w:ascii="Times New Roman" w:hAnsi="Times New Roman"/>
          <w:i/>
          <w:iCs/>
          <w:noProof/>
          <w:sz w:val="24"/>
          <w:lang w:val="en-US"/>
        </w:rPr>
        <w:t>18 December 2019; 27 May 2021; 13 October 2022</w:t>
      </w:r>
      <w:r w:rsidRPr="005C1D23">
        <w:rPr>
          <w:rFonts w:ascii="Times New Roman" w:hAnsi="Times New Roman"/>
          <w:noProof/>
          <w:sz w:val="24"/>
          <w:lang w:val="en-US"/>
        </w:rPr>
        <w:t>]</w:t>
      </w:r>
    </w:p>
    <w:p w14:paraId="5963C2B4"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643800"/>
      <w:bookmarkStart w:id="51" w:name="n-643800"/>
      <w:bookmarkEnd w:id="50"/>
      <w:bookmarkEnd w:id="51"/>
    </w:p>
    <w:p w14:paraId="63316A9A"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D36F68" w14:textId="77777777" w:rsidR="005C1D23" w:rsidRPr="005C1D23" w:rsidRDefault="005C1D23" w:rsidP="005C1D23">
      <w:pPr>
        <w:shd w:val="clear" w:color="auto" w:fill="FFFFFF"/>
        <w:tabs>
          <w:tab w:val="left" w:leader="underscore" w:pos="5103"/>
        </w:tabs>
        <w:spacing w:after="0" w:line="240" w:lineRule="auto"/>
        <w:jc w:val="center"/>
        <w:rPr>
          <w:rFonts w:ascii="Times New Roman" w:hAnsi="Times New Roman"/>
          <w:b/>
          <w:noProof/>
          <w:sz w:val="28"/>
          <w:lang w:val="en-US"/>
        </w:rPr>
      </w:pPr>
      <w:r w:rsidRPr="005C1D23">
        <w:rPr>
          <w:rFonts w:ascii="Times New Roman" w:hAnsi="Times New Roman"/>
          <w:b/>
          <w:noProof/>
          <w:sz w:val="28"/>
          <w:lang w:val="en-US"/>
        </w:rPr>
        <w:t>Calculation of the State Fee of the Provider of Public Utilities for the Regulation of Public Utilities for the Year</w:t>
      </w:r>
    </w:p>
    <w:p w14:paraId="3F65E457"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F5A550"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955"/>
        <w:gridCol w:w="4100"/>
      </w:tblGrid>
      <w:tr w:rsidR="005C1D23" w:rsidRPr="005C1D23" w14:paraId="091D0FC3" w14:textId="77777777" w:rsidTr="00126864">
        <w:tc>
          <w:tcPr>
            <w:tcW w:w="2736"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64D3C161"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Name of the provider of public utilities</w:t>
            </w:r>
          </w:p>
        </w:tc>
        <w:tc>
          <w:tcPr>
            <w:tcW w:w="2264" w:type="pct"/>
            <w:tcBorders>
              <w:top w:val="outset" w:sz="6" w:space="0" w:color="414142"/>
              <w:left w:val="outset" w:sz="6" w:space="0" w:color="414142"/>
              <w:bottom w:val="outset" w:sz="6" w:space="0" w:color="414142"/>
              <w:right w:val="outset" w:sz="6" w:space="0" w:color="414142"/>
            </w:tcBorders>
            <w:vAlign w:val="center"/>
          </w:tcPr>
          <w:p w14:paraId="2AAEA5D8"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eastAsia="lv-LV"/>
              </w:rPr>
            </w:pPr>
          </w:p>
        </w:tc>
      </w:tr>
      <w:tr w:rsidR="005C1D23" w:rsidRPr="005C1D23" w14:paraId="277AED00" w14:textId="77777777" w:rsidTr="00126864">
        <w:tc>
          <w:tcPr>
            <w:tcW w:w="2736"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3AF25979"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Unified registration number</w:t>
            </w:r>
          </w:p>
        </w:tc>
        <w:tc>
          <w:tcPr>
            <w:tcW w:w="2264" w:type="pct"/>
            <w:tcBorders>
              <w:top w:val="outset" w:sz="6" w:space="0" w:color="414142"/>
              <w:left w:val="outset" w:sz="6" w:space="0" w:color="414142"/>
              <w:bottom w:val="outset" w:sz="6" w:space="0" w:color="414142"/>
              <w:right w:val="outset" w:sz="6" w:space="0" w:color="414142"/>
            </w:tcBorders>
            <w:vAlign w:val="center"/>
          </w:tcPr>
          <w:p w14:paraId="7E5F422E"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eastAsia="lv-LV"/>
              </w:rPr>
            </w:pPr>
          </w:p>
        </w:tc>
      </w:tr>
      <w:tr w:rsidR="005C1D23" w:rsidRPr="005C1D23" w14:paraId="26E9B62F" w14:textId="77777777" w:rsidTr="00126864">
        <w:tc>
          <w:tcPr>
            <w:tcW w:w="2736"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31E2F071"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Restricted access information (mark as appropriate)</w:t>
            </w:r>
          </w:p>
        </w:tc>
        <w:tc>
          <w:tcPr>
            <w:tcW w:w="2264" w:type="pct"/>
            <w:tcBorders>
              <w:top w:val="outset" w:sz="6" w:space="0" w:color="414142"/>
              <w:left w:val="outset" w:sz="6" w:space="0" w:color="414142"/>
              <w:bottom w:val="outset" w:sz="6" w:space="0" w:color="414142"/>
              <w:right w:val="outset" w:sz="6" w:space="0" w:color="414142"/>
            </w:tcBorders>
            <w:vAlign w:val="center"/>
            <w:hideMark/>
          </w:tcPr>
          <w:p w14:paraId="6A2EF7EA"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rPr>
            </w:pPr>
            <w:r w:rsidRPr="005C1D23">
              <w:rPr>
                <w:rFonts w:ascii="Times New Roman" w:eastAsia="Times New Roman" w:hAnsi="Times New Roman" w:cs="Times New Roman"/>
                <w:noProof/>
                <w:sz w:val="24"/>
                <w:szCs w:val="24"/>
                <w:lang w:val="en-US"/>
              </w:rPr>
              <w:drawing>
                <wp:inline distT="0" distB="0" distL="0" distR="0" wp14:anchorId="53CB1A35" wp14:editId="31B95393">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5C1D23" w:rsidRPr="005C1D23" w14:paraId="4F264D1E" w14:textId="77777777" w:rsidTr="00126864">
        <w:tc>
          <w:tcPr>
            <w:tcW w:w="2736" w:type="pct"/>
            <w:tcBorders>
              <w:top w:val="outset" w:sz="6" w:space="0" w:color="414142"/>
              <w:left w:val="outset" w:sz="6" w:space="0" w:color="414142"/>
              <w:bottom w:val="single" w:sz="6" w:space="0" w:color="414142"/>
              <w:right w:val="outset" w:sz="6" w:space="0" w:color="414142"/>
            </w:tcBorders>
            <w:shd w:val="clear" w:color="auto" w:fill="C0C0C0"/>
            <w:vAlign w:val="center"/>
            <w:hideMark/>
          </w:tcPr>
          <w:p w14:paraId="6EFEEB4F"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Grounds of the provider of public utilities for determining the status of restricted access</w:t>
            </w:r>
          </w:p>
        </w:tc>
        <w:tc>
          <w:tcPr>
            <w:tcW w:w="2264" w:type="pct"/>
            <w:tcBorders>
              <w:top w:val="outset" w:sz="6" w:space="0" w:color="414142"/>
              <w:left w:val="outset" w:sz="6" w:space="0" w:color="414142"/>
              <w:bottom w:val="single" w:sz="6" w:space="0" w:color="414142"/>
              <w:right w:val="outset" w:sz="6" w:space="0" w:color="414142"/>
            </w:tcBorders>
            <w:vAlign w:val="center"/>
            <w:hideMark/>
          </w:tcPr>
          <w:p w14:paraId="4496256B"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eastAsia="lv-LV"/>
              </w:rPr>
            </w:pPr>
          </w:p>
        </w:tc>
      </w:tr>
    </w:tbl>
    <w:p w14:paraId="0B694A2C"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25"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4"/>
        <w:gridCol w:w="2383"/>
        <w:gridCol w:w="258"/>
        <w:gridCol w:w="3322"/>
        <w:gridCol w:w="21"/>
        <w:gridCol w:w="1164"/>
        <w:gridCol w:w="34"/>
        <w:gridCol w:w="1497"/>
        <w:gridCol w:w="27"/>
      </w:tblGrid>
      <w:tr w:rsidR="005C1D23" w:rsidRPr="005C1D23" w14:paraId="5F86C41A"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614F3E64"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1.</w:t>
            </w:r>
          </w:p>
        </w:tc>
        <w:tc>
          <w:tcPr>
            <w:tcW w:w="1323" w:type="pct"/>
            <w:tcBorders>
              <w:top w:val="outset" w:sz="6" w:space="0" w:color="414142"/>
              <w:left w:val="outset" w:sz="6" w:space="0" w:color="414142"/>
              <w:bottom w:val="outset" w:sz="6" w:space="0" w:color="414142"/>
              <w:right w:val="outset" w:sz="6" w:space="0" w:color="414142"/>
            </w:tcBorders>
            <w:vAlign w:val="center"/>
            <w:hideMark/>
          </w:tcPr>
          <w:p w14:paraId="38197C50"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2.</w:t>
            </w:r>
          </w:p>
        </w:tc>
        <w:tc>
          <w:tcPr>
            <w:tcW w:w="1876" w:type="pct"/>
            <w:gridSpan w:val="2"/>
            <w:tcBorders>
              <w:top w:val="outset" w:sz="6" w:space="0" w:color="414142"/>
              <w:left w:val="outset" w:sz="6" w:space="0" w:color="414142"/>
              <w:bottom w:val="outset" w:sz="6" w:space="0" w:color="414142"/>
              <w:right w:val="outset" w:sz="6" w:space="0" w:color="414142"/>
            </w:tcBorders>
            <w:vAlign w:val="center"/>
            <w:hideMark/>
          </w:tcPr>
          <w:p w14:paraId="44C2D7D0"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3.</w:t>
            </w: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01DE1CBC"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4.</w:t>
            </w:r>
          </w:p>
        </w:tc>
        <w:tc>
          <w:tcPr>
            <w:tcW w:w="867" w:type="pct"/>
            <w:gridSpan w:val="2"/>
            <w:tcBorders>
              <w:top w:val="outset" w:sz="6" w:space="0" w:color="414142"/>
              <w:left w:val="outset" w:sz="6" w:space="0" w:color="414142"/>
              <w:bottom w:val="outset" w:sz="6" w:space="0" w:color="414142"/>
              <w:right w:val="outset" w:sz="6" w:space="0" w:color="414142"/>
            </w:tcBorders>
            <w:vAlign w:val="center"/>
            <w:hideMark/>
          </w:tcPr>
          <w:p w14:paraId="4101076D"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5.</w:t>
            </w:r>
          </w:p>
        </w:tc>
      </w:tr>
      <w:tr w:rsidR="005C1D23" w:rsidRPr="005C1D23" w14:paraId="5AA0B02C" w14:textId="77777777" w:rsidTr="00126864">
        <w:tc>
          <w:tcPr>
            <w:tcW w:w="230" w:type="pct"/>
            <w:vMerge w:val="restart"/>
            <w:tcBorders>
              <w:top w:val="outset" w:sz="6" w:space="0" w:color="414142"/>
              <w:left w:val="outset" w:sz="6" w:space="0" w:color="414142"/>
              <w:bottom w:val="outset" w:sz="6" w:space="0" w:color="414142"/>
              <w:right w:val="outset" w:sz="6" w:space="0" w:color="414142"/>
            </w:tcBorders>
            <w:hideMark/>
          </w:tcPr>
          <w:p w14:paraId="501E12A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1323" w:type="pct"/>
            <w:vMerge w:val="restart"/>
            <w:tcBorders>
              <w:top w:val="outset" w:sz="6" w:space="0" w:color="414142"/>
              <w:left w:val="outset" w:sz="6" w:space="0" w:color="414142"/>
              <w:bottom w:val="outset" w:sz="6" w:space="0" w:color="414142"/>
              <w:right w:val="outset" w:sz="6" w:space="0" w:color="414142"/>
            </w:tcBorders>
            <w:vAlign w:val="center"/>
            <w:hideMark/>
          </w:tcPr>
          <w:p w14:paraId="2CBF7301" w14:textId="77777777" w:rsidR="005C1D23" w:rsidRPr="005C1D23" w:rsidRDefault="005C1D23" w:rsidP="00126864">
            <w:pPr>
              <w:spacing w:after="0" w:line="240" w:lineRule="auto"/>
              <w:jc w:val="center"/>
              <w:rPr>
                <w:rFonts w:ascii="Times New Roman" w:hAnsi="Times New Roman"/>
                <w:b/>
                <w:noProof/>
                <w:sz w:val="20"/>
                <w:lang w:val="en-US"/>
              </w:rPr>
            </w:pPr>
            <w:r w:rsidRPr="005C1D23">
              <w:rPr>
                <w:rFonts w:ascii="Times New Roman" w:hAnsi="Times New Roman"/>
                <w:b/>
                <w:noProof/>
                <w:sz w:val="20"/>
                <w:lang w:val="en-US"/>
              </w:rPr>
              <w:t>Type of public utility of a regulated sector</w:t>
            </w:r>
          </w:p>
        </w:tc>
        <w:tc>
          <w:tcPr>
            <w:tcW w:w="37" w:type="pct"/>
            <w:tcBorders>
              <w:top w:val="outset" w:sz="6" w:space="0" w:color="414142"/>
              <w:left w:val="outset" w:sz="6" w:space="0" w:color="414142"/>
              <w:bottom w:val="outset" w:sz="6" w:space="0" w:color="414142"/>
              <w:right w:val="outset" w:sz="6" w:space="0" w:color="414142"/>
            </w:tcBorders>
            <w:hideMark/>
          </w:tcPr>
          <w:p w14:paraId="47ABC661"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1864" w:type="pct"/>
            <w:gridSpan w:val="2"/>
            <w:tcBorders>
              <w:top w:val="outset" w:sz="6" w:space="0" w:color="414142"/>
              <w:left w:val="outset" w:sz="6" w:space="0" w:color="414142"/>
              <w:bottom w:val="outset" w:sz="6" w:space="0" w:color="414142"/>
              <w:right w:val="outset" w:sz="6" w:space="0" w:color="414142"/>
            </w:tcBorders>
            <w:hideMark/>
          </w:tcPr>
          <w:p w14:paraId="23E648FD" w14:textId="77777777" w:rsidR="005C1D23" w:rsidRPr="005C1D23" w:rsidRDefault="005C1D23" w:rsidP="00126864">
            <w:pPr>
              <w:spacing w:after="0" w:line="240" w:lineRule="auto"/>
              <w:jc w:val="center"/>
              <w:rPr>
                <w:rFonts w:ascii="Times New Roman" w:hAnsi="Times New Roman"/>
                <w:b/>
                <w:noProof/>
                <w:sz w:val="20"/>
                <w:lang w:val="en-US"/>
              </w:rPr>
            </w:pPr>
            <w:r w:rsidRPr="005C1D23">
              <w:rPr>
                <w:rFonts w:ascii="Times New Roman" w:hAnsi="Times New Roman"/>
                <w:b/>
                <w:noProof/>
                <w:sz w:val="20"/>
                <w:lang w:val="en-US"/>
              </w:rPr>
              <w:t>Net turnover</w:t>
            </w:r>
          </w:p>
          <w:p w14:paraId="548ACBE7"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(mark as appropriate)</w:t>
            </w:r>
          </w:p>
        </w:tc>
        <w:tc>
          <w:tcPr>
            <w:tcW w:w="678"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6BBD4D62" w14:textId="77777777" w:rsidR="005C1D23" w:rsidRPr="005C1D23" w:rsidRDefault="005C1D23" w:rsidP="00126864">
            <w:pPr>
              <w:spacing w:after="0" w:line="240" w:lineRule="auto"/>
              <w:jc w:val="center"/>
              <w:rPr>
                <w:rFonts w:ascii="Times New Roman" w:eastAsia="Times New Roman" w:hAnsi="Times New Roman" w:cs="Times New Roman"/>
                <w:noProof/>
                <w:sz w:val="20"/>
                <w:szCs w:val="20"/>
                <w:lang w:val="en-US"/>
              </w:rPr>
            </w:pPr>
            <w:r w:rsidRPr="005C1D23">
              <w:rPr>
                <w:rFonts w:ascii="Times New Roman" w:hAnsi="Times New Roman"/>
                <w:b/>
                <w:bCs/>
                <w:noProof/>
                <w:sz w:val="20"/>
                <w:lang w:val="en-US"/>
              </w:rPr>
              <w:t xml:space="preserve">Rate of the State fee for the regulation of public utilities </w:t>
            </w:r>
            <w:r w:rsidRPr="005C1D23">
              <w:rPr>
                <w:rFonts w:ascii="Times New Roman" w:hAnsi="Times New Roman"/>
                <w:noProof/>
                <w:sz w:val="20"/>
                <w:lang w:val="en-US"/>
              </w:rPr>
              <w:t>(%)</w:t>
            </w:r>
          </w:p>
        </w:tc>
        <w:tc>
          <w:tcPr>
            <w:tcW w:w="867"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584E9B17" w14:textId="77777777" w:rsidR="005C1D23" w:rsidRPr="005C1D23" w:rsidRDefault="005C1D23" w:rsidP="00126864">
            <w:pPr>
              <w:spacing w:after="0" w:line="240" w:lineRule="auto"/>
              <w:jc w:val="center"/>
              <w:rPr>
                <w:rFonts w:ascii="Times New Roman" w:eastAsia="Times New Roman" w:hAnsi="Times New Roman" w:cs="Times New Roman"/>
                <w:noProof/>
                <w:sz w:val="20"/>
                <w:szCs w:val="20"/>
                <w:lang w:val="en-US"/>
              </w:rPr>
            </w:pPr>
            <w:r w:rsidRPr="005C1D23">
              <w:rPr>
                <w:rFonts w:ascii="Times New Roman" w:hAnsi="Times New Roman"/>
                <w:b/>
                <w:bCs/>
                <w:noProof/>
                <w:sz w:val="20"/>
                <w:lang w:val="en-US"/>
              </w:rPr>
              <w:t>Calculated State fee for the regulation of public utilities</w:t>
            </w:r>
            <w:r w:rsidRPr="005C1D23">
              <w:rPr>
                <w:rFonts w:ascii="Times New Roman" w:hAnsi="Times New Roman"/>
                <w:noProof/>
                <w:sz w:val="20"/>
                <w:lang w:val="en-US"/>
              </w:rPr>
              <w:t xml:space="preserve"> (EUR)</w:t>
            </w:r>
          </w:p>
        </w:tc>
      </w:tr>
      <w:tr w:rsidR="005C1D23" w:rsidRPr="005C1D23" w14:paraId="7B6CE2DD" w14:textId="77777777" w:rsidTr="00126864">
        <w:tc>
          <w:tcPr>
            <w:tcW w:w="230" w:type="pct"/>
            <w:vMerge/>
            <w:tcBorders>
              <w:top w:val="outset" w:sz="6" w:space="0" w:color="414142"/>
              <w:left w:val="outset" w:sz="6" w:space="0" w:color="414142"/>
              <w:bottom w:val="outset" w:sz="6" w:space="0" w:color="414142"/>
              <w:right w:val="outset" w:sz="6" w:space="0" w:color="414142"/>
            </w:tcBorders>
            <w:vAlign w:val="center"/>
            <w:hideMark/>
          </w:tcPr>
          <w:p w14:paraId="61937A9F"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1323" w:type="pct"/>
            <w:vMerge/>
            <w:tcBorders>
              <w:top w:val="outset" w:sz="6" w:space="0" w:color="414142"/>
              <w:left w:val="outset" w:sz="6" w:space="0" w:color="414142"/>
              <w:bottom w:val="outset" w:sz="6" w:space="0" w:color="414142"/>
              <w:right w:val="outset" w:sz="6" w:space="0" w:color="414142"/>
            </w:tcBorders>
            <w:vAlign w:val="center"/>
            <w:hideMark/>
          </w:tcPr>
          <w:p w14:paraId="71D42284" w14:textId="77777777" w:rsidR="005C1D23" w:rsidRPr="005C1D23" w:rsidRDefault="005C1D23" w:rsidP="00126864">
            <w:pPr>
              <w:spacing w:after="0" w:line="240" w:lineRule="auto"/>
              <w:jc w:val="both"/>
              <w:rPr>
                <w:rFonts w:ascii="Times New Roman" w:eastAsia="Times New Roman" w:hAnsi="Times New Roman" w:cs="Times New Roman"/>
                <w:b/>
                <w:bCs/>
                <w:noProof/>
                <w:sz w:val="20"/>
                <w:szCs w:val="20"/>
                <w:lang w:val="en-US" w:eastAsia="lv-LV"/>
              </w:rPr>
            </w:pPr>
          </w:p>
        </w:tc>
        <w:tc>
          <w:tcPr>
            <w:tcW w:w="37" w:type="pct"/>
            <w:tcBorders>
              <w:top w:val="outset" w:sz="6" w:space="0" w:color="414142"/>
              <w:left w:val="outset" w:sz="6" w:space="0" w:color="414142"/>
              <w:bottom w:val="outset" w:sz="6" w:space="0" w:color="414142"/>
              <w:right w:val="outset" w:sz="6" w:space="0" w:color="414142"/>
            </w:tcBorders>
            <w:vAlign w:val="center"/>
            <w:hideMark/>
          </w:tcPr>
          <w:p w14:paraId="723D0C59"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rPr>
            </w:pPr>
            <w:r w:rsidRPr="005C1D23">
              <w:rPr>
                <w:rFonts w:ascii="Times New Roman" w:eastAsia="Times New Roman" w:hAnsi="Times New Roman" w:cs="Times New Roman"/>
                <w:noProof/>
                <w:sz w:val="20"/>
                <w:szCs w:val="20"/>
                <w:lang w:val="en-US"/>
              </w:rPr>
              <w:drawing>
                <wp:inline distT="0" distB="0" distL="0" distR="0" wp14:anchorId="2DC7EC98" wp14:editId="69CC53EA">
                  <wp:extent cx="127000" cy="1270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864" w:type="pct"/>
            <w:gridSpan w:val="2"/>
            <w:tcBorders>
              <w:top w:val="outset" w:sz="6" w:space="0" w:color="414142"/>
              <w:left w:val="outset" w:sz="6" w:space="0" w:color="414142"/>
              <w:bottom w:val="outset" w:sz="6" w:space="0" w:color="414142"/>
              <w:right w:val="outset" w:sz="6" w:space="0" w:color="414142"/>
            </w:tcBorders>
            <w:hideMark/>
          </w:tcPr>
          <w:p w14:paraId="2B0FAFD7" w14:textId="77777777" w:rsidR="005C1D23" w:rsidRPr="005C1D23" w:rsidRDefault="005C1D23" w:rsidP="00126864">
            <w:pPr>
              <w:spacing w:after="0" w:line="240" w:lineRule="auto"/>
              <w:jc w:val="center"/>
              <w:rPr>
                <w:rFonts w:ascii="Times New Roman" w:eastAsia="Times New Roman" w:hAnsi="Times New Roman" w:cs="Times New Roman"/>
                <w:b/>
                <w:bCs/>
                <w:noProof/>
                <w:sz w:val="20"/>
                <w:szCs w:val="20"/>
                <w:lang w:val="en-US"/>
              </w:rPr>
            </w:pPr>
            <w:r w:rsidRPr="005C1D23">
              <w:rPr>
                <w:rFonts w:ascii="Times New Roman" w:hAnsi="Times New Roman"/>
                <w:noProof/>
                <w:sz w:val="20"/>
                <w:lang w:val="en-US"/>
              </w:rPr>
              <w:t xml:space="preserve">Planned net turnover in the </w:t>
            </w:r>
            <w:r w:rsidRPr="005C1D23">
              <w:rPr>
                <w:rFonts w:ascii="Times New Roman" w:hAnsi="Times New Roman"/>
                <w:b/>
                <w:bCs/>
                <w:noProof/>
                <w:sz w:val="20"/>
                <w:lang w:val="en-US"/>
              </w:rPr>
              <w:t xml:space="preserve">first </w:t>
            </w:r>
            <w:r w:rsidRPr="005C1D23">
              <w:rPr>
                <w:rFonts w:ascii="Times New Roman" w:hAnsi="Times New Roman"/>
                <w:noProof/>
                <w:sz w:val="20"/>
                <w:lang w:val="en-US"/>
              </w:rPr>
              <w:t>calendar year of operation</w:t>
            </w:r>
          </w:p>
        </w:tc>
        <w:tc>
          <w:tcPr>
            <w:tcW w:w="678" w:type="pct"/>
            <w:gridSpan w:val="2"/>
            <w:vMerge/>
            <w:tcBorders>
              <w:top w:val="outset" w:sz="6" w:space="0" w:color="414142"/>
              <w:left w:val="outset" w:sz="6" w:space="0" w:color="414142"/>
              <w:bottom w:val="outset" w:sz="6" w:space="0" w:color="414142"/>
              <w:right w:val="outset" w:sz="6" w:space="0" w:color="414142"/>
            </w:tcBorders>
            <w:vAlign w:val="center"/>
            <w:hideMark/>
          </w:tcPr>
          <w:p w14:paraId="13D9882D"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867" w:type="pct"/>
            <w:gridSpan w:val="2"/>
            <w:vMerge/>
            <w:tcBorders>
              <w:top w:val="outset" w:sz="6" w:space="0" w:color="414142"/>
              <w:left w:val="outset" w:sz="6" w:space="0" w:color="414142"/>
              <w:bottom w:val="outset" w:sz="6" w:space="0" w:color="414142"/>
              <w:right w:val="outset" w:sz="6" w:space="0" w:color="414142"/>
            </w:tcBorders>
            <w:vAlign w:val="center"/>
            <w:hideMark/>
          </w:tcPr>
          <w:p w14:paraId="1B49DB40"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7D86D847" w14:textId="77777777" w:rsidTr="00126864">
        <w:tc>
          <w:tcPr>
            <w:tcW w:w="230" w:type="pct"/>
            <w:vMerge/>
            <w:tcBorders>
              <w:top w:val="outset" w:sz="6" w:space="0" w:color="414142"/>
              <w:left w:val="outset" w:sz="6" w:space="0" w:color="414142"/>
              <w:bottom w:val="outset" w:sz="6" w:space="0" w:color="414142"/>
              <w:right w:val="outset" w:sz="6" w:space="0" w:color="414142"/>
            </w:tcBorders>
            <w:vAlign w:val="center"/>
            <w:hideMark/>
          </w:tcPr>
          <w:p w14:paraId="1B483678"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1323" w:type="pct"/>
            <w:vMerge/>
            <w:tcBorders>
              <w:top w:val="outset" w:sz="6" w:space="0" w:color="414142"/>
              <w:left w:val="outset" w:sz="6" w:space="0" w:color="414142"/>
              <w:bottom w:val="outset" w:sz="6" w:space="0" w:color="414142"/>
              <w:right w:val="outset" w:sz="6" w:space="0" w:color="414142"/>
            </w:tcBorders>
            <w:vAlign w:val="center"/>
            <w:hideMark/>
          </w:tcPr>
          <w:p w14:paraId="3C5E4893" w14:textId="77777777" w:rsidR="005C1D23" w:rsidRPr="005C1D23" w:rsidRDefault="005C1D23" w:rsidP="00126864">
            <w:pPr>
              <w:spacing w:after="0" w:line="240" w:lineRule="auto"/>
              <w:jc w:val="both"/>
              <w:rPr>
                <w:rFonts w:ascii="Times New Roman" w:eastAsia="Times New Roman" w:hAnsi="Times New Roman" w:cs="Times New Roman"/>
                <w:b/>
                <w:bCs/>
                <w:noProof/>
                <w:sz w:val="20"/>
                <w:szCs w:val="20"/>
                <w:lang w:val="en-US" w:eastAsia="lv-LV"/>
              </w:rPr>
            </w:pPr>
          </w:p>
        </w:tc>
        <w:tc>
          <w:tcPr>
            <w:tcW w:w="37" w:type="pct"/>
            <w:tcBorders>
              <w:top w:val="outset" w:sz="6" w:space="0" w:color="414142"/>
              <w:left w:val="outset" w:sz="6" w:space="0" w:color="414142"/>
              <w:bottom w:val="outset" w:sz="6" w:space="0" w:color="414142"/>
              <w:right w:val="outset" w:sz="6" w:space="0" w:color="414142"/>
            </w:tcBorders>
            <w:vAlign w:val="center"/>
            <w:hideMark/>
          </w:tcPr>
          <w:p w14:paraId="081304F9"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rPr>
            </w:pPr>
            <w:r w:rsidRPr="005C1D23">
              <w:rPr>
                <w:rFonts w:ascii="Times New Roman" w:eastAsia="Times New Roman" w:hAnsi="Times New Roman" w:cs="Times New Roman"/>
                <w:noProof/>
                <w:sz w:val="20"/>
                <w:szCs w:val="20"/>
                <w:lang w:val="en-US"/>
              </w:rPr>
              <w:drawing>
                <wp:inline distT="0" distB="0" distL="0" distR="0" wp14:anchorId="5EBC29E6" wp14:editId="73A039FD">
                  <wp:extent cx="1270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864" w:type="pct"/>
            <w:gridSpan w:val="2"/>
            <w:tcBorders>
              <w:top w:val="outset" w:sz="6" w:space="0" w:color="414142"/>
              <w:left w:val="outset" w:sz="6" w:space="0" w:color="414142"/>
              <w:bottom w:val="outset" w:sz="6" w:space="0" w:color="414142"/>
              <w:right w:val="outset" w:sz="6" w:space="0" w:color="414142"/>
            </w:tcBorders>
            <w:hideMark/>
          </w:tcPr>
          <w:p w14:paraId="5CB28891"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rPr>
            </w:pPr>
            <w:r w:rsidRPr="005C1D23">
              <w:rPr>
                <w:rFonts w:ascii="Times New Roman" w:hAnsi="Times New Roman"/>
                <w:noProof/>
                <w:sz w:val="20"/>
                <w:lang w:val="en-US"/>
              </w:rPr>
              <w:t xml:space="preserve">Actual net turnover in the </w:t>
            </w:r>
            <w:r w:rsidRPr="005C1D23">
              <w:rPr>
                <w:rFonts w:ascii="Times New Roman" w:hAnsi="Times New Roman"/>
                <w:b/>
                <w:bCs/>
                <w:noProof/>
                <w:sz w:val="20"/>
                <w:lang w:val="en-US"/>
              </w:rPr>
              <w:t xml:space="preserve">first </w:t>
            </w:r>
            <w:r w:rsidRPr="005C1D23">
              <w:rPr>
                <w:rFonts w:ascii="Times New Roman" w:hAnsi="Times New Roman"/>
                <w:noProof/>
                <w:sz w:val="20"/>
                <w:lang w:val="en-US"/>
              </w:rPr>
              <w:t>calendar year of operation</w:t>
            </w:r>
          </w:p>
        </w:tc>
        <w:tc>
          <w:tcPr>
            <w:tcW w:w="678" w:type="pct"/>
            <w:gridSpan w:val="2"/>
            <w:vMerge/>
            <w:tcBorders>
              <w:top w:val="outset" w:sz="6" w:space="0" w:color="414142"/>
              <w:left w:val="outset" w:sz="6" w:space="0" w:color="414142"/>
              <w:bottom w:val="outset" w:sz="6" w:space="0" w:color="414142"/>
              <w:right w:val="outset" w:sz="6" w:space="0" w:color="414142"/>
            </w:tcBorders>
            <w:vAlign w:val="center"/>
            <w:hideMark/>
          </w:tcPr>
          <w:p w14:paraId="482E00C9"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867" w:type="pct"/>
            <w:gridSpan w:val="2"/>
            <w:vMerge/>
            <w:tcBorders>
              <w:top w:val="outset" w:sz="6" w:space="0" w:color="414142"/>
              <w:left w:val="outset" w:sz="6" w:space="0" w:color="414142"/>
              <w:bottom w:val="outset" w:sz="6" w:space="0" w:color="414142"/>
              <w:right w:val="outset" w:sz="6" w:space="0" w:color="414142"/>
            </w:tcBorders>
            <w:vAlign w:val="center"/>
            <w:hideMark/>
          </w:tcPr>
          <w:p w14:paraId="27E0FE41"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1F83CB23" w14:textId="77777777" w:rsidTr="00126864">
        <w:tc>
          <w:tcPr>
            <w:tcW w:w="230" w:type="pct"/>
            <w:vMerge/>
            <w:tcBorders>
              <w:top w:val="outset" w:sz="6" w:space="0" w:color="414142"/>
              <w:left w:val="outset" w:sz="6" w:space="0" w:color="414142"/>
              <w:bottom w:val="outset" w:sz="6" w:space="0" w:color="414142"/>
              <w:right w:val="outset" w:sz="6" w:space="0" w:color="414142"/>
            </w:tcBorders>
            <w:vAlign w:val="center"/>
            <w:hideMark/>
          </w:tcPr>
          <w:p w14:paraId="392425BD"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1323" w:type="pct"/>
            <w:vMerge/>
            <w:tcBorders>
              <w:top w:val="outset" w:sz="6" w:space="0" w:color="414142"/>
              <w:left w:val="outset" w:sz="6" w:space="0" w:color="414142"/>
              <w:bottom w:val="outset" w:sz="6" w:space="0" w:color="414142"/>
              <w:right w:val="outset" w:sz="6" w:space="0" w:color="414142"/>
            </w:tcBorders>
            <w:vAlign w:val="center"/>
            <w:hideMark/>
          </w:tcPr>
          <w:p w14:paraId="3AC88692" w14:textId="77777777" w:rsidR="005C1D23" w:rsidRPr="005C1D23" w:rsidRDefault="005C1D23" w:rsidP="00126864">
            <w:pPr>
              <w:spacing w:after="0" w:line="240" w:lineRule="auto"/>
              <w:jc w:val="both"/>
              <w:rPr>
                <w:rFonts w:ascii="Times New Roman" w:eastAsia="Times New Roman" w:hAnsi="Times New Roman" w:cs="Times New Roman"/>
                <w:b/>
                <w:bCs/>
                <w:noProof/>
                <w:sz w:val="20"/>
                <w:szCs w:val="20"/>
                <w:lang w:val="en-US" w:eastAsia="lv-LV"/>
              </w:rPr>
            </w:pPr>
          </w:p>
        </w:tc>
        <w:tc>
          <w:tcPr>
            <w:tcW w:w="37" w:type="pct"/>
            <w:tcBorders>
              <w:top w:val="outset" w:sz="6" w:space="0" w:color="414142"/>
              <w:left w:val="outset" w:sz="6" w:space="0" w:color="414142"/>
              <w:bottom w:val="outset" w:sz="6" w:space="0" w:color="414142"/>
              <w:right w:val="outset" w:sz="6" w:space="0" w:color="414142"/>
            </w:tcBorders>
            <w:vAlign w:val="center"/>
            <w:hideMark/>
          </w:tcPr>
          <w:p w14:paraId="39DF70BF"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rPr>
            </w:pPr>
            <w:r w:rsidRPr="005C1D23">
              <w:rPr>
                <w:rFonts w:ascii="Times New Roman" w:eastAsia="Times New Roman" w:hAnsi="Times New Roman" w:cs="Times New Roman"/>
                <w:noProof/>
                <w:sz w:val="20"/>
                <w:szCs w:val="20"/>
                <w:lang w:val="en-US"/>
              </w:rPr>
              <w:drawing>
                <wp:inline distT="0" distB="0" distL="0" distR="0" wp14:anchorId="64DD8C27" wp14:editId="2256AE14">
                  <wp:extent cx="127000" cy="1270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864" w:type="pct"/>
            <w:gridSpan w:val="2"/>
            <w:tcBorders>
              <w:top w:val="outset" w:sz="6" w:space="0" w:color="414142"/>
              <w:left w:val="outset" w:sz="6" w:space="0" w:color="414142"/>
              <w:bottom w:val="outset" w:sz="6" w:space="0" w:color="414142"/>
              <w:right w:val="outset" w:sz="6" w:space="0" w:color="414142"/>
            </w:tcBorders>
            <w:hideMark/>
          </w:tcPr>
          <w:p w14:paraId="4BF523D5"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rPr>
            </w:pPr>
            <w:r w:rsidRPr="005C1D23">
              <w:rPr>
                <w:rFonts w:ascii="Times New Roman" w:hAnsi="Times New Roman"/>
                <w:noProof/>
                <w:sz w:val="20"/>
                <w:lang w:val="en-US"/>
              </w:rPr>
              <w:t xml:space="preserve">Actual net turnover in the </w:t>
            </w:r>
            <w:r w:rsidRPr="005C1D23">
              <w:rPr>
                <w:rFonts w:ascii="Times New Roman" w:hAnsi="Times New Roman"/>
                <w:b/>
                <w:bCs/>
                <w:noProof/>
                <w:sz w:val="20"/>
                <w:lang w:val="en-US"/>
              </w:rPr>
              <w:t xml:space="preserve">year before that </w:t>
            </w:r>
            <w:r w:rsidRPr="005C1D23">
              <w:rPr>
                <w:rFonts w:ascii="Times New Roman" w:hAnsi="Times New Roman"/>
                <w:noProof/>
                <w:sz w:val="20"/>
                <w:lang w:val="en-US"/>
              </w:rPr>
              <w:t>calendar year</w:t>
            </w:r>
          </w:p>
        </w:tc>
        <w:tc>
          <w:tcPr>
            <w:tcW w:w="678" w:type="pct"/>
            <w:gridSpan w:val="2"/>
            <w:vMerge/>
            <w:tcBorders>
              <w:top w:val="outset" w:sz="6" w:space="0" w:color="414142"/>
              <w:left w:val="outset" w:sz="6" w:space="0" w:color="414142"/>
              <w:bottom w:val="outset" w:sz="6" w:space="0" w:color="414142"/>
              <w:right w:val="outset" w:sz="6" w:space="0" w:color="414142"/>
            </w:tcBorders>
            <w:vAlign w:val="center"/>
            <w:hideMark/>
          </w:tcPr>
          <w:p w14:paraId="166C710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867" w:type="pct"/>
            <w:gridSpan w:val="2"/>
            <w:vMerge/>
            <w:tcBorders>
              <w:top w:val="outset" w:sz="6" w:space="0" w:color="414142"/>
              <w:left w:val="outset" w:sz="6" w:space="0" w:color="414142"/>
              <w:bottom w:val="outset" w:sz="6" w:space="0" w:color="414142"/>
              <w:right w:val="outset" w:sz="6" w:space="0" w:color="414142"/>
            </w:tcBorders>
            <w:vAlign w:val="center"/>
            <w:hideMark/>
          </w:tcPr>
          <w:p w14:paraId="5939F549"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5A7A63C4"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1E14BA7C"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1.</w:t>
            </w:r>
          </w:p>
        </w:tc>
        <w:tc>
          <w:tcPr>
            <w:tcW w:w="1323" w:type="pct"/>
            <w:tcBorders>
              <w:top w:val="outset" w:sz="6" w:space="0" w:color="414142"/>
              <w:left w:val="outset" w:sz="6" w:space="0" w:color="414142"/>
              <w:bottom w:val="outset" w:sz="6" w:space="0" w:color="414142"/>
              <w:right w:val="outset" w:sz="6" w:space="0" w:color="414142"/>
            </w:tcBorders>
            <w:shd w:val="clear" w:color="auto" w:fill="C0C0C0"/>
            <w:hideMark/>
          </w:tcPr>
          <w:p w14:paraId="1C42E670" w14:textId="77777777" w:rsidR="005C1D23" w:rsidRPr="005C1D23" w:rsidRDefault="005C1D23" w:rsidP="00126864">
            <w:pPr>
              <w:spacing w:after="0" w:line="240" w:lineRule="auto"/>
              <w:jc w:val="both"/>
              <w:rPr>
                <w:rFonts w:ascii="Times New Roman" w:hAnsi="Times New Roman"/>
                <w:b/>
                <w:noProof/>
                <w:sz w:val="20"/>
                <w:lang w:val="en-US"/>
              </w:rPr>
            </w:pPr>
            <w:r w:rsidRPr="005C1D23">
              <w:rPr>
                <w:rFonts w:ascii="Times New Roman" w:hAnsi="Times New Roman"/>
                <w:b/>
                <w:noProof/>
                <w:sz w:val="20"/>
                <w:lang w:val="en-US"/>
              </w:rPr>
              <w:t>Electricity supply in total, including:</w:t>
            </w:r>
          </w:p>
        </w:tc>
        <w:tc>
          <w:tcPr>
            <w:tcW w:w="1876" w:type="pct"/>
            <w:gridSpan w:val="2"/>
            <w:tcBorders>
              <w:top w:val="outset" w:sz="6" w:space="0" w:color="414142"/>
              <w:left w:val="outset" w:sz="6" w:space="0" w:color="414142"/>
              <w:bottom w:val="outset" w:sz="6" w:space="0" w:color="414142"/>
              <w:right w:val="outset" w:sz="6" w:space="0" w:color="414142"/>
            </w:tcBorders>
            <w:shd w:val="clear" w:color="auto" w:fill="C0C0C0"/>
          </w:tcPr>
          <w:p w14:paraId="4D8F23CA"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075CD2B4"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shd w:val="clear" w:color="auto" w:fill="C0C0C0"/>
          </w:tcPr>
          <w:p w14:paraId="0F0C0076"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4DA9A209"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2452392F"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1.1.</w:t>
            </w:r>
          </w:p>
        </w:tc>
        <w:tc>
          <w:tcPr>
            <w:tcW w:w="1323" w:type="pct"/>
            <w:tcBorders>
              <w:top w:val="outset" w:sz="6" w:space="0" w:color="414142"/>
              <w:left w:val="outset" w:sz="6" w:space="0" w:color="414142"/>
              <w:bottom w:val="outset" w:sz="6" w:space="0" w:color="414142"/>
              <w:right w:val="outset" w:sz="6" w:space="0" w:color="414142"/>
            </w:tcBorders>
            <w:hideMark/>
          </w:tcPr>
          <w:p w14:paraId="016897E5"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production of electricity in generating installations, the installed electric capacity of which is more than one megawatt</w:t>
            </w:r>
          </w:p>
        </w:tc>
        <w:tc>
          <w:tcPr>
            <w:tcW w:w="1876" w:type="pct"/>
            <w:gridSpan w:val="2"/>
            <w:tcBorders>
              <w:top w:val="outset" w:sz="6" w:space="0" w:color="414142"/>
              <w:left w:val="outset" w:sz="6" w:space="0" w:color="414142"/>
              <w:bottom w:val="outset" w:sz="6" w:space="0" w:color="414142"/>
              <w:right w:val="outset" w:sz="6" w:space="0" w:color="414142"/>
            </w:tcBorders>
          </w:tcPr>
          <w:p w14:paraId="2497DB2C"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70BFFC8D"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1048A333"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3EFADDC8"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7FBA0A2F"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1.2.</w:t>
            </w:r>
          </w:p>
        </w:tc>
        <w:tc>
          <w:tcPr>
            <w:tcW w:w="1323" w:type="pct"/>
            <w:tcBorders>
              <w:top w:val="outset" w:sz="6" w:space="0" w:color="414142"/>
              <w:left w:val="outset" w:sz="6" w:space="0" w:color="414142"/>
              <w:bottom w:val="outset" w:sz="6" w:space="0" w:color="414142"/>
              <w:right w:val="outset" w:sz="6" w:space="0" w:color="414142"/>
            </w:tcBorders>
            <w:hideMark/>
          </w:tcPr>
          <w:p w14:paraId="1F25A1E4"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production of electricity in cogeneration where the total installed electric capacity of cogeneration equipment in the cogeneration plant is greater than one megawatt</w:t>
            </w:r>
          </w:p>
        </w:tc>
        <w:tc>
          <w:tcPr>
            <w:tcW w:w="1876" w:type="pct"/>
            <w:gridSpan w:val="2"/>
            <w:tcBorders>
              <w:top w:val="outset" w:sz="6" w:space="0" w:color="414142"/>
              <w:left w:val="outset" w:sz="6" w:space="0" w:color="414142"/>
              <w:bottom w:val="outset" w:sz="6" w:space="0" w:color="414142"/>
              <w:right w:val="outset" w:sz="6" w:space="0" w:color="414142"/>
            </w:tcBorders>
          </w:tcPr>
          <w:p w14:paraId="01C06234"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4C84051C"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7FC4E10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496167E6"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391B19B3"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1.3.</w:t>
            </w:r>
          </w:p>
        </w:tc>
        <w:tc>
          <w:tcPr>
            <w:tcW w:w="1323" w:type="pct"/>
            <w:tcBorders>
              <w:top w:val="outset" w:sz="6" w:space="0" w:color="414142"/>
              <w:left w:val="outset" w:sz="6" w:space="0" w:color="414142"/>
              <w:bottom w:val="outset" w:sz="6" w:space="0" w:color="414142"/>
              <w:right w:val="outset" w:sz="6" w:space="0" w:color="414142"/>
            </w:tcBorders>
            <w:hideMark/>
          </w:tcPr>
          <w:p w14:paraId="5FB5ABE9"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electricity transmission if the voltage is 110 kilovolts and higher</w:t>
            </w:r>
          </w:p>
        </w:tc>
        <w:tc>
          <w:tcPr>
            <w:tcW w:w="1876" w:type="pct"/>
            <w:gridSpan w:val="2"/>
            <w:tcBorders>
              <w:top w:val="outset" w:sz="6" w:space="0" w:color="414142"/>
              <w:left w:val="outset" w:sz="6" w:space="0" w:color="414142"/>
              <w:bottom w:val="outset" w:sz="6" w:space="0" w:color="414142"/>
              <w:right w:val="outset" w:sz="6" w:space="0" w:color="414142"/>
            </w:tcBorders>
          </w:tcPr>
          <w:p w14:paraId="5790F936"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6FB57836"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1FD1A987"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10556A40"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38DBC3D0"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1.4.</w:t>
            </w:r>
          </w:p>
        </w:tc>
        <w:tc>
          <w:tcPr>
            <w:tcW w:w="1323" w:type="pct"/>
            <w:tcBorders>
              <w:top w:val="outset" w:sz="6" w:space="0" w:color="414142"/>
              <w:left w:val="outset" w:sz="6" w:space="0" w:color="414142"/>
              <w:bottom w:val="outset" w:sz="6" w:space="0" w:color="414142"/>
              <w:right w:val="outset" w:sz="6" w:space="0" w:color="414142"/>
            </w:tcBorders>
            <w:hideMark/>
          </w:tcPr>
          <w:p w14:paraId="61F3D38F"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electricity distribution if the voltage is higher than one kilovolt and does not exceed 110 kilovolts</w:t>
            </w:r>
          </w:p>
        </w:tc>
        <w:tc>
          <w:tcPr>
            <w:tcW w:w="1876" w:type="pct"/>
            <w:gridSpan w:val="2"/>
            <w:tcBorders>
              <w:top w:val="outset" w:sz="6" w:space="0" w:color="414142"/>
              <w:left w:val="outset" w:sz="6" w:space="0" w:color="414142"/>
              <w:bottom w:val="outset" w:sz="6" w:space="0" w:color="414142"/>
              <w:right w:val="outset" w:sz="6" w:space="0" w:color="414142"/>
            </w:tcBorders>
          </w:tcPr>
          <w:p w14:paraId="6207FC59"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6768D5A5"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3BD909B0"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705B6F5B"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37D9CD67"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1.5.</w:t>
            </w:r>
          </w:p>
        </w:tc>
        <w:tc>
          <w:tcPr>
            <w:tcW w:w="1323" w:type="pct"/>
            <w:tcBorders>
              <w:top w:val="outset" w:sz="6" w:space="0" w:color="414142"/>
              <w:left w:val="outset" w:sz="6" w:space="0" w:color="414142"/>
              <w:bottom w:val="outset" w:sz="6" w:space="0" w:color="414142"/>
              <w:right w:val="outset" w:sz="6" w:space="0" w:color="414142"/>
            </w:tcBorders>
            <w:hideMark/>
          </w:tcPr>
          <w:p w14:paraId="39A9AC14"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trade of electricity to any energy users</w:t>
            </w:r>
          </w:p>
        </w:tc>
        <w:tc>
          <w:tcPr>
            <w:tcW w:w="1876" w:type="pct"/>
            <w:gridSpan w:val="2"/>
            <w:tcBorders>
              <w:top w:val="outset" w:sz="6" w:space="0" w:color="414142"/>
              <w:left w:val="outset" w:sz="6" w:space="0" w:color="414142"/>
              <w:bottom w:val="outset" w:sz="6" w:space="0" w:color="414142"/>
              <w:right w:val="outset" w:sz="6" w:space="0" w:color="414142"/>
            </w:tcBorders>
          </w:tcPr>
          <w:p w14:paraId="3D3B55E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285C5D0F"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7A6ADAD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19138876"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7ECBE7DF"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1.6.</w:t>
            </w:r>
          </w:p>
        </w:tc>
        <w:tc>
          <w:tcPr>
            <w:tcW w:w="1323" w:type="pct"/>
            <w:tcBorders>
              <w:top w:val="outset" w:sz="6" w:space="0" w:color="414142"/>
              <w:left w:val="outset" w:sz="6" w:space="0" w:color="414142"/>
              <w:bottom w:val="outset" w:sz="6" w:space="0" w:color="414142"/>
              <w:right w:val="outset" w:sz="6" w:space="0" w:color="414142"/>
            </w:tcBorders>
            <w:hideMark/>
          </w:tcPr>
          <w:p w14:paraId="6F8B52EA"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demand reactions in the utility</w:t>
            </w:r>
          </w:p>
        </w:tc>
        <w:tc>
          <w:tcPr>
            <w:tcW w:w="1876" w:type="pct"/>
            <w:gridSpan w:val="2"/>
            <w:tcBorders>
              <w:top w:val="outset" w:sz="6" w:space="0" w:color="414142"/>
              <w:left w:val="outset" w:sz="6" w:space="0" w:color="414142"/>
              <w:bottom w:val="outset" w:sz="6" w:space="0" w:color="414142"/>
              <w:right w:val="outset" w:sz="6" w:space="0" w:color="414142"/>
            </w:tcBorders>
          </w:tcPr>
          <w:p w14:paraId="4EF8D36B"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3AD385D1"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5FC16383"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60AD4265"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1D66D19D" w14:textId="77777777" w:rsidR="005C1D23" w:rsidRPr="005C1D23" w:rsidRDefault="005C1D23" w:rsidP="00126864">
            <w:pPr>
              <w:keepNext/>
              <w:keepLines/>
              <w:spacing w:after="0" w:line="240" w:lineRule="auto"/>
              <w:jc w:val="both"/>
              <w:rPr>
                <w:rFonts w:ascii="Times New Roman" w:hAnsi="Times New Roman"/>
                <w:noProof/>
                <w:sz w:val="20"/>
                <w:lang w:val="en-US"/>
              </w:rPr>
            </w:pPr>
            <w:r w:rsidRPr="005C1D23">
              <w:rPr>
                <w:rFonts w:ascii="Times New Roman" w:hAnsi="Times New Roman"/>
                <w:noProof/>
                <w:sz w:val="20"/>
                <w:lang w:val="en-US"/>
              </w:rPr>
              <w:t>2.</w:t>
            </w:r>
          </w:p>
        </w:tc>
        <w:tc>
          <w:tcPr>
            <w:tcW w:w="1323" w:type="pct"/>
            <w:tcBorders>
              <w:top w:val="outset" w:sz="6" w:space="0" w:color="414142"/>
              <w:left w:val="outset" w:sz="6" w:space="0" w:color="414142"/>
              <w:bottom w:val="outset" w:sz="6" w:space="0" w:color="414142"/>
              <w:right w:val="outset" w:sz="6" w:space="0" w:color="414142"/>
            </w:tcBorders>
            <w:shd w:val="clear" w:color="auto" w:fill="C0C0C0"/>
            <w:hideMark/>
          </w:tcPr>
          <w:p w14:paraId="0C843719" w14:textId="77777777" w:rsidR="005C1D23" w:rsidRPr="005C1D23" w:rsidRDefault="005C1D23" w:rsidP="00126864">
            <w:pPr>
              <w:keepNext/>
              <w:keepLines/>
              <w:spacing w:after="0" w:line="240" w:lineRule="auto"/>
              <w:jc w:val="both"/>
              <w:rPr>
                <w:rFonts w:ascii="Times New Roman" w:hAnsi="Times New Roman"/>
                <w:b/>
                <w:noProof/>
                <w:sz w:val="20"/>
                <w:lang w:val="en-US"/>
              </w:rPr>
            </w:pPr>
            <w:r w:rsidRPr="005C1D23">
              <w:rPr>
                <w:rFonts w:ascii="Times New Roman" w:hAnsi="Times New Roman"/>
                <w:b/>
                <w:noProof/>
                <w:sz w:val="20"/>
                <w:lang w:val="en-US"/>
              </w:rPr>
              <w:t>Supply of thermal energy in total, including:</w:t>
            </w:r>
          </w:p>
        </w:tc>
        <w:tc>
          <w:tcPr>
            <w:tcW w:w="1876" w:type="pct"/>
            <w:gridSpan w:val="2"/>
            <w:tcBorders>
              <w:top w:val="outset" w:sz="6" w:space="0" w:color="414142"/>
              <w:left w:val="outset" w:sz="6" w:space="0" w:color="414142"/>
              <w:bottom w:val="outset" w:sz="6" w:space="0" w:color="414142"/>
              <w:right w:val="outset" w:sz="6" w:space="0" w:color="414142"/>
            </w:tcBorders>
            <w:shd w:val="clear" w:color="auto" w:fill="C0C0C0"/>
          </w:tcPr>
          <w:p w14:paraId="4742835D" w14:textId="77777777" w:rsidR="005C1D23" w:rsidRPr="005C1D23" w:rsidRDefault="005C1D23" w:rsidP="00126864">
            <w:pPr>
              <w:keepNext/>
              <w:keepLines/>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5DB652FC" w14:textId="77777777" w:rsidR="005C1D23" w:rsidRPr="005C1D23" w:rsidRDefault="005C1D23" w:rsidP="00126864">
            <w:pPr>
              <w:keepNext/>
              <w:keepLines/>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shd w:val="clear" w:color="auto" w:fill="C0C0C0"/>
          </w:tcPr>
          <w:p w14:paraId="369A8356" w14:textId="77777777" w:rsidR="005C1D23" w:rsidRPr="005C1D23" w:rsidRDefault="005C1D23" w:rsidP="00126864">
            <w:pPr>
              <w:keepNext/>
              <w:keepLines/>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68257A0C"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71D919D2" w14:textId="77777777" w:rsidR="005C1D23" w:rsidRPr="005C1D23" w:rsidRDefault="005C1D23" w:rsidP="00126864">
            <w:pPr>
              <w:keepNext/>
              <w:keepLines/>
              <w:spacing w:after="0" w:line="240" w:lineRule="auto"/>
              <w:jc w:val="both"/>
              <w:rPr>
                <w:rFonts w:ascii="Times New Roman" w:hAnsi="Times New Roman"/>
                <w:noProof/>
                <w:sz w:val="20"/>
                <w:lang w:val="en-US"/>
              </w:rPr>
            </w:pPr>
            <w:r w:rsidRPr="005C1D23">
              <w:rPr>
                <w:rFonts w:ascii="Times New Roman" w:hAnsi="Times New Roman"/>
                <w:noProof/>
                <w:sz w:val="20"/>
                <w:lang w:val="en-US"/>
              </w:rPr>
              <w:t>2.1.</w:t>
            </w:r>
          </w:p>
        </w:tc>
        <w:tc>
          <w:tcPr>
            <w:tcW w:w="1323" w:type="pct"/>
            <w:tcBorders>
              <w:top w:val="outset" w:sz="6" w:space="0" w:color="414142"/>
              <w:left w:val="outset" w:sz="6" w:space="0" w:color="414142"/>
              <w:bottom w:val="outset" w:sz="6" w:space="0" w:color="414142"/>
              <w:right w:val="outset" w:sz="6" w:space="0" w:color="414142"/>
            </w:tcBorders>
            <w:hideMark/>
          </w:tcPr>
          <w:p w14:paraId="30C0742B" w14:textId="77777777" w:rsidR="005C1D23" w:rsidRPr="005C1D23" w:rsidRDefault="005C1D23" w:rsidP="00126864">
            <w:pPr>
              <w:keepNext/>
              <w:keepLines/>
              <w:spacing w:after="0" w:line="240" w:lineRule="auto"/>
              <w:jc w:val="both"/>
              <w:rPr>
                <w:rFonts w:ascii="Times New Roman" w:hAnsi="Times New Roman"/>
                <w:noProof/>
                <w:sz w:val="20"/>
                <w:lang w:val="en-US"/>
              </w:rPr>
            </w:pPr>
            <w:r w:rsidRPr="005C1D23">
              <w:rPr>
                <w:rFonts w:ascii="Times New Roman" w:hAnsi="Times New Roman"/>
                <w:noProof/>
                <w:sz w:val="20"/>
                <w:lang w:val="en-US"/>
              </w:rPr>
              <w:t>the production of thermal energy (including cogeneration) in installations with a total installed thermal capacity, which is greater than one megawatt, if the amount of thermal energy transferred to the centralised thermal energy system exceeds 5 000 megawatt hours per year</w:t>
            </w:r>
          </w:p>
        </w:tc>
        <w:tc>
          <w:tcPr>
            <w:tcW w:w="1876" w:type="pct"/>
            <w:gridSpan w:val="2"/>
            <w:tcBorders>
              <w:top w:val="outset" w:sz="6" w:space="0" w:color="414142"/>
              <w:left w:val="outset" w:sz="6" w:space="0" w:color="414142"/>
              <w:bottom w:val="outset" w:sz="6" w:space="0" w:color="414142"/>
              <w:right w:val="outset" w:sz="6" w:space="0" w:color="414142"/>
            </w:tcBorders>
          </w:tcPr>
          <w:p w14:paraId="6235583B" w14:textId="77777777" w:rsidR="005C1D23" w:rsidRPr="005C1D23" w:rsidRDefault="005C1D23" w:rsidP="00126864">
            <w:pPr>
              <w:keepNext/>
              <w:keepLines/>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3386BBA2" w14:textId="77777777" w:rsidR="005C1D23" w:rsidRPr="005C1D23" w:rsidRDefault="005C1D23" w:rsidP="00126864">
            <w:pPr>
              <w:keepNext/>
              <w:keepLines/>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52D8F46A" w14:textId="77777777" w:rsidR="005C1D23" w:rsidRPr="005C1D23" w:rsidRDefault="005C1D23" w:rsidP="00126864">
            <w:pPr>
              <w:keepNext/>
              <w:keepLines/>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3804B422"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00C7FBA6"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2.2.</w:t>
            </w:r>
          </w:p>
        </w:tc>
        <w:tc>
          <w:tcPr>
            <w:tcW w:w="1323" w:type="pct"/>
            <w:tcBorders>
              <w:top w:val="outset" w:sz="6" w:space="0" w:color="414142"/>
              <w:left w:val="outset" w:sz="6" w:space="0" w:color="414142"/>
              <w:bottom w:val="outset" w:sz="6" w:space="0" w:color="414142"/>
              <w:right w:val="outset" w:sz="6" w:space="0" w:color="414142"/>
            </w:tcBorders>
            <w:hideMark/>
          </w:tcPr>
          <w:p w14:paraId="130DC841"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in the transmission and distribution of thermal energy to end-users if there are household users among them and if the total amount of transmitted and distributed thermal energy exceeds 5 000 megawatt hours per year, except where the thermal energy produced by the autonomous producer or independent producer is supplied to the thermal networks of the regulated heating systems operator</w:t>
            </w:r>
          </w:p>
        </w:tc>
        <w:tc>
          <w:tcPr>
            <w:tcW w:w="1876" w:type="pct"/>
            <w:gridSpan w:val="2"/>
            <w:tcBorders>
              <w:top w:val="outset" w:sz="6" w:space="0" w:color="414142"/>
              <w:left w:val="outset" w:sz="6" w:space="0" w:color="414142"/>
              <w:bottom w:val="outset" w:sz="6" w:space="0" w:color="414142"/>
              <w:right w:val="outset" w:sz="6" w:space="0" w:color="414142"/>
            </w:tcBorders>
          </w:tcPr>
          <w:p w14:paraId="12C81AE4"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21BC616D"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52F26475"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011110FC"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277F536C"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2.3.</w:t>
            </w:r>
          </w:p>
        </w:tc>
        <w:tc>
          <w:tcPr>
            <w:tcW w:w="1323" w:type="pct"/>
            <w:tcBorders>
              <w:top w:val="outset" w:sz="6" w:space="0" w:color="414142"/>
              <w:left w:val="outset" w:sz="6" w:space="0" w:color="414142"/>
              <w:bottom w:val="outset" w:sz="6" w:space="0" w:color="414142"/>
              <w:right w:val="outset" w:sz="6" w:space="0" w:color="414142"/>
            </w:tcBorders>
            <w:hideMark/>
          </w:tcPr>
          <w:p w14:paraId="5AB00C42"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in the trade of thermal energy to energy users if the traded thermal energy is supplied by the thermal networks of the regulated heating systems operator</w:t>
            </w:r>
          </w:p>
        </w:tc>
        <w:tc>
          <w:tcPr>
            <w:tcW w:w="1876" w:type="pct"/>
            <w:gridSpan w:val="2"/>
            <w:tcBorders>
              <w:top w:val="outset" w:sz="6" w:space="0" w:color="414142"/>
              <w:left w:val="outset" w:sz="6" w:space="0" w:color="414142"/>
              <w:bottom w:val="outset" w:sz="6" w:space="0" w:color="414142"/>
              <w:right w:val="outset" w:sz="6" w:space="0" w:color="414142"/>
            </w:tcBorders>
          </w:tcPr>
          <w:p w14:paraId="2ED31865"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735B9B0D"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1C58430D"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34393D2F"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06C53D10"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3.</w:t>
            </w:r>
          </w:p>
        </w:tc>
        <w:tc>
          <w:tcPr>
            <w:tcW w:w="1323" w:type="pct"/>
            <w:tcBorders>
              <w:top w:val="outset" w:sz="6" w:space="0" w:color="414142"/>
              <w:left w:val="outset" w:sz="6" w:space="0" w:color="414142"/>
              <w:bottom w:val="outset" w:sz="6" w:space="0" w:color="414142"/>
              <w:right w:val="outset" w:sz="6" w:space="0" w:color="414142"/>
            </w:tcBorders>
            <w:shd w:val="clear" w:color="auto" w:fill="C0C0C0"/>
            <w:hideMark/>
          </w:tcPr>
          <w:p w14:paraId="57C4340D" w14:textId="77777777" w:rsidR="005C1D23" w:rsidRPr="005C1D23" w:rsidRDefault="005C1D23" w:rsidP="00126864">
            <w:pPr>
              <w:spacing w:after="0" w:line="240" w:lineRule="auto"/>
              <w:jc w:val="both"/>
              <w:rPr>
                <w:rFonts w:ascii="Times New Roman" w:hAnsi="Times New Roman"/>
                <w:b/>
                <w:noProof/>
                <w:sz w:val="20"/>
                <w:lang w:val="en-US"/>
              </w:rPr>
            </w:pPr>
            <w:r w:rsidRPr="005C1D23">
              <w:rPr>
                <w:rFonts w:ascii="Times New Roman" w:hAnsi="Times New Roman"/>
                <w:b/>
                <w:noProof/>
                <w:sz w:val="20"/>
                <w:lang w:val="en-US"/>
              </w:rPr>
              <w:t>Supply of natural gas in total, including:</w:t>
            </w:r>
          </w:p>
        </w:tc>
        <w:tc>
          <w:tcPr>
            <w:tcW w:w="1876" w:type="pct"/>
            <w:gridSpan w:val="2"/>
            <w:tcBorders>
              <w:top w:val="outset" w:sz="6" w:space="0" w:color="414142"/>
              <w:left w:val="outset" w:sz="6" w:space="0" w:color="414142"/>
              <w:bottom w:val="outset" w:sz="6" w:space="0" w:color="414142"/>
              <w:right w:val="outset" w:sz="6" w:space="0" w:color="414142"/>
            </w:tcBorders>
            <w:shd w:val="clear" w:color="auto" w:fill="C0C0C0"/>
          </w:tcPr>
          <w:p w14:paraId="1D0DC6A1"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3489DFDD"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shd w:val="clear" w:color="auto" w:fill="C0C0C0"/>
          </w:tcPr>
          <w:p w14:paraId="285DDEC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04FF521A"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12ECFE55"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3.1.</w:t>
            </w:r>
          </w:p>
        </w:tc>
        <w:tc>
          <w:tcPr>
            <w:tcW w:w="1323" w:type="pct"/>
            <w:tcBorders>
              <w:top w:val="outset" w:sz="6" w:space="0" w:color="414142"/>
              <w:left w:val="outset" w:sz="6" w:space="0" w:color="414142"/>
              <w:bottom w:val="outset" w:sz="6" w:space="0" w:color="414142"/>
              <w:right w:val="outset" w:sz="6" w:space="0" w:color="414142"/>
            </w:tcBorders>
            <w:hideMark/>
          </w:tcPr>
          <w:p w14:paraId="28E5B695"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the transmission of natural gas through pipelines</w:t>
            </w:r>
          </w:p>
        </w:tc>
        <w:tc>
          <w:tcPr>
            <w:tcW w:w="1876" w:type="pct"/>
            <w:gridSpan w:val="2"/>
            <w:tcBorders>
              <w:top w:val="outset" w:sz="6" w:space="0" w:color="414142"/>
              <w:left w:val="outset" w:sz="6" w:space="0" w:color="414142"/>
              <w:bottom w:val="outset" w:sz="6" w:space="0" w:color="414142"/>
              <w:right w:val="outset" w:sz="6" w:space="0" w:color="414142"/>
            </w:tcBorders>
          </w:tcPr>
          <w:p w14:paraId="0F9A3259"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298A26FF"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3406D3FD"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794D4E64"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51FD63F8"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3.2.</w:t>
            </w:r>
          </w:p>
        </w:tc>
        <w:tc>
          <w:tcPr>
            <w:tcW w:w="1323" w:type="pct"/>
            <w:tcBorders>
              <w:top w:val="outset" w:sz="6" w:space="0" w:color="414142"/>
              <w:left w:val="outset" w:sz="6" w:space="0" w:color="414142"/>
              <w:bottom w:val="outset" w:sz="6" w:space="0" w:color="414142"/>
              <w:right w:val="outset" w:sz="6" w:space="0" w:color="414142"/>
            </w:tcBorders>
            <w:hideMark/>
          </w:tcPr>
          <w:p w14:paraId="00F1079A"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the storage of natural gas intended for trade in containers or storage sites</w:t>
            </w:r>
          </w:p>
        </w:tc>
        <w:tc>
          <w:tcPr>
            <w:tcW w:w="1876" w:type="pct"/>
            <w:gridSpan w:val="2"/>
            <w:tcBorders>
              <w:top w:val="outset" w:sz="6" w:space="0" w:color="414142"/>
              <w:left w:val="outset" w:sz="6" w:space="0" w:color="414142"/>
              <w:bottom w:val="outset" w:sz="6" w:space="0" w:color="414142"/>
              <w:right w:val="outset" w:sz="6" w:space="0" w:color="414142"/>
            </w:tcBorders>
          </w:tcPr>
          <w:p w14:paraId="39BD3EA4"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2C18ED0D"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534AD800"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11D72F24"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25C53CBA"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3.3.</w:t>
            </w:r>
          </w:p>
        </w:tc>
        <w:tc>
          <w:tcPr>
            <w:tcW w:w="1323" w:type="pct"/>
            <w:tcBorders>
              <w:top w:val="outset" w:sz="6" w:space="0" w:color="414142"/>
              <w:left w:val="outset" w:sz="6" w:space="0" w:color="414142"/>
              <w:bottom w:val="outset" w:sz="6" w:space="0" w:color="414142"/>
              <w:right w:val="outset" w:sz="6" w:space="0" w:color="414142"/>
            </w:tcBorders>
            <w:hideMark/>
          </w:tcPr>
          <w:p w14:paraId="1AB782B7"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the distribution of natural gas</w:t>
            </w:r>
          </w:p>
        </w:tc>
        <w:tc>
          <w:tcPr>
            <w:tcW w:w="1876" w:type="pct"/>
            <w:gridSpan w:val="2"/>
            <w:tcBorders>
              <w:top w:val="outset" w:sz="6" w:space="0" w:color="414142"/>
              <w:left w:val="outset" w:sz="6" w:space="0" w:color="414142"/>
              <w:bottom w:val="outset" w:sz="6" w:space="0" w:color="414142"/>
              <w:right w:val="outset" w:sz="6" w:space="0" w:color="414142"/>
            </w:tcBorders>
          </w:tcPr>
          <w:p w14:paraId="0D1E637A"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61DAED40"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26CC975A"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47AB29AF"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07382A95"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3.4.</w:t>
            </w:r>
          </w:p>
        </w:tc>
        <w:tc>
          <w:tcPr>
            <w:tcW w:w="1323" w:type="pct"/>
            <w:tcBorders>
              <w:top w:val="outset" w:sz="6" w:space="0" w:color="414142"/>
              <w:left w:val="outset" w:sz="6" w:space="0" w:color="414142"/>
              <w:bottom w:val="outset" w:sz="6" w:space="0" w:color="414142"/>
              <w:right w:val="outset" w:sz="6" w:space="0" w:color="414142"/>
            </w:tcBorders>
            <w:hideMark/>
          </w:tcPr>
          <w:p w14:paraId="10C659F1"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the trade of natural gas to any energy users, except the trade of natural gas in gas filling compression stations for vehicles</w:t>
            </w:r>
          </w:p>
        </w:tc>
        <w:tc>
          <w:tcPr>
            <w:tcW w:w="1876" w:type="pct"/>
            <w:gridSpan w:val="2"/>
            <w:tcBorders>
              <w:top w:val="outset" w:sz="6" w:space="0" w:color="414142"/>
              <w:left w:val="outset" w:sz="6" w:space="0" w:color="414142"/>
              <w:bottom w:val="outset" w:sz="6" w:space="0" w:color="414142"/>
              <w:right w:val="outset" w:sz="6" w:space="0" w:color="414142"/>
            </w:tcBorders>
          </w:tcPr>
          <w:p w14:paraId="247534CA"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3F76F2BD"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514B0FD4"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35271B67"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0C6AE71C"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3.5.</w:t>
            </w:r>
          </w:p>
        </w:tc>
        <w:tc>
          <w:tcPr>
            <w:tcW w:w="1323" w:type="pct"/>
            <w:tcBorders>
              <w:top w:val="outset" w:sz="6" w:space="0" w:color="414142"/>
              <w:left w:val="outset" w:sz="6" w:space="0" w:color="414142"/>
              <w:bottom w:val="outset" w:sz="6" w:space="0" w:color="414142"/>
              <w:right w:val="outset" w:sz="6" w:space="0" w:color="414142"/>
            </w:tcBorders>
            <w:hideMark/>
          </w:tcPr>
          <w:p w14:paraId="7C30CA0D"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in the distillation of natural gas or the receipt, unloading, storage and conversion of liquefied natural gas to a gaseous state for subsequent supply to the natural gas transmission system</w:t>
            </w:r>
          </w:p>
        </w:tc>
        <w:tc>
          <w:tcPr>
            <w:tcW w:w="1876" w:type="pct"/>
            <w:gridSpan w:val="2"/>
            <w:tcBorders>
              <w:top w:val="outset" w:sz="6" w:space="0" w:color="414142"/>
              <w:left w:val="outset" w:sz="6" w:space="0" w:color="414142"/>
              <w:bottom w:val="outset" w:sz="6" w:space="0" w:color="414142"/>
              <w:right w:val="outset" w:sz="6" w:space="0" w:color="414142"/>
            </w:tcBorders>
          </w:tcPr>
          <w:p w14:paraId="76C44D5B"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63D886FB"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04BF2CD2"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316950E7"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38531137"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w:t>
            </w:r>
          </w:p>
        </w:tc>
        <w:tc>
          <w:tcPr>
            <w:tcW w:w="1323" w:type="pct"/>
            <w:tcBorders>
              <w:top w:val="outset" w:sz="6" w:space="0" w:color="414142"/>
              <w:left w:val="outset" w:sz="6" w:space="0" w:color="414142"/>
              <w:bottom w:val="outset" w:sz="6" w:space="0" w:color="414142"/>
              <w:right w:val="outset" w:sz="6" w:space="0" w:color="414142"/>
            </w:tcBorders>
            <w:shd w:val="clear" w:color="auto" w:fill="C0C0C0"/>
            <w:hideMark/>
          </w:tcPr>
          <w:p w14:paraId="65C839CE" w14:textId="77777777" w:rsidR="005C1D23" w:rsidRPr="005C1D23" w:rsidRDefault="005C1D23" w:rsidP="00126864">
            <w:pPr>
              <w:spacing w:after="0" w:line="240" w:lineRule="auto"/>
              <w:jc w:val="both"/>
              <w:rPr>
                <w:rFonts w:ascii="Times New Roman" w:hAnsi="Times New Roman"/>
                <w:b/>
                <w:noProof/>
                <w:sz w:val="20"/>
                <w:lang w:val="en-US"/>
              </w:rPr>
            </w:pPr>
            <w:r w:rsidRPr="005C1D23">
              <w:rPr>
                <w:rFonts w:ascii="Times New Roman" w:hAnsi="Times New Roman"/>
                <w:b/>
                <w:noProof/>
                <w:sz w:val="20"/>
                <w:lang w:val="en-US"/>
              </w:rPr>
              <w:t>In the electronic communications sector in total, including:</w:t>
            </w:r>
          </w:p>
        </w:tc>
        <w:tc>
          <w:tcPr>
            <w:tcW w:w="1876" w:type="pct"/>
            <w:gridSpan w:val="2"/>
            <w:tcBorders>
              <w:top w:val="outset" w:sz="6" w:space="0" w:color="414142"/>
              <w:left w:val="outset" w:sz="6" w:space="0" w:color="414142"/>
              <w:bottom w:val="outset" w:sz="6" w:space="0" w:color="414142"/>
              <w:right w:val="outset" w:sz="6" w:space="0" w:color="414142"/>
            </w:tcBorders>
            <w:shd w:val="clear" w:color="auto" w:fill="C0C0C0"/>
          </w:tcPr>
          <w:p w14:paraId="4D5E70F9"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3B20D1D4"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shd w:val="clear" w:color="auto" w:fill="C0C0C0"/>
          </w:tcPr>
          <w:p w14:paraId="751E95E4"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2D4EBF11"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3051782C"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4.1.</w:t>
            </w:r>
          </w:p>
        </w:tc>
        <w:tc>
          <w:tcPr>
            <w:tcW w:w="1323" w:type="pct"/>
            <w:tcBorders>
              <w:top w:val="outset" w:sz="6" w:space="0" w:color="414142"/>
              <w:left w:val="outset" w:sz="6" w:space="0" w:color="414142"/>
              <w:bottom w:val="outset" w:sz="6" w:space="0" w:color="414142"/>
              <w:right w:val="outset" w:sz="6" w:space="0" w:color="414142"/>
            </w:tcBorders>
            <w:hideMark/>
          </w:tcPr>
          <w:p w14:paraId="407C0A0C" w14:textId="77777777" w:rsidR="005C1D23" w:rsidRPr="005C1D23" w:rsidRDefault="005C1D23" w:rsidP="00126864">
            <w:pPr>
              <w:spacing w:after="0" w:line="240" w:lineRule="auto"/>
              <w:rPr>
                <w:rFonts w:ascii="Times New Roman" w:hAnsi="Times New Roman"/>
                <w:noProof/>
                <w:sz w:val="20"/>
                <w:lang w:val="en-US"/>
              </w:rPr>
            </w:pPr>
            <w:r w:rsidRPr="005C1D23">
              <w:rPr>
                <w:rFonts w:ascii="Times New Roman" w:hAnsi="Times New Roman"/>
                <w:noProof/>
                <w:sz w:val="20"/>
                <w:lang w:val="en-US"/>
              </w:rPr>
              <w:t>voice communication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719A54EF"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48B94837"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07143555"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1AFF1BC1"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4104CA10"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4.2.</w:t>
            </w:r>
          </w:p>
        </w:tc>
        <w:tc>
          <w:tcPr>
            <w:tcW w:w="1323" w:type="pct"/>
            <w:tcBorders>
              <w:top w:val="outset" w:sz="6" w:space="0" w:color="414142"/>
              <w:left w:val="outset" w:sz="6" w:space="0" w:color="414142"/>
              <w:bottom w:val="outset" w:sz="6" w:space="0" w:color="414142"/>
              <w:right w:val="outset" w:sz="6" w:space="0" w:color="414142"/>
            </w:tcBorders>
            <w:hideMark/>
          </w:tcPr>
          <w:p w14:paraId="6FC8AE50"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short message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00D41F7D"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64C8AB97"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016BAE01"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43FB97D7"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47D88837"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4.3.</w:t>
            </w:r>
          </w:p>
        </w:tc>
        <w:tc>
          <w:tcPr>
            <w:tcW w:w="1323" w:type="pct"/>
            <w:tcBorders>
              <w:top w:val="outset" w:sz="6" w:space="0" w:color="414142"/>
              <w:left w:val="outset" w:sz="6" w:space="0" w:color="414142"/>
              <w:bottom w:val="outset" w:sz="6" w:space="0" w:color="414142"/>
              <w:right w:val="outset" w:sz="6" w:space="0" w:color="414142"/>
            </w:tcBorders>
            <w:hideMark/>
          </w:tcPr>
          <w:p w14:paraId="58EE87CC"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Internet access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51DC8F26"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156C902E"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00E3F35B"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1DCFD03C"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25FCEC46"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4.4.</w:t>
            </w:r>
          </w:p>
        </w:tc>
        <w:tc>
          <w:tcPr>
            <w:tcW w:w="1323" w:type="pct"/>
            <w:tcBorders>
              <w:top w:val="outset" w:sz="6" w:space="0" w:color="414142"/>
              <w:left w:val="outset" w:sz="6" w:space="0" w:color="414142"/>
              <w:bottom w:val="outset" w:sz="6" w:space="0" w:color="414142"/>
              <w:right w:val="outset" w:sz="6" w:space="0" w:color="414142"/>
            </w:tcBorders>
            <w:hideMark/>
          </w:tcPr>
          <w:p w14:paraId="7300FE36"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 data transmission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08255415"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1B1763DA"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6B5E5AD7"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2ABD2731"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48745774"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4.5.</w:t>
            </w:r>
          </w:p>
        </w:tc>
        <w:tc>
          <w:tcPr>
            <w:tcW w:w="1323" w:type="pct"/>
            <w:tcBorders>
              <w:top w:val="outset" w:sz="6" w:space="0" w:color="414142"/>
              <w:left w:val="outset" w:sz="6" w:space="0" w:color="414142"/>
              <w:bottom w:val="outset" w:sz="6" w:space="0" w:color="414142"/>
              <w:right w:val="outset" w:sz="6" w:space="0" w:color="414142"/>
            </w:tcBorders>
            <w:hideMark/>
          </w:tcPr>
          <w:p w14:paraId="324BC5D2"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radio programmes distribution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1FF0EA79"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785FEDFC"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1339C812"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76FFBA7A"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359555AC"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4.6.</w:t>
            </w:r>
          </w:p>
        </w:tc>
        <w:tc>
          <w:tcPr>
            <w:tcW w:w="1323" w:type="pct"/>
            <w:tcBorders>
              <w:top w:val="outset" w:sz="6" w:space="0" w:color="414142"/>
              <w:left w:val="outset" w:sz="6" w:space="0" w:color="414142"/>
              <w:bottom w:val="outset" w:sz="6" w:space="0" w:color="414142"/>
              <w:right w:val="outset" w:sz="6" w:space="0" w:color="414142"/>
            </w:tcBorders>
            <w:hideMark/>
          </w:tcPr>
          <w:p w14:paraId="3D047D47"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television programmes distribution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7046E5C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6AEB07F2"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559CAF59"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5717745D"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4BA1CFA8"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4.7.</w:t>
            </w:r>
          </w:p>
        </w:tc>
        <w:tc>
          <w:tcPr>
            <w:tcW w:w="1323" w:type="pct"/>
            <w:tcBorders>
              <w:top w:val="outset" w:sz="6" w:space="0" w:color="414142"/>
              <w:left w:val="outset" w:sz="6" w:space="0" w:color="414142"/>
              <w:bottom w:val="outset" w:sz="6" w:space="0" w:color="414142"/>
              <w:right w:val="outset" w:sz="6" w:space="0" w:color="414142"/>
            </w:tcBorders>
            <w:hideMark/>
          </w:tcPr>
          <w:p w14:paraId="19A84B42"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access</w:t>
            </w:r>
          </w:p>
        </w:tc>
        <w:tc>
          <w:tcPr>
            <w:tcW w:w="1876" w:type="pct"/>
            <w:gridSpan w:val="2"/>
            <w:tcBorders>
              <w:top w:val="outset" w:sz="6" w:space="0" w:color="414142"/>
              <w:left w:val="outset" w:sz="6" w:space="0" w:color="414142"/>
              <w:bottom w:val="outset" w:sz="6" w:space="0" w:color="414142"/>
              <w:right w:val="outset" w:sz="6" w:space="0" w:color="414142"/>
            </w:tcBorders>
          </w:tcPr>
          <w:p w14:paraId="685BD3A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25D49699"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67A243FF"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5D825DBA"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39D7EEC0"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4.8.</w:t>
            </w:r>
          </w:p>
        </w:tc>
        <w:tc>
          <w:tcPr>
            <w:tcW w:w="1323" w:type="pct"/>
            <w:tcBorders>
              <w:top w:val="outset" w:sz="6" w:space="0" w:color="414142"/>
              <w:left w:val="outset" w:sz="6" w:space="0" w:color="414142"/>
              <w:bottom w:val="outset" w:sz="6" w:space="0" w:color="414142"/>
              <w:right w:val="outset" w:sz="6" w:space="0" w:color="414142"/>
            </w:tcBorders>
            <w:hideMark/>
          </w:tcPr>
          <w:p w14:paraId="2BEF02DC"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interconnection</w:t>
            </w:r>
          </w:p>
        </w:tc>
        <w:tc>
          <w:tcPr>
            <w:tcW w:w="1876" w:type="pct"/>
            <w:gridSpan w:val="2"/>
            <w:tcBorders>
              <w:top w:val="outset" w:sz="6" w:space="0" w:color="414142"/>
              <w:left w:val="outset" w:sz="6" w:space="0" w:color="414142"/>
              <w:bottom w:val="outset" w:sz="6" w:space="0" w:color="414142"/>
              <w:right w:val="outset" w:sz="6" w:space="0" w:color="414142"/>
            </w:tcBorders>
          </w:tcPr>
          <w:p w14:paraId="0B4D73DD"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356292C5"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21A54CDC"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5100DF70"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6D527F2F"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4.9.</w:t>
            </w:r>
          </w:p>
        </w:tc>
        <w:tc>
          <w:tcPr>
            <w:tcW w:w="1323" w:type="pct"/>
            <w:tcBorders>
              <w:top w:val="outset" w:sz="6" w:space="0" w:color="414142"/>
              <w:left w:val="outset" w:sz="6" w:space="0" w:color="414142"/>
              <w:bottom w:val="outset" w:sz="6" w:space="0" w:color="414142"/>
              <w:right w:val="outset" w:sz="6" w:space="0" w:color="414142"/>
            </w:tcBorders>
            <w:hideMark/>
          </w:tcPr>
          <w:p w14:paraId="10E62D61"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leased line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6967AD17"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496836CD"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3E0B4272"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3FDBB540"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2988A53A"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5.</w:t>
            </w:r>
          </w:p>
        </w:tc>
        <w:tc>
          <w:tcPr>
            <w:tcW w:w="1323" w:type="pct"/>
            <w:tcBorders>
              <w:top w:val="outset" w:sz="6" w:space="0" w:color="414142"/>
              <w:left w:val="outset" w:sz="6" w:space="0" w:color="414142"/>
              <w:bottom w:val="outset" w:sz="6" w:space="0" w:color="414142"/>
              <w:right w:val="outset" w:sz="6" w:space="0" w:color="414142"/>
            </w:tcBorders>
            <w:shd w:val="clear" w:color="auto" w:fill="C0C0C0"/>
            <w:hideMark/>
          </w:tcPr>
          <w:p w14:paraId="7A377E3B" w14:textId="77777777" w:rsidR="005C1D23" w:rsidRPr="005C1D23" w:rsidRDefault="005C1D23" w:rsidP="00126864">
            <w:pPr>
              <w:spacing w:after="0" w:line="240" w:lineRule="auto"/>
              <w:jc w:val="both"/>
              <w:rPr>
                <w:rFonts w:ascii="Times New Roman" w:hAnsi="Times New Roman"/>
                <w:b/>
                <w:noProof/>
                <w:sz w:val="20"/>
                <w:lang w:val="en-US"/>
              </w:rPr>
            </w:pPr>
            <w:r w:rsidRPr="005C1D23">
              <w:rPr>
                <w:rFonts w:ascii="Times New Roman" w:hAnsi="Times New Roman"/>
                <w:b/>
                <w:noProof/>
                <w:sz w:val="20"/>
                <w:lang w:val="en-US"/>
              </w:rPr>
              <w:t>In the postal sector in total, including:</w:t>
            </w:r>
          </w:p>
        </w:tc>
        <w:tc>
          <w:tcPr>
            <w:tcW w:w="1876" w:type="pct"/>
            <w:gridSpan w:val="2"/>
            <w:tcBorders>
              <w:top w:val="outset" w:sz="6" w:space="0" w:color="414142"/>
              <w:left w:val="outset" w:sz="6" w:space="0" w:color="414142"/>
              <w:bottom w:val="outset" w:sz="6" w:space="0" w:color="414142"/>
              <w:right w:val="outset" w:sz="6" w:space="0" w:color="414142"/>
            </w:tcBorders>
            <w:shd w:val="clear" w:color="auto" w:fill="C0C0C0"/>
          </w:tcPr>
          <w:p w14:paraId="3DF2874F"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1C3DAE81"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shd w:val="clear" w:color="auto" w:fill="C0C0C0"/>
          </w:tcPr>
          <w:p w14:paraId="055C4550"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243C4599"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6AC53203"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5.1.</w:t>
            </w:r>
          </w:p>
        </w:tc>
        <w:tc>
          <w:tcPr>
            <w:tcW w:w="1323" w:type="pct"/>
            <w:tcBorders>
              <w:top w:val="outset" w:sz="6" w:space="0" w:color="414142"/>
              <w:left w:val="outset" w:sz="6" w:space="0" w:color="414142"/>
              <w:bottom w:val="outset" w:sz="6" w:space="0" w:color="414142"/>
              <w:right w:val="outset" w:sz="6" w:space="0" w:color="414142"/>
            </w:tcBorders>
            <w:hideMark/>
          </w:tcPr>
          <w:p w14:paraId="2A1C8E29"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traditional postal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2486721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54D4BDB7"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007F0700"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3A588BE0"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3746B3B5"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5.2.</w:t>
            </w:r>
          </w:p>
        </w:tc>
        <w:tc>
          <w:tcPr>
            <w:tcW w:w="1323" w:type="pct"/>
            <w:tcBorders>
              <w:top w:val="outset" w:sz="6" w:space="0" w:color="414142"/>
              <w:left w:val="outset" w:sz="6" w:space="0" w:color="414142"/>
              <w:bottom w:val="outset" w:sz="6" w:space="0" w:color="414142"/>
              <w:right w:val="outset" w:sz="6" w:space="0" w:color="414142"/>
            </w:tcBorders>
            <w:hideMark/>
          </w:tcPr>
          <w:p w14:paraId="2E6903C7"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courier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0DC2C35C"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03CD60A4"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79011A3D"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129C1518"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71FAD1A3"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5.3.</w:t>
            </w:r>
          </w:p>
        </w:tc>
        <w:tc>
          <w:tcPr>
            <w:tcW w:w="1323" w:type="pct"/>
            <w:tcBorders>
              <w:top w:val="outset" w:sz="6" w:space="0" w:color="414142"/>
              <w:left w:val="outset" w:sz="6" w:space="0" w:color="414142"/>
              <w:bottom w:val="outset" w:sz="6" w:space="0" w:color="414142"/>
              <w:right w:val="outset" w:sz="6" w:space="0" w:color="414142"/>
            </w:tcBorders>
            <w:hideMark/>
          </w:tcPr>
          <w:p w14:paraId="3E493C12"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express mail services</w:t>
            </w:r>
          </w:p>
        </w:tc>
        <w:tc>
          <w:tcPr>
            <w:tcW w:w="1876" w:type="pct"/>
            <w:gridSpan w:val="2"/>
            <w:tcBorders>
              <w:top w:val="outset" w:sz="6" w:space="0" w:color="414142"/>
              <w:left w:val="outset" w:sz="6" w:space="0" w:color="414142"/>
              <w:bottom w:val="outset" w:sz="6" w:space="0" w:color="414142"/>
              <w:right w:val="outset" w:sz="6" w:space="0" w:color="414142"/>
            </w:tcBorders>
          </w:tcPr>
          <w:p w14:paraId="1A926113"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7CA2C3E8"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0B42895B"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74A57B57"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08E1F391"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5.4.</w:t>
            </w:r>
          </w:p>
        </w:tc>
        <w:tc>
          <w:tcPr>
            <w:tcW w:w="1323" w:type="pct"/>
            <w:tcBorders>
              <w:top w:val="outset" w:sz="6" w:space="0" w:color="414142"/>
              <w:left w:val="outset" w:sz="6" w:space="0" w:color="414142"/>
              <w:bottom w:val="outset" w:sz="6" w:space="0" w:color="414142"/>
              <w:right w:val="outset" w:sz="6" w:space="0" w:color="414142"/>
            </w:tcBorders>
            <w:hideMark/>
          </w:tcPr>
          <w:p w14:paraId="5F49BDD7"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deliveries of subscribed press publications and services related thereto</w:t>
            </w:r>
          </w:p>
        </w:tc>
        <w:tc>
          <w:tcPr>
            <w:tcW w:w="1876" w:type="pct"/>
            <w:gridSpan w:val="2"/>
            <w:tcBorders>
              <w:top w:val="outset" w:sz="6" w:space="0" w:color="414142"/>
              <w:left w:val="outset" w:sz="6" w:space="0" w:color="414142"/>
              <w:bottom w:val="outset" w:sz="6" w:space="0" w:color="414142"/>
              <w:right w:val="outset" w:sz="6" w:space="0" w:color="414142"/>
            </w:tcBorders>
          </w:tcPr>
          <w:p w14:paraId="2B04DBD7"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74728ECF"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69DD94E1"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2980A049"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0B799F43"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6.</w:t>
            </w:r>
          </w:p>
        </w:tc>
        <w:tc>
          <w:tcPr>
            <w:tcW w:w="1323" w:type="pct"/>
            <w:tcBorders>
              <w:top w:val="outset" w:sz="6" w:space="0" w:color="414142"/>
              <w:left w:val="outset" w:sz="6" w:space="0" w:color="414142"/>
              <w:bottom w:val="outset" w:sz="6" w:space="0" w:color="414142"/>
              <w:right w:val="outset" w:sz="6" w:space="0" w:color="414142"/>
            </w:tcBorders>
            <w:shd w:val="clear" w:color="auto" w:fill="C0C0C0"/>
            <w:hideMark/>
          </w:tcPr>
          <w:p w14:paraId="53DF7B1F" w14:textId="77777777" w:rsidR="005C1D23" w:rsidRPr="005C1D23" w:rsidRDefault="005C1D23" w:rsidP="00126864">
            <w:pPr>
              <w:spacing w:after="0" w:line="240" w:lineRule="auto"/>
              <w:jc w:val="both"/>
              <w:rPr>
                <w:rFonts w:ascii="Times New Roman" w:hAnsi="Times New Roman"/>
                <w:b/>
                <w:noProof/>
                <w:sz w:val="20"/>
                <w:lang w:val="en-US"/>
              </w:rPr>
            </w:pPr>
            <w:r w:rsidRPr="005C1D23">
              <w:rPr>
                <w:rFonts w:ascii="Times New Roman" w:hAnsi="Times New Roman"/>
                <w:b/>
                <w:noProof/>
                <w:sz w:val="20"/>
                <w:lang w:val="en-US"/>
              </w:rPr>
              <w:t>In the sector of water management in total, including:</w:t>
            </w:r>
          </w:p>
        </w:tc>
        <w:tc>
          <w:tcPr>
            <w:tcW w:w="1876" w:type="pct"/>
            <w:gridSpan w:val="2"/>
            <w:tcBorders>
              <w:top w:val="outset" w:sz="6" w:space="0" w:color="414142"/>
              <w:left w:val="outset" w:sz="6" w:space="0" w:color="414142"/>
              <w:bottom w:val="outset" w:sz="6" w:space="0" w:color="414142"/>
              <w:right w:val="outset" w:sz="6" w:space="0" w:color="414142"/>
            </w:tcBorders>
            <w:shd w:val="clear" w:color="auto" w:fill="C0C0C0"/>
          </w:tcPr>
          <w:p w14:paraId="3F832D6D"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26728E48"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shd w:val="clear" w:color="auto" w:fill="C0C0C0"/>
          </w:tcPr>
          <w:p w14:paraId="13C93846"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2A6F1718"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4691D59A"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6.1.</w:t>
            </w:r>
          </w:p>
        </w:tc>
        <w:tc>
          <w:tcPr>
            <w:tcW w:w="1323" w:type="pct"/>
            <w:tcBorders>
              <w:top w:val="outset" w:sz="6" w:space="0" w:color="414142"/>
              <w:left w:val="outset" w:sz="6" w:space="0" w:color="414142"/>
              <w:bottom w:val="outset" w:sz="6" w:space="0" w:color="414142"/>
              <w:right w:val="outset" w:sz="6" w:space="0" w:color="414142"/>
            </w:tcBorders>
            <w:hideMark/>
          </w:tcPr>
          <w:p w14:paraId="63BC60EA"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the abstraction, accumulation and preparation of water for use up to the delivery to the centralised water supply network</w:t>
            </w:r>
          </w:p>
        </w:tc>
        <w:tc>
          <w:tcPr>
            <w:tcW w:w="1876" w:type="pct"/>
            <w:gridSpan w:val="2"/>
            <w:tcBorders>
              <w:top w:val="outset" w:sz="6" w:space="0" w:color="414142"/>
              <w:left w:val="outset" w:sz="6" w:space="0" w:color="414142"/>
              <w:bottom w:val="outset" w:sz="6" w:space="0" w:color="414142"/>
              <w:right w:val="outset" w:sz="6" w:space="0" w:color="414142"/>
            </w:tcBorders>
          </w:tcPr>
          <w:p w14:paraId="4CDEE765"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1E5FE73C"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60369E98"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46FB8633"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02D5C073"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6.2.</w:t>
            </w:r>
          </w:p>
        </w:tc>
        <w:tc>
          <w:tcPr>
            <w:tcW w:w="1323" w:type="pct"/>
            <w:tcBorders>
              <w:top w:val="outset" w:sz="6" w:space="0" w:color="414142"/>
              <w:left w:val="outset" w:sz="6" w:space="0" w:color="414142"/>
              <w:bottom w:val="outset" w:sz="6" w:space="0" w:color="414142"/>
              <w:right w:val="outset" w:sz="6" w:space="0" w:color="414142"/>
            </w:tcBorders>
            <w:hideMark/>
          </w:tcPr>
          <w:p w14:paraId="5D44AF40"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supply of water from the supply point in the centralised water supply network up to the proprietary border</w:t>
            </w:r>
          </w:p>
        </w:tc>
        <w:tc>
          <w:tcPr>
            <w:tcW w:w="1876" w:type="pct"/>
            <w:gridSpan w:val="2"/>
            <w:tcBorders>
              <w:top w:val="outset" w:sz="6" w:space="0" w:color="414142"/>
              <w:left w:val="outset" w:sz="6" w:space="0" w:color="414142"/>
              <w:bottom w:val="outset" w:sz="6" w:space="0" w:color="414142"/>
              <w:right w:val="outset" w:sz="6" w:space="0" w:color="414142"/>
            </w:tcBorders>
          </w:tcPr>
          <w:p w14:paraId="2F04224A"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4CA43AE9"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5374E82A"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0D297382"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3A581E6E"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6.3.</w:t>
            </w:r>
          </w:p>
        </w:tc>
        <w:tc>
          <w:tcPr>
            <w:tcW w:w="1323" w:type="pct"/>
            <w:tcBorders>
              <w:top w:val="outset" w:sz="6" w:space="0" w:color="414142"/>
              <w:left w:val="outset" w:sz="6" w:space="0" w:color="414142"/>
              <w:bottom w:val="outset" w:sz="6" w:space="0" w:color="414142"/>
              <w:right w:val="outset" w:sz="6" w:space="0" w:color="414142"/>
            </w:tcBorders>
            <w:hideMark/>
          </w:tcPr>
          <w:p w14:paraId="61943BE0"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wastewater collection in the centralised sewerage systems and drainage up to wastewater treatment facilities</w:t>
            </w:r>
          </w:p>
        </w:tc>
        <w:tc>
          <w:tcPr>
            <w:tcW w:w="1876" w:type="pct"/>
            <w:gridSpan w:val="2"/>
            <w:tcBorders>
              <w:top w:val="outset" w:sz="6" w:space="0" w:color="414142"/>
              <w:left w:val="outset" w:sz="6" w:space="0" w:color="414142"/>
              <w:bottom w:val="outset" w:sz="6" w:space="0" w:color="414142"/>
              <w:right w:val="outset" w:sz="6" w:space="0" w:color="414142"/>
            </w:tcBorders>
          </w:tcPr>
          <w:p w14:paraId="0EC9D905"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709743B8"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760DDEC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7CE02EDF"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vAlign w:val="center"/>
            <w:hideMark/>
          </w:tcPr>
          <w:p w14:paraId="0A4100A5"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6.4.</w:t>
            </w:r>
          </w:p>
        </w:tc>
        <w:tc>
          <w:tcPr>
            <w:tcW w:w="1323" w:type="pct"/>
            <w:tcBorders>
              <w:top w:val="outset" w:sz="6" w:space="0" w:color="414142"/>
              <w:left w:val="outset" w:sz="6" w:space="0" w:color="414142"/>
              <w:bottom w:val="outset" w:sz="6" w:space="0" w:color="414142"/>
              <w:right w:val="outset" w:sz="6" w:space="0" w:color="414142"/>
            </w:tcBorders>
            <w:hideMark/>
          </w:tcPr>
          <w:p w14:paraId="7AC2792D"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wastewater treatment and drainage in the environment, including in surface waterbodies</w:t>
            </w:r>
          </w:p>
        </w:tc>
        <w:tc>
          <w:tcPr>
            <w:tcW w:w="1876" w:type="pct"/>
            <w:gridSpan w:val="2"/>
            <w:tcBorders>
              <w:top w:val="outset" w:sz="6" w:space="0" w:color="414142"/>
              <w:left w:val="outset" w:sz="6" w:space="0" w:color="414142"/>
              <w:bottom w:val="outset" w:sz="6" w:space="0" w:color="414142"/>
              <w:right w:val="outset" w:sz="6" w:space="0" w:color="414142"/>
            </w:tcBorders>
          </w:tcPr>
          <w:p w14:paraId="11AFBF3E"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vAlign w:val="center"/>
            <w:hideMark/>
          </w:tcPr>
          <w:p w14:paraId="1E4865CC"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tcPr>
          <w:p w14:paraId="5A760665"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5BA1387C"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3F732D94"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7.</w:t>
            </w:r>
          </w:p>
        </w:tc>
        <w:tc>
          <w:tcPr>
            <w:tcW w:w="1323" w:type="pct"/>
            <w:tcBorders>
              <w:top w:val="outset" w:sz="6" w:space="0" w:color="414142"/>
              <w:left w:val="outset" w:sz="6" w:space="0" w:color="414142"/>
              <w:bottom w:val="outset" w:sz="6" w:space="0" w:color="414142"/>
              <w:right w:val="outset" w:sz="6" w:space="0" w:color="414142"/>
            </w:tcBorders>
            <w:shd w:val="clear" w:color="auto" w:fill="C0C0C0"/>
            <w:hideMark/>
          </w:tcPr>
          <w:p w14:paraId="40A85750" w14:textId="77777777" w:rsidR="005C1D23" w:rsidRPr="005C1D23" w:rsidRDefault="005C1D23" w:rsidP="00126864">
            <w:pPr>
              <w:spacing w:after="0" w:line="240" w:lineRule="auto"/>
              <w:jc w:val="both"/>
              <w:rPr>
                <w:rFonts w:ascii="Times New Roman" w:hAnsi="Times New Roman"/>
                <w:b/>
                <w:noProof/>
                <w:sz w:val="20"/>
                <w:lang w:val="en-US"/>
              </w:rPr>
            </w:pPr>
            <w:r w:rsidRPr="005C1D23">
              <w:rPr>
                <w:rFonts w:ascii="Times New Roman" w:hAnsi="Times New Roman"/>
                <w:b/>
                <w:noProof/>
                <w:sz w:val="20"/>
                <w:lang w:val="en-US"/>
              </w:rPr>
              <w:t>In the sector of municipal waste management in disposal of household waste at landfill sites</w:t>
            </w:r>
          </w:p>
        </w:tc>
        <w:tc>
          <w:tcPr>
            <w:tcW w:w="1876" w:type="pct"/>
            <w:gridSpan w:val="2"/>
            <w:tcBorders>
              <w:top w:val="outset" w:sz="6" w:space="0" w:color="414142"/>
              <w:left w:val="outset" w:sz="6" w:space="0" w:color="414142"/>
              <w:bottom w:val="outset" w:sz="6" w:space="0" w:color="414142"/>
              <w:right w:val="outset" w:sz="6" w:space="0" w:color="414142"/>
            </w:tcBorders>
            <w:shd w:val="clear" w:color="auto" w:fill="C0C0C0"/>
          </w:tcPr>
          <w:p w14:paraId="152A7C05"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19E48B22" w14:textId="77777777" w:rsidR="005C1D23" w:rsidRPr="005C1D23" w:rsidRDefault="005C1D23" w:rsidP="00126864">
            <w:pPr>
              <w:spacing w:after="0" w:line="240" w:lineRule="auto"/>
              <w:jc w:val="center"/>
              <w:rPr>
                <w:rFonts w:ascii="Times New Roman" w:hAnsi="Times New Roman"/>
                <w:noProof/>
                <w:sz w:val="20"/>
                <w:lang w:val="en-US"/>
              </w:rPr>
            </w:pPr>
            <w:r w:rsidRPr="005C1D23">
              <w:rPr>
                <w:rFonts w:ascii="Times New Roman" w:hAnsi="Times New Roman"/>
                <w:noProof/>
                <w:sz w:val="20"/>
                <w:lang w:val="en-US"/>
              </w:rPr>
              <w:t>0.2</w:t>
            </w:r>
          </w:p>
        </w:tc>
        <w:tc>
          <w:tcPr>
            <w:tcW w:w="867" w:type="pct"/>
            <w:gridSpan w:val="2"/>
            <w:tcBorders>
              <w:top w:val="outset" w:sz="6" w:space="0" w:color="414142"/>
              <w:left w:val="outset" w:sz="6" w:space="0" w:color="414142"/>
              <w:bottom w:val="outset" w:sz="6" w:space="0" w:color="414142"/>
              <w:right w:val="outset" w:sz="6" w:space="0" w:color="414142"/>
            </w:tcBorders>
            <w:shd w:val="clear" w:color="auto" w:fill="C0C0C0"/>
          </w:tcPr>
          <w:p w14:paraId="6FBA5D7B"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29F5318F" w14:textId="77777777" w:rsidTr="00126864">
        <w:trPr>
          <w:gridAfter w:val="1"/>
          <w:wAfter w:w="25" w:type="pct"/>
        </w:trPr>
        <w:tc>
          <w:tcPr>
            <w:tcW w:w="230"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5300D02D" w14:textId="77777777" w:rsidR="005C1D23" w:rsidRPr="005C1D23" w:rsidRDefault="005C1D23" w:rsidP="00126864">
            <w:pPr>
              <w:spacing w:after="0" w:line="240" w:lineRule="auto"/>
              <w:jc w:val="both"/>
              <w:rPr>
                <w:rFonts w:ascii="Times New Roman" w:hAnsi="Times New Roman"/>
                <w:noProof/>
                <w:sz w:val="20"/>
                <w:lang w:val="en-US"/>
              </w:rPr>
            </w:pPr>
            <w:r w:rsidRPr="005C1D23">
              <w:rPr>
                <w:rFonts w:ascii="Times New Roman" w:hAnsi="Times New Roman"/>
                <w:noProof/>
                <w:sz w:val="20"/>
                <w:lang w:val="en-US"/>
              </w:rPr>
              <w:t>8.</w:t>
            </w:r>
          </w:p>
        </w:tc>
        <w:tc>
          <w:tcPr>
            <w:tcW w:w="1323" w:type="pct"/>
            <w:tcBorders>
              <w:top w:val="outset" w:sz="6" w:space="0" w:color="414142"/>
              <w:left w:val="outset" w:sz="6" w:space="0" w:color="414142"/>
              <w:bottom w:val="outset" w:sz="6" w:space="0" w:color="414142"/>
              <w:right w:val="outset" w:sz="6" w:space="0" w:color="414142"/>
            </w:tcBorders>
            <w:shd w:val="clear" w:color="auto" w:fill="C0C0C0"/>
            <w:hideMark/>
          </w:tcPr>
          <w:p w14:paraId="613F3419" w14:textId="77777777" w:rsidR="005C1D23" w:rsidRPr="005C1D23" w:rsidRDefault="005C1D23" w:rsidP="00126864">
            <w:pPr>
              <w:spacing w:after="0" w:line="240" w:lineRule="auto"/>
              <w:jc w:val="both"/>
              <w:rPr>
                <w:rFonts w:ascii="Times New Roman" w:hAnsi="Times New Roman"/>
                <w:b/>
                <w:noProof/>
                <w:sz w:val="20"/>
                <w:lang w:val="en-US"/>
              </w:rPr>
            </w:pPr>
            <w:r w:rsidRPr="005C1D23">
              <w:rPr>
                <w:rFonts w:ascii="Times New Roman" w:hAnsi="Times New Roman"/>
                <w:b/>
                <w:noProof/>
                <w:sz w:val="20"/>
                <w:lang w:val="en-US"/>
              </w:rPr>
              <w:t>Total net turnover of public utilities provided by the Merchant in the respective calendar year /total calculated State fee for the regulation of public utilities (1 +2 +3 +4 +5 +6 +7 but not less than EUR 200)</w:t>
            </w:r>
          </w:p>
        </w:tc>
        <w:tc>
          <w:tcPr>
            <w:tcW w:w="1876" w:type="pct"/>
            <w:gridSpan w:val="2"/>
            <w:tcBorders>
              <w:top w:val="outset" w:sz="6" w:space="0" w:color="414142"/>
              <w:left w:val="outset" w:sz="6" w:space="0" w:color="414142"/>
              <w:bottom w:val="outset" w:sz="6" w:space="0" w:color="414142"/>
              <w:right w:val="outset" w:sz="6" w:space="0" w:color="414142"/>
            </w:tcBorders>
            <w:shd w:val="clear" w:color="auto" w:fill="C0C0C0"/>
          </w:tcPr>
          <w:p w14:paraId="50BE968C"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outset" w:sz="6" w:space="0" w:color="414142"/>
              <w:right w:val="outset" w:sz="6" w:space="0" w:color="414142"/>
            </w:tcBorders>
            <w:shd w:val="clear" w:color="auto" w:fill="000000"/>
          </w:tcPr>
          <w:p w14:paraId="3AA24F2D"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c>
          <w:tcPr>
            <w:tcW w:w="867" w:type="pct"/>
            <w:gridSpan w:val="2"/>
            <w:tcBorders>
              <w:top w:val="outset" w:sz="6" w:space="0" w:color="414142"/>
              <w:left w:val="outset" w:sz="6" w:space="0" w:color="414142"/>
              <w:bottom w:val="outset" w:sz="6" w:space="0" w:color="414142"/>
              <w:right w:val="outset" w:sz="6" w:space="0" w:color="414142"/>
            </w:tcBorders>
            <w:shd w:val="clear" w:color="auto" w:fill="C0C0C0"/>
          </w:tcPr>
          <w:p w14:paraId="7FC454C6" w14:textId="77777777" w:rsidR="005C1D23" w:rsidRPr="005C1D23" w:rsidRDefault="005C1D23" w:rsidP="00126864">
            <w:pPr>
              <w:spacing w:after="0" w:line="240" w:lineRule="auto"/>
              <w:jc w:val="both"/>
              <w:rPr>
                <w:rFonts w:ascii="Times New Roman" w:eastAsia="Times New Roman" w:hAnsi="Times New Roman" w:cs="Times New Roman"/>
                <w:noProof/>
                <w:sz w:val="20"/>
                <w:szCs w:val="20"/>
                <w:lang w:val="en-US" w:eastAsia="lv-LV"/>
              </w:rPr>
            </w:pPr>
          </w:p>
        </w:tc>
      </w:tr>
      <w:tr w:rsidR="005C1D23" w:rsidRPr="005C1D23" w14:paraId="48E12450" w14:textId="77777777" w:rsidTr="00126864">
        <w:trPr>
          <w:gridAfter w:val="1"/>
          <w:wAfter w:w="25" w:type="pct"/>
        </w:trPr>
        <w:tc>
          <w:tcPr>
            <w:tcW w:w="230" w:type="pct"/>
            <w:tcBorders>
              <w:top w:val="outset" w:sz="6" w:space="0" w:color="414142"/>
              <w:left w:val="outset" w:sz="6" w:space="0" w:color="414142"/>
              <w:bottom w:val="single" w:sz="6" w:space="0" w:color="414142"/>
              <w:right w:val="outset" w:sz="6" w:space="0" w:color="414142"/>
            </w:tcBorders>
            <w:vAlign w:val="center"/>
            <w:hideMark/>
          </w:tcPr>
          <w:p w14:paraId="3E7AF7B7" w14:textId="77777777" w:rsidR="005C1D23" w:rsidRPr="005C1D23" w:rsidRDefault="005C1D23" w:rsidP="00126864">
            <w:pPr>
              <w:keepNext/>
              <w:keepLines/>
              <w:spacing w:after="0" w:line="240" w:lineRule="auto"/>
              <w:jc w:val="both"/>
              <w:rPr>
                <w:rFonts w:ascii="Times New Roman" w:hAnsi="Times New Roman"/>
                <w:noProof/>
                <w:sz w:val="20"/>
                <w:lang w:val="en-US"/>
              </w:rPr>
            </w:pPr>
            <w:r w:rsidRPr="005C1D23">
              <w:rPr>
                <w:rFonts w:ascii="Times New Roman" w:hAnsi="Times New Roman"/>
                <w:noProof/>
                <w:sz w:val="20"/>
                <w:lang w:val="en-US"/>
              </w:rPr>
              <w:t>9.</w:t>
            </w:r>
          </w:p>
        </w:tc>
        <w:tc>
          <w:tcPr>
            <w:tcW w:w="1323" w:type="pct"/>
            <w:tcBorders>
              <w:top w:val="outset" w:sz="6" w:space="0" w:color="414142"/>
              <w:left w:val="outset" w:sz="6" w:space="0" w:color="414142"/>
              <w:bottom w:val="single" w:sz="6" w:space="0" w:color="414142"/>
              <w:right w:val="outset" w:sz="6" w:space="0" w:color="414142"/>
            </w:tcBorders>
            <w:hideMark/>
          </w:tcPr>
          <w:p w14:paraId="0E7E0D3D" w14:textId="77777777" w:rsidR="005C1D23" w:rsidRPr="005C1D23" w:rsidRDefault="005C1D23" w:rsidP="00126864">
            <w:pPr>
              <w:keepNext/>
              <w:keepLines/>
              <w:spacing w:after="0" w:line="240" w:lineRule="auto"/>
              <w:jc w:val="both"/>
              <w:rPr>
                <w:rFonts w:ascii="Times New Roman" w:hAnsi="Times New Roman"/>
                <w:b/>
                <w:noProof/>
                <w:sz w:val="20"/>
                <w:lang w:val="en-US"/>
              </w:rPr>
            </w:pPr>
            <w:r w:rsidRPr="005C1D23">
              <w:rPr>
                <w:rFonts w:ascii="Times New Roman" w:hAnsi="Times New Roman"/>
                <w:b/>
                <w:noProof/>
                <w:sz w:val="20"/>
                <w:lang w:val="en-US"/>
              </w:rPr>
              <w:t>Total net turnover of the Merchant in the relevant calendar year (including total net turnover of the public utilities provided by the Merchant in the relevant calendar year)</w:t>
            </w:r>
          </w:p>
        </w:tc>
        <w:tc>
          <w:tcPr>
            <w:tcW w:w="1876" w:type="pct"/>
            <w:gridSpan w:val="2"/>
            <w:tcBorders>
              <w:top w:val="outset" w:sz="6" w:space="0" w:color="414142"/>
              <w:left w:val="outset" w:sz="6" w:space="0" w:color="414142"/>
              <w:bottom w:val="single" w:sz="6" w:space="0" w:color="414142"/>
              <w:right w:val="outset" w:sz="6" w:space="0" w:color="414142"/>
            </w:tcBorders>
          </w:tcPr>
          <w:p w14:paraId="14CE83E7" w14:textId="77777777" w:rsidR="005C1D23" w:rsidRPr="005C1D23" w:rsidRDefault="005C1D23" w:rsidP="00126864">
            <w:pPr>
              <w:keepNext/>
              <w:keepLines/>
              <w:spacing w:after="0" w:line="240" w:lineRule="auto"/>
              <w:jc w:val="both"/>
              <w:rPr>
                <w:rFonts w:ascii="Times New Roman" w:eastAsia="Times New Roman" w:hAnsi="Times New Roman" w:cs="Times New Roman"/>
                <w:noProof/>
                <w:sz w:val="20"/>
                <w:szCs w:val="20"/>
                <w:lang w:val="en-US" w:eastAsia="lv-LV"/>
              </w:rPr>
            </w:pPr>
          </w:p>
        </w:tc>
        <w:tc>
          <w:tcPr>
            <w:tcW w:w="678" w:type="pct"/>
            <w:gridSpan w:val="2"/>
            <w:tcBorders>
              <w:top w:val="outset" w:sz="6" w:space="0" w:color="414142"/>
              <w:left w:val="outset" w:sz="6" w:space="0" w:color="414142"/>
              <w:bottom w:val="single" w:sz="6" w:space="0" w:color="414142"/>
              <w:right w:val="outset" w:sz="6" w:space="0" w:color="414142"/>
            </w:tcBorders>
            <w:shd w:val="clear" w:color="auto" w:fill="000000"/>
          </w:tcPr>
          <w:p w14:paraId="51A6E4DF" w14:textId="77777777" w:rsidR="005C1D23" w:rsidRPr="005C1D23" w:rsidRDefault="005C1D23" w:rsidP="00126864">
            <w:pPr>
              <w:keepNext/>
              <w:keepLines/>
              <w:spacing w:after="0" w:line="240" w:lineRule="auto"/>
              <w:jc w:val="both"/>
              <w:rPr>
                <w:rFonts w:ascii="Times New Roman" w:eastAsia="Times New Roman" w:hAnsi="Times New Roman" w:cs="Times New Roman"/>
                <w:noProof/>
                <w:sz w:val="20"/>
                <w:szCs w:val="20"/>
                <w:lang w:val="en-US" w:eastAsia="lv-LV"/>
              </w:rPr>
            </w:pPr>
          </w:p>
        </w:tc>
        <w:tc>
          <w:tcPr>
            <w:tcW w:w="867" w:type="pct"/>
            <w:gridSpan w:val="2"/>
            <w:tcBorders>
              <w:top w:val="outset" w:sz="6" w:space="0" w:color="414142"/>
              <w:left w:val="outset" w:sz="6" w:space="0" w:color="414142"/>
              <w:bottom w:val="single" w:sz="6" w:space="0" w:color="414142"/>
              <w:right w:val="outset" w:sz="6" w:space="0" w:color="414142"/>
            </w:tcBorders>
            <w:shd w:val="clear" w:color="auto" w:fill="000000"/>
          </w:tcPr>
          <w:p w14:paraId="0AA72272" w14:textId="77777777" w:rsidR="005C1D23" w:rsidRPr="005C1D23" w:rsidRDefault="005C1D23" w:rsidP="00126864">
            <w:pPr>
              <w:keepNext/>
              <w:keepLines/>
              <w:spacing w:after="0" w:line="240" w:lineRule="auto"/>
              <w:jc w:val="both"/>
              <w:rPr>
                <w:rFonts w:ascii="Times New Roman" w:eastAsia="Times New Roman" w:hAnsi="Times New Roman" w:cs="Times New Roman"/>
                <w:noProof/>
                <w:sz w:val="20"/>
                <w:szCs w:val="20"/>
                <w:lang w:val="en-US" w:eastAsia="lv-LV"/>
              </w:rPr>
            </w:pPr>
          </w:p>
        </w:tc>
      </w:tr>
    </w:tbl>
    <w:p w14:paraId="003AF40C"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156"/>
        <w:gridCol w:w="122"/>
        <w:gridCol w:w="426"/>
        <w:gridCol w:w="283"/>
        <w:gridCol w:w="564"/>
        <w:gridCol w:w="285"/>
        <w:gridCol w:w="1275"/>
        <w:gridCol w:w="851"/>
        <w:gridCol w:w="4109"/>
      </w:tblGrid>
      <w:tr w:rsidR="005C1D23" w:rsidRPr="005C1D23" w14:paraId="1DF85BFB" w14:textId="77777777" w:rsidTr="00126864">
        <w:tc>
          <w:tcPr>
            <w:tcW w:w="637" w:type="pct"/>
            <w:vAlign w:val="bottom"/>
            <w:hideMark/>
          </w:tcPr>
          <w:p w14:paraId="70B121CF"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Date</w:t>
            </w:r>
          </w:p>
        </w:tc>
        <w:tc>
          <w:tcPr>
            <w:tcW w:w="302" w:type="pct"/>
            <w:gridSpan w:val="2"/>
            <w:tcBorders>
              <w:bottom w:val="single" w:sz="4" w:space="0" w:color="auto"/>
            </w:tcBorders>
            <w:hideMark/>
          </w:tcPr>
          <w:p w14:paraId="566AFDE8"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156" w:type="pct"/>
            <w:vAlign w:val="center"/>
          </w:tcPr>
          <w:p w14:paraId="619B914F"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w:t>
            </w:r>
          </w:p>
        </w:tc>
        <w:tc>
          <w:tcPr>
            <w:tcW w:w="311" w:type="pct"/>
            <w:tcBorders>
              <w:bottom w:val="single" w:sz="4" w:space="0" w:color="auto"/>
            </w:tcBorders>
            <w:vAlign w:val="center"/>
          </w:tcPr>
          <w:p w14:paraId="28227059"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157" w:type="pct"/>
            <w:vAlign w:val="center"/>
            <w:hideMark/>
          </w:tcPr>
          <w:p w14:paraId="4C3CC858"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w:t>
            </w:r>
          </w:p>
        </w:tc>
        <w:tc>
          <w:tcPr>
            <w:tcW w:w="703" w:type="pct"/>
            <w:tcBorders>
              <w:bottom w:val="single" w:sz="4" w:space="0" w:color="auto"/>
            </w:tcBorders>
            <w:vAlign w:val="bottom"/>
            <w:hideMark/>
          </w:tcPr>
          <w:p w14:paraId="52DEB2C8"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734" w:type="pct"/>
            <w:gridSpan w:val="2"/>
            <w:vAlign w:val="center"/>
          </w:tcPr>
          <w:p w14:paraId="447D8231"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w:t>
            </w:r>
          </w:p>
        </w:tc>
      </w:tr>
      <w:tr w:rsidR="005C1D23" w:rsidRPr="005C1D23" w14:paraId="48A35778" w14:textId="77777777" w:rsidTr="00126864">
        <w:tc>
          <w:tcPr>
            <w:tcW w:w="637" w:type="pct"/>
          </w:tcPr>
          <w:p w14:paraId="5BED7F47"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Pr>
          <w:p w14:paraId="4138B17E"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36FDFB6D"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46BC70EE" w14:textId="77777777" w:rsidTr="00126864">
        <w:tc>
          <w:tcPr>
            <w:tcW w:w="2735" w:type="pct"/>
            <w:gridSpan w:val="8"/>
            <w:hideMark/>
          </w:tcPr>
          <w:p w14:paraId="3D5F6C63"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Person entitled to represent the merchant</w:t>
            </w:r>
          </w:p>
        </w:tc>
        <w:tc>
          <w:tcPr>
            <w:tcW w:w="2265" w:type="pct"/>
            <w:tcBorders>
              <w:bottom w:val="single" w:sz="4" w:space="0" w:color="auto"/>
            </w:tcBorders>
            <w:vAlign w:val="center"/>
          </w:tcPr>
          <w:p w14:paraId="10CDEAFC"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1CC9AABF" w14:textId="77777777" w:rsidTr="00126864">
        <w:tc>
          <w:tcPr>
            <w:tcW w:w="637" w:type="pct"/>
          </w:tcPr>
          <w:p w14:paraId="46453AD2"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Pr>
          <w:p w14:paraId="68EE5464"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hideMark/>
          </w:tcPr>
          <w:p w14:paraId="1A2872D2" w14:textId="77777777" w:rsidR="005C1D23" w:rsidRPr="005C1D23" w:rsidRDefault="005C1D23" w:rsidP="00126864">
            <w:pPr>
              <w:spacing w:after="0" w:line="240" w:lineRule="auto"/>
              <w:jc w:val="center"/>
              <w:rPr>
                <w:rFonts w:ascii="Times New Roman" w:hAnsi="Times New Roman"/>
                <w:noProof/>
                <w:sz w:val="24"/>
                <w:lang w:val="en-US"/>
              </w:rPr>
            </w:pPr>
            <w:r w:rsidRPr="005C1D23">
              <w:rPr>
                <w:rFonts w:ascii="Times New Roman" w:hAnsi="Times New Roman"/>
                <w:noProof/>
                <w:sz w:val="24"/>
                <w:lang w:val="en-US"/>
              </w:rPr>
              <w:t>/signature and full name thereof/</w:t>
            </w:r>
          </w:p>
        </w:tc>
      </w:tr>
      <w:tr w:rsidR="005C1D23" w:rsidRPr="005C1D23" w14:paraId="7697DEFA" w14:textId="77777777" w:rsidTr="00126864">
        <w:tc>
          <w:tcPr>
            <w:tcW w:w="637" w:type="pct"/>
          </w:tcPr>
          <w:p w14:paraId="7FA82DA9"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Pr>
          <w:p w14:paraId="71ECA926"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1F220148"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60F5C65B" w14:textId="77777777" w:rsidTr="00126864">
        <w:tc>
          <w:tcPr>
            <w:tcW w:w="637" w:type="pct"/>
            <w:tcBorders>
              <w:bottom w:val="single" w:sz="4" w:space="0" w:color="auto"/>
            </w:tcBorders>
          </w:tcPr>
          <w:p w14:paraId="3B520306"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Borders>
              <w:bottom w:val="single" w:sz="4" w:space="0" w:color="auto"/>
            </w:tcBorders>
          </w:tcPr>
          <w:p w14:paraId="544ACDBA"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54C33C86"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49620495" w14:textId="77777777" w:rsidTr="00126864">
        <w:tc>
          <w:tcPr>
            <w:tcW w:w="637" w:type="pct"/>
            <w:tcBorders>
              <w:top w:val="single" w:sz="4" w:space="0" w:color="auto"/>
            </w:tcBorders>
            <w:hideMark/>
          </w:tcPr>
          <w:p w14:paraId="4FC77D8E"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Borders>
              <w:top w:val="single" w:sz="4" w:space="0" w:color="auto"/>
            </w:tcBorders>
            <w:hideMark/>
          </w:tcPr>
          <w:p w14:paraId="33288B07"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/given name, surname of the person who prepared the document/</w:t>
            </w:r>
          </w:p>
        </w:tc>
        <w:tc>
          <w:tcPr>
            <w:tcW w:w="2265" w:type="pct"/>
          </w:tcPr>
          <w:p w14:paraId="356A483C"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12F892BC" w14:textId="77777777" w:rsidTr="00126864">
        <w:tc>
          <w:tcPr>
            <w:tcW w:w="637" w:type="pct"/>
            <w:vAlign w:val="bottom"/>
            <w:hideMark/>
          </w:tcPr>
          <w:p w14:paraId="5056995A"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telephone</w:t>
            </w:r>
          </w:p>
        </w:tc>
        <w:tc>
          <w:tcPr>
            <w:tcW w:w="67" w:type="pct"/>
          </w:tcPr>
          <w:p w14:paraId="2545E7A4"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31" w:type="pct"/>
            <w:gridSpan w:val="6"/>
            <w:tcBorders>
              <w:bottom w:val="single" w:sz="4" w:space="0" w:color="auto"/>
            </w:tcBorders>
            <w:vAlign w:val="bottom"/>
          </w:tcPr>
          <w:p w14:paraId="05D43F2C"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3A881E20"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6481D018" w14:textId="77777777" w:rsidTr="00126864">
        <w:tc>
          <w:tcPr>
            <w:tcW w:w="637" w:type="pct"/>
            <w:vAlign w:val="bottom"/>
          </w:tcPr>
          <w:p w14:paraId="6521F95B"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67" w:type="pct"/>
          </w:tcPr>
          <w:p w14:paraId="636807B3"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31" w:type="pct"/>
            <w:gridSpan w:val="6"/>
            <w:tcBorders>
              <w:top w:val="single" w:sz="4" w:space="0" w:color="auto"/>
            </w:tcBorders>
            <w:vAlign w:val="bottom"/>
          </w:tcPr>
          <w:p w14:paraId="28FC5098"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72ACA6A4"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51B4049C" w14:textId="77777777" w:rsidTr="00126864">
        <w:tc>
          <w:tcPr>
            <w:tcW w:w="637" w:type="pct"/>
            <w:vAlign w:val="bottom"/>
            <w:hideMark/>
          </w:tcPr>
          <w:p w14:paraId="631925EC"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e-mail</w:t>
            </w:r>
          </w:p>
        </w:tc>
        <w:tc>
          <w:tcPr>
            <w:tcW w:w="67" w:type="pct"/>
          </w:tcPr>
          <w:p w14:paraId="56D0BC94"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31" w:type="pct"/>
            <w:gridSpan w:val="6"/>
            <w:tcBorders>
              <w:bottom w:val="single" w:sz="4" w:space="0" w:color="auto"/>
            </w:tcBorders>
            <w:vAlign w:val="bottom"/>
          </w:tcPr>
          <w:p w14:paraId="20DF5E8C"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343AE01A"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bl>
    <w:p w14:paraId="0221B33C"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E5C11D"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 Note. The details of the document “date” and “signature” need not be completed if the electronic document has been prepared in accordance with the laws and regulations regarding drawing up of electronic documents.</w:t>
      </w:r>
    </w:p>
    <w:p w14:paraId="462E57D8"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ECCFEF"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F1F530" w14:textId="77777777" w:rsidR="005C1D23" w:rsidRPr="005C1D23" w:rsidRDefault="005C1D23" w:rsidP="005C1D23">
      <w:pPr>
        <w:shd w:val="clear" w:color="auto" w:fill="FFFFFF"/>
        <w:tabs>
          <w:tab w:val="left" w:pos="8222"/>
        </w:tabs>
        <w:spacing w:after="0" w:line="240" w:lineRule="auto"/>
        <w:jc w:val="both"/>
        <w:rPr>
          <w:rFonts w:ascii="Times New Roman" w:hAnsi="Times New Roman"/>
          <w:noProof/>
          <w:sz w:val="24"/>
          <w:lang w:val="en-US"/>
        </w:rPr>
      </w:pPr>
      <w:r w:rsidRPr="005C1D23">
        <w:rPr>
          <w:rFonts w:ascii="Times New Roman" w:hAnsi="Times New Roman"/>
          <w:noProof/>
          <w:sz w:val="24"/>
          <w:lang w:val="en-US"/>
        </w:rPr>
        <w:t>Chair of the Board of the Public Utilities Commission</w:t>
      </w:r>
      <w:r w:rsidRPr="005C1D23">
        <w:rPr>
          <w:rFonts w:ascii="Times New Roman" w:hAnsi="Times New Roman"/>
          <w:noProof/>
          <w:sz w:val="24"/>
          <w:lang w:val="en-US"/>
        </w:rPr>
        <w:tab/>
        <w:t>R. Irklis</w:t>
      </w:r>
    </w:p>
    <w:p w14:paraId="02582BE6" w14:textId="77777777" w:rsidR="005C1D23" w:rsidRPr="005C1D23" w:rsidRDefault="005C1D23" w:rsidP="005C1D23">
      <w:pPr>
        <w:rPr>
          <w:noProof/>
          <w:lang w:val="en-US"/>
        </w:rPr>
      </w:pPr>
      <w:r w:rsidRPr="005C1D23">
        <w:rPr>
          <w:noProof/>
          <w:lang w:val="en-US"/>
        </w:rPr>
        <w:br w:type="page"/>
      </w:r>
    </w:p>
    <w:p w14:paraId="0B98DAE5" w14:textId="77777777" w:rsidR="005C1D23" w:rsidRPr="005C1D23" w:rsidRDefault="005C1D23" w:rsidP="005C1D23">
      <w:pPr>
        <w:shd w:val="clear" w:color="auto" w:fill="FFFFFF"/>
        <w:spacing w:after="0" w:line="240" w:lineRule="auto"/>
        <w:jc w:val="right"/>
        <w:rPr>
          <w:rFonts w:ascii="Times New Roman" w:hAnsi="Times New Roman"/>
          <w:b/>
          <w:noProof/>
          <w:sz w:val="24"/>
          <w:lang w:val="en-US"/>
        </w:rPr>
      </w:pPr>
      <w:r w:rsidRPr="005C1D23">
        <w:rPr>
          <w:rFonts w:ascii="Times New Roman" w:hAnsi="Times New Roman"/>
          <w:b/>
          <w:noProof/>
          <w:sz w:val="24"/>
          <w:lang w:val="en-US"/>
        </w:rPr>
        <w:t>Annex 2</w:t>
      </w:r>
    </w:p>
    <w:p w14:paraId="0212297C" w14:textId="77777777" w:rsidR="005C1D23" w:rsidRPr="005C1D23" w:rsidRDefault="005C1D23" w:rsidP="005C1D23">
      <w:pPr>
        <w:shd w:val="clear" w:color="auto" w:fill="FFFFFF"/>
        <w:spacing w:after="0" w:line="240" w:lineRule="auto"/>
        <w:jc w:val="right"/>
        <w:rPr>
          <w:rFonts w:ascii="Times New Roman" w:hAnsi="Times New Roman"/>
          <w:noProof/>
          <w:sz w:val="24"/>
          <w:lang w:val="en-US"/>
        </w:rPr>
      </w:pPr>
      <w:r w:rsidRPr="005C1D23">
        <w:rPr>
          <w:rFonts w:ascii="Times New Roman" w:hAnsi="Times New Roman"/>
          <w:noProof/>
          <w:sz w:val="24"/>
          <w:lang w:val="en-US"/>
        </w:rPr>
        <w:t>Decision No. 1/42 of the Public Utilities Commission of 21 December 2017</w:t>
      </w:r>
      <w:bookmarkStart w:id="52" w:name="piel-783970"/>
      <w:bookmarkStart w:id="53" w:name="piel2"/>
      <w:bookmarkEnd w:id="52"/>
      <w:bookmarkEnd w:id="53"/>
    </w:p>
    <w:p w14:paraId="0DCE3D8D" w14:textId="77777777" w:rsidR="005C1D23" w:rsidRPr="005C1D23" w:rsidRDefault="005C1D23" w:rsidP="005C1D23">
      <w:pPr>
        <w:shd w:val="clear" w:color="auto" w:fill="FFFFFF"/>
        <w:spacing w:after="0" w:line="240" w:lineRule="auto"/>
        <w:jc w:val="right"/>
        <w:rPr>
          <w:rFonts w:ascii="Times New Roman" w:eastAsia="Times New Roman" w:hAnsi="Times New Roman" w:cs="Times New Roman"/>
          <w:noProof/>
          <w:sz w:val="24"/>
          <w:szCs w:val="24"/>
          <w:lang w:val="en-US"/>
        </w:rPr>
      </w:pPr>
      <w:r w:rsidRPr="005C1D23">
        <w:rPr>
          <w:rFonts w:ascii="Times New Roman" w:hAnsi="Times New Roman"/>
          <w:noProof/>
          <w:sz w:val="24"/>
          <w:lang w:val="en-US"/>
        </w:rPr>
        <w:t>[</w:t>
      </w:r>
      <w:r w:rsidRPr="005C1D23">
        <w:rPr>
          <w:rFonts w:ascii="Times New Roman" w:hAnsi="Times New Roman"/>
          <w:i/>
          <w:iCs/>
          <w:noProof/>
          <w:sz w:val="24"/>
          <w:lang w:val="en-US"/>
        </w:rPr>
        <w:t>27 May 2021</w:t>
      </w:r>
      <w:r w:rsidRPr="005C1D23">
        <w:rPr>
          <w:rFonts w:ascii="Times New Roman" w:hAnsi="Times New Roman"/>
          <w:noProof/>
          <w:sz w:val="24"/>
          <w:lang w:val="en-US"/>
        </w:rPr>
        <w:t>]</w:t>
      </w:r>
    </w:p>
    <w:p w14:paraId="3C1C07B2"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600772"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A6CEA" w14:textId="77777777" w:rsidR="005C1D23" w:rsidRPr="005C1D23" w:rsidRDefault="005C1D23" w:rsidP="005C1D23">
      <w:pPr>
        <w:shd w:val="clear" w:color="auto" w:fill="FFFFFF"/>
        <w:tabs>
          <w:tab w:val="left" w:leader="underscore" w:pos="5103"/>
        </w:tabs>
        <w:spacing w:after="0" w:line="240" w:lineRule="auto"/>
        <w:jc w:val="center"/>
        <w:rPr>
          <w:rFonts w:ascii="Times New Roman" w:hAnsi="Times New Roman"/>
          <w:b/>
          <w:noProof/>
          <w:sz w:val="28"/>
          <w:lang w:val="en-US"/>
        </w:rPr>
      </w:pPr>
      <w:bookmarkStart w:id="54" w:name="643804"/>
      <w:bookmarkStart w:id="55" w:name="n-643804"/>
      <w:bookmarkEnd w:id="54"/>
      <w:bookmarkEnd w:id="55"/>
      <w:r w:rsidRPr="005C1D23">
        <w:rPr>
          <w:rFonts w:ascii="Times New Roman" w:hAnsi="Times New Roman"/>
          <w:b/>
          <w:noProof/>
          <w:sz w:val="28"/>
          <w:lang w:val="en-US"/>
        </w:rPr>
        <w:t>Calculation of the State Fee of the Public Electricity Trader for the Regulation of Public Utilities for the Year</w:t>
      </w:r>
    </w:p>
    <w:p w14:paraId="3801384E"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1D9E660"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955"/>
        <w:gridCol w:w="4100"/>
      </w:tblGrid>
      <w:tr w:rsidR="005C1D23" w:rsidRPr="005C1D23" w14:paraId="77EA59D5" w14:textId="77777777" w:rsidTr="00126864">
        <w:tc>
          <w:tcPr>
            <w:tcW w:w="2736"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3F67A2C7"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Name of public electricity trader</w:t>
            </w:r>
          </w:p>
        </w:tc>
        <w:tc>
          <w:tcPr>
            <w:tcW w:w="2264" w:type="pct"/>
            <w:tcBorders>
              <w:top w:val="outset" w:sz="6" w:space="0" w:color="414142"/>
              <w:left w:val="outset" w:sz="6" w:space="0" w:color="414142"/>
              <w:bottom w:val="outset" w:sz="6" w:space="0" w:color="414142"/>
              <w:right w:val="outset" w:sz="6" w:space="0" w:color="414142"/>
            </w:tcBorders>
          </w:tcPr>
          <w:p w14:paraId="05DC8516"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eastAsia="lv-LV"/>
              </w:rPr>
            </w:pPr>
          </w:p>
        </w:tc>
      </w:tr>
      <w:tr w:rsidR="005C1D23" w:rsidRPr="005C1D23" w14:paraId="4BCC973C" w14:textId="77777777" w:rsidTr="00126864">
        <w:tc>
          <w:tcPr>
            <w:tcW w:w="2736"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74852D19"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Unified registration number</w:t>
            </w:r>
          </w:p>
        </w:tc>
        <w:tc>
          <w:tcPr>
            <w:tcW w:w="2264" w:type="pct"/>
            <w:tcBorders>
              <w:top w:val="outset" w:sz="6" w:space="0" w:color="414142"/>
              <w:left w:val="outset" w:sz="6" w:space="0" w:color="414142"/>
              <w:bottom w:val="outset" w:sz="6" w:space="0" w:color="414142"/>
              <w:right w:val="outset" w:sz="6" w:space="0" w:color="414142"/>
            </w:tcBorders>
          </w:tcPr>
          <w:p w14:paraId="34200780"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eastAsia="lv-LV"/>
              </w:rPr>
            </w:pPr>
          </w:p>
        </w:tc>
      </w:tr>
      <w:tr w:rsidR="005C1D23" w:rsidRPr="005C1D23" w14:paraId="547D5ED8" w14:textId="77777777" w:rsidTr="00126864">
        <w:tc>
          <w:tcPr>
            <w:tcW w:w="2736"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02D2BB8E"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Restricted access information (mark as appropriate)</w:t>
            </w:r>
          </w:p>
        </w:tc>
        <w:tc>
          <w:tcPr>
            <w:tcW w:w="2264" w:type="pct"/>
            <w:tcBorders>
              <w:top w:val="outset" w:sz="6" w:space="0" w:color="414142"/>
              <w:left w:val="outset" w:sz="6" w:space="0" w:color="414142"/>
              <w:bottom w:val="outset" w:sz="6" w:space="0" w:color="414142"/>
              <w:right w:val="outset" w:sz="6" w:space="0" w:color="414142"/>
            </w:tcBorders>
            <w:hideMark/>
          </w:tcPr>
          <w:p w14:paraId="6971F97F"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rPr>
            </w:pPr>
            <w:r w:rsidRPr="005C1D23">
              <w:rPr>
                <w:rFonts w:ascii="Times New Roman" w:eastAsia="Times New Roman" w:hAnsi="Times New Roman" w:cs="Times New Roman"/>
                <w:noProof/>
                <w:sz w:val="24"/>
                <w:szCs w:val="24"/>
                <w:lang w:val="en-US"/>
              </w:rPr>
              <w:drawing>
                <wp:inline distT="0" distB="0" distL="0" distR="0" wp14:anchorId="7260FD0B" wp14:editId="0DD88FA7">
                  <wp:extent cx="127000" cy="127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5C1D23" w:rsidRPr="005C1D23" w14:paraId="695F2034" w14:textId="77777777" w:rsidTr="00126864">
        <w:tc>
          <w:tcPr>
            <w:tcW w:w="2736" w:type="pct"/>
            <w:tcBorders>
              <w:top w:val="outset" w:sz="6" w:space="0" w:color="414142"/>
              <w:left w:val="outset" w:sz="6" w:space="0" w:color="414142"/>
              <w:bottom w:val="single" w:sz="6" w:space="0" w:color="414142"/>
              <w:right w:val="outset" w:sz="6" w:space="0" w:color="414142"/>
            </w:tcBorders>
            <w:shd w:val="clear" w:color="auto" w:fill="C0C0C0"/>
            <w:vAlign w:val="center"/>
            <w:hideMark/>
          </w:tcPr>
          <w:p w14:paraId="68AC6FEA"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Grounds of the public electricity trader for determining the status of restricted access</w:t>
            </w:r>
          </w:p>
        </w:tc>
        <w:tc>
          <w:tcPr>
            <w:tcW w:w="2264" w:type="pct"/>
            <w:tcBorders>
              <w:top w:val="outset" w:sz="6" w:space="0" w:color="414142"/>
              <w:left w:val="outset" w:sz="6" w:space="0" w:color="414142"/>
              <w:bottom w:val="single" w:sz="6" w:space="0" w:color="414142"/>
              <w:right w:val="outset" w:sz="6" w:space="0" w:color="414142"/>
            </w:tcBorders>
            <w:hideMark/>
          </w:tcPr>
          <w:p w14:paraId="3A4E4FFB"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eastAsia="lv-LV"/>
              </w:rPr>
            </w:pPr>
          </w:p>
        </w:tc>
      </w:tr>
    </w:tbl>
    <w:p w14:paraId="01636ACC"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56"/>
        <w:gridCol w:w="258"/>
        <w:gridCol w:w="3165"/>
        <w:gridCol w:w="1308"/>
        <w:gridCol w:w="1668"/>
      </w:tblGrid>
      <w:tr w:rsidR="005C1D23" w:rsidRPr="005C1D23" w14:paraId="51DAD7BD" w14:textId="77777777" w:rsidTr="00126864">
        <w:tc>
          <w:tcPr>
            <w:tcW w:w="1467" w:type="pct"/>
            <w:tcBorders>
              <w:top w:val="outset" w:sz="6" w:space="0" w:color="414142"/>
              <w:left w:val="outset" w:sz="6" w:space="0" w:color="414142"/>
              <w:bottom w:val="outset" w:sz="6" w:space="0" w:color="414142"/>
              <w:right w:val="outset" w:sz="6" w:space="0" w:color="414142"/>
            </w:tcBorders>
            <w:vAlign w:val="center"/>
            <w:hideMark/>
          </w:tcPr>
          <w:p w14:paraId="5E04C9E8"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1.</w:t>
            </w:r>
          </w:p>
        </w:tc>
        <w:tc>
          <w:tcPr>
            <w:tcW w:w="1890" w:type="pct"/>
            <w:gridSpan w:val="2"/>
            <w:tcBorders>
              <w:top w:val="outset" w:sz="6" w:space="0" w:color="414142"/>
              <w:left w:val="outset" w:sz="6" w:space="0" w:color="414142"/>
              <w:bottom w:val="outset" w:sz="6" w:space="0" w:color="414142"/>
              <w:right w:val="outset" w:sz="6" w:space="0" w:color="414142"/>
            </w:tcBorders>
            <w:vAlign w:val="center"/>
            <w:hideMark/>
          </w:tcPr>
          <w:p w14:paraId="78C2B327"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2.</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605FDDB8"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3.</w:t>
            </w:r>
          </w:p>
        </w:tc>
        <w:tc>
          <w:tcPr>
            <w:tcW w:w="921" w:type="pct"/>
            <w:tcBorders>
              <w:top w:val="outset" w:sz="6" w:space="0" w:color="414142"/>
              <w:left w:val="outset" w:sz="6" w:space="0" w:color="414142"/>
              <w:bottom w:val="outset" w:sz="6" w:space="0" w:color="414142"/>
              <w:right w:val="outset" w:sz="6" w:space="0" w:color="414142"/>
            </w:tcBorders>
            <w:vAlign w:val="center"/>
            <w:hideMark/>
          </w:tcPr>
          <w:p w14:paraId="58C9D41A"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4.</w:t>
            </w:r>
          </w:p>
        </w:tc>
      </w:tr>
      <w:tr w:rsidR="005C1D23" w:rsidRPr="005C1D23" w14:paraId="74600145" w14:textId="77777777" w:rsidTr="00126864">
        <w:tc>
          <w:tcPr>
            <w:tcW w:w="1467" w:type="pct"/>
            <w:vMerge w:val="restart"/>
            <w:tcBorders>
              <w:top w:val="outset" w:sz="6" w:space="0" w:color="414142"/>
              <w:left w:val="outset" w:sz="6" w:space="0" w:color="414142"/>
              <w:bottom w:val="outset" w:sz="6" w:space="0" w:color="414142"/>
              <w:right w:val="outset" w:sz="6" w:space="0" w:color="414142"/>
            </w:tcBorders>
            <w:vAlign w:val="center"/>
            <w:hideMark/>
          </w:tcPr>
          <w:p w14:paraId="539355E2" w14:textId="77777777" w:rsidR="005C1D23" w:rsidRPr="005C1D23" w:rsidRDefault="005C1D23" w:rsidP="00126864">
            <w:pPr>
              <w:spacing w:after="0" w:line="240" w:lineRule="auto"/>
              <w:jc w:val="center"/>
              <w:rPr>
                <w:rFonts w:ascii="Times New Roman" w:hAnsi="Times New Roman"/>
                <w:b/>
                <w:noProof/>
                <w:lang w:val="en-US"/>
              </w:rPr>
            </w:pPr>
            <w:r w:rsidRPr="005C1D23">
              <w:rPr>
                <w:rFonts w:ascii="Times New Roman" w:hAnsi="Times New Roman"/>
                <w:b/>
                <w:noProof/>
                <w:lang w:val="en-US"/>
              </w:rPr>
              <w:t>Object of the State fee for the regulation of public utilities</w:t>
            </w:r>
          </w:p>
        </w:tc>
        <w:tc>
          <w:tcPr>
            <w:tcW w:w="142" w:type="pct"/>
            <w:tcBorders>
              <w:top w:val="outset" w:sz="6" w:space="0" w:color="414142"/>
              <w:left w:val="outset" w:sz="6" w:space="0" w:color="414142"/>
              <w:bottom w:val="outset" w:sz="6" w:space="0" w:color="414142"/>
              <w:right w:val="outset" w:sz="6" w:space="0" w:color="414142"/>
            </w:tcBorders>
            <w:hideMark/>
          </w:tcPr>
          <w:p w14:paraId="5652B257" w14:textId="77777777" w:rsidR="005C1D23" w:rsidRPr="005C1D23" w:rsidRDefault="005C1D23" w:rsidP="00126864">
            <w:pPr>
              <w:spacing w:after="0" w:line="240" w:lineRule="auto"/>
              <w:jc w:val="both"/>
              <w:rPr>
                <w:rFonts w:ascii="Times New Roman" w:hAnsi="Times New Roman"/>
                <w:noProof/>
                <w:lang w:val="en-US"/>
              </w:rPr>
            </w:pPr>
            <w:r w:rsidRPr="005C1D23">
              <w:rPr>
                <w:rFonts w:ascii="Times New Roman" w:hAnsi="Times New Roman"/>
                <w:noProof/>
                <w:lang w:val="en-US"/>
              </w:rPr>
              <w:t> </w:t>
            </w:r>
          </w:p>
        </w:tc>
        <w:tc>
          <w:tcPr>
            <w:tcW w:w="1747" w:type="pct"/>
            <w:tcBorders>
              <w:top w:val="outset" w:sz="6" w:space="0" w:color="414142"/>
              <w:left w:val="outset" w:sz="6" w:space="0" w:color="414142"/>
              <w:bottom w:val="outset" w:sz="6" w:space="0" w:color="414142"/>
              <w:right w:val="outset" w:sz="6" w:space="0" w:color="414142"/>
            </w:tcBorders>
            <w:hideMark/>
          </w:tcPr>
          <w:p w14:paraId="3D909B62"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hAnsi="Times New Roman"/>
                <w:b/>
                <w:bCs/>
                <w:noProof/>
                <w:lang w:val="en-US"/>
              </w:rPr>
              <w:t xml:space="preserve">Payments received by the public electricity trader </w:t>
            </w:r>
            <w:r w:rsidRPr="005C1D23">
              <w:rPr>
                <w:rFonts w:ascii="Times New Roman" w:hAnsi="Times New Roman"/>
                <w:noProof/>
                <w:lang w:val="en-US"/>
              </w:rPr>
              <w:t>(mark as appropriate)</w:t>
            </w:r>
          </w:p>
        </w:tc>
        <w:tc>
          <w:tcPr>
            <w:tcW w:w="722" w:type="pct"/>
            <w:vMerge w:val="restart"/>
            <w:tcBorders>
              <w:top w:val="outset" w:sz="6" w:space="0" w:color="414142"/>
              <w:left w:val="outset" w:sz="6" w:space="0" w:color="414142"/>
              <w:bottom w:val="outset" w:sz="6" w:space="0" w:color="414142"/>
              <w:right w:val="outset" w:sz="6" w:space="0" w:color="414142"/>
            </w:tcBorders>
            <w:vAlign w:val="center"/>
            <w:hideMark/>
          </w:tcPr>
          <w:p w14:paraId="6FA5C807" w14:textId="77777777" w:rsidR="005C1D23" w:rsidRPr="005C1D23" w:rsidRDefault="005C1D23" w:rsidP="00126864">
            <w:pPr>
              <w:spacing w:after="0" w:line="240" w:lineRule="auto"/>
              <w:jc w:val="center"/>
              <w:rPr>
                <w:rFonts w:ascii="Times New Roman" w:hAnsi="Times New Roman"/>
                <w:b/>
                <w:bCs/>
                <w:noProof/>
                <w:lang w:val="en-US"/>
              </w:rPr>
            </w:pPr>
            <w:r w:rsidRPr="005C1D23">
              <w:rPr>
                <w:rFonts w:ascii="Times New Roman" w:hAnsi="Times New Roman"/>
                <w:b/>
                <w:bCs/>
                <w:noProof/>
                <w:lang w:val="en-US"/>
              </w:rPr>
              <w:t>Rate of State fee for the regulation of public utilities</w:t>
            </w:r>
          </w:p>
          <w:p w14:paraId="45F7B50C"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w:t>
            </w:r>
          </w:p>
        </w:tc>
        <w:tc>
          <w:tcPr>
            <w:tcW w:w="921" w:type="pct"/>
            <w:vMerge w:val="restart"/>
            <w:tcBorders>
              <w:top w:val="outset" w:sz="6" w:space="0" w:color="414142"/>
              <w:left w:val="outset" w:sz="6" w:space="0" w:color="414142"/>
              <w:bottom w:val="outset" w:sz="6" w:space="0" w:color="414142"/>
              <w:right w:val="outset" w:sz="6" w:space="0" w:color="414142"/>
            </w:tcBorders>
            <w:vAlign w:val="center"/>
            <w:hideMark/>
          </w:tcPr>
          <w:p w14:paraId="4AE9549E" w14:textId="77777777" w:rsidR="005C1D23" w:rsidRPr="005C1D23" w:rsidRDefault="005C1D23" w:rsidP="00126864">
            <w:pPr>
              <w:spacing w:after="0" w:line="240" w:lineRule="auto"/>
              <w:jc w:val="center"/>
              <w:rPr>
                <w:rFonts w:ascii="Times New Roman" w:eastAsia="Times New Roman" w:hAnsi="Times New Roman" w:cs="Times New Roman"/>
                <w:noProof/>
                <w:lang w:val="en-US"/>
              </w:rPr>
            </w:pPr>
            <w:r w:rsidRPr="005C1D23">
              <w:rPr>
                <w:rFonts w:ascii="Times New Roman" w:hAnsi="Times New Roman"/>
                <w:b/>
                <w:bCs/>
                <w:noProof/>
                <w:lang w:val="en-US"/>
              </w:rPr>
              <w:t>Calculated State fee for the regulation of public utilities</w:t>
            </w:r>
            <w:r w:rsidRPr="005C1D23">
              <w:rPr>
                <w:rFonts w:ascii="Times New Roman" w:hAnsi="Times New Roman"/>
                <w:noProof/>
                <w:lang w:val="en-US"/>
              </w:rPr>
              <w:t xml:space="preserve"> (EUR)</w:t>
            </w:r>
          </w:p>
        </w:tc>
      </w:tr>
      <w:tr w:rsidR="005C1D23" w:rsidRPr="005C1D23" w14:paraId="19DFB409" w14:textId="77777777" w:rsidTr="0012686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21DA609" w14:textId="77777777" w:rsidR="005C1D23" w:rsidRPr="005C1D23" w:rsidRDefault="005C1D23" w:rsidP="00126864">
            <w:pPr>
              <w:spacing w:after="0" w:line="240" w:lineRule="auto"/>
              <w:jc w:val="both"/>
              <w:rPr>
                <w:rFonts w:ascii="Times New Roman" w:eastAsia="Times New Roman" w:hAnsi="Times New Roman" w:cs="Times New Roman"/>
                <w:b/>
                <w:bCs/>
                <w:noProof/>
                <w:lang w:val="en-US" w:eastAsia="lv-LV"/>
              </w:rPr>
            </w:pPr>
          </w:p>
        </w:tc>
        <w:tc>
          <w:tcPr>
            <w:tcW w:w="142" w:type="pct"/>
            <w:tcBorders>
              <w:top w:val="outset" w:sz="6" w:space="0" w:color="414142"/>
              <w:left w:val="outset" w:sz="6" w:space="0" w:color="414142"/>
              <w:bottom w:val="outset" w:sz="6" w:space="0" w:color="414142"/>
              <w:right w:val="outset" w:sz="6" w:space="0" w:color="414142"/>
            </w:tcBorders>
            <w:vAlign w:val="center"/>
            <w:hideMark/>
          </w:tcPr>
          <w:p w14:paraId="66776562"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eastAsia="Times New Roman" w:hAnsi="Times New Roman" w:cs="Times New Roman"/>
                <w:noProof/>
                <w:lang w:val="en-US"/>
              </w:rPr>
              <w:drawing>
                <wp:inline distT="0" distB="0" distL="0" distR="0" wp14:anchorId="480BA87F" wp14:editId="024BFE23">
                  <wp:extent cx="127000" cy="1270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747" w:type="pct"/>
            <w:tcBorders>
              <w:top w:val="outset" w:sz="6" w:space="0" w:color="414142"/>
              <w:left w:val="outset" w:sz="6" w:space="0" w:color="414142"/>
              <w:bottom w:val="outset" w:sz="6" w:space="0" w:color="414142"/>
              <w:right w:val="outset" w:sz="6" w:space="0" w:color="414142"/>
            </w:tcBorders>
            <w:hideMark/>
          </w:tcPr>
          <w:p w14:paraId="0D7950B3"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hAnsi="Times New Roman"/>
                <w:noProof/>
                <w:lang w:val="en-US"/>
              </w:rPr>
              <w:t xml:space="preserve">Forecast payments in the </w:t>
            </w:r>
            <w:r w:rsidRPr="005C1D23">
              <w:rPr>
                <w:rFonts w:ascii="Times New Roman" w:hAnsi="Times New Roman"/>
                <w:b/>
                <w:bCs/>
                <w:noProof/>
                <w:lang w:val="en-US"/>
              </w:rPr>
              <w:t xml:space="preserve">previous </w:t>
            </w:r>
            <w:r w:rsidRPr="005C1D23">
              <w:rPr>
                <w:rFonts w:ascii="Times New Roman" w:hAnsi="Times New Roman"/>
                <w:noProof/>
                <w:lang w:val="en-US"/>
              </w:rPr>
              <w:t>calendar year</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198C51" w14:textId="77777777" w:rsidR="005C1D23" w:rsidRPr="005C1D23" w:rsidRDefault="005C1D23" w:rsidP="00126864">
            <w:pPr>
              <w:spacing w:after="0" w:line="240" w:lineRule="auto"/>
              <w:jc w:val="center"/>
              <w:rPr>
                <w:rFonts w:ascii="Times New Roman" w:eastAsia="Times New Roman" w:hAnsi="Times New Roman" w:cs="Times New Roman"/>
                <w:noProof/>
                <w:lang w:val="en-US"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28B620" w14:textId="77777777" w:rsidR="005C1D23" w:rsidRPr="005C1D23" w:rsidRDefault="005C1D23" w:rsidP="00126864">
            <w:pPr>
              <w:spacing w:after="0" w:line="240" w:lineRule="auto"/>
              <w:jc w:val="both"/>
              <w:rPr>
                <w:rFonts w:ascii="Times New Roman" w:eastAsia="Times New Roman" w:hAnsi="Times New Roman" w:cs="Times New Roman"/>
                <w:noProof/>
                <w:lang w:val="en-US" w:eastAsia="lv-LV"/>
              </w:rPr>
            </w:pPr>
          </w:p>
        </w:tc>
      </w:tr>
      <w:tr w:rsidR="005C1D23" w:rsidRPr="005C1D23" w14:paraId="2A406B54" w14:textId="77777777" w:rsidTr="0012686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0A6F8C" w14:textId="77777777" w:rsidR="005C1D23" w:rsidRPr="005C1D23" w:rsidRDefault="005C1D23" w:rsidP="00126864">
            <w:pPr>
              <w:spacing w:after="0" w:line="240" w:lineRule="auto"/>
              <w:jc w:val="both"/>
              <w:rPr>
                <w:rFonts w:ascii="Times New Roman" w:eastAsia="Times New Roman" w:hAnsi="Times New Roman" w:cs="Times New Roman"/>
                <w:b/>
                <w:bCs/>
                <w:noProof/>
                <w:lang w:val="en-US" w:eastAsia="lv-LV"/>
              </w:rPr>
            </w:pPr>
          </w:p>
        </w:tc>
        <w:tc>
          <w:tcPr>
            <w:tcW w:w="142" w:type="pct"/>
            <w:tcBorders>
              <w:top w:val="outset" w:sz="6" w:space="0" w:color="414142"/>
              <w:left w:val="outset" w:sz="6" w:space="0" w:color="414142"/>
              <w:bottom w:val="outset" w:sz="6" w:space="0" w:color="414142"/>
              <w:right w:val="outset" w:sz="6" w:space="0" w:color="414142"/>
            </w:tcBorders>
            <w:vAlign w:val="center"/>
            <w:hideMark/>
          </w:tcPr>
          <w:p w14:paraId="49662321"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eastAsia="Times New Roman" w:hAnsi="Times New Roman" w:cs="Times New Roman"/>
                <w:noProof/>
                <w:lang w:val="en-US"/>
              </w:rPr>
              <w:drawing>
                <wp:inline distT="0" distB="0" distL="0" distR="0" wp14:anchorId="38612AB4" wp14:editId="02B018C2">
                  <wp:extent cx="127000" cy="127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747" w:type="pct"/>
            <w:tcBorders>
              <w:top w:val="outset" w:sz="6" w:space="0" w:color="414142"/>
              <w:left w:val="outset" w:sz="6" w:space="0" w:color="414142"/>
              <w:bottom w:val="outset" w:sz="6" w:space="0" w:color="414142"/>
              <w:right w:val="outset" w:sz="6" w:space="0" w:color="414142"/>
            </w:tcBorders>
            <w:hideMark/>
          </w:tcPr>
          <w:p w14:paraId="6E5E7796"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hAnsi="Times New Roman"/>
                <w:noProof/>
                <w:lang w:val="en-US"/>
              </w:rPr>
              <w:t xml:space="preserve">Actual payments in the </w:t>
            </w:r>
            <w:r w:rsidRPr="005C1D23">
              <w:rPr>
                <w:rFonts w:ascii="Times New Roman" w:hAnsi="Times New Roman"/>
                <w:b/>
                <w:bCs/>
                <w:noProof/>
                <w:lang w:val="en-US"/>
              </w:rPr>
              <w:t xml:space="preserve">previous </w:t>
            </w:r>
            <w:r w:rsidRPr="005C1D23">
              <w:rPr>
                <w:rFonts w:ascii="Times New Roman" w:hAnsi="Times New Roman"/>
                <w:noProof/>
                <w:lang w:val="en-US"/>
              </w:rPr>
              <w:t>calendar year</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91EA416" w14:textId="77777777" w:rsidR="005C1D23" w:rsidRPr="005C1D23" w:rsidRDefault="005C1D23" w:rsidP="00126864">
            <w:pPr>
              <w:spacing w:after="0" w:line="240" w:lineRule="auto"/>
              <w:jc w:val="center"/>
              <w:rPr>
                <w:rFonts w:ascii="Times New Roman" w:eastAsia="Times New Roman" w:hAnsi="Times New Roman" w:cs="Times New Roman"/>
                <w:noProof/>
                <w:lang w:val="en-US"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789BDBA" w14:textId="77777777" w:rsidR="005C1D23" w:rsidRPr="005C1D23" w:rsidRDefault="005C1D23" w:rsidP="00126864">
            <w:pPr>
              <w:spacing w:after="0" w:line="240" w:lineRule="auto"/>
              <w:jc w:val="both"/>
              <w:rPr>
                <w:rFonts w:ascii="Times New Roman" w:eastAsia="Times New Roman" w:hAnsi="Times New Roman" w:cs="Times New Roman"/>
                <w:noProof/>
                <w:lang w:val="en-US" w:eastAsia="lv-LV"/>
              </w:rPr>
            </w:pPr>
          </w:p>
        </w:tc>
      </w:tr>
      <w:tr w:rsidR="005C1D23" w:rsidRPr="005C1D23" w14:paraId="77234613" w14:textId="77777777" w:rsidTr="00126864">
        <w:tc>
          <w:tcPr>
            <w:tcW w:w="1467" w:type="pct"/>
            <w:tcBorders>
              <w:top w:val="outset" w:sz="6" w:space="0" w:color="414142"/>
              <w:left w:val="outset" w:sz="6" w:space="0" w:color="414142"/>
              <w:bottom w:val="single" w:sz="6" w:space="0" w:color="414142"/>
              <w:right w:val="outset" w:sz="6" w:space="0" w:color="414142"/>
            </w:tcBorders>
            <w:shd w:val="clear" w:color="auto" w:fill="C0C0C0"/>
            <w:hideMark/>
          </w:tcPr>
          <w:p w14:paraId="0462386E"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hAnsi="Times New Roman"/>
                <w:noProof/>
                <w:lang w:val="en-US"/>
              </w:rPr>
              <w:t>End-user payments received by the public electricity trader in the previous calendar year which compensate the public trader for the costs specified in Section 28, Paragraph five, Section 28.</w:t>
            </w:r>
            <w:r w:rsidRPr="005C1D23">
              <w:rPr>
                <w:rFonts w:ascii="Times New Roman" w:hAnsi="Times New Roman"/>
                <w:noProof/>
                <w:vertAlign w:val="superscript"/>
                <w:lang w:val="en-US"/>
              </w:rPr>
              <w:t>1</w:t>
            </w:r>
            <w:r w:rsidRPr="005C1D23">
              <w:rPr>
                <w:rFonts w:ascii="Times New Roman" w:hAnsi="Times New Roman"/>
                <w:noProof/>
                <w:lang w:val="en-US"/>
              </w:rPr>
              <w:t>, Paragraph four, Section 30, Paragraph three, Section 30.</w:t>
            </w:r>
            <w:r w:rsidRPr="005C1D23">
              <w:rPr>
                <w:rFonts w:ascii="Times New Roman" w:hAnsi="Times New Roman"/>
                <w:noProof/>
                <w:vertAlign w:val="superscript"/>
                <w:lang w:val="en-US"/>
              </w:rPr>
              <w:t>2</w:t>
            </w:r>
            <w:r w:rsidRPr="005C1D23">
              <w:rPr>
                <w:rFonts w:ascii="Times New Roman" w:hAnsi="Times New Roman"/>
                <w:noProof/>
                <w:lang w:val="en-US"/>
              </w:rPr>
              <w:t>, Paragraph three and Paragraph 53 of the Transitional Provisions of the Electricity Market Law</w:t>
            </w:r>
          </w:p>
        </w:tc>
        <w:tc>
          <w:tcPr>
            <w:tcW w:w="1890" w:type="pct"/>
            <w:gridSpan w:val="2"/>
            <w:tcBorders>
              <w:top w:val="outset" w:sz="6" w:space="0" w:color="414142"/>
              <w:left w:val="outset" w:sz="6" w:space="0" w:color="414142"/>
              <w:bottom w:val="single" w:sz="6" w:space="0" w:color="414142"/>
              <w:right w:val="outset" w:sz="6" w:space="0" w:color="414142"/>
            </w:tcBorders>
            <w:shd w:val="clear" w:color="auto" w:fill="C0C0C0"/>
            <w:hideMark/>
          </w:tcPr>
          <w:p w14:paraId="471B8F4E" w14:textId="77777777" w:rsidR="005C1D23" w:rsidRPr="005C1D23" w:rsidRDefault="005C1D23" w:rsidP="00126864">
            <w:pPr>
              <w:spacing w:after="0" w:line="240" w:lineRule="auto"/>
              <w:jc w:val="both"/>
              <w:rPr>
                <w:rFonts w:ascii="Times New Roman" w:hAnsi="Times New Roman"/>
                <w:noProof/>
                <w:lang w:val="en-US"/>
              </w:rPr>
            </w:pPr>
            <w:r w:rsidRPr="005C1D23">
              <w:rPr>
                <w:rFonts w:ascii="Times New Roman" w:hAnsi="Times New Roman"/>
                <w:noProof/>
                <w:lang w:val="en-US"/>
              </w:rPr>
              <w:t> </w:t>
            </w:r>
          </w:p>
        </w:tc>
        <w:tc>
          <w:tcPr>
            <w:tcW w:w="722" w:type="pct"/>
            <w:tcBorders>
              <w:top w:val="outset" w:sz="6" w:space="0" w:color="414142"/>
              <w:left w:val="outset" w:sz="6" w:space="0" w:color="414142"/>
              <w:bottom w:val="single" w:sz="6" w:space="0" w:color="414142"/>
              <w:right w:val="outset" w:sz="6" w:space="0" w:color="414142"/>
            </w:tcBorders>
            <w:shd w:val="clear" w:color="auto" w:fill="C0C0C0"/>
            <w:vAlign w:val="center"/>
            <w:hideMark/>
          </w:tcPr>
          <w:p w14:paraId="075577C9" w14:textId="77777777" w:rsidR="005C1D23" w:rsidRPr="005C1D23" w:rsidRDefault="005C1D23" w:rsidP="00126864">
            <w:pPr>
              <w:spacing w:after="0" w:line="240" w:lineRule="auto"/>
              <w:jc w:val="center"/>
              <w:rPr>
                <w:rFonts w:ascii="Times New Roman" w:hAnsi="Times New Roman"/>
                <w:b/>
                <w:noProof/>
                <w:lang w:val="en-US"/>
              </w:rPr>
            </w:pPr>
            <w:r w:rsidRPr="005C1D23">
              <w:rPr>
                <w:rFonts w:ascii="Times New Roman" w:hAnsi="Times New Roman"/>
                <w:b/>
                <w:noProof/>
                <w:lang w:val="en-US"/>
              </w:rPr>
              <w:t>0.2</w:t>
            </w:r>
          </w:p>
        </w:tc>
        <w:tc>
          <w:tcPr>
            <w:tcW w:w="921" w:type="pct"/>
            <w:tcBorders>
              <w:top w:val="outset" w:sz="6" w:space="0" w:color="414142"/>
              <w:left w:val="outset" w:sz="6" w:space="0" w:color="414142"/>
              <w:bottom w:val="single" w:sz="6" w:space="0" w:color="414142"/>
              <w:right w:val="outset" w:sz="6" w:space="0" w:color="414142"/>
            </w:tcBorders>
            <w:shd w:val="clear" w:color="auto" w:fill="C0C0C0"/>
            <w:hideMark/>
          </w:tcPr>
          <w:p w14:paraId="74E10254" w14:textId="77777777" w:rsidR="005C1D23" w:rsidRPr="005C1D23" w:rsidRDefault="005C1D23" w:rsidP="00126864">
            <w:pPr>
              <w:spacing w:after="0" w:line="240" w:lineRule="auto"/>
              <w:jc w:val="both"/>
              <w:rPr>
                <w:rFonts w:ascii="Times New Roman" w:eastAsia="Times New Roman" w:hAnsi="Times New Roman" w:cs="Times New Roman"/>
                <w:noProof/>
                <w:lang w:val="en-US" w:eastAsia="lv-LV"/>
              </w:rPr>
            </w:pPr>
          </w:p>
        </w:tc>
      </w:tr>
    </w:tbl>
    <w:p w14:paraId="1F4446F5"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156"/>
        <w:gridCol w:w="122"/>
        <w:gridCol w:w="426"/>
        <w:gridCol w:w="283"/>
        <w:gridCol w:w="564"/>
        <w:gridCol w:w="285"/>
        <w:gridCol w:w="1275"/>
        <w:gridCol w:w="851"/>
        <w:gridCol w:w="4109"/>
      </w:tblGrid>
      <w:tr w:rsidR="005C1D23" w:rsidRPr="005C1D23" w14:paraId="40375422" w14:textId="77777777" w:rsidTr="00126864">
        <w:tc>
          <w:tcPr>
            <w:tcW w:w="637" w:type="pct"/>
            <w:vAlign w:val="bottom"/>
            <w:hideMark/>
          </w:tcPr>
          <w:p w14:paraId="1962E8D1"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Date</w:t>
            </w:r>
          </w:p>
        </w:tc>
        <w:tc>
          <w:tcPr>
            <w:tcW w:w="302" w:type="pct"/>
            <w:gridSpan w:val="2"/>
            <w:tcBorders>
              <w:bottom w:val="single" w:sz="4" w:space="0" w:color="auto"/>
            </w:tcBorders>
            <w:hideMark/>
          </w:tcPr>
          <w:p w14:paraId="028A5C2B"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156" w:type="pct"/>
            <w:vAlign w:val="center"/>
          </w:tcPr>
          <w:p w14:paraId="10FE809E"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w:t>
            </w:r>
          </w:p>
        </w:tc>
        <w:tc>
          <w:tcPr>
            <w:tcW w:w="311" w:type="pct"/>
            <w:tcBorders>
              <w:bottom w:val="single" w:sz="4" w:space="0" w:color="auto"/>
            </w:tcBorders>
            <w:vAlign w:val="center"/>
          </w:tcPr>
          <w:p w14:paraId="0E98DA36"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157" w:type="pct"/>
            <w:vAlign w:val="center"/>
            <w:hideMark/>
          </w:tcPr>
          <w:p w14:paraId="18F80590"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w:t>
            </w:r>
          </w:p>
        </w:tc>
        <w:tc>
          <w:tcPr>
            <w:tcW w:w="703" w:type="pct"/>
            <w:tcBorders>
              <w:bottom w:val="single" w:sz="4" w:space="0" w:color="auto"/>
            </w:tcBorders>
            <w:vAlign w:val="bottom"/>
            <w:hideMark/>
          </w:tcPr>
          <w:p w14:paraId="7DFA24C6"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734" w:type="pct"/>
            <w:gridSpan w:val="2"/>
            <w:vAlign w:val="center"/>
          </w:tcPr>
          <w:p w14:paraId="0061BA5E"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w:t>
            </w:r>
          </w:p>
        </w:tc>
      </w:tr>
      <w:tr w:rsidR="005C1D23" w:rsidRPr="005C1D23" w14:paraId="355EC66E" w14:textId="77777777" w:rsidTr="00126864">
        <w:tc>
          <w:tcPr>
            <w:tcW w:w="637" w:type="pct"/>
          </w:tcPr>
          <w:p w14:paraId="25A367BC"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Pr>
          <w:p w14:paraId="08CF4ED3"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140F989F"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1E53B342" w14:textId="77777777" w:rsidTr="00126864">
        <w:tc>
          <w:tcPr>
            <w:tcW w:w="2735" w:type="pct"/>
            <w:gridSpan w:val="8"/>
            <w:hideMark/>
          </w:tcPr>
          <w:p w14:paraId="0FEF4C6C"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Person entitled to represent the merchant</w:t>
            </w:r>
          </w:p>
        </w:tc>
        <w:tc>
          <w:tcPr>
            <w:tcW w:w="2265" w:type="pct"/>
            <w:tcBorders>
              <w:bottom w:val="single" w:sz="4" w:space="0" w:color="auto"/>
            </w:tcBorders>
            <w:vAlign w:val="center"/>
          </w:tcPr>
          <w:p w14:paraId="6A537245"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011A891B" w14:textId="77777777" w:rsidTr="00126864">
        <w:tc>
          <w:tcPr>
            <w:tcW w:w="637" w:type="pct"/>
          </w:tcPr>
          <w:p w14:paraId="0C10BDED"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Pr>
          <w:p w14:paraId="7952E37E"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hideMark/>
          </w:tcPr>
          <w:p w14:paraId="7BEE5407" w14:textId="77777777" w:rsidR="005C1D23" w:rsidRPr="005C1D23" w:rsidRDefault="005C1D23" w:rsidP="00126864">
            <w:pPr>
              <w:spacing w:after="0" w:line="240" w:lineRule="auto"/>
              <w:jc w:val="center"/>
              <w:rPr>
                <w:rFonts w:ascii="Times New Roman" w:hAnsi="Times New Roman"/>
                <w:noProof/>
                <w:sz w:val="24"/>
                <w:lang w:val="en-US"/>
              </w:rPr>
            </w:pPr>
            <w:r w:rsidRPr="005C1D23">
              <w:rPr>
                <w:rFonts w:ascii="Times New Roman" w:hAnsi="Times New Roman"/>
                <w:noProof/>
                <w:sz w:val="24"/>
                <w:lang w:val="en-US"/>
              </w:rPr>
              <w:t>/signature and full name thereof/</w:t>
            </w:r>
          </w:p>
        </w:tc>
      </w:tr>
      <w:tr w:rsidR="005C1D23" w:rsidRPr="005C1D23" w14:paraId="77928047" w14:textId="77777777" w:rsidTr="00126864">
        <w:tc>
          <w:tcPr>
            <w:tcW w:w="637" w:type="pct"/>
          </w:tcPr>
          <w:p w14:paraId="720A8E52"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Pr>
          <w:p w14:paraId="1A02E4DE"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7C12C813"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0F1EBBBA" w14:textId="77777777" w:rsidTr="00126864">
        <w:tc>
          <w:tcPr>
            <w:tcW w:w="637" w:type="pct"/>
            <w:tcBorders>
              <w:bottom w:val="single" w:sz="4" w:space="0" w:color="auto"/>
            </w:tcBorders>
          </w:tcPr>
          <w:p w14:paraId="4A501BE7"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Borders>
              <w:bottom w:val="single" w:sz="4" w:space="0" w:color="auto"/>
            </w:tcBorders>
          </w:tcPr>
          <w:p w14:paraId="7E4B4D59"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29E346C5"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61D84D85" w14:textId="77777777" w:rsidTr="00126864">
        <w:tc>
          <w:tcPr>
            <w:tcW w:w="637" w:type="pct"/>
            <w:tcBorders>
              <w:top w:val="single" w:sz="4" w:space="0" w:color="auto"/>
            </w:tcBorders>
            <w:hideMark/>
          </w:tcPr>
          <w:p w14:paraId="29147EFA"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Borders>
              <w:top w:val="single" w:sz="4" w:space="0" w:color="auto"/>
            </w:tcBorders>
            <w:hideMark/>
          </w:tcPr>
          <w:p w14:paraId="1257FD56"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/given name, surname of the person who prepared the document/</w:t>
            </w:r>
          </w:p>
        </w:tc>
        <w:tc>
          <w:tcPr>
            <w:tcW w:w="2265" w:type="pct"/>
          </w:tcPr>
          <w:p w14:paraId="549E8EC7"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54F5E042" w14:textId="77777777" w:rsidTr="00126864">
        <w:tc>
          <w:tcPr>
            <w:tcW w:w="637" w:type="pct"/>
            <w:vAlign w:val="bottom"/>
            <w:hideMark/>
          </w:tcPr>
          <w:p w14:paraId="4222D05E"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telephone</w:t>
            </w:r>
          </w:p>
        </w:tc>
        <w:tc>
          <w:tcPr>
            <w:tcW w:w="67" w:type="pct"/>
          </w:tcPr>
          <w:p w14:paraId="4CA072F3"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31" w:type="pct"/>
            <w:gridSpan w:val="6"/>
            <w:tcBorders>
              <w:bottom w:val="single" w:sz="4" w:space="0" w:color="auto"/>
            </w:tcBorders>
            <w:vAlign w:val="bottom"/>
          </w:tcPr>
          <w:p w14:paraId="4266B516"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793DDA8A"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07980C3D" w14:textId="77777777" w:rsidTr="00126864">
        <w:tc>
          <w:tcPr>
            <w:tcW w:w="637" w:type="pct"/>
            <w:vAlign w:val="bottom"/>
          </w:tcPr>
          <w:p w14:paraId="77A93531"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67" w:type="pct"/>
          </w:tcPr>
          <w:p w14:paraId="316A8440"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31" w:type="pct"/>
            <w:gridSpan w:val="6"/>
            <w:tcBorders>
              <w:top w:val="single" w:sz="4" w:space="0" w:color="auto"/>
            </w:tcBorders>
            <w:vAlign w:val="bottom"/>
          </w:tcPr>
          <w:p w14:paraId="5E605102"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301097B0"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6B67F3CA" w14:textId="77777777" w:rsidTr="00126864">
        <w:tc>
          <w:tcPr>
            <w:tcW w:w="637" w:type="pct"/>
            <w:vAlign w:val="bottom"/>
            <w:hideMark/>
          </w:tcPr>
          <w:p w14:paraId="6F1A36B5"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e-mail</w:t>
            </w:r>
          </w:p>
        </w:tc>
        <w:tc>
          <w:tcPr>
            <w:tcW w:w="67" w:type="pct"/>
          </w:tcPr>
          <w:p w14:paraId="5BB1A095"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31" w:type="pct"/>
            <w:gridSpan w:val="6"/>
            <w:tcBorders>
              <w:bottom w:val="single" w:sz="4" w:space="0" w:color="auto"/>
            </w:tcBorders>
            <w:vAlign w:val="bottom"/>
          </w:tcPr>
          <w:p w14:paraId="486A6472"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349C4DF8"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bl>
    <w:p w14:paraId="0E007E47"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F920DE"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 Note. The details of the document “date” and “signature” need not be completed if the electronic document has been prepared in accordance with the laws and regulations regarding drawing up of electronic documents.</w:t>
      </w:r>
    </w:p>
    <w:p w14:paraId="476EAB88"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B753CC"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16BFAE" w14:textId="77777777" w:rsidR="005C1D23" w:rsidRPr="005C1D23" w:rsidRDefault="005C1D23" w:rsidP="005C1D23">
      <w:pPr>
        <w:shd w:val="clear" w:color="auto" w:fill="FFFFFF"/>
        <w:tabs>
          <w:tab w:val="left" w:pos="8222"/>
        </w:tabs>
        <w:spacing w:after="0" w:line="240" w:lineRule="auto"/>
        <w:jc w:val="both"/>
        <w:rPr>
          <w:rFonts w:ascii="Times New Roman" w:hAnsi="Times New Roman"/>
          <w:noProof/>
          <w:sz w:val="24"/>
          <w:lang w:val="en-US"/>
        </w:rPr>
      </w:pPr>
      <w:r w:rsidRPr="005C1D23">
        <w:rPr>
          <w:rFonts w:ascii="Times New Roman" w:hAnsi="Times New Roman"/>
          <w:noProof/>
          <w:sz w:val="24"/>
          <w:lang w:val="en-US"/>
        </w:rPr>
        <w:t>Chair of the Board of the Public Utilities Commission</w:t>
      </w:r>
      <w:r w:rsidRPr="005C1D23">
        <w:rPr>
          <w:rFonts w:ascii="Times New Roman" w:hAnsi="Times New Roman"/>
          <w:noProof/>
          <w:sz w:val="24"/>
          <w:lang w:val="en-US"/>
        </w:rPr>
        <w:tab/>
        <w:t>R. Irklis</w:t>
      </w:r>
    </w:p>
    <w:p w14:paraId="5AC458BE" w14:textId="77777777" w:rsidR="005C1D23" w:rsidRPr="005C1D23" w:rsidRDefault="005C1D23" w:rsidP="005C1D23">
      <w:pPr>
        <w:rPr>
          <w:noProof/>
          <w:lang w:val="en-US"/>
        </w:rPr>
      </w:pPr>
      <w:r w:rsidRPr="005C1D23">
        <w:rPr>
          <w:noProof/>
          <w:lang w:val="en-US"/>
        </w:rPr>
        <w:br w:type="page"/>
      </w:r>
    </w:p>
    <w:p w14:paraId="398D4565" w14:textId="77777777" w:rsidR="005C1D23" w:rsidRPr="005C1D23" w:rsidRDefault="005C1D23" w:rsidP="005C1D23">
      <w:pPr>
        <w:shd w:val="clear" w:color="auto" w:fill="FFFFFF"/>
        <w:spacing w:after="0" w:line="240" w:lineRule="auto"/>
        <w:jc w:val="right"/>
        <w:rPr>
          <w:rFonts w:ascii="Times New Roman" w:hAnsi="Times New Roman"/>
          <w:b/>
          <w:noProof/>
          <w:sz w:val="24"/>
          <w:lang w:val="en-US"/>
        </w:rPr>
      </w:pPr>
      <w:r w:rsidRPr="005C1D23">
        <w:rPr>
          <w:rFonts w:ascii="Times New Roman" w:hAnsi="Times New Roman"/>
          <w:b/>
          <w:noProof/>
          <w:sz w:val="24"/>
          <w:lang w:val="en-US"/>
        </w:rPr>
        <w:t>Annex 3</w:t>
      </w:r>
    </w:p>
    <w:p w14:paraId="7BABFB65" w14:textId="77777777" w:rsidR="005C1D23" w:rsidRPr="005C1D23" w:rsidRDefault="005C1D23" w:rsidP="005C1D23">
      <w:pPr>
        <w:shd w:val="clear" w:color="auto" w:fill="FFFFFF"/>
        <w:spacing w:after="0" w:line="240" w:lineRule="auto"/>
        <w:jc w:val="right"/>
        <w:rPr>
          <w:rFonts w:ascii="Times New Roman" w:hAnsi="Times New Roman"/>
          <w:noProof/>
          <w:sz w:val="24"/>
          <w:lang w:val="en-US"/>
        </w:rPr>
      </w:pPr>
      <w:r w:rsidRPr="005C1D23">
        <w:rPr>
          <w:rFonts w:ascii="Times New Roman" w:hAnsi="Times New Roman"/>
          <w:noProof/>
          <w:sz w:val="24"/>
          <w:lang w:val="en-US"/>
        </w:rPr>
        <w:t>Decision No. 1/42 of the Public Utilities Commission of 21 December 2017</w:t>
      </w:r>
      <w:bookmarkStart w:id="56" w:name="piel-783976"/>
      <w:bookmarkStart w:id="57" w:name="piel3"/>
      <w:bookmarkEnd w:id="56"/>
      <w:bookmarkEnd w:id="57"/>
    </w:p>
    <w:p w14:paraId="0FD84B61"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783973"/>
      <w:bookmarkStart w:id="59" w:name="n-783973"/>
      <w:bookmarkEnd w:id="58"/>
      <w:bookmarkEnd w:id="59"/>
    </w:p>
    <w:p w14:paraId="77D07B1D"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0FEE31" w14:textId="77777777" w:rsidR="005C1D23" w:rsidRPr="005C1D23" w:rsidRDefault="005C1D23" w:rsidP="005C1D23">
      <w:pPr>
        <w:shd w:val="clear" w:color="auto" w:fill="FFFFFF"/>
        <w:tabs>
          <w:tab w:val="left" w:leader="underscore" w:pos="5103"/>
        </w:tabs>
        <w:spacing w:after="0" w:line="240" w:lineRule="auto"/>
        <w:jc w:val="center"/>
        <w:rPr>
          <w:rFonts w:ascii="Times New Roman" w:hAnsi="Times New Roman"/>
          <w:b/>
          <w:noProof/>
          <w:sz w:val="28"/>
          <w:lang w:val="en-US"/>
        </w:rPr>
      </w:pPr>
      <w:r w:rsidRPr="005C1D23">
        <w:rPr>
          <w:rFonts w:ascii="Times New Roman" w:hAnsi="Times New Roman"/>
          <w:b/>
          <w:noProof/>
          <w:sz w:val="28"/>
          <w:lang w:val="en-US"/>
        </w:rPr>
        <w:t>Calculation of the State Fee of the Electricity System Owner for the Regulation of Public Utilities for the Year</w:t>
      </w:r>
    </w:p>
    <w:p w14:paraId="42317B95" w14:textId="77777777" w:rsidR="005C1D23" w:rsidRPr="005C1D23" w:rsidRDefault="005C1D23" w:rsidP="005C1D23">
      <w:pPr>
        <w:shd w:val="clear" w:color="auto" w:fill="FFFFFF"/>
        <w:spacing w:after="0" w:line="240" w:lineRule="auto"/>
        <w:jc w:val="center"/>
        <w:rPr>
          <w:rFonts w:ascii="Times New Roman" w:hAnsi="Times New Roman"/>
          <w:noProof/>
          <w:sz w:val="24"/>
          <w:lang w:val="en-US"/>
        </w:rPr>
      </w:pPr>
      <w:r w:rsidRPr="005C1D23">
        <w:rPr>
          <w:rFonts w:ascii="Times New Roman" w:hAnsi="Times New Roman"/>
          <w:noProof/>
          <w:sz w:val="24"/>
          <w:lang w:val="en-US"/>
        </w:rPr>
        <w:t>[27 May 2021]</w:t>
      </w:r>
    </w:p>
    <w:p w14:paraId="7F5EDC4A"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p>
    <w:p w14:paraId="753608ED"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rPr>
      </w:pPr>
    </w:p>
    <w:p w14:paraId="35016AA7" w14:textId="77777777" w:rsidR="005C1D23" w:rsidRPr="005C1D23" w:rsidRDefault="005C1D23" w:rsidP="005C1D23">
      <w:pPr>
        <w:rPr>
          <w:noProof/>
          <w:lang w:val="en-US"/>
        </w:rPr>
      </w:pPr>
      <w:r w:rsidRPr="005C1D23">
        <w:rPr>
          <w:noProof/>
          <w:lang w:val="en-US"/>
        </w:rPr>
        <w:br w:type="page"/>
      </w:r>
    </w:p>
    <w:p w14:paraId="12655A91" w14:textId="77777777" w:rsidR="005C1D23" w:rsidRPr="005C1D23" w:rsidRDefault="005C1D23" w:rsidP="005C1D23">
      <w:pPr>
        <w:shd w:val="clear" w:color="auto" w:fill="FFFFFF"/>
        <w:spacing w:after="0" w:line="240" w:lineRule="auto"/>
        <w:jc w:val="right"/>
        <w:rPr>
          <w:rFonts w:ascii="Times New Roman" w:hAnsi="Times New Roman"/>
          <w:b/>
          <w:noProof/>
          <w:sz w:val="24"/>
          <w:lang w:val="en-US"/>
        </w:rPr>
      </w:pPr>
      <w:r w:rsidRPr="005C1D23">
        <w:rPr>
          <w:rFonts w:ascii="Times New Roman" w:hAnsi="Times New Roman"/>
          <w:b/>
          <w:noProof/>
          <w:sz w:val="24"/>
          <w:lang w:val="en-US"/>
        </w:rPr>
        <w:t>Annex 4</w:t>
      </w:r>
    </w:p>
    <w:p w14:paraId="5550349B" w14:textId="77777777" w:rsidR="005C1D23" w:rsidRPr="005C1D23" w:rsidRDefault="005C1D23" w:rsidP="005C1D23">
      <w:pPr>
        <w:shd w:val="clear" w:color="auto" w:fill="FFFFFF"/>
        <w:spacing w:after="0" w:line="240" w:lineRule="auto"/>
        <w:jc w:val="right"/>
        <w:rPr>
          <w:rFonts w:ascii="Times New Roman" w:hAnsi="Times New Roman"/>
          <w:noProof/>
          <w:sz w:val="24"/>
          <w:lang w:val="en-US"/>
        </w:rPr>
      </w:pPr>
      <w:r w:rsidRPr="005C1D23">
        <w:rPr>
          <w:rFonts w:ascii="Times New Roman" w:hAnsi="Times New Roman"/>
          <w:noProof/>
          <w:sz w:val="24"/>
          <w:lang w:val="en-US"/>
        </w:rPr>
        <w:t>Decision No. 1/42 of the Public Utilities Commission of 21 December 2017</w:t>
      </w:r>
      <w:bookmarkStart w:id="60" w:name="piel-783977"/>
      <w:bookmarkStart w:id="61" w:name="piel4"/>
      <w:bookmarkEnd w:id="60"/>
      <w:bookmarkEnd w:id="61"/>
    </w:p>
    <w:p w14:paraId="00FF068A" w14:textId="77777777" w:rsidR="005C1D23" w:rsidRPr="005C1D23" w:rsidRDefault="005C1D23" w:rsidP="005C1D23">
      <w:pPr>
        <w:shd w:val="clear" w:color="auto" w:fill="FFFFFF"/>
        <w:spacing w:after="0" w:line="240" w:lineRule="auto"/>
        <w:jc w:val="right"/>
        <w:rPr>
          <w:rFonts w:ascii="Times New Roman" w:eastAsia="Times New Roman" w:hAnsi="Times New Roman" w:cs="Times New Roman"/>
          <w:noProof/>
          <w:sz w:val="24"/>
          <w:szCs w:val="24"/>
          <w:lang w:val="en-US"/>
        </w:rPr>
      </w:pPr>
      <w:r w:rsidRPr="005C1D23">
        <w:rPr>
          <w:rFonts w:ascii="Times New Roman" w:hAnsi="Times New Roman"/>
          <w:noProof/>
          <w:sz w:val="24"/>
          <w:lang w:val="en-US"/>
        </w:rPr>
        <w:t>[</w:t>
      </w:r>
      <w:r w:rsidRPr="005C1D23">
        <w:rPr>
          <w:rFonts w:ascii="Times New Roman" w:hAnsi="Times New Roman"/>
          <w:i/>
          <w:iCs/>
          <w:noProof/>
          <w:sz w:val="24"/>
          <w:lang w:val="en-US"/>
        </w:rPr>
        <w:t>27 May 2021</w:t>
      </w:r>
      <w:r w:rsidRPr="005C1D23">
        <w:rPr>
          <w:rFonts w:ascii="Times New Roman" w:hAnsi="Times New Roman"/>
          <w:noProof/>
          <w:sz w:val="24"/>
          <w:lang w:val="en-US"/>
        </w:rPr>
        <w:t>]</w:t>
      </w:r>
    </w:p>
    <w:p w14:paraId="52AA82A5"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783978"/>
      <w:bookmarkStart w:id="63" w:name="n-783978"/>
      <w:bookmarkEnd w:id="62"/>
      <w:bookmarkEnd w:id="63"/>
    </w:p>
    <w:p w14:paraId="7262DBB7"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593F6BD" w14:textId="77777777" w:rsidR="005C1D23" w:rsidRPr="005C1D23" w:rsidRDefault="005C1D23" w:rsidP="005C1D23">
      <w:pPr>
        <w:shd w:val="clear" w:color="auto" w:fill="FFFFFF"/>
        <w:tabs>
          <w:tab w:val="left" w:leader="underscore" w:pos="3402"/>
        </w:tabs>
        <w:spacing w:after="0" w:line="240" w:lineRule="auto"/>
        <w:jc w:val="center"/>
        <w:rPr>
          <w:rFonts w:ascii="Times New Roman" w:hAnsi="Times New Roman"/>
          <w:b/>
          <w:noProof/>
          <w:sz w:val="28"/>
          <w:lang w:val="en-US"/>
        </w:rPr>
      </w:pPr>
      <w:r w:rsidRPr="005C1D23">
        <w:rPr>
          <w:rFonts w:ascii="Times New Roman" w:hAnsi="Times New Roman"/>
          <w:b/>
          <w:noProof/>
          <w:sz w:val="28"/>
          <w:lang w:val="en-US"/>
        </w:rPr>
        <w:t>Calculation of the State Fee of the Deposit System Operator for the Regulation of Public Utilities for the Year</w:t>
      </w:r>
    </w:p>
    <w:p w14:paraId="286D82DC"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41EF5E"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812"/>
        <w:gridCol w:w="4243"/>
      </w:tblGrid>
      <w:tr w:rsidR="005C1D23" w:rsidRPr="005C1D23" w14:paraId="20661190" w14:textId="77777777" w:rsidTr="00126864">
        <w:tc>
          <w:tcPr>
            <w:tcW w:w="2657"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58889A86"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Name of the deposit system operator</w:t>
            </w:r>
          </w:p>
        </w:tc>
        <w:tc>
          <w:tcPr>
            <w:tcW w:w="2343" w:type="pct"/>
            <w:tcBorders>
              <w:top w:val="outset" w:sz="6" w:space="0" w:color="414142"/>
              <w:left w:val="outset" w:sz="6" w:space="0" w:color="414142"/>
              <w:bottom w:val="outset" w:sz="6" w:space="0" w:color="414142"/>
              <w:right w:val="outset" w:sz="6" w:space="0" w:color="414142"/>
            </w:tcBorders>
          </w:tcPr>
          <w:p w14:paraId="0B9CFB6C"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eastAsia="lv-LV"/>
              </w:rPr>
            </w:pPr>
          </w:p>
        </w:tc>
      </w:tr>
      <w:tr w:rsidR="005C1D23" w:rsidRPr="005C1D23" w14:paraId="506B23C0" w14:textId="77777777" w:rsidTr="00126864">
        <w:tc>
          <w:tcPr>
            <w:tcW w:w="2657"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06BC850D"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Unified registration number</w:t>
            </w:r>
          </w:p>
        </w:tc>
        <w:tc>
          <w:tcPr>
            <w:tcW w:w="2343" w:type="pct"/>
            <w:tcBorders>
              <w:top w:val="outset" w:sz="6" w:space="0" w:color="414142"/>
              <w:left w:val="outset" w:sz="6" w:space="0" w:color="414142"/>
              <w:bottom w:val="outset" w:sz="6" w:space="0" w:color="414142"/>
              <w:right w:val="outset" w:sz="6" w:space="0" w:color="414142"/>
            </w:tcBorders>
          </w:tcPr>
          <w:p w14:paraId="0948FEFF"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eastAsia="lv-LV"/>
              </w:rPr>
            </w:pPr>
          </w:p>
        </w:tc>
      </w:tr>
      <w:tr w:rsidR="005C1D23" w:rsidRPr="005C1D23" w14:paraId="099322B7" w14:textId="77777777" w:rsidTr="00126864">
        <w:tc>
          <w:tcPr>
            <w:tcW w:w="2657"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39474F8C"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Restricted access information (mark as appropriate)</w:t>
            </w:r>
          </w:p>
        </w:tc>
        <w:tc>
          <w:tcPr>
            <w:tcW w:w="2343" w:type="pct"/>
            <w:tcBorders>
              <w:top w:val="outset" w:sz="6" w:space="0" w:color="414142"/>
              <w:left w:val="outset" w:sz="6" w:space="0" w:color="414142"/>
              <w:bottom w:val="outset" w:sz="6" w:space="0" w:color="414142"/>
              <w:right w:val="outset" w:sz="6" w:space="0" w:color="414142"/>
            </w:tcBorders>
            <w:hideMark/>
          </w:tcPr>
          <w:p w14:paraId="7FC37CAE"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rPr>
            </w:pPr>
            <w:r w:rsidRPr="005C1D23">
              <w:rPr>
                <w:rFonts w:ascii="Times New Roman" w:eastAsia="Times New Roman" w:hAnsi="Times New Roman" w:cs="Times New Roman"/>
                <w:noProof/>
                <w:sz w:val="24"/>
                <w:szCs w:val="24"/>
                <w:lang w:val="en-US"/>
              </w:rPr>
              <w:drawing>
                <wp:inline distT="0" distB="0" distL="0" distR="0" wp14:anchorId="38B27B08" wp14:editId="3226B05C">
                  <wp:extent cx="127000" cy="127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5C1D23" w:rsidRPr="005C1D23" w14:paraId="5259DBA2" w14:textId="77777777" w:rsidTr="00126864">
        <w:tc>
          <w:tcPr>
            <w:tcW w:w="2657" w:type="pct"/>
            <w:tcBorders>
              <w:top w:val="outset" w:sz="6" w:space="0" w:color="414142"/>
              <w:left w:val="outset" w:sz="6" w:space="0" w:color="414142"/>
              <w:bottom w:val="single" w:sz="6" w:space="0" w:color="414142"/>
              <w:right w:val="outset" w:sz="6" w:space="0" w:color="414142"/>
            </w:tcBorders>
            <w:shd w:val="clear" w:color="auto" w:fill="C0C0C0"/>
            <w:vAlign w:val="center"/>
            <w:hideMark/>
          </w:tcPr>
          <w:p w14:paraId="6CA77190" w14:textId="77777777" w:rsidR="005C1D23" w:rsidRPr="005C1D23" w:rsidRDefault="005C1D23" w:rsidP="00126864">
            <w:pPr>
              <w:spacing w:after="0" w:line="240" w:lineRule="auto"/>
              <w:jc w:val="both"/>
              <w:rPr>
                <w:rFonts w:ascii="Times New Roman" w:hAnsi="Times New Roman"/>
                <w:b/>
                <w:noProof/>
                <w:sz w:val="24"/>
                <w:lang w:val="en-US"/>
              </w:rPr>
            </w:pPr>
            <w:r w:rsidRPr="005C1D23">
              <w:rPr>
                <w:rFonts w:ascii="Times New Roman" w:hAnsi="Times New Roman"/>
                <w:b/>
                <w:noProof/>
                <w:sz w:val="24"/>
                <w:lang w:val="en-US"/>
              </w:rPr>
              <w:t>Grounds of the deposit system operator for determining the status of restricted access</w:t>
            </w:r>
          </w:p>
        </w:tc>
        <w:tc>
          <w:tcPr>
            <w:tcW w:w="2343" w:type="pct"/>
            <w:tcBorders>
              <w:top w:val="outset" w:sz="6" w:space="0" w:color="414142"/>
              <w:left w:val="outset" w:sz="6" w:space="0" w:color="414142"/>
              <w:bottom w:val="outset" w:sz="6" w:space="0" w:color="414142"/>
              <w:right w:val="outset" w:sz="6" w:space="0" w:color="414142"/>
            </w:tcBorders>
            <w:hideMark/>
          </w:tcPr>
          <w:p w14:paraId="6EBC8C28" w14:textId="77777777" w:rsidR="005C1D23" w:rsidRPr="005C1D23" w:rsidRDefault="005C1D23" w:rsidP="00126864">
            <w:pPr>
              <w:spacing w:after="0" w:line="240" w:lineRule="auto"/>
              <w:jc w:val="center"/>
              <w:rPr>
                <w:rFonts w:ascii="Times New Roman" w:eastAsia="Times New Roman" w:hAnsi="Times New Roman" w:cs="Times New Roman"/>
                <w:noProof/>
                <w:sz w:val="24"/>
                <w:szCs w:val="24"/>
                <w:lang w:val="en-US" w:eastAsia="lv-LV"/>
              </w:rPr>
            </w:pPr>
          </w:p>
        </w:tc>
      </w:tr>
    </w:tbl>
    <w:p w14:paraId="5C4BAE7E"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30"/>
        <w:gridCol w:w="258"/>
        <w:gridCol w:w="3091"/>
        <w:gridCol w:w="1308"/>
        <w:gridCol w:w="1668"/>
      </w:tblGrid>
      <w:tr w:rsidR="005C1D23" w:rsidRPr="005C1D23" w14:paraId="395D695E" w14:textId="77777777" w:rsidTr="00126864">
        <w:trPr>
          <w:trHeight w:val="240"/>
        </w:trPr>
        <w:tc>
          <w:tcPr>
            <w:tcW w:w="1507" w:type="pct"/>
            <w:tcBorders>
              <w:top w:val="outset" w:sz="6" w:space="0" w:color="414142"/>
              <w:left w:val="outset" w:sz="6" w:space="0" w:color="414142"/>
              <w:bottom w:val="outset" w:sz="6" w:space="0" w:color="414142"/>
              <w:right w:val="outset" w:sz="6" w:space="0" w:color="414142"/>
            </w:tcBorders>
            <w:vAlign w:val="center"/>
            <w:hideMark/>
          </w:tcPr>
          <w:p w14:paraId="5E71ED0A"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1.</w:t>
            </w:r>
          </w:p>
        </w:tc>
        <w:tc>
          <w:tcPr>
            <w:tcW w:w="1849" w:type="pct"/>
            <w:gridSpan w:val="2"/>
            <w:tcBorders>
              <w:top w:val="outset" w:sz="6" w:space="0" w:color="414142"/>
              <w:left w:val="outset" w:sz="6" w:space="0" w:color="414142"/>
              <w:bottom w:val="outset" w:sz="6" w:space="0" w:color="414142"/>
              <w:right w:val="outset" w:sz="6" w:space="0" w:color="414142"/>
            </w:tcBorders>
            <w:vAlign w:val="center"/>
            <w:hideMark/>
          </w:tcPr>
          <w:p w14:paraId="539F8D98"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2.</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2B07EED1"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3.</w:t>
            </w:r>
          </w:p>
        </w:tc>
        <w:tc>
          <w:tcPr>
            <w:tcW w:w="921" w:type="pct"/>
            <w:tcBorders>
              <w:top w:val="outset" w:sz="6" w:space="0" w:color="414142"/>
              <w:left w:val="outset" w:sz="6" w:space="0" w:color="414142"/>
              <w:bottom w:val="outset" w:sz="6" w:space="0" w:color="414142"/>
              <w:right w:val="outset" w:sz="6" w:space="0" w:color="414142"/>
            </w:tcBorders>
            <w:vAlign w:val="center"/>
            <w:hideMark/>
          </w:tcPr>
          <w:p w14:paraId="6A617F4C"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4.</w:t>
            </w:r>
          </w:p>
        </w:tc>
      </w:tr>
      <w:tr w:rsidR="005C1D23" w:rsidRPr="005C1D23" w14:paraId="134F46B1" w14:textId="77777777" w:rsidTr="00126864">
        <w:trPr>
          <w:trHeight w:val="240"/>
        </w:trPr>
        <w:tc>
          <w:tcPr>
            <w:tcW w:w="1507" w:type="pct"/>
            <w:vMerge w:val="restart"/>
            <w:tcBorders>
              <w:top w:val="outset" w:sz="6" w:space="0" w:color="414142"/>
              <w:left w:val="outset" w:sz="6" w:space="0" w:color="414142"/>
              <w:bottom w:val="outset" w:sz="6" w:space="0" w:color="414142"/>
              <w:right w:val="outset" w:sz="6" w:space="0" w:color="414142"/>
            </w:tcBorders>
            <w:vAlign w:val="center"/>
            <w:hideMark/>
          </w:tcPr>
          <w:p w14:paraId="4F9FFE0F" w14:textId="77777777" w:rsidR="005C1D23" w:rsidRPr="005C1D23" w:rsidRDefault="005C1D23" w:rsidP="00126864">
            <w:pPr>
              <w:spacing w:after="0" w:line="240" w:lineRule="auto"/>
              <w:jc w:val="center"/>
              <w:rPr>
                <w:rFonts w:ascii="Times New Roman" w:hAnsi="Times New Roman"/>
                <w:b/>
                <w:noProof/>
                <w:lang w:val="en-US"/>
              </w:rPr>
            </w:pPr>
            <w:r w:rsidRPr="005C1D23">
              <w:rPr>
                <w:rFonts w:ascii="Times New Roman" w:hAnsi="Times New Roman"/>
                <w:b/>
                <w:noProof/>
                <w:lang w:val="en-US"/>
              </w:rPr>
              <w:t>Object of the State fee for the regulation of public utilities</w:t>
            </w:r>
          </w:p>
        </w:tc>
        <w:tc>
          <w:tcPr>
            <w:tcW w:w="142" w:type="pct"/>
            <w:tcBorders>
              <w:top w:val="outset" w:sz="6" w:space="0" w:color="414142"/>
              <w:left w:val="outset" w:sz="6" w:space="0" w:color="414142"/>
              <w:bottom w:val="outset" w:sz="6" w:space="0" w:color="414142"/>
              <w:right w:val="outset" w:sz="6" w:space="0" w:color="414142"/>
            </w:tcBorders>
            <w:hideMark/>
          </w:tcPr>
          <w:p w14:paraId="47E26728" w14:textId="77777777" w:rsidR="005C1D23" w:rsidRPr="005C1D23" w:rsidRDefault="005C1D23" w:rsidP="00126864">
            <w:pPr>
              <w:spacing w:after="0" w:line="240" w:lineRule="auto"/>
              <w:jc w:val="both"/>
              <w:rPr>
                <w:rFonts w:ascii="Times New Roman" w:eastAsia="Times New Roman" w:hAnsi="Times New Roman" w:cs="Times New Roman"/>
                <w:noProof/>
                <w:lang w:val="en-US" w:eastAsia="lv-LV"/>
              </w:rPr>
            </w:pPr>
          </w:p>
        </w:tc>
        <w:tc>
          <w:tcPr>
            <w:tcW w:w="1707" w:type="pct"/>
            <w:tcBorders>
              <w:top w:val="outset" w:sz="6" w:space="0" w:color="414142"/>
              <w:left w:val="outset" w:sz="6" w:space="0" w:color="414142"/>
              <w:bottom w:val="outset" w:sz="6" w:space="0" w:color="414142"/>
              <w:right w:val="outset" w:sz="6" w:space="0" w:color="414142"/>
            </w:tcBorders>
            <w:hideMark/>
          </w:tcPr>
          <w:p w14:paraId="539C3DF9" w14:textId="77777777" w:rsidR="005C1D23" w:rsidRPr="005C1D23" w:rsidRDefault="005C1D23" w:rsidP="00126864">
            <w:pPr>
              <w:spacing w:after="0" w:line="240" w:lineRule="auto"/>
              <w:jc w:val="both"/>
              <w:rPr>
                <w:rFonts w:ascii="Times New Roman" w:hAnsi="Times New Roman"/>
                <w:b/>
                <w:noProof/>
                <w:lang w:val="en-US"/>
              </w:rPr>
            </w:pPr>
            <w:r w:rsidRPr="005C1D23">
              <w:rPr>
                <w:rFonts w:ascii="Times New Roman" w:hAnsi="Times New Roman"/>
                <w:b/>
                <w:noProof/>
                <w:lang w:val="en-US"/>
              </w:rPr>
              <w:t>Amount of deposit payment received by the deposit system operator</w:t>
            </w:r>
          </w:p>
          <w:p w14:paraId="2C026E7F" w14:textId="77777777" w:rsidR="005C1D23" w:rsidRPr="005C1D23" w:rsidRDefault="005C1D23" w:rsidP="00126864">
            <w:pPr>
              <w:spacing w:after="0" w:line="240" w:lineRule="auto"/>
              <w:jc w:val="both"/>
              <w:rPr>
                <w:rFonts w:ascii="Times New Roman" w:hAnsi="Times New Roman"/>
                <w:noProof/>
                <w:lang w:val="en-US"/>
              </w:rPr>
            </w:pPr>
            <w:r w:rsidRPr="005C1D23">
              <w:rPr>
                <w:rFonts w:ascii="Times New Roman" w:hAnsi="Times New Roman"/>
                <w:noProof/>
                <w:lang w:val="en-US"/>
              </w:rPr>
              <w:t>(mark as appropriate)</w:t>
            </w:r>
          </w:p>
        </w:tc>
        <w:tc>
          <w:tcPr>
            <w:tcW w:w="722" w:type="pct"/>
            <w:vMerge w:val="restart"/>
            <w:tcBorders>
              <w:top w:val="outset" w:sz="6" w:space="0" w:color="414142"/>
              <w:left w:val="outset" w:sz="6" w:space="0" w:color="414142"/>
              <w:bottom w:val="outset" w:sz="6" w:space="0" w:color="414142"/>
              <w:right w:val="outset" w:sz="6" w:space="0" w:color="414142"/>
            </w:tcBorders>
            <w:vAlign w:val="center"/>
            <w:hideMark/>
          </w:tcPr>
          <w:p w14:paraId="7455CD55" w14:textId="77777777" w:rsidR="005C1D23" w:rsidRPr="005C1D23" w:rsidRDefault="005C1D23" w:rsidP="00126864">
            <w:pPr>
              <w:spacing w:after="0" w:line="240" w:lineRule="auto"/>
              <w:jc w:val="center"/>
              <w:rPr>
                <w:rFonts w:ascii="Times New Roman" w:hAnsi="Times New Roman"/>
                <w:b/>
                <w:noProof/>
                <w:lang w:val="en-US"/>
              </w:rPr>
            </w:pPr>
            <w:r w:rsidRPr="005C1D23">
              <w:rPr>
                <w:rFonts w:ascii="Times New Roman" w:hAnsi="Times New Roman"/>
                <w:b/>
                <w:noProof/>
                <w:lang w:val="en-US"/>
              </w:rPr>
              <w:t>Rate of State fee for the regulation of public utilities</w:t>
            </w:r>
          </w:p>
          <w:p w14:paraId="1AB335DC" w14:textId="77777777" w:rsidR="005C1D23" w:rsidRPr="005C1D23" w:rsidRDefault="005C1D23" w:rsidP="00126864">
            <w:pPr>
              <w:spacing w:after="0" w:line="240" w:lineRule="auto"/>
              <w:jc w:val="center"/>
              <w:rPr>
                <w:rFonts w:ascii="Times New Roman" w:hAnsi="Times New Roman"/>
                <w:noProof/>
                <w:lang w:val="en-US"/>
              </w:rPr>
            </w:pPr>
            <w:r w:rsidRPr="005C1D23">
              <w:rPr>
                <w:rFonts w:ascii="Times New Roman" w:hAnsi="Times New Roman"/>
                <w:noProof/>
                <w:lang w:val="en-US"/>
              </w:rPr>
              <w:t>(%)</w:t>
            </w:r>
          </w:p>
        </w:tc>
        <w:tc>
          <w:tcPr>
            <w:tcW w:w="921" w:type="pct"/>
            <w:vMerge w:val="restart"/>
            <w:tcBorders>
              <w:top w:val="outset" w:sz="6" w:space="0" w:color="414142"/>
              <w:left w:val="outset" w:sz="6" w:space="0" w:color="414142"/>
              <w:bottom w:val="outset" w:sz="6" w:space="0" w:color="414142"/>
              <w:right w:val="outset" w:sz="6" w:space="0" w:color="414142"/>
            </w:tcBorders>
            <w:vAlign w:val="center"/>
            <w:hideMark/>
          </w:tcPr>
          <w:p w14:paraId="6825F5B0" w14:textId="77777777" w:rsidR="005C1D23" w:rsidRPr="005C1D23" w:rsidRDefault="005C1D23" w:rsidP="00126864">
            <w:pPr>
              <w:spacing w:after="0" w:line="240" w:lineRule="auto"/>
              <w:jc w:val="center"/>
              <w:rPr>
                <w:rFonts w:ascii="Times New Roman" w:eastAsia="Times New Roman" w:hAnsi="Times New Roman" w:cs="Times New Roman"/>
                <w:noProof/>
                <w:lang w:val="en-US"/>
              </w:rPr>
            </w:pPr>
            <w:r w:rsidRPr="005C1D23">
              <w:rPr>
                <w:rFonts w:ascii="Times New Roman" w:hAnsi="Times New Roman"/>
                <w:b/>
                <w:bCs/>
                <w:noProof/>
                <w:lang w:val="en-US"/>
              </w:rPr>
              <w:t>Calculated State fee for the regulation of public utilities</w:t>
            </w:r>
            <w:r w:rsidRPr="005C1D23">
              <w:rPr>
                <w:rFonts w:ascii="Times New Roman" w:hAnsi="Times New Roman"/>
                <w:noProof/>
                <w:lang w:val="en-US"/>
              </w:rPr>
              <w:t xml:space="preserve"> (EUR)</w:t>
            </w:r>
          </w:p>
        </w:tc>
      </w:tr>
      <w:tr w:rsidR="005C1D23" w:rsidRPr="005C1D23" w14:paraId="7D9D8DFA" w14:textId="77777777" w:rsidTr="0012686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57C166" w14:textId="77777777" w:rsidR="005C1D23" w:rsidRPr="005C1D23" w:rsidRDefault="005C1D23" w:rsidP="00126864">
            <w:pPr>
              <w:spacing w:after="0" w:line="240" w:lineRule="auto"/>
              <w:jc w:val="both"/>
              <w:rPr>
                <w:rFonts w:ascii="Times New Roman" w:eastAsia="Times New Roman" w:hAnsi="Times New Roman" w:cs="Times New Roman"/>
                <w:b/>
                <w:bCs/>
                <w:noProof/>
                <w:lang w:val="en-US" w:eastAsia="lv-LV"/>
              </w:rPr>
            </w:pPr>
          </w:p>
        </w:tc>
        <w:tc>
          <w:tcPr>
            <w:tcW w:w="142" w:type="pct"/>
            <w:tcBorders>
              <w:top w:val="outset" w:sz="6" w:space="0" w:color="414142"/>
              <w:left w:val="outset" w:sz="6" w:space="0" w:color="414142"/>
              <w:bottom w:val="outset" w:sz="6" w:space="0" w:color="414142"/>
              <w:right w:val="outset" w:sz="6" w:space="0" w:color="414142"/>
            </w:tcBorders>
            <w:vAlign w:val="center"/>
            <w:hideMark/>
          </w:tcPr>
          <w:p w14:paraId="38A362BC"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eastAsia="Times New Roman" w:hAnsi="Times New Roman" w:cs="Times New Roman"/>
                <w:noProof/>
                <w:lang w:val="en-US"/>
              </w:rPr>
              <w:drawing>
                <wp:inline distT="0" distB="0" distL="0" distR="0" wp14:anchorId="11488AB9" wp14:editId="26FE91C2">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707" w:type="pct"/>
            <w:tcBorders>
              <w:top w:val="outset" w:sz="6" w:space="0" w:color="414142"/>
              <w:left w:val="outset" w:sz="6" w:space="0" w:color="414142"/>
              <w:bottom w:val="outset" w:sz="6" w:space="0" w:color="414142"/>
              <w:right w:val="outset" w:sz="6" w:space="0" w:color="414142"/>
            </w:tcBorders>
            <w:hideMark/>
          </w:tcPr>
          <w:p w14:paraId="6F0FA9B9"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hAnsi="Times New Roman"/>
                <w:noProof/>
                <w:lang w:val="en-US"/>
              </w:rPr>
              <w:t xml:space="preserve">Planned amount of deposit fee received in the </w:t>
            </w:r>
            <w:r w:rsidRPr="005C1D23">
              <w:rPr>
                <w:rFonts w:ascii="Times New Roman" w:hAnsi="Times New Roman"/>
                <w:b/>
                <w:bCs/>
                <w:noProof/>
                <w:lang w:val="en-US"/>
              </w:rPr>
              <w:t xml:space="preserve">first </w:t>
            </w:r>
            <w:r w:rsidRPr="005C1D23">
              <w:rPr>
                <w:rFonts w:ascii="Times New Roman" w:hAnsi="Times New Roman"/>
                <w:noProof/>
                <w:lang w:val="en-US"/>
              </w:rPr>
              <w:t>calendar year of the provision of public utilities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EF1FD5" w14:textId="77777777" w:rsidR="005C1D23" w:rsidRPr="005C1D23" w:rsidRDefault="005C1D23" w:rsidP="00126864">
            <w:pPr>
              <w:spacing w:after="0" w:line="240" w:lineRule="auto"/>
              <w:jc w:val="center"/>
              <w:rPr>
                <w:rFonts w:ascii="Times New Roman" w:eastAsia="Times New Roman" w:hAnsi="Times New Roman" w:cs="Times New Roman"/>
                <w:noProof/>
                <w:lang w:val="en-US"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EA51182" w14:textId="77777777" w:rsidR="005C1D23" w:rsidRPr="005C1D23" w:rsidRDefault="005C1D23" w:rsidP="00126864">
            <w:pPr>
              <w:spacing w:after="0" w:line="240" w:lineRule="auto"/>
              <w:jc w:val="center"/>
              <w:rPr>
                <w:rFonts w:ascii="Times New Roman" w:eastAsia="Times New Roman" w:hAnsi="Times New Roman" w:cs="Times New Roman"/>
                <w:noProof/>
                <w:lang w:val="en-US" w:eastAsia="lv-LV"/>
              </w:rPr>
            </w:pPr>
          </w:p>
        </w:tc>
      </w:tr>
      <w:tr w:rsidR="005C1D23" w:rsidRPr="005C1D23" w14:paraId="013BBBFD" w14:textId="77777777" w:rsidTr="0012686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5CA349" w14:textId="77777777" w:rsidR="005C1D23" w:rsidRPr="005C1D23" w:rsidRDefault="005C1D23" w:rsidP="00126864">
            <w:pPr>
              <w:spacing w:after="0" w:line="240" w:lineRule="auto"/>
              <w:jc w:val="both"/>
              <w:rPr>
                <w:rFonts w:ascii="Times New Roman" w:eastAsia="Times New Roman" w:hAnsi="Times New Roman" w:cs="Times New Roman"/>
                <w:b/>
                <w:bCs/>
                <w:noProof/>
                <w:lang w:val="en-US" w:eastAsia="lv-LV"/>
              </w:rPr>
            </w:pPr>
          </w:p>
        </w:tc>
        <w:tc>
          <w:tcPr>
            <w:tcW w:w="142" w:type="pct"/>
            <w:tcBorders>
              <w:top w:val="outset" w:sz="6" w:space="0" w:color="414142"/>
              <w:left w:val="outset" w:sz="6" w:space="0" w:color="414142"/>
              <w:bottom w:val="outset" w:sz="6" w:space="0" w:color="414142"/>
              <w:right w:val="outset" w:sz="6" w:space="0" w:color="414142"/>
            </w:tcBorders>
            <w:vAlign w:val="center"/>
            <w:hideMark/>
          </w:tcPr>
          <w:p w14:paraId="1CF0FDEA"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eastAsia="Times New Roman" w:hAnsi="Times New Roman" w:cs="Times New Roman"/>
                <w:noProof/>
                <w:lang w:val="en-US"/>
              </w:rPr>
              <w:drawing>
                <wp:inline distT="0" distB="0" distL="0" distR="0" wp14:anchorId="0F2A7BF2" wp14:editId="6BE1BCCA">
                  <wp:extent cx="127000" cy="127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707" w:type="pct"/>
            <w:tcBorders>
              <w:top w:val="outset" w:sz="6" w:space="0" w:color="414142"/>
              <w:left w:val="outset" w:sz="6" w:space="0" w:color="414142"/>
              <w:bottom w:val="outset" w:sz="6" w:space="0" w:color="414142"/>
              <w:right w:val="outset" w:sz="6" w:space="0" w:color="414142"/>
            </w:tcBorders>
            <w:hideMark/>
          </w:tcPr>
          <w:p w14:paraId="6449BE0A"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hAnsi="Times New Roman"/>
                <w:noProof/>
                <w:lang w:val="en-US"/>
              </w:rPr>
              <w:t xml:space="preserve">Forecast amount of the deposit fee received in the </w:t>
            </w:r>
            <w:r w:rsidRPr="005C1D23">
              <w:rPr>
                <w:rFonts w:ascii="Times New Roman" w:hAnsi="Times New Roman"/>
                <w:b/>
                <w:bCs/>
                <w:noProof/>
                <w:lang w:val="en-US"/>
              </w:rPr>
              <w:t xml:space="preserve">previous </w:t>
            </w:r>
            <w:r w:rsidRPr="005C1D23">
              <w:rPr>
                <w:rFonts w:ascii="Times New Roman" w:hAnsi="Times New Roman"/>
                <w:noProof/>
                <w:lang w:val="en-US"/>
              </w:rPr>
              <w:t>calendar year</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C0C8322" w14:textId="77777777" w:rsidR="005C1D23" w:rsidRPr="005C1D23" w:rsidRDefault="005C1D23" w:rsidP="00126864">
            <w:pPr>
              <w:spacing w:after="0" w:line="240" w:lineRule="auto"/>
              <w:jc w:val="center"/>
              <w:rPr>
                <w:rFonts w:ascii="Times New Roman" w:eastAsia="Times New Roman" w:hAnsi="Times New Roman" w:cs="Times New Roman"/>
                <w:noProof/>
                <w:lang w:val="en-US"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70FB913" w14:textId="77777777" w:rsidR="005C1D23" w:rsidRPr="005C1D23" w:rsidRDefault="005C1D23" w:rsidP="00126864">
            <w:pPr>
              <w:spacing w:after="0" w:line="240" w:lineRule="auto"/>
              <w:jc w:val="center"/>
              <w:rPr>
                <w:rFonts w:ascii="Times New Roman" w:eastAsia="Times New Roman" w:hAnsi="Times New Roman" w:cs="Times New Roman"/>
                <w:noProof/>
                <w:lang w:val="en-US" w:eastAsia="lv-LV"/>
              </w:rPr>
            </w:pPr>
          </w:p>
        </w:tc>
      </w:tr>
      <w:tr w:rsidR="005C1D23" w:rsidRPr="005C1D23" w14:paraId="7C8B3F06" w14:textId="77777777" w:rsidTr="0012686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BA78138" w14:textId="77777777" w:rsidR="005C1D23" w:rsidRPr="005C1D23" w:rsidRDefault="005C1D23" w:rsidP="00126864">
            <w:pPr>
              <w:spacing w:after="0" w:line="240" w:lineRule="auto"/>
              <w:jc w:val="both"/>
              <w:rPr>
                <w:rFonts w:ascii="Times New Roman" w:eastAsia="Times New Roman" w:hAnsi="Times New Roman" w:cs="Times New Roman"/>
                <w:b/>
                <w:bCs/>
                <w:noProof/>
                <w:lang w:val="en-US" w:eastAsia="lv-LV"/>
              </w:rPr>
            </w:pPr>
          </w:p>
        </w:tc>
        <w:tc>
          <w:tcPr>
            <w:tcW w:w="142" w:type="pct"/>
            <w:tcBorders>
              <w:top w:val="outset" w:sz="6" w:space="0" w:color="414142"/>
              <w:left w:val="outset" w:sz="6" w:space="0" w:color="414142"/>
              <w:bottom w:val="outset" w:sz="6" w:space="0" w:color="414142"/>
              <w:right w:val="outset" w:sz="6" w:space="0" w:color="414142"/>
            </w:tcBorders>
            <w:vAlign w:val="center"/>
            <w:hideMark/>
          </w:tcPr>
          <w:p w14:paraId="141536E9"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eastAsia="Times New Roman" w:hAnsi="Times New Roman" w:cs="Times New Roman"/>
                <w:noProof/>
                <w:lang w:val="en-US"/>
              </w:rPr>
              <w:drawing>
                <wp:inline distT="0" distB="0" distL="0" distR="0" wp14:anchorId="4E149555" wp14:editId="06B1B2C7">
                  <wp:extent cx="127000" cy="127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707" w:type="pct"/>
            <w:tcBorders>
              <w:top w:val="outset" w:sz="6" w:space="0" w:color="414142"/>
              <w:left w:val="outset" w:sz="6" w:space="0" w:color="414142"/>
              <w:bottom w:val="outset" w:sz="6" w:space="0" w:color="414142"/>
              <w:right w:val="outset" w:sz="6" w:space="0" w:color="414142"/>
            </w:tcBorders>
            <w:hideMark/>
          </w:tcPr>
          <w:p w14:paraId="0CE84783" w14:textId="77777777" w:rsidR="005C1D23" w:rsidRPr="005C1D23" w:rsidRDefault="005C1D23" w:rsidP="00126864">
            <w:pPr>
              <w:spacing w:after="0" w:line="240" w:lineRule="auto"/>
              <w:jc w:val="both"/>
              <w:rPr>
                <w:rFonts w:ascii="Times New Roman" w:eastAsia="Times New Roman" w:hAnsi="Times New Roman" w:cs="Times New Roman"/>
                <w:noProof/>
                <w:lang w:val="en-US"/>
              </w:rPr>
            </w:pPr>
            <w:r w:rsidRPr="005C1D23">
              <w:rPr>
                <w:rFonts w:ascii="Times New Roman" w:hAnsi="Times New Roman"/>
                <w:noProof/>
                <w:lang w:val="en-US"/>
              </w:rPr>
              <w:t xml:space="preserve">Actual amount of the deposit fee received in the </w:t>
            </w:r>
            <w:r w:rsidRPr="005C1D23">
              <w:rPr>
                <w:rFonts w:ascii="Times New Roman" w:hAnsi="Times New Roman"/>
                <w:b/>
                <w:bCs/>
                <w:noProof/>
                <w:lang w:val="en-US"/>
              </w:rPr>
              <w:t xml:space="preserve">previous </w:t>
            </w:r>
            <w:r w:rsidRPr="005C1D23">
              <w:rPr>
                <w:rFonts w:ascii="Times New Roman" w:hAnsi="Times New Roman"/>
                <w:noProof/>
                <w:lang w:val="en-US"/>
              </w:rPr>
              <w:t>calendar year</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0C2F47" w14:textId="77777777" w:rsidR="005C1D23" w:rsidRPr="005C1D23" w:rsidRDefault="005C1D23" w:rsidP="00126864">
            <w:pPr>
              <w:spacing w:after="0" w:line="240" w:lineRule="auto"/>
              <w:jc w:val="center"/>
              <w:rPr>
                <w:rFonts w:ascii="Times New Roman" w:eastAsia="Times New Roman" w:hAnsi="Times New Roman" w:cs="Times New Roman"/>
                <w:noProof/>
                <w:lang w:val="en-US"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C7E8398" w14:textId="77777777" w:rsidR="005C1D23" w:rsidRPr="005C1D23" w:rsidRDefault="005C1D23" w:rsidP="00126864">
            <w:pPr>
              <w:spacing w:after="0" w:line="240" w:lineRule="auto"/>
              <w:jc w:val="center"/>
              <w:rPr>
                <w:rFonts w:ascii="Times New Roman" w:eastAsia="Times New Roman" w:hAnsi="Times New Roman" w:cs="Times New Roman"/>
                <w:noProof/>
                <w:lang w:val="en-US" w:eastAsia="lv-LV"/>
              </w:rPr>
            </w:pPr>
          </w:p>
        </w:tc>
      </w:tr>
      <w:tr w:rsidR="005C1D23" w:rsidRPr="005C1D23" w14:paraId="210E7D65" w14:textId="77777777" w:rsidTr="00126864">
        <w:trPr>
          <w:trHeight w:val="240"/>
        </w:trPr>
        <w:tc>
          <w:tcPr>
            <w:tcW w:w="1507" w:type="pct"/>
            <w:tcBorders>
              <w:top w:val="outset" w:sz="6" w:space="0" w:color="414142"/>
              <w:left w:val="outset" w:sz="6" w:space="0" w:color="414142"/>
              <w:bottom w:val="outset" w:sz="6" w:space="0" w:color="414142"/>
              <w:right w:val="outset" w:sz="6" w:space="0" w:color="414142"/>
            </w:tcBorders>
            <w:shd w:val="clear" w:color="auto" w:fill="C0C0C0"/>
            <w:hideMark/>
          </w:tcPr>
          <w:p w14:paraId="04FDBD19" w14:textId="77777777" w:rsidR="005C1D23" w:rsidRPr="005C1D23" w:rsidRDefault="005C1D23" w:rsidP="00126864">
            <w:pPr>
              <w:spacing w:after="0" w:line="240" w:lineRule="auto"/>
              <w:jc w:val="both"/>
              <w:rPr>
                <w:rFonts w:ascii="Times New Roman" w:hAnsi="Times New Roman"/>
                <w:b/>
                <w:noProof/>
                <w:lang w:val="en-US"/>
              </w:rPr>
            </w:pPr>
            <w:r w:rsidRPr="005C1D23">
              <w:rPr>
                <w:rFonts w:ascii="Times New Roman" w:hAnsi="Times New Roman"/>
                <w:b/>
                <w:noProof/>
                <w:lang w:val="en-US"/>
              </w:rPr>
              <w:t>Deposit fee received by the deposit system operator in the previous calendar year</w:t>
            </w:r>
          </w:p>
        </w:tc>
        <w:tc>
          <w:tcPr>
            <w:tcW w:w="1849" w:type="pct"/>
            <w:gridSpan w:val="2"/>
            <w:tcBorders>
              <w:top w:val="outset" w:sz="6" w:space="0" w:color="414142"/>
              <w:left w:val="outset" w:sz="6" w:space="0" w:color="414142"/>
              <w:bottom w:val="outset" w:sz="6" w:space="0" w:color="414142"/>
              <w:right w:val="outset" w:sz="6" w:space="0" w:color="414142"/>
            </w:tcBorders>
            <w:shd w:val="clear" w:color="auto" w:fill="C0C0C0"/>
            <w:hideMark/>
          </w:tcPr>
          <w:p w14:paraId="154C1B90" w14:textId="77777777" w:rsidR="005C1D23" w:rsidRPr="005C1D23" w:rsidRDefault="005C1D23" w:rsidP="00126864">
            <w:pPr>
              <w:spacing w:after="0" w:line="240" w:lineRule="auto"/>
              <w:jc w:val="both"/>
              <w:rPr>
                <w:rFonts w:ascii="Times New Roman" w:hAnsi="Times New Roman"/>
                <w:noProof/>
                <w:lang w:val="en-US"/>
              </w:rPr>
            </w:pPr>
            <w:r w:rsidRPr="005C1D23">
              <w:rPr>
                <w:rFonts w:ascii="Times New Roman" w:hAnsi="Times New Roman"/>
                <w:noProof/>
                <w:lang w:val="en-US"/>
              </w:rPr>
              <w:t> </w:t>
            </w:r>
          </w:p>
        </w:tc>
        <w:tc>
          <w:tcPr>
            <w:tcW w:w="722"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23CA0EA0" w14:textId="77777777" w:rsidR="005C1D23" w:rsidRPr="005C1D23" w:rsidRDefault="005C1D23" w:rsidP="00126864">
            <w:pPr>
              <w:spacing w:after="0" w:line="240" w:lineRule="auto"/>
              <w:jc w:val="center"/>
              <w:rPr>
                <w:rFonts w:ascii="Times New Roman" w:hAnsi="Times New Roman"/>
                <w:b/>
                <w:noProof/>
                <w:lang w:val="en-US"/>
              </w:rPr>
            </w:pPr>
            <w:r w:rsidRPr="005C1D23">
              <w:rPr>
                <w:rFonts w:ascii="Times New Roman" w:hAnsi="Times New Roman"/>
                <w:b/>
                <w:noProof/>
                <w:lang w:val="en-US"/>
              </w:rPr>
              <w:t>0.2</w:t>
            </w:r>
          </w:p>
        </w:tc>
        <w:tc>
          <w:tcPr>
            <w:tcW w:w="921" w:type="pct"/>
            <w:tcBorders>
              <w:top w:val="outset" w:sz="6" w:space="0" w:color="414142"/>
              <w:left w:val="outset" w:sz="6" w:space="0" w:color="414142"/>
              <w:bottom w:val="outset" w:sz="6" w:space="0" w:color="414142"/>
              <w:right w:val="outset" w:sz="6" w:space="0" w:color="414142"/>
            </w:tcBorders>
            <w:shd w:val="clear" w:color="auto" w:fill="C0C0C0"/>
            <w:hideMark/>
          </w:tcPr>
          <w:p w14:paraId="199FC327" w14:textId="77777777" w:rsidR="005C1D23" w:rsidRPr="005C1D23" w:rsidRDefault="005C1D23" w:rsidP="00126864">
            <w:pPr>
              <w:spacing w:after="0" w:line="240" w:lineRule="auto"/>
              <w:jc w:val="center"/>
              <w:rPr>
                <w:rFonts w:ascii="Times New Roman" w:eastAsia="Times New Roman" w:hAnsi="Times New Roman" w:cs="Times New Roman"/>
                <w:noProof/>
                <w:lang w:val="en-US" w:eastAsia="lv-LV"/>
              </w:rPr>
            </w:pPr>
          </w:p>
        </w:tc>
      </w:tr>
    </w:tbl>
    <w:p w14:paraId="43ED5772"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156"/>
        <w:gridCol w:w="122"/>
        <w:gridCol w:w="426"/>
        <w:gridCol w:w="283"/>
        <w:gridCol w:w="564"/>
        <w:gridCol w:w="285"/>
        <w:gridCol w:w="1275"/>
        <w:gridCol w:w="851"/>
        <w:gridCol w:w="4109"/>
      </w:tblGrid>
      <w:tr w:rsidR="005C1D23" w:rsidRPr="005C1D23" w14:paraId="353D2D02" w14:textId="77777777" w:rsidTr="00126864">
        <w:tc>
          <w:tcPr>
            <w:tcW w:w="637" w:type="pct"/>
            <w:vAlign w:val="bottom"/>
            <w:hideMark/>
          </w:tcPr>
          <w:p w14:paraId="03407C65"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Date</w:t>
            </w:r>
          </w:p>
        </w:tc>
        <w:tc>
          <w:tcPr>
            <w:tcW w:w="302" w:type="pct"/>
            <w:gridSpan w:val="2"/>
            <w:tcBorders>
              <w:bottom w:val="single" w:sz="4" w:space="0" w:color="auto"/>
            </w:tcBorders>
            <w:hideMark/>
          </w:tcPr>
          <w:p w14:paraId="5BF0E936"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156" w:type="pct"/>
            <w:vAlign w:val="center"/>
          </w:tcPr>
          <w:p w14:paraId="442F9124"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w:t>
            </w:r>
          </w:p>
        </w:tc>
        <w:tc>
          <w:tcPr>
            <w:tcW w:w="311" w:type="pct"/>
            <w:tcBorders>
              <w:bottom w:val="single" w:sz="4" w:space="0" w:color="auto"/>
            </w:tcBorders>
            <w:vAlign w:val="center"/>
          </w:tcPr>
          <w:p w14:paraId="6FDFD85C"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157" w:type="pct"/>
            <w:vAlign w:val="center"/>
            <w:hideMark/>
          </w:tcPr>
          <w:p w14:paraId="797C29CB"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w:t>
            </w:r>
          </w:p>
        </w:tc>
        <w:tc>
          <w:tcPr>
            <w:tcW w:w="703" w:type="pct"/>
            <w:tcBorders>
              <w:bottom w:val="single" w:sz="4" w:space="0" w:color="auto"/>
            </w:tcBorders>
            <w:vAlign w:val="bottom"/>
            <w:hideMark/>
          </w:tcPr>
          <w:p w14:paraId="2B5C5200"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734" w:type="pct"/>
            <w:gridSpan w:val="2"/>
            <w:vAlign w:val="center"/>
          </w:tcPr>
          <w:p w14:paraId="0FC28A38"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w:t>
            </w:r>
          </w:p>
        </w:tc>
      </w:tr>
      <w:tr w:rsidR="005C1D23" w:rsidRPr="005C1D23" w14:paraId="1F64251F" w14:textId="77777777" w:rsidTr="00126864">
        <w:tc>
          <w:tcPr>
            <w:tcW w:w="637" w:type="pct"/>
          </w:tcPr>
          <w:p w14:paraId="06F47514"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Pr>
          <w:p w14:paraId="6B3C4173"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01A7DA08"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095AC42D" w14:textId="77777777" w:rsidTr="00126864">
        <w:tc>
          <w:tcPr>
            <w:tcW w:w="2735" w:type="pct"/>
            <w:gridSpan w:val="8"/>
            <w:hideMark/>
          </w:tcPr>
          <w:p w14:paraId="5FF0E34A"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Person entitled to represent the merchant</w:t>
            </w:r>
          </w:p>
        </w:tc>
        <w:tc>
          <w:tcPr>
            <w:tcW w:w="2265" w:type="pct"/>
            <w:tcBorders>
              <w:bottom w:val="single" w:sz="4" w:space="0" w:color="auto"/>
            </w:tcBorders>
            <w:vAlign w:val="center"/>
          </w:tcPr>
          <w:p w14:paraId="374C68BC"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78B6CA31" w14:textId="77777777" w:rsidTr="00126864">
        <w:tc>
          <w:tcPr>
            <w:tcW w:w="637" w:type="pct"/>
          </w:tcPr>
          <w:p w14:paraId="7A249795"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Pr>
          <w:p w14:paraId="68D839E5"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hideMark/>
          </w:tcPr>
          <w:p w14:paraId="4A31EF51" w14:textId="77777777" w:rsidR="005C1D23" w:rsidRPr="005C1D23" w:rsidRDefault="005C1D23" w:rsidP="00126864">
            <w:pPr>
              <w:spacing w:after="0" w:line="240" w:lineRule="auto"/>
              <w:jc w:val="center"/>
              <w:rPr>
                <w:rFonts w:ascii="Times New Roman" w:hAnsi="Times New Roman"/>
                <w:noProof/>
                <w:sz w:val="24"/>
                <w:lang w:val="en-US"/>
              </w:rPr>
            </w:pPr>
            <w:r w:rsidRPr="005C1D23">
              <w:rPr>
                <w:rFonts w:ascii="Times New Roman" w:hAnsi="Times New Roman"/>
                <w:noProof/>
                <w:sz w:val="24"/>
                <w:lang w:val="en-US"/>
              </w:rPr>
              <w:t>/signature and full name thereof/</w:t>
            </w:r>
          </w:p>
        </w:tc>
      </w:tr>
      <w:tr w:rsidR="005C1D23" w:rsidRPr="005C1D23" w14:paraId="1B41F738" w14:textId="77777777" w:rsidTr="00126864">
        <w:tc>
          <w:tcPr>
            <w:tcW w:w="637" w:type="pct"/>
          </w:tcPr>
          <w:p w14:paraId="1777BCDA"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Pr>
          <w:p w14:paraId="6794C532"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515DEC60"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021129B9" w14:textId="77777777" w:rsidTr="00126864">
        <w:tc>
          <w:tcPr>
            <w:tcW w:w="637" w:type="pct"/>
            <w:tcBorders>
              <w:bottom w:val="single" w:sz="4" w:space="0" w:color="auto"/>
            </w:tcBorders>
          </w:tcPr>
          <w:p w14:paraId="4CB5D8BD"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Borders>
              <w:bottom w:val="single" w:sz="4" w:space="0" w:color="auto"/>
            </w:tcBorders>
          </w:tcPr>
          <w:p w14:paraId="7748A9BE"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39A4CB1F"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79321BDA" w14:textId="77777777" w:rsidTr="00126864">
        <w:tc>
          <w:tcPr>
            <w:tcW w:w="637" w:type="pct"/>
            <w:tcBorders>
              <w:top w:val="single" w:sz="4" w:space="0" w:color="auto"/>
            </w:tcBorders>
            <w:hideMark/>
          </w:tcPr>
          <w:p w14:paraId="677A604B"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98" w:type="pct"/>
            <w:gridSpan w:val="7"/>
            <w:tcBorders>
              <w:top w:val="single" w:sz="4" w:space="0" w:color="auto"/>
            </w:tcBorders>
            <w:hideMark/>
          </w:tcPr>
          <w:p w14:paraId="5CCCFF07"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/given name, surname of the person who prepared the document/</w:t>
            </w:r>
          </w:p>
        </w:tc>
        <w:tc>
          <w:tcPr>
            <w:tcW w:w="2265" w:type="pct"/>
          </w:tcPr>
          <w:p w14:paraId="3F60A1F5"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79AC95AD" w14:textId="77777777" w:rsidTr="00126864">
        <w:tc>
          <w:tcPr>
            <w:tcW w:w="637" w:type="pct"/>
            <w:vAlign w:val="bottom"/>
            <w:hideMark/>
          </w:tcPr>
          <w:p w14:paraId="126370F6"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telephone</w:t>
            </w:r>
          </w:p>
        </w:tc>
        <w:tc>
          <w:tcPr>
            <w:tcW w:w="67" w:type="pct"/>
          </w:tcPr>
          <w:p w14:paraId="0BF13D1A"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31" w:type="pct"/>
            <w:gridSpan w:val="6"/>
            <w:tcBorders>
              <w:bottom w:val="single" w:sz="4" w:space="0" w:color="auto"/>
            </w:tcBorders>
            <w:vAlign w:val="bottom"/>
          </w:tcPr>
          <w:p w14:paraId="40C1B69B"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62873FEF"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6200A478" w14:textId="77777777" w:rsidTr="00126864">
        <w:tc>
          <w:tcPr>
            <w:tcW w:w="637" w:type="pct"/>
            <w:vAlign w:val="bottom"/>
          </w:tcPr>
          <w:p w14:paraId="6CF71697"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67" w:type="pct"/>
          </w:tcPr>
          <w:p w14:paraId="5E2A8BBA"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31" w:type="pct"/>
            <w:gridSpan w:val="6"/>
            <w:tcBorders>
              <w:top w:val="single" w:sz="4" w:space="0" w:color="auto"/>
            </w:tcBorders>
            <w:vAlign w:val="bottom"/>
          </w:tcPr>
          <w:p w14:paraId="213F3590"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10F6AABC"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r w:rsidR="005C1D23" w:rsidRPr="005C1D23" w14:paraId="77B489F0" w14:textId="77777777" w:rsidTr="00126864">
        <w:tc>
          <w:tcPr>
            <w:tcW w:w="637" w:type="pct"/>
            <w:vAlign w:val="bottom"/>
            <w:hideMark/>
          </w:tcPr>
          <w:p w14:paraId="4DB275F2" w14:textId="77777777" w:rsidR="005C1D23" w:rsidRPr="005C1D23" w:rsidRDefault="005C1D23" w:rsidP="00126864">
            <w:pPr>
              <w:spacing w:after="0" w:line="240" w:lineRule="auto"/>
              <w:jc w:val="both"/>
              <w:rPr>
                <w:rFonts w:ascii="Times New Roman" w:hAnsi="Times New Roman"/>
                <w:noProof/>
                <w:sz w:val="24"/>
                <w:lang w:val="en-US"/>
              </w:rPr>
            </w:pPr>
            <w:r w:rsidRPr="005C1D23">
              <w:rPr>
                <w:rFonts w:ascii="Times New Roman" w:hAnsi="Times New Roman"/>
                <w:noProof/>
                <w:sz w:val="24"/>
                <w:lang w:val="en-US"/>
              </w:rPr>
              <w:t>e-mail</w:t>
            </w:r>
          </w:p>
        </w:tc>
        <w:tc>
          <w:tcPr>
            <w:tcW w:w="67" w:type="pct"/>
          </w:tcPr>
          <w:p w14:paraId="5263A366"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031" w:type="pct"/>
            <w:gridSpan w:val="6"/>
            <w:tcBorders>
              <w:bottom w:val="single" w:sz="4" w:space="0" w:color="auto"/>
            </w:tcBorders>
            <w:vAlign w:val="bottom"/>
          </w:tcPr>
          <w:p w14:paraId="53805BC4"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c>
          <w:tcPr>
            <w:tcW w:w="2265" w:type="pct"/>
          </w:tcPr>
          <w:p w14:paraId="7E4D54A0" w14:textId="77777777" w:rsidR="005C1D23" w:rsidRPr="005C1D23" w:rsidRDefault="005C1D23" w:rsidP="00126864">
            <w:pPr>
              <w:spacing w:after="0" w:line="240" w:lineRule="auto"/>
              <w:jc w:val="both"/>
              <w:rPr>
                <w:rFonts w:ascii="Times New Roman" w:eastAsia="Times New Roman" w:hAnsi="Times New Roman" w:cs="Times New Roman"/>
                <w:noProof/>
                <w:sz w:val="24"/>
                <w:szCs w:val="24"/>
                <w:lang w:val="en-US" w:eastAsia="lv-LV"/>
              </w:rPr>
            </w:pPr>
          </w:p>
        </w:tc>
      </w:tr>
    </w:tbl>
    <w:p w14:paraId="641CBA4A"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239DB2" w14:textId="77777777" w:rsidR="005C1D23" w:rsidRPr="005C1D23" w:rsidRDefault="005C1D23" w:rsidP="005C1D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659653" w14:textId="77777777" w:rsidR="005C1D23" w:rsidRPr="005C1D23" w:rsidRDefault="005C1D23" w:rsidP="005C1D23">
      <w:pPr>
        <w:shd w:val="clear" w:color="auto" w:fill="FFFFFF"/>
        <w:spacing w:after="0" w:line="240" w:lineRule="auto"/>
        <w:jc w:val="both"/>
        <w:rPr>
          <w:rFonts w:ascii="Times New Roman" w:hAnsi="Times New Roman"/>
          <w:noProof/>
          <w:sz w:val="24"/>
          <w:lang w:val="en-US"/>
        </w:rPr>
      </w:pPr>
      <w:r w:rsidRPr="005C1D23">
        <w:rPr>
          <w:rFonts w:ascii="Times New Roman" w:hAnsi="Times New Roman"/>
          <w:noProof/>
          <w:sz w:val="24"/>
          <w:lang w:val="en-US"/>
        </w:rPr>
        <w:t>* Note. The details of the document “date” and “signature” need not be completed if the electronic document has been prepared in accordance with the laws and regulations regarding drawing up of electronic documents.</w:t>
      </w:r>
    </w:p>
    <w:p w14:paraId="4644ADC4" w14:textId="77777777" w:rsidR="005C1D23" w:rsidRPr="005C1D23" w:rsidRDefault="005C1D23" w:rsidP="005C1D23">
      <w:pPr>
        <w:spacing w:after="0" w:line="240" w:lineRule="auto"/>
        <w:jc w:val="both"/>
        <w:rPr>
          <w:rFonts w:ascii="Times New Roman" w:hAnsi="Times New Roman" w:cs="Times New Roman"/>
          <w:noProof/>
          <w:sz w:val="24"/>
          <w:szCs w:val="24"/>
          <w:lang w:val="en-US"/>
        </w:rPr>
      </w:pPr>
    </w:p>
    <w:sectPr w:rsidR="005C1D23" w:rsidRPr="005C1D23" w:rsidSect="002375D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D702" w14:textId="77777777" w:rsidR="00E4483F" w:rsidRPr="005C1D23" w:rsidRDefault="00E4483F" w:rsidP="00F5556C">
      <w:pPr>
        <w:spacing w:after="0" w:line="240" w:lineRule="auto"/>
        <w:rPr>
          <w:noProof/>
          <w:lang w:val="en-US"/>
        </w:rPr>
      </w:pPr>
      <w:r w:rsidRPr="005C1D23">
        <w:rPr>
          <w:noProof/>
          <w:lang w:val="en-US"/>
        </w:rPr>
        <w:separator/>
      </w:r>
    </w:p>
  </w:endnote>
  <w:endnote w:type="continuationSeparator" w:id="0">
    <w:p w14:paraId="778269CB" w14:textId="77777777" w:rsidR="00E4483F" w:rsidRPr="005C1D23" w:rsidRDefault="00E4483F" w:rsidP="00F5556C">
      <w:pPr>
        <w:spacing w:after="0" w:line="240" w:lineRule="auto"/>
        <w:rPr>
          <w:noProof/>
          <w:lang w:val="en-US"/>
        </w:rPr>
      </w:pPr>
      <w:r w:rsidRPr="005C1D2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E7A0" w14:textId="77777777" w:rsidR="005C1D23" w:rsidRDefault="005C1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111" w14:textId="77777777" w:rsidR="00CE76D7" w:rsidRPr="005C1D23" w:rsidRDefault="00CE76D7" w:rsidP="00CE76D7">
    <w:pPr>
      <w:pStyle w:val="Footer"/>
      <w:tabs>
        <w:tab w:val="right" w:pos="9072"/>
      </w:tabs>
      <w:rPr>
        <w:rFonts w:ascii="Times New Roman" w:hAnsi="Times New Roman" w:cs="Times New Roman"/>
        <w:noProof/>
        <w:sz w:val="20"/>
        <w:szCs w:val="20"/>
        <w:lang w:val="en-US"/>
      </w:rPr>
    </w:pPr>
  </w:p>
  <w:p w14:paraId="443D3F9F" w14:textId="535323F7" w:rsidR="00E5035A" w:rsidRPr="005C1D23" w:rsidRDefault="00CE76D7" w:rsidP="00CE76D7">
    <w:pPr>
      <w:pStyle w:val="Footer"/>
      <w:tabs>
        <w:tab w:val="right" w:pos="9072"/>
      </w:tabs>
      <w:rPr>
        <w:rFonts w:ascii="Times New Roman" w:hAnsi="Times New Roman" w:cs="Times New Roman"/>
        <w:noProof/>
        <w:sz w:val="20"/>
        <w:szCs w:val="20"/>
        <w:lang w:val="en-US"/>
      </w:rPr>
    </w:pPr>
    <w:r w:rsidRPr="005C1D23">
      <w:rPr>
        <w:rFonts w:ascii="Times New Roman" w:hAnsi="Times New Roman" w:cs="Times New Roman"/>
        <w:noProof/>
        <w:sz w:val="20"/>
        <w:szCs w:val="20"/>
        <w:lang w:val="en-US"/>
      </w:rPr>
      <w:t xml:space="preserve">Translation </w:t>
    </w:r>
    <w:r w:rsidRPr="005C1D23">
      <w:rPr>
        <w:rFonts w:ascii="Times New Roman" w:hAnsi="Times New Roman" w:cs="Times New Roman"/>
        <w:noProof/>
        <w:sz w:val="20"/>
        <w:szCs w:val="20"/>
        <w:lang w:val="en-US"/>
      </w:rPr>
      <w:fldChar w:fldCharType="begin"/>
    </w:r>
    <w:r w:rsidRPr="005C1D23">
      <w:rPr>
        <w:rFonts w:ascii="Times New Roman" w:hAnsi="Times New Roman" w:cs="Times New Roman"/>
        <w:noProof/>
        <w:sz w:val="20"/>
        <w:szCs w:val="20"/>
        <w:lang w:val="en-US"/>
      </w:rPr>
      <w:instrText>symbol 169 \f "UnivrstyRoman TL" \s 8</w:instrText>
    </w:r>
    <w:r w:rsidRPr="005C1D23">
      <w:rPr>
        <w:rFonts w:ascii="Times New Roman" w:hAnsi="Times New Roman" w:cs="Times New Roman"/>
        <w:noProof/>
        <w:sz w:val="20"/>
        <w:szCs w:val="20"/>
        <w:lang w:val="en-US"/>
      </w:rPr>
      <w:fldChar w:fldCharType="separate"/>
    </w:r>
    <w:r w:rsidRPr="005C1D23">
      <w:rPr>
        <w:rFonts w:ascii="Times New Roman" w:hAnsi="Times New Roman" w:cs="Times New Roman"/>
        <w:noProof/>
        <w:sz w:val="20"/>
        <w:szCs w:val="20"/>
        <w:lang w:val="en-US"/>
      </w:rPr>
      <w:t>©</w:t>
    </w:r>
    <w:r w:rsidRPr="005C1D23">
      <w:rPr>
        <w:rFonts w:ascii="Times New Roman" w:hAnsi="Times New Roman" w:cs="Times New Roman"/>
        <w:noProof/>
        <w:sz w:val="20"/>
        <w:szCs w:val="20"/>
        <w:lang w:val="en-US"/>
      </w:rPr>
      <w:fldChar w:fldCharType="end"/>
    </w:r>
    <w:r w:rsidRPr="005C1D23">
      <w:rPr>
        <w:rFonts w:ascii="Times New Roman" w:hAnsi="Times New Roman" w:cs="Times New Roman"/>
        <w:noProof/>
        <w:sz w:val="20"/>
        <w:szCs w:val="20"/>
        <w:lang w:val="en-US"/>
      </w:rPr>
      <w:t xml:space="preserve"> 2023 Valsts valodas centrs (State Language Centre)</w:t>
    </w:r>
    <w:r w:rsidRPr="005C1D23">
      <w:rPr>
        <w:rFonts w:ascii="Times New Roman" w:hAnsi="Times New Roman" w:cs="Times New Roman"/>
        <w:noProof/>
        <w:sz w:val="20"/>
        <w:szCs w:val="20"/>
        <w:lang w:val="en-US"/>
      </w:rPr>
      <w:tab/>
    </w:r>
    <w:r w:rsidRPr="005C1D23">
      <w:rPr>
        <w:rStyle w:val="PageNumber"/>
        <w:rFonts w:ascii="Times New Roman" w:hAnsi="Times New Roman" w:cs="Times New Roman"/>
        <w:noProof/>
        <w:sz w:val="20"/>
        <w:szCs w:val="20"/>
        <w:lang w:val="en-US"/>
      </w:rPr>
      <w:fldChar w:fldCharType="begin"/>
    </w:r>
    <w:r w:rsidRPr="005C1D23">
      <w:rPr>
        <w:rStyle w:val="PageNumber"/>
        <w:rFonts w:ascii="Times New Roman" w:hAnsi="Times New Roman" w:cs="Times New Roman"/>
        <w:noProof/>
        <w:sz w:val="20"/>
        <w:szCs w:val="20"/>
        <w:lang w:val="en-US"/>
      </w:rPr>
      <w:instrText xml:space="preserve"> PAGE </w:instrText>
    </w:r>
    <w:r w:rsidRPr="005C1D23">
      <w:rPr>
        <w:rStyle w:val="PageNumber"/>
        <w:rFonts w:ascii="Times New Roman" w:hAnsi="Times New Roman" w:cs="Times New Roman"/>
        <w:noProof/>
        <w:sz w:val="20"/>
        <w:szCs w:val="20"/>
        <w:lang w:val="en-US"/>
      </w:rPr>
      <w:fldChar w:fldCharType="separate"/>
    </w:r>
    <w:r w:rsidRPr="005C1D23">
      <w:rPr>
        <w:rStyle w:val="PageNumber"/>
        <w:rFonts w:ascii="Times New Roman" w:hAnsi="Times New Roman" w:cs="Times New Roman"/>
        <w:noProof/>
        <w:sz w:val="20"/>
        <w:szCs w:val="20"/>
        <w:lang w:val="en-US"/>
      </w:rPr>
      <w:t>2</w:t>
    </w:r>
    <w:r w:rsidRPr="005C1D23">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0A02" w14:textId="77777777" w:rsidR="00013A99" w:rsidRPr="005C1D23" w:rsidRDefault="00013A99" w:rsidP="00013A99">
    <w:pPr>
      <w:pStyle w:val="Footer"/>
      <w:rPr>
        <w:rFonts w:ascii="Times New Roman" w:hAnsi="Times New Roman" w:cs="Times New Roman"/>
        <w:noProof/>
        <w:sz w:val="20"/>
        <w:szCs w:val="20"/>
        <w:lang w:val="en-US"/>
      </w:rPr>
    </w:pPr>
  </w:p>
  <w:p w14:paraId="2EF8790B" w14:textId="449D9FB1" w:rsidR="00E5035A" w:rsidRPr="005C1D23" w:rsidRDefault="00013A99">
    <w:pPr>
      <w:pStyle w:val="Footer"/>
      <w:rPr>
        <w:rFonts w:ascii="Times New Roman" w:hAnsi="Times New Roman" w:cs="Times New Roman"/>
        <w:noProof/>
        <w:sz w:val="20"/>
        <w:szCs w:val="20"/>
        <w:lang w:val="en-US"/>
      </w:rPr>
    </w:pPr>
    <w:r w:rsidRPr="005C1D23">
      <w:rPr>
        <w:rFonts w:ascii="Times New Roman" w:hAnsi="Times New Roman" w:cs="Times New Roman"/>
        <w:noProof/>
        <w:sz w:val="20"/>
        <w:szCs w:val="20"/>
        <w:lang w:val="en-US"/>
      </w:rPr>
      <w:t xml:space="preserve">Translation </w:t>
    </w:r>
    <w:r w:rsidRPr="005C1D23">
      <w:rPr>
        <w:rFonts w:ascii="Times New Roman" w:hAnsi="Times New Roman" w:cs="Times New Roman"/>
        <w:noProof/>
        <w:sz w:val="20"/>
        <w:szCs w:val="20"/>
        <w:lang w:val="en-US"/>
      </w:rPr>
      <w:fldChar w:fldCharType="begin"/>
    </w:r>
    <w:r w:rsidRPr="005C1D23">
      <w:rPr>
        <w:rFonts w:ascii="Times New Roman" w:hAnsi="Times New Roman" w:cs="Times New Roman"/>
        <w:noProof/>
        <w:sz w:val="20"/>
        <w:szCs w:val="20"/>
        <w:lang w:val="en-US"/>
      </w:rPr>
      <w:instrText>symbol 169 \f "UnivrstyRoman TL" \s 8</w:instrText>
    </w:r>
    <w:r w:rsidRPr="005C1D23">
      <w:rPr>
        <w:rFonts w:ascii="Times New Roman" w:hAnsi="Times New Roman" w:cs="Times New Roman"/>
        <w:noProof/>
        <w:sz w:val="20"/>
        <w:szCs w:val="20"/>
        <w:lang w:val="en-US"/>
      </w:rPr>
      <w:fldChar w:fldCharType="separate"/>
    </w:r>
    <w:r w:rsidRPr="005C1D23">
      <w:rPr>
        <w:rFonts w:ascii="Times New Roman" w:hAnsi="Times New Roman" w:cs="Times New Roman"/>
        <w:noProof/>
        <w:sz w:val="20"/>
        <w:szCs w:val="20"/>
        <w:lang w:val="en-US"/>
      </w:rPr>
      <w:t>©</w:t>
    </w:r>
    <w:r w:rsidRPr="005C1D23">
      <w:rPr>
        <w:rFonts w:ascii="Times New Roman" w:hAnsi="Times New Roman" w:cs="Times New Roman"/>
        <w:noProof/>
        <w:sz w:val="20"/>
        <w:szCs w:val="20"/>
        <w:lang w:val="en-US"/>
      </w:rPr>
      <w:fldChar w:fldCharType="end"/>
    </w:r>
    <w:r w:rsidRPr="005C1D23">
      <w:rPr>
        <w:rFonts w:ascii="Times New Roman" w:hAnsi="Times New Roman"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F8FA" w14:textId="77777777" w:rsidR="00E4483F" w:rsidRPr="005C1D23" w:rsidRDefault="00E4483F" w:rsidP="00F5556C">
      <w:pPr>
        <w:spacing w:after="0" w:line="240" w:lineRule="auto"/>
        <w:rPr>
          <w:noProof/>
          <w:lang w:val="en-US"/>
        </w:rPr>
      </w:pPr>
      <w:r w:rsidRPr="005C1D23">
        <w:rPr>
          <w:noProof/>
          <w:lang w:val="en-US"/>
        </w:rPr>
        <w:separator/>
      </w:r>
    </w:p>
  </w:footnote>
  <w:footnote w:type="continuationSeparator" w:id="0">
    <w:p w14:paraId="306FE7E5" w14:textId="77777777" w:rsidR="00E4483F" w:rsidRPr="005C1D23" w:rsidRDefault="00E4483F" w:rsidP="00F5556C">
      <w:pPr>
        <w:spacing w:after="0" w:line="240" w:lineRule="auto"/>
        <w:rPr>
          <w:noProof/>
          <w:lang w:val="en-US"/>
        </w:rPr>
      </w:pPr>
      <w:r w:rsidRPr="005C1D2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A1FC" w14:textId="77777777" w:rsidR="005C1D23" w:rsidRDefault="005C1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76D0" w14:textId="77777777" w:rsidR="005C1D23" w:rsidRDefault="005C1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57C9" w14:textId="77777777" w:rsidR="005C1D23" w:rsidRDefault="005C1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9D"/>
    <w:rsid w:val="00013A99"/>
    <w:rsid w:val="00052489"/>
    <w:rsid w:val="00090051"/>
    <w:rsid w:val="001629DD"/>
    <w:rsid w:val="002375D2"/>
    <w:rsid w:val="0027623F"/>
    <w:rsid w:val="002F6E44"/>
    <w:rsid w:val="003C375E"/>
    <w:rsid w:val="003E6A15"/>
    <w:rsid w:val="00401BCC"/>
    <w:rsid w:val="0042082C"/>
    <w:rsid w:val="004454AB"/>
    <w:rsid w:val="004F61AE"/>
    <w:rsid w:val="0052147E"/>
    <w:rsid w:val="00564499"/>
    <w:rsid w:val="00581328"/>
    <w:rsid w:val="005C1D23"/>
    <w:rsid w:val="00641CE0"/>
    <w:rsid w:val="006F2E5E"/>
    <w:rsid w:val="00751383"/>
    <w:rsid w:val="00751631"/>
    <w:rsid w:val="00772D7B"/>
    <w:rsid w:val="007936BA"/>
    <w:rsid w:val="007963C9"/>
    <w:rsid w:val="007B20BE"/>
    <w:rsid w:val="007C397E"/>
    <w:rsid w:val="007C4F5A"/>
    <w:rsid w:val="007E5C2C"/>
    <w:rsid w:val="008411C8"/>
    <w:rsid w:val="008824E4"/>
    <w:rsid w:val="0089716F"/>
    <w:rsid w:val="008B3EDC"/>
    <w:rsid w:val="008D1CB2"/>
    <w:rsid w:val="00913D7A"/>
    <w:rsid w:val="00964D47"/>
    <w:rsid w:val="00967EB9"/>
    <w:rsid w:val="00994854"/>
    <w:rsid w:val="009A0D3D"/>
    <w:rsid w:val="00A65E5B"/>
    <w:rsid w:val="00AC495D"/>
    <w:rsid w:val="00B977FB"/>
    <w:rsid w:val="00BE69CA"/>
    <w:rsid w:val="00C02C26"/>
    <w:rsid w:val="00C222E1"/>
    <w:rsid w:val="00C23936"/>
    <w:rsid w:val="00C60523"/>
    <w:rsid w:val="00CA469E"/>
    <w:rsid w:val="00CA6669"/>
    <w:rsid w:val="00CE76D7"/>
    <w:rsid w:val="00D07F48"/>
    <w:rsid w:val="00D61025"/>
    <w:rsid w:val="00D82030"/>
    <w:rsid w:val="00E12FC3"/>
    <w:rsid w:val="00E41EAC"/>
    <w:rsid w:val="00E4483F"/>
    <w:rsid w:val="00E5035A"/>
    <w:rsid w:val="00F22D59"/>
    <w:rsid w:val="00F3535C"/>
    <w:rsid w:val="00F4069D"/>
    <w:rsid w:val="00F555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57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56C"/>
    <w:rPr>
      <w:color w:val="0000FF"/>
      <w:u w:val="single"/>
    </w:rPr>
  </w:style>
  <w:style w:type="paragraph" w:customStyle="1" w:styleId="tv213">
    <w:name w:val="tv213"/>
    <w:basedOn w:val="Normal"/>
    <w:rsid w:val="00F555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555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F5556C"/>
  </w:style>
  <w:style w:type="paragraph" w:styleId="NormalWeb">
    <w:name w:val="Normal (Web)"/>
    <w:basedOn w:val="Normal"/>
    <w:uiPriority w:val="99"/>
    <w:semiHidden/>
    <w:unhideWhenUsed/>
    <w:rsid w:val="00F555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55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6C"/>
  </w:style>
  <w:style w:type="paragraph" w:styleId="Footer">
    <w:name w:val="footer"/>
    <w:basedOn w:val="Normal"/>
    <w:link w:val="FooterChar"/>
    <w:unhideWhenUsed/>
    <w:rsid w:val="00F5556C"/>
    <w:pPr>
      <w:tabs>
        <w:tab w:val="center" w:pos="4513"/>
        <w:tab w:val="right" w:pos="9026"/>
      </w:tabs>
      <w:spacing w:after="0" w:line="240" w:lineRule="auto"/>
    </w:pPr>
  </w:style>
  <w:style w:type="character" w:customStyle="1" w:styleId="FooterChar">
    <w:name w:val="Footer Char"/>
    <w:basedOn w:val="DefaultParagraphFont"/>
    <w:link w:val="Footer"/>
    <w:rsid w:val="00F5556C"/>
  </w:style>
  <w:style w:type="character" w:styleId="PageNumber">
    <w:name w:val="page number"/>
    <w:basedOn w:val="DefaultParagraphFont"/>
    <w:rsid w:val="00CE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0977">
      <w:bodyDiv w:val="1"/>
      <w:marLeft w:val="0"/>
      <w:marRight w:val="0"/>
      <w:marTop w:val="0"/>
      <w:marBottom w:val="0"/>
      <w:divBdr>
        <w:top w:val="none" w:sz="0" w:space="0" w:color="auto"/>
        <w:left w:val="none" w:sz="0" w:space="0" w:color="auto"/>
        <w:bottom w:val="none" w:sz="0" w:space="0" w:color="auto"/>
        <w:right w:val="none" w:sz="0" w:space="0" w:color="auto"/>
      </w:divBdr>
      <w:divsChild>
        <w:div w:id="644969000">
          <w:marLeft w:val="0"/>
          <w:marRight w:val="0"/>
          <w:marTop w:val="480"/>
          <w:marBottom w:val="240"/>
          <w:divBdr>
            <w:top w:val="none" w:sz="0" w:space="0" w:color="auto"/>
            <w:left w:val="none" w:sz="0" w:space="0" w:color="auto"/>
            <w:bottom w:val="none" w:sz="0" w:space="0" w:color="auto"/>
            <w:right w:val="none" w:sz="0" w:space="0" w:color="auto"/>
          </w:divBdr>
        </w:div>
        <w:div w:id="288632623">
          <w:marLeft w:val="0"/>
          <w:marRight w:val="0"/>
          <w:marTop w:val="0"/>
          <w:marBottom w:val="567"/>
          <w:divBdr>
            <w:top w:val="none" w:sz="0" w:space="0" w:color="auto"/>
            <w:left w:val="none" w:sz="0" w:space="0" w:color="auto"/>
            <w:bottom w:val="none" w:sz="0" w:space="0" w:color="auto"/>
            <w:right w:val="none" w:sz="0" w:space="0" w:color="auto"/>
          </w:divBdr>
        </w:div>
        <w:div w:id="988485548">
          <w:marLeft w:val="0"/>
          <w:marRight w:val="0"/>
          <w:marTop w:val="0"/>
          <w:marBottom w:val="567"/>
          <w:divBdr>
            <w:top w:val="none" w:sz="0" w:space="0" w:color="auto"/>
            <w:left w:val="none" w:sz="0" w:space="0" w:color="auto"/>
            <w:bottom w:val="none" w:sz="0" w:space="0" w:color="auto"/>
            <w:right w:val="none" w:sz="0" w:space="0" w:color="auto"/>
          </w:divBdr>
        </w:div>
        <w:div w:id="661783026">
          <w:marLeft w:val="0"/>
          <w:marRight w:val="0"/>
          <w:marTop w:val="0"/>
          <w:marBottom w:val="0"/>
          <w:divBdr>
            <w:top w:val="none" w:sz="0" w:space="0" w:color="auto"/>
            <w:left w:val="none" w:sz="0" w:space="0" w:color="auto"/>
            <w:bottom w:val="none" w:sz="0" w:space="0" w:color="auto"/>
            <w:right w:val="none" w:sz="0" w:space="0" w:color="auto"/>
          </w:divBdr>
        </w:div>
        <w:div w:id="784229396">
          <w:marLeft w:val="0"/>
          <w:marRight w:val="0"/>
          <w:marTop w:val="0"/>
          <w:marBottom w:val="0"/>
          <w:divBdr>
            <w:top w:val="none" w:sz="0" w:space="0" w:color="auto"/>
            <w:left w:val="none" w:sz="0" w:space="0" w:color="auto"/>
            <w:bottom w:val="none" w:sz="0" w:space="0" w:color="auto"/>
            <w:right w:val="none" w:sz="0" w:space="0" w:color="auto"/>
          </w:divBdr>
        </w:div>
        <w:div w:id="1729837861">
          <w:marLeft w:val="0"/>
          <w:marRight w:val="0"/>
          <w:marTop w:val="0"/>
          <w:marBottom w:val="0"/>
          <w:divBdr>
            <w:top w:val="none" w:sz="0" w:space="0" w:color="auto"/>
            <w:left w:val="none" w:sz="0" w:space="0" w:color="auto"/>
            <w:bottom w:val="none" w:sz="0" w:space="0" w:color="auto"/>
            <w:right w:val="none" w:sz="0" w:space="0" w:color="auto"/>
          </w:divBdr>
        </w:div>
        <w:div w:id="484593603">
          <w:marLeft w:val="0"/>
          <w:marRight w:val="0"/>
          <w:marTop w:val="0"/>
          <w:marBottom w:val="0"/>
          <w:divBdr>
            <w:top w:val="none" w:sz="0" w:space="0" w:color="auto"/>
            <w:left w:val="none" w:sz="0" w:space="0" w:color="auto"/>
            <w:bottom w:val="none" w:sz="0" w:space="0" w:color="auto"/>
            <w:right w:val="none" w:sz="0" w:space="0" w:color="auto"/>
          </w:divBdr>
        </w:div>
        <w:div w:id="188109741">
          <w:marLeft w:val="0"/>
          <w:marRight w:val="0"/>
          <w:marTop w:val="0"/>
          <w:marBottom w:val="0"/>
          <w:divBdr>
            <w:top w:val="none" w:sz="0" w:space="0" w:color="auto"/>
            <w:left w:val="none" w:sz="0" w:space="0" w:color="auto"/>
            <w:bottom w:val="none" w:sz="0" w:space="0" w:color="auto"/>
            <w:right w:val="none" w:sz="0" w:space="0" w:color="auto"/>
          </w:divBdr>
        </w:div>
        <w:div w:id="710882177">
          <w:marLeft w:val="0"/>
          <w:marRight w:val="0"/>
          <w:marTop w:val="0"/>
          <w:marBottom w:val="0"/>
          <w:divBdr>
            <w:top w:val="none" w:sz="0" w:space="0" w:color="auto"/>
            <w:left w:val="none" w:sz="0" w:space="0" w:color="auto"/>
            <w:bottom w:val="none" w:sz="0" w:space="0" w:color="auto"/>
            <w:right w:val="none" w:sz="0" w:space="0" w:color="auto"/>
          </w:divBdr>
        </w:div>
        <w:div w:id="88432680">
          <w:marLeft w:val="0"/>
          <w:marRight w:val="0"/>
          <w:marTop w:val="0"/>
          <w:marBottom w:val="0"/>
          <w:divBdr>
            <w:top w:val="none" w:sz="0" w:space="0" w:color="auto"/>
            <w:left w:val="none" w:sz="0" w:space="0" w:color="auto"/>
            <w:bottom w:val="none" w:sz="0" w:space="0" w:color="auto"/>
            <w:right w:val="none" w:sz="0" w:space="0" w:color="auto"/>
          </w:divBdr>
        </w:div>
        <w:div w:id="229270102">
          <w:marLeft w:val="0"/>
          <w:marRight w:val="0"/>
          <w:marTop w:val="0"/>
          <w:marBottom w:val="0"/>
          <w:divBdr>
            <w:top w:val="none" w:sz="0" w:space="0" w:color="auto"/>
            <w:left w:val="none" w:sz="0" w:space="0" w:color="auto"/>
            <w:bottom w:val="none" w:sz="0" w:space="0" w:color="auto"/>
            <w:right w:val="none" w:sz="0" w:space="0" w:color="auto"/>
          </w:divBdr>
        </w:div>
        <w:div w:id="631131621">
          <w:marLeft w:val="0"/>
          <w:marRight w:val="0"/>
          <w:marTop w:val="0"/>
          <w:marBottom w:val="0"/>
          <w:divBdr>
            <w:top w:val="none" w:sz="0" w:space="0" w:color="auto"/>
            <w:left w:val="none" w:sz="0" w:space="0" w:color="auto"/>
            <w:bottom w:val="none" w:sz="0" w:space="0" w:color="auto"/>
            <w:right w:val="none" w:sz="0" w:space="0" w:color="auto"/>
          </w:divBdr>
        </w:div>
        <w:div w:id="1745488164">
          <w:marLeft w:val="0"/>
          <w:marRight w:val="0"/>
          <w:marTop w:val="0"/>
          <w:marBottom w:val="0"/>
          <w:divBdr>
            <w:top w:val="none" w:sz="0" w:space="0" w:color="auto"/>
            <w:left w:val="none" w:sz="0" w:space="0" w:color="auto"/>
            <w:bottom w:val="none" w:sz="0" w:space="0" w:color="auto"/>
            <w:right w:val="none" w:sz="0" w:space="0" w:color="auto"/>
          </w:divBdr>
        </w:div>
        <w:div w:id="883060330">
          <w:marLeft w:val="0"/>
          <w:marRight w:val="0"/>
          <w:marTop w:val="0"/>
          <w:marBottom w:val="0"/>
          <w:divBdr>
            <w:top w:val="none" w:sz="0" w:space="0" w:color="auto"/>
            <w:left w:val="none" w:sz="0" w:space="0" w:color="auto"/>
            <w:bottom w:val="none" w:sz="0" w:space="0" w:color="auto"/>
            <w:right w:val="none" w:sz="0" w:space="0" w:color="auto"/>
          </w:divBdr>
        </w:div>
        <w:div w:id="1886213047">
          <w:marLeft w:val="0"/>
          <w:marRight w:val="0"/>
          <w:marTop w:val="0"/>
          <w:marBottom w:val="0"/>
          <w:divBdr>
            <w:top w:val="none" w:sz="0" w:space="0" w:color="auto"/>
            <w:left w:val="none" w:sz="0" w:space="0" w:color="auto"/>
            <w:bottom w:val="none" w:sz="0" w:space="0" w:color="auto"/>
            <w:right w:val="none" w:sz="0" w:space="0" w:color="auto"/>
          </w:divBdr>
        </w:div>
        <w:div w:id="1143503806">
          <w:marLeft w:val="0"/>
          <w:marRight w:val="0"/>
          <w:marTop w:val="0"/>
          <w:marBottom w:val="0"/>
          <w:divBdr>
            <w:top w:val="none" w:sz="0" w:space="0" w:color="auto"/>
            <w:left w:val="none" w:sz="0" w:space="0" w:color="auto"/>
            <w:bottom w:val="none" w:sz="0" w:space="0" w:color="auto"/>
            <w:right w:val="none" w:sz="0" w:space="0" w:color="auto"/>
          </w:divBdr>
        </w:div>
        <w:div w:id="1399403653">
          <w:marLeft w:val="0"/>
          <w:marRight w:val="0"/>
          <w:marTop w:val="0"/>
          <w:marBottom w:val="0"/>
          <w:divBdr>
            <w:top w:val="none" w:sz="0" w:space="0" w:color="auto"/>
            <w:left w:val="none" w:sz="0" w:space="0" w:color="auto"/>
            <w:bottom w:val="none" w:sz="0" w:space="0" w:color="auto"/>
            <w:right w:val="none" w:sz="0" w:space="0" w:color="auto"/>
          </w:divBdr>
        </w:div>
        <w:div w:id="1710380093">
          <w:marLeft w:val="0"/>
          <w:marRight w:val="0"/>
          <w:marTop w:val="0"/>
          <w:marBottom w:val="0"/>
          <w:divBdr>
            <w:top w:val="none" w:sz="0" w:space="0" w:color="auto"/>
            <w:left w:val="none" w:sz="0" w:space="0" w:color="auto"/>
            <w:bottom w:val="none" w:sz="0" w:space="0" w:color="auto"/>
            <w:right w:val="none" w:sz="0" w:space="0" w:color="auto"/>
          </w:divBdr>
        </w:div>
        <w:div w:id="1003553360">
          <w:marLeft w:val="0"/>
          <w:marRight w:val="0"/>
          <w:marTop w:val="0"/>
          <w:marBottom w:val="0"/>
          <w:divBdr>
            <w:top w:val="none" w:sz="0" w:space="0" w:color="auto"/>
            <w:left w:val="none" w:sz="0" w:space="0" w:color="auto"/>
            <w:bottom w:val="none" w:sz="0" w:space="0" w:color="auto"/>
            <w:right w:val="none" w:sz="0" w:space="0" w:color="auto"/>
          </w:divBdr>
        </w:div>
        <w:div w:id="1263219745">
          <w:marLeft w:val="0"/>
          <w:marRight w:val="0"/>
          <w:marTop w:val="0"/>
          <w:marBottom w:val="0"/>
          <w:divBdr>
            <w:top w:val="none" w:sz="0" w:space="0" w:color="auto"/>
            <w:left w:val="none" w:sz="0" w:space="0" w:color="auto"/>
            <w:bottom w:val="none" w:sz="0" w:space="0" w:color="auto"/>
            <w:right w:val="none" w:sz="0" w:space="0" w:color="auto"/>
          </w:divBdr>
        </w:div>
        <w:div w:id="2075658506">
          <w:marLeft w:val="0"/>
          <w:marRight w:val="0"/>
          <w:marTop w:val="0"/>
          <w:marBottom w:val="0"/>
          <w:divBdr>
            <w:top w:val="none" w:sz="0" w:space="0" w:color="auto"/>
            <w:left w:val="none" w:sz="0" w:space="0" w:color="auto"/>
            <w:bottom w:val="none" w:sz="0" w:space="0" w:color="auto"/>
            <w:right w:val="none" w:sz="0" w:space="0" w:color="auto"/>
          </w:divBdr>
        </w:div>
        <w:div w:id="1287084035">
          <w:marLeft w:val="0"/>
          <w:marRight w:val="0"/>
          <w:marTop w:val="0"/>
          <w:marBottom w:val="0"/>
          <w:divBdr>
            <w:top w:val="none" w:sz="0" w:space="0" w:color="auto"/>
            <w:left w:val="none" w:sz="0" w:space="0" w:color="auto"/>
            <w:bottom w:val="none" w:sz="0" w:space="0" w:color="auto"/>
            <w:right w:val="none" w:sz="0" w:space="0" w:color="auto"/>
          </w:divBdr>
        </w:div>
        <w:div w:id="222063516">
          <w:marLeft w:val="0"/>
          <w:marRight w:val="0"/>
          <w:marTop w:val="0"/>
          <w:marBottom w:val="0"/>
          <w:divBdr>
            <w:top w:val="none" w:sz="0" w:space="0" w:color="auto"/>
            <w:left w:val="none" w:sz="0" w:space="0" w:color="auto"/>
            <w:bottom w:val="none" w:sz="0" w:space="0" w:color="auto"/>
            <w:right w:val="none" w:sz="0" w:space="0" w:color="auto"/>
          </w:divBdr>
        </w:div>
        <w:div w:id="1712725207">
          <w:marLeft w:val="0"/>
          <w:marRight w:val="0"/>
          <w:marTop w:val="240"/>
          <w:marBottom w:val="0"/>
          <w:divBdr>
            <w:top w:val="none" w:sz="0" w:space="0" w:color="auto"/>
            <w:left w:val="none" w:sz="0" w:space="0" w:color="auto"/>
            <w:bottom w:val="none" w:sz="0" w:space="0" w:color="auto"/>
            <w:right w:val="none" w:sz="0" w:space="0" w:color="auto"/>
          </w:divBdr>
        </w:div>
        <w:div w:id="2070347803">
          <w:marLeft w:val="150"/>
          <w:marRight w:val="150"/>
          <w:marTop w:val="480"/>
          <w:marBottom w:val="0"/>
          <w:divBdr>
            <w:top w:val="none" w:sz="0" w:space="0" w:color="auto"/>
            <w:left w:val="none" w:sz="0" w:space="0" w:color="auto"/>
            <w:bottom w:val="none" w:sz="0" w:space="0" w:color="auto"/>
            <w:right w:val="none" w:sz="0" w:space="0" w:color="auto"/>
          </w:divBdr>
        </w:div>
        <w:div w:id="785733727">
          <w:marLeft w:val="0"/>
          <w:marRight w:val="0"/>
          <w:marTop w:val="240"/>
          <w:marBottom w:val="0"/>
          <w:divBdr>
            <w:top w:val="none" w:sz="0" w:space="0" w:color="auto"/>
            <w:left w:val="none" w:sz="0" w:space="0" w:color="auto"/>
            <w:bottom w:val="none" w:sz="0" w:space="0" w:color="auto"/>
            <w:right w:val="none" w:sz="0" w:space="0" w:color="auto"/>
          </w:divBdr>
        </w:div>
        <w:div w:id="1481387350">
          <w:marLeft w:val="0"/>
          <w:marRight w:val="0"/>
          <w:marTop w:val="240"/>
          <w:marBottom w:val="0"/>
          <w:divBdr>
            <w:top w:val="none" w:sz="0" w:space="0" w:color="auto"/>
            <w:left w:val="none" w:sz="0" w:space="0" w:color="auto"/>
            <w:bottom w:val="none" w:sz="0" w:space="0" w:color="auto"/>
            <w:right w:val="none" w:sz="0" w:space="0" w:color="auto"/>
          </w:divBdr>
        </w:div>
        <w:div w:id="1272979451">
          <w:marLeft w:val="150"/>
          <w:marRight w:val="150"/>
          <w:marTop w:val="480"/>
          <w:marBottom w:val="0"/>
          <w:divBdr>
            <w:top w:val="none" w:sz="0" w:space="0" w:color="auto"/>
            <w:left w:val="none" w:sz="0" w:space="0" w:color="auto"/>
            <w:bottom w:val="none" w:sz="0" w:space="0" w:color="auto"/>
            <w:right w:val="none" w:sz="0" w:space="0" w:color="auto"/>
          </w:divBdr>
        </w:div>
        <w:div w:id="1826584235">
          <w:marLeft w:val="0"/>
          <w:marRight w:val="0"/>
          <w:marTop w:val="240"/>
          <w:marBottom w:val="0"/>
          <w:divBdr>
            <w:top w:val="none" w:sz="0" w:space="0" w:color="auto"/>
            <w:left w:val="none" w:sz="0" w:space="0" w:color="auto"/>
            <w:bottom w:val="none" w:sz="0" w:space="0" w:color="auto"/>
            <w:right w:val="none" w:sz="0" w:space="0" w:color="auto"/>
          </w:divBdr>
        </w:div>
        <w:div w:id="605892245">
          <w:marLeft w:val="0"/>
          <w:marRight w:val="0"/>
          <w:marTop w:val="240"/>
          <w:marBottom w:val="0"/>
          <w:divBdr>
            <w:top w:val="none" w:sz="0" w:space="0" w:color="auto"/>
            <w:left w:val="none" w:sz="0" w:space="0" w:color="auto"/>
            <w:bottom w:val="none" w:sz="0" w:space="0" w:color="auto"/>
            <w:right w:val="none" w:sz="0" w:space="0" w:color="auto"/>
          </w:divBdr>
        </w:div>
        <w:div w:id="846288592">
          <w:marLeft w:val="150"/>
          <w:marRight w:val="150"/>
          <w:marTop w:val="480"/>
          <w:marBottom w:val="0"/>
          <w:divBdr>
            <w:top w:val="none" w:sz="0" w:space="0" w:color="auto"/>
            <w:left w:val="none" w:sz="0" w:space="0" w:color="auto"/>
            <w:bottom w:val="none" w:sz="0" w:space="0" w:color="auto"/>
            <w:right w:val="none" w:sz="0" w:space="0" w:color="auto"/>
          </w:divBdr>
        </w:div>
        <w:div w:id="348994454">
          <w:marLeft w:val="150"/>
          <w:marRight w:val="150"/>
          <w:marTop w:val="480"/>
          <w:marBottom w:val="0"/>
          <w:divBdr>
            <w:top w:val="none" w:sz="0" w:space="0" w:color="auto"/>
            <w:left w:val="none" w:sz="0" w:space="0" w:color="auto"/>
            <w:bottom w:val="none" w:sz="0" w:space="0" w:color="auto"/>
            <w:right w:val="none" w:sz="0" w:space="0" w:color="auto"/>
          </w:divBdr>
        </w:div>
        <w:div w:id="1612544446">
          <w:marLeft w:val="0"/>
          <w:marRight w:val="0"/>
          <w:marTop w:val="240"/>
          <w:marBottom w:val="0"/>
          <w:divBdr>
            <w:top w:val="none" w:sz="0" w:space="0" w:color="auto"/>
            <w:left w:val="none" w:sz="0" w:space="0" w:color="auto"/>
            <w:bottom w:val="none" w:sz="0" w:space="0" w:color="auto"/>
            <w:right w:val="none" w:sz="0" w:space="0" w:color="auto"/>
          </w:divBdr>
          <w:divsChild>
            <w:div w:id="1038549395">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398147D-7FE6-4C1D-80CB-B36817D8B8CD}">
  <ds:schemaRefs>
    <ds:schemaRef ds:uri="http://schemas.microsoft.com/sharepoint/v3/contenttype/forms"/>
  </ds:schemaRefs>
</ds:datastoreItem>
</file>

<file path=customXml/itemProps2.xml><?xml version="1.0" encoding="utf-8"?>
<ds:datastoreItem xmlns:ds="http://schemas.openxmlformats.org/officeDocument/2006/customXml" ds:itemID="{34825BE8-5FB7-4D3F-855F-E9429ABB5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47413-7AB9-48B5-8348-1B92795D0EF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10870</Words>
  <Characters>6197</Characters>
  <Application>Microsoft Office Word</Application>
  <DocSecurity>0</DocSecurity>
  <Lines>51</Lines>
  <Paragraphs>34</Paragraphs>
  <ScaleCrop>false</ScaleCrop>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2023-01-10T07:11:00Z</dcterms:created>
  <dcterms:modified xsi:type="dcterms:W3CDTF">2023-03-13T15:57:00Z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