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7C6A" w14:textId="77777777" w:rsidR="00135E58" w:rsidRPr="00135E58" w:rsidRDefault="00135E58" w:rsidP="00135E58">
      <w:pPr>
        <w:widowControl w:val="0"/>
        <w:spacing w:after="0" w:line="240" w:lineRule="auto"/>
        <w:jc w:val="right"/>
        <w:rPr>
          <w:rFonts w:ascii="Times New Roman" w:hAnsi="Times New Roman" w:cs="Times New Roman"/>
          <w:noProof/>
          <w:sz w:val="24"/>
          <w:szCs w:val="24"/>
          <w:lang w:val="en-US"/>
        </w:rPr>
      </w:pPr>
    </w:p>
    <w:p w14:paraId="3C49BC22" w14:textId="77777777" w:rsidR="00135E58" w:rsidRPr="00135E58" w:rsidRDefault="00135E58" w:rsidP="00135E58">
      <w:pPr>
        <w:pStyle w:val="BlockText"/>
        <w:ind w:left="0" w:right="26"/>
        <w:rPr>
          <w:noProof/>
          <w:lang w:val="en-US"/>
        </w:rPr>
      </w:pPr>
      <w:r w:rsidRPr="00135E58">
        <w:rPr>
          <w:noProof/>
          <w:lang w:val="en-US"/>
        </w:rPr>
        <w:t>Text consolidated by Valsts valodas centrs (State Language Centre) with amending laws of:</w:t>
      </w:r>
    </w:p>
    <w:p w14:paraId="73C34515" w14:textId="77777777" w:rsidR="00135E58" w:rsidRPr="00135E58" w:rsidRDefault="00135E58" w:rsidP="00135E58">
      <w:pPr>
        <w:pStyle w:val="BlockText"/>
        <w:ind w:left="0" w:right="26"/>
        <w:jc w:val="center"/>
        <w:rPr>
          <w:noProof/>
          <w:lang w:val="en-US"/>
        </w:rPr>
      </w:pPr>
      <w:r w:rsidRPr="00135E58">
        <w:rPr>
          <w:noProof/>
          <w:lang w:val="en-US"/>
        </w:rPr>
        <w:t>15 December 2011 [shall come into force on 1 January 2012];</w:t>
      </w:r>
    </w:p>
    <w:p w14:paraId="253E2394" w14:textId="77777777" w:rsidR="00135E58" w:rsidRPr="00135E58" w:rsidRDefault="00135E58" w:rsidP="00135E58">
      <w:pPr>
        <w:pStyle w:val="BlockText"/>
        <w:ind w:left="0" w:right="26"/>
        <w:jc w:val="center"/>
        <w:rPr>
          <w:noProof/>
          <w:lang w:val="en-US"/>
        </w:rPr>
      </w:pPr>
      <w:r w:rsidRPr="00135E58">
        <w:rPr>
          <w:noProof/>
          <w:lang w:val="en-US"/>
        </w:rPr>
        <w:t>27 May 2021 [shall come into force on 23 June 2021];</w:t>
      </w:r>
    </w:p>
    <w:p w14:paraId="5BE79C70" w14:textId="77777777" w:rsidR="00135E58" w:rsidRPr="00135E58" w:rsidRDefault="00135E58" w:rsidP="00135E58">
      <w:pPr>
        <w:pStyle w:val="BlockText"/>
        <w:ind w:left="0" w:right="26"/>
        <w:jc w:val="center"/>
        <w:rPr>
          <w:noProof/>
          <w:lang w:val="en-US"/>
        </w:rPr>
      </w:pPr>
      <w:r w:rsidRPr="00135E58">
        <w:rPr>
          <w:noProof/>
          <w:lang w:val="en-US"/>
        </w:rPr>
        <w:t>16 June 2021 [shall come into force on 12 July 2021];</w:t>
      </w:r>
    </w:p>
    <w:p w14:paraId="5F694CF4" w14:textId="77777777" w:rsidR="00135E58" w:rsidRPr="00135E58" w:rsidRDefault="00135E58" w:rsidP="00135E58">
      <w:pPr>
        <w:pStyle w:val="BlockText"/>
        <w:ind w:left="0" w:right="26"/>
        <w:jc w:val="center"/>
        <w:rPr>
          <w:noProof/>
          <w:lang w:val="en-US"/>
        </w:rPr>
      </w:pPr>
      <w:r w:rsidRPr="00135E58">
        <w:rPr>
          <w:noProof/>
          <w:lang w:val="en-US"/>
        </w:rPr>
        <w:t>29 September 2022 [shall come into force on 1 January 2023].</w:t>
      </w:r>
    </w:p>
    <w:p w14:paraId="65BA056E" w14:textId="77777777" w:rsidR="00135E58" w:rsidRPr="00135E58" w:rsidRDefault="00135E58" w:rsidP="00135E58">
      <w:pPr>
        <w:pStyle w:val="BlockText"/>
        <w:ind w:left="0" w:right="26"/>
        <w:rPr>
          <w:noProof/>
          <w:lang w:val="en-US"/>
        </w:rPr>
      </w:pPr>
      <w:r w:rsidRPr="00135E58">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C6F302B" w14:textId="77777777" w:rsidR="00135E58" w:rsidRPr="00135E58" w:rsidRDefault="00135E58" w:rsidP="00135E58">
      <w:pPr>
        <w:spacing w:after="0" w:line="240" w:lineRule="auto"/>
        <w:jc w:val="right"/>
        <w:rPr>
          <w:rFonts w:ascii="Times New Roman" w:hAnsi="Times New Roman"/>
          <w:noProof/>
          <w:sz w:val="24"/>
          <w:szCs w:val="24"/>
          <w:lang w:val="en-US"/>
        </w:rPr>
      </w:pPr>
    </w:p>
    <w:p w14:paraId="4097A7FB" w14:textId="77777777" w:rsidR="00135E58" w:rsidRPr="00135E58" w:rsidRDefault="00135E58" w:rsidP="00135E58">
      <w:pPr>
        <w:spacing w:after="0" w:line="240" w:lineRule="auto"/>
        <w:jc w:val="right"/>
        <w:rPr>
          <w:rFonts w:ascii="Times New Roman" w:hAnsi="Times New Roman"/>
          <w:noProof/>
          <w:sz w:val="24"/>
          <w:szCs w:val="24"/>
          <w:lang w:val="en-US"/>
        </w:rPr>
      </w:pPr>
    </w:p>
    <w:p w14:paraId="1514112B" w14:textId="77777777" w:rsidR="00135E58" w:rsidRPr="00135E58" w:rsidRDefault="00135E58" w:rsidP="00135E58">
      <w:pPr>
        <w:spacing w:after="0" w:line="240" w:lineRule="auto"/>
        <w:jc w:val="right"/>
        <w:rPr>
          <w:rFonts w:ascii="Times New Roman" w:eastAsia="Times New Roman" w:hAnsi="Times New Roman" w:cs="Times New Roman"/>
          <w:noProof/>
          <w:sz w:val="24"/>
          <w:szCs w:val="24"/>
          <w:lang w:val="en-US"/>
        </w:rPr>
      </w:pPr>
      <w:r w:rsidRPr="00135E58">
        <w:rPr>
          <w:rFonts w:ascii="Times New Roman" w:hAnsi="Times New Roman"/>
          <w:noProof/>
          <w:sz w:val="24"/>
          <w:szCs w:val="24"/>
          <w:lang w:val="en-US"/>
        </w:rPr>
        <w:t xml:space="preserve">The </w:t>
      </w:r>
      <w:r w:rsidRPr="00135E58">
        <w:rPr>
          <w:rFonts w:ascii="Times New Roman" w:hAnsi="Times New Roman"/>
          <w:i/>
          <w:iCs/>
          <w:noProof/>
          <w:sz w:val="24"/>
          <w:szCs w:val="24"/>
          <w:lang w:val="en-US"/>
        </w:rPr>
        <w:t>Saeima </w:t>
      </w:r>
      <w:r w:rsidRPr="00135E58">
        <w:rPr>
          <w:rFonts w:ascii="Times New Roman" w:hAnsi="Times New Roman"/>
          <w:noProof/>
          <w:sz w:val="24"/>
          <w:szCs w:val="24"/>
          <w:vertAlign w:val="superscript"/>
          <w:lang w:val="en-US"/>
        </w:rPr>
        <w:t xml:space="preserve">1 </w:t>
      </w:r>
      <w:r w:rsidRPr="00135E58">
        <w:rPr>
          <w:rFonts w:ascii="Times New Roman" w:hAnsi="Times New Roman"/>
          <w:noProof/>
          <w:sz w:val="24"/>
          <w:szCs w:val="24"/>
          <w:lang w:val="en-US"/>
        </w:rPr>
        <w:t>has adopted</w:t>
      </w:r>
    </w:p>
    <w:p w14:paraId="3DE34EF3" w14:textId="77777777" w:rsidR="00135E58" w:rsidRPr="00135E58" w:rsidRDefault="00135E58" w:rsidP="00135E58">
      <w:pPr>
        <w:widowControl w:val="0"/>
        <w:spacing w:after="0" w:line="240" w:lineRule="auto"/>
        <w:jc w:val="right"/>
        <w:rPr>
          <w:rFonts w:ascii="Times New Roman" w:hAnsi="Times New Roman"/>
          <w:noProof/>
          <w:sz w:val="24"/>
          <w:lang w:val="en-US"/>
        </w:rPr>
      </w:pPr>
      <w:r w:rsidRPr="00135E58">
        <w:rPr>
          <w:rFonts w:ascii="Times New Roman" w:hAnsi="Times New Roman"/>
          <w:noProof/>
          <w:sz w:val="24"/>
          <w:lang w:val="en-US"/>
        </w:rPr>
        <w:t>and the President has proclaimed the following law:</w:t>
      </w:r>
    </w:p>
    <w:p w14:paraId="5458A02F"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67061818"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6FD73592" w14:textId="77777777" w:rsidR="00135E58" w:rsidRPr="00135E58" w:rsidRDefault="00135E58" w:rsidP="00135E58">
      <w:pPr>
        <w:widowControl w:val="0"/>
        <w:spacing w:after="0" w:line="240" w:lineRule="auto"/>
        <w:jc w:val="center"/>
        <w:rPr>
          <w:rFonts w:ascii="Times New Roman" w:hAnsi="Times New Roman"/>
          <w:b/>
          <w:noProof/>
          <w:sz w:val="28"/>
          <w:lang w:val="en-US"/>
        </w:rPr>
      </w:pPr>
      <w:r w:rsidRPr="00135E58">
        <w:rPr>
          <w:rFonts w:ascii="Times New Roman" w:hAnsi="Times New Roman"/>
          <w:b/>
          <w:noProof/>
          <w:sz w:val="28"/>
          <w:lang w:val="en-US"/>
        </w:rPr>
        <w:t>Financial Stability Fee Law</w:t>
      </w:r>
    </w:p>
    <w:p w14:paraId="2E2F0E9D"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5E505827"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4B52B612" w14:textId="77777777" w:rsidR="00135E58" w:rsidRPr="00135E58" w:rsidRDefault="00135E58" w:rsidP="00135E58">
      <w:pPr>
        <w:widowControl w:val="0"/>
        <w:spacing w:after="0" w:line="240" w:lineRule="auto"/>
        <w:jc w:val="both"/>
        <w:rPr>
          <w:rFonts w:ascii="Times New Roman" w:hAnsi="Times New Roman"/>
          <w:b/>
          <w:noProof/>
          <w:sz w:val="24"/>
          <w:lang w:val="en-US"/>
        </w:rPr>
      </w:pPr>
      <w:r w:rsidRPr="00135E58">
        <w:rPr>
          <w:rFonts w:ascii="Times New Roman" w:hAnsi="Times New Roman"/>
          <w:b/>
          <w:noProof/>
          <w:sz w:val="24"/>
          <w:lang w:val="en-US"/>
        </w:rPr>
        <w:t>Section 1. Purpose of the Financial Stability Fee</w:t>
      </w:r>
    </w:p>
    <w:p w14:paraId="3F1FAB94"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3D061AD7" w14:textId="77777777" w:rsidR="00135E58" w:rsidRPr="00135E58" w:rsidRDefault="00135E58" w:rsidP="00135E58">
      <w:pPr>
        <w:widowControl w:val="0"/>
        <w:spacing w:after="0" w:line="240" w:lineRule="auto"/>
        <w:ind w:firstLine="709"/>
        <w:jc w:val="both"/>
        <w:rPr>
          <w:rFonts w:ascii="Times New Roman" w:hAnsi="Times New Roman"/>
          <w:noProof/>
          <w:sz w:val="24"/>
          <w:lang w:val="en-US"/>
        </w:rPr>
      </w:pPr>
      <w:r w:rsidRPr="00135E58">
        <w:rPr>
          <w:rFonts w:ascii="Times New Roman" w:hAnsi="Times New Roman"/>
          <w:noProof/>
          <w:sz w:val="24"/>
          <w:lang w:val="en-US"/>
        </w:rPr>
        <w:t>The objective of the financial stability fee (hereinafter – the fee) is to strengthen the whole financial system in order, if necessary, to finance measures which would decrease the negative impact of the credit institutions having entered into financial difficulties on the other participants of the financial market, as well as partially compensate for the State budget financing diverted in order to stabilise the situation in the financial sector from which the banking sector as a whole gained a direct or indirect benefit.</w:t>
      </w:r>
    </w:p>
    <w:p w14:paraId="2E408E49"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7D9F5ABC" w14:textId="77777777" w:rsidR="00135E58" w:rsidRPr="00135E58" w:rsidRDefault="00135E58" w:rsidP="00135E58">
      <w:pPr>
        <w:widowControl w:val="0"/>
        <w:spacing w:after="0" w:line="240" w:lineRule="auto"/>
        <w:jc w:val="both"/>
        <w:rPr>
          <w:rFonts w:ascii="Times New Roman" w:hAnsi="Times New Roman"/>
          <w:b/>
          <w:noProof/>
          <w:sz w:val="24"/>
          <w:lang w:val="en-US"/>
        </w:rPr>
      </w:pPr>
      <w:r w:rsidRPr="00135E58">
        <w:rPr>
          <w:rFonts w:ascii="Times New Roman" w:hAnsi="Times New Roman"/>
          <w:b/>
          <w:noProof/>
          <w:sz w:val="24"/>
          <w:lang w:val="en-US"/>
        </w:rPr>
        <w:t>Section 2. Fee Payers</w:t>
      </w:r>
    </w:p>
    <w:p w14:paraId="6568E4CB"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041E1B63" w14:textId="77777777" w:rsidR="00135E58" w:rsidRPr="00135E58" w:rsidRDefault="00135E58" w:rsidP="00135E58">
      <w:pPr>
        <w:widowControl w:val="0"/>
        <w:spacing w:after="0" w:line="240" w:lineRule="auto"/>
        <w:ind w:firstLine="709"/>
        <w:jc w:val="both"/>
        <w:rPr>
          <w:rFonts w:ascii="Times New Roman" w:hAnsi="Times New Roman"/>
          <w:noProof/>
          <w:sz w:val="24"/>
          <w:lang w:val="en-US"/>
        </w:rPr>
      </w:pPr>
      <w:r w:rsidRPr="00135E58">
        <w:rPr>
          <w:rFonts w:ascii="Times New Roman" w:hAnsi="Times New Roman"/>
          <w:noProof/>
          <w:sz w:val="24"/>
          <w:lang w:val="en-US"/>
        </w:rPr>
        <w:t>The fee shall be paid by the credit institutions (including for their branches in the Member States and foreign countries) registered in the Republic of Latvia as well as the branches of the credit institutions registered in the Member States and foreign countries located in the Republic of Latvia (hereinafter – the fee payers).</w:t>
      </w:r>
    </w:p>
    <w:p w14:paraId="120D5E10"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w:t>
      </w:r>
      <w:r w:rsidRPr="00135E58">
        <w:rPr>
          <w:rFonts w:ascii="Times New Roman" w:hAnsi="Times New Roman"/>
          <w:i/>
          <w:iCs/>
          <w:noProof/>
          <w:sz w:val="24"/>
          <w:lang w:val="en-US"/>
        </w:rPr>
        <w:t>29 September 2022</w:t>
      </w:r>
      <w:r w:rsidRPr="00135E58">
        <w:rPr>
          <w:rFonts w:ascii="Times New Roman" w:hAnsi="Times New Roman"/>
          <w:noProof/>
          <w:sz w:val="24"/>
          <w:lang w:val="en-US"/>
        </w:rPr>
        <w:t>]</w:t>
      </w:r>
    </w:p>
    <w:p w14:paraId="25DE4F06"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5C8A7065" w14:textId="77777777" w:rsidR="00135E58" w:rsidRPr="00135E58" w:rsidRDefault="00135E58" w:rsidP="00135E58">
      <w:pPr>
        <w:widowControl w:val="0"/>
        <w:spacing w:after="0" w:line="240" w:lineRule="auto"/>
        <w:jc w:val="both"/>
        <w:rPr>
          <w:rFonts w:ascii="Times New Roman" w:hAnsi="Times New Roman"/>
          <w:b/>
          <w:noProof/>
          <w:sz w:val="24"/>
          <w:lang w:val="en-US"/>
        </w:rPr>
      </w:pPr>
      <w:r w:rsidRPr="00135E58">
        <w:rPr>
          <w:rFonts w:ascii="Times New Roman" w:hAnsi="Times New Roman"/>
          <w:b/>
          <w:noProof/>
          <w:sz w:val="24"/>
          <w:lang w:val="en-US"/>
        </w:rPr>
        <w:t>Section 3. Taxation Period</w:t>
      </w:r>
    </w:p>
    <w:p w14:paraId="4606BD04"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0B8E12A1" w14:textId="77777777" w:rsidR="00135E58" w:rsidRPr="00135E58" w:rsidRDefault="00135E58" w:rsidP="00135E58">
      <w:pPr>
        <w:widowControl w:val="0"/>
        <w:spacing w:after="0" w:line="240" w:lineRule="auto"/>
        <w:ind w:firstLine="709"/>
        <w:jc w:val="both"/>
        <w:rPr>
          <w:rFonts w:ascii="Times New Roman" w:hAnsi="Times New Roman"/>
          <w:noProof/>
          <w:sz w:val="24"/>
          <w:lang w:val="en-US"/>
        </w:rPr>
      </w:pPr>
      <w:r w:rsidRPr="00135E58">
        <w:rPr>
          <w:rFonts w:ascii="Times New Roman" w:hAnsi="Times New Roman"/>
          <w:noProof/>
          <w:sz w:val="24"/>
          <w:lang w:val="en-US"/>
        </w:rPr>
        <w:t>The tax period for the fee shall be one calendar year.</w:t>
      </w:r>
    </w:p>
    <w:p w14:paraId="646D6B99"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54C5C6DD" w14:textId="77777777" w:rsidR="00135E58" w:rsidRPr="00135E58" w:rsidRDefault="00135E58" w:rsidP="00135E58">
      <w:pPr>
        <w:widowControl w:val="0"/>
        <w:spacing w:after="0" w:line="240" w:lineRule="auto"/>
        <w:jc w:val="both"/>
        <w:rPr>
          <w:rFonts w:ascii="Times New Roman" w:hAnsi="Times New Roman"/>
          <w:b/>
          <w:noProof/>
          <w:sz w:val="24"/>
          <w:lang w:val="en-US"/>
        </w:rPr>
      </w:pPr>
      <w:r w:rsidRPr="00135E58">
        <w:rPr>
          <w:rFonts w:ascii="Times New Roman" w:hAnsi="Times New Roman"/>
          <w:b/>
          <w:noProof/>
          <w:sz w:val="24"/>
          <w:lang w:val="en-US"/>
        </w:rPr>
        <w:t>Section 4. Fee Object and Rate</w:t>
      </w:r>
    </w:p>
    <w:p w14:paraId="426AF6E9"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1C8F0E55"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(1) A fee object shall be the total liabilities of the fee payer at the end of the tax period from which the following shall be deducted:</w:t>
      </w:r>
    </w:p>
    <w:p w14:paraId="37258382" w14:textId="77777777" w:rsidR="00135E58" w:rsidRPr="00135E58" w:rsidRDefault="00135E58" w:rsidP="00135E58">
      <w:pPr>
        <w:widowControl w:val="0"/>
        <w:spacing w:after="0" w:line="240" w:lineRule="auto"/>
        <w:ind w:firstLine="709"/>
        <w:jc w:val="both"/>
        <w:rPr>
          <w:rFonts w:ascii="Times New Roman" w:hAnsi="Times New Roman"/>
          <w:noProof/>
          <w:sz w:val="24"/>
          <w:lang w:val="en-US"/>
        </w:rPr>
      </w:pPr>
      <w:r w:rsidRPr="00135E58">
        <w:rPr>
          <w:rFonts w:ascii="Times New Roman" w:hAnsi="Times New Roman"/>
          <w:noProof/>
          <w:sz w:val="24"/>
          <w:lang w:val="en-US"/>
        </w:rPr>
        <w:t>1) deposits exposed to the deposit guarantee scheme of the Republic of Latvia or another Member State;</w:t>
      </w:r>
    </w:p>
    <w:p w14:paraId="3532E7A5" w14:textId="77777777" w:rsidR="00135E58" w:rsidRPr="00135E58" w:rsidRDefault="00135E58" w:rsidP="00135E58">
      <w:pPr>
        <w:widowControl w:val="0"/>
        <w:spacing w:after="0" w:line="240" w:lineRule="auto"/>
        <w:ind w:firstLine="709"/>
        <w:jc w:val="both"/>
        <w:rPr>
          <w:rFonts w:ascii="Times New Roman" w:hAnsi="Times New Roman"/>
          <w:noProof/>
          <w:sz w:val="24"/>
          <w:lang w:val="en-US"/>
        </w:rPr>
      </w:pPr>
      <w:r w:rsidRPr="00135E58">
        <w:rPr>
          <w:rFonts w:ascii="Times New Roman" w:hAnsi="Times New Roman"/>
          <w:noProof/>
          <w:sz w:val="24"/>
          <w:lang w:val="en-US"/>
        </w:rPr>
        <w:t>2) covered bonds issued by the fee payer;</w:t>
      </w:r>
    </w:p>
    <w:p w14:paraId="7CED8179" w14:textId="77777777" w:rsidR="00135E58" w:rsidRPr="00135E58" w:rsidRDefault="00135E58" w:rsidP="00135E58">
      <w:pPr>
        <w:widowControl w:val="0"/>
        <w:spacing w:after="0" w:line="240" w:lineRule="auto"/>
        <w:ind w:firstLine="709"/>
        <w:jc w:val="both"/>
        <w:rPr>
          <w:rFonts w:ascii="Times New Roman" w:hAnsi="Times New Roman"/>
          <w:noProof/>
          <w:sz w:val="24"/>
          <w:lang w:val="en-US"/>
        </w:rPr>
      </w:pPr>
      <w:r w:rsidRPr="00135E58">
        <w:rPr>
          <w:rFonts w:ascii="Times New Roman" w:hAnsi="Times New Roman"/>
          <w:noProof/>
          <w:sz w:val="24"/>
          <w:lang w:val="en-US"/>
        </w:rPr>
        <w:t>3) subordinate liabilities which are included in the own funds calculation in accordance with Regulation (EU) No 575/2013 of the European Parliament and of the Council of 26 June 2013 on prudential requirements for credit institutions and investment firms and amending Regulation (EU) No 648/2012.</w:t>
      </w:r>
    </w:p>
    <w:p w14:paraId="3E8D0BAC" w14:textId="77777777" w:rsidR="00135E58" w:rsidRPr="00135E58" w:rsidRDefault="00135E58" w:rsidP="00135E58">
      <w:pPr>
        <w:keepNext/>
        <w:keepLines/>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(1</w:t>
      </w:r>
      <w:r w:rsidRPr="00135E58">
        <w:rPr>
          <w:rFonts w:ascii="Times New Roman" w:hAnsi="Times New Roman"/>
          <w:noProof/>
          <w:sz w:val="24"/>
          <w:vertAlign w:val="superscript"/>
          <w:lang w:val="en-US"/>
        </w:rPr>
        <w:t>1</w:t>
      </w:r>
      <w:r w:rsidRPr="00135E58">
        <w:rPr>
          <w:rFonts w:ascii="Times New Roman" w:hAnsi="Times New Roman"/>
          <w:noProof/>
          <w:sz w:val="24"/>
          <w:lang w:val="en-US"/>
        </w:rPr>
        <w:t>) In the case referred to in Section 87, Paragraph one of the Covered Bonds Law, if the fee payer is a branch of a credit institution which is registered in another Member State but located in the Republic of Latvia, the covered bonds issued by the fee payer shall be, in applying Paragraph one, Clause 2 of this Section, deemed the bonds issued by the relevant credit institution of the Member State in proportion to the share of such assets of its branch in the Republic of Latvia that have been included in the relevant cover pool.</w:t>
      </w:r>
    </w:p>
    <w:p w14:paraId="4405A41E"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(1</w:t>
      </w:r>
      <w:r w:rsidRPr="00135E58">
        <w:rPr>
          <w:rFonts w:ascii="Times New Roman" w:hAnsi="Times New Roman"/>
          <w:noProof/>
          <w:sz w:val="24"/>
          <w:vertAlign w:val="superscript"/>
          <w:lang w:val="en-US"/>
        </w:rPr>
        <w:t>2</w:t>
      </w:r>
      <w:r w:rsidRPr="00135E58">
        <w:rPr>
          <w:rFonts w:ascii="Times New Roman" w:hAnsi="Times New Roman"/>
          <w:noProof/>
          <w:sz w:val="24"/>
          <w:lang w:val="en-US"/>
        </w:rPr>
        <w:t>) In the case referred to in Section 88, Paragraph one of the Covered Bonds Law, the covered bonds issued by the fee payer shall be, in applying Paragraph one, Clause 2 of this Section, deemed the bonds issued by the relevant issuer in proportion to the share of such alienated assets of the fee payer that have been included in the relevant cover pool.</w:t>
      </w:r>
    </w:p>
    <w:p w14:paraId="2775FC8D"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(2) The fee rate shall be 0.072 per cent per year of the amount referred to in Paragraph one of this Section.</w:t>
      </w:r>
    </w:p>
    <w:p w14:paraId="7466650B"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w:t>
      </w:r>
      <w:r w:rsidRPr="00135E58">
        <w:rPr>
          <w:rFonts w:ascii="Times New Roman" w:hAnsi="Times New Roman"/>
          <w:i/>
          <w:iCs/>
          <w:noProof/>
          <w:sz w:val="24"/>
          <w:lang w:val="en-US"/>
        </w:rPr>
        <w:t>15 December 2011; 27 May 2021; 29 September 2022</w:t>
      </w:r>
      <w:r w:rsidRPr="00135E58">
        <w:rPr>
          <w:rFonts w:ascii="Times New Roman" w:hAnsi="Times New Roman"/>
          <w:noProof/>
          <w:sz w:val="24"/>
          <w:lang w:val="en-US"/>
        </w:rPr>
        <w:t>]</w:t>
      </w:r>
    </w:p>
    <w:p w14:paraId="173F3D33"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701B9E13" w14:textId="77777777" w:rsidR="00135E58" w:rsidRPr="00135E58" w:rsidRDefault="00135E58" w:rsidP="00135E58">
      <w:pPr>
        <w:widowControl w:val="0"/>
        <w:spacing w:after="0" w:line="240" w:lineRule="auto"/>
        <w:jc w:val="both"/>
        <w:rPr>
          <w:rFonts w:ascii="Times New Roman" w:hAnsi="Times New Roman"/>
          <w:b/>
          <w:noProof/>
          <w:sz w:val="24"/>
          <w:lang w:val="en-US"/>
        </w:rPr>
      </w:pPr>
      <w:r w:rsidRPr="00135E58">
        <w:rPr>
          <w:rFonts w:ascii="Times New Roman" w:hAnsi="Times New Roman"/>
          <w:b/>
          <w:noProof/>
          <w:sz w:val="24"/>
          <w:lang w:val="en-US"/>
        </w:rPr>
        <w:t>Section 5. Fee Calculation and Payment Procedures</w:t>
      </w:r>
    </w:p>
    <w:p w14:paraId="6E8C22DB"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11221164"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(1) Payment of the fee shall be divided for quarters in the tax period, paying one fourth of the calculated payment each quarter.</w:t>
      </w:r>
    </w:p>
    <w:p w14:paraId="6301D71C"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(2) The fee shall be calculated in accordance with Section 4 of this Law and the fee payer shall pay it into the single tax account by the 23</w:t>
      </w:r>
      <w:r w:rsidRPr="00135E58">
        <w:rPr>
          <w:rFonts w:ascii="Times New Roman" w:hAnsi="Times New Roman"/>
          <w:noProof/>
          <w:sz w:val="24"/>
          <w:vertAlign w:val="superscript"/>
          <w:lang w:val="en-US"/>
        </w:rPr>
        <w:t>rd</w:t>
      </w:r>
      <w:r w:rsidRPr="00135E58">
        <w:rPr>
          <w:rFonts w:ascii="Times New Roman" w:hAnsi="Times New Roman"/>
          <w:noProof/>
          <w:sz w:val="24"/>
          <w:lang w:val="en-US"/>
        </w:rPr>
        <w:t xml:space="preserve"> day of the month following the accounting quarter.</w:t>
      </w:r>
    </w:p>
    <w:p w14:paraId="58A62656"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(3) The calculation of the fee payer’s quarterly fee advance payments of the tax period shall be done on the basis of the data of the financial statements included in the return of the previous fee tax period, correcting the total liabilities shown at the end of the previous tax period in accordance with Section 4, Paragraph one of this Law and dividing the calculated payment amount proportionally into quarters.</w:t>
      </w:r>
    </w:p>
    <w:p w14:paraId="791990EC"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(4) [29 September 2022]</w:t>
      </w:r>
    </w:p>
    <w:p w14:paraId="64D9AC36"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(5) [29 September 2022]</w:t>
      </w:r>
    </w:p>
    <w:p w14:paraId="0DB084D6"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(6) [29 September 2022]</w:t>
      </w:r>
    </w:p>
    <w:p w14:paraId="47E4CAD3"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(7) By 15 April of the post-tax period, the fee payer shall submit in the Electronic Declaration System of the State Revenue Service a return of the fee tax period in accordance with Section 4 of this Law on the basis of the data of the financial statements included in the annual statement of the tax period, including the final calculation of the fee for the tax period. In the cases referred to in Section 4, Paragraphs 1.</w:t>
      </w:r>
      <w:r w:rsidRPr="00135E58">
        <w:rPr>
          <w:rFonts w:ascii="Times New Roman" w:hAnsi="Times New Roman"/>
          <w:noProof/>
          <w:sz w:val="24"/>
          <w:vertAlign w:val="superscript"/>
          <w:lang w:val="en-US"/>
        </w:rPr>
        <w:t xml:space="preserve">1 </w:t>
      </w:r>
      <w:r w:rsidRPr="00135E58">
        <w:rPr>
          <w:rFonts w:ascii="Times New Roman" w:hAnsi="Times New Roman"/>
          <w:noProof/>
          <w:sz w:val="24"/>
          <w:lang w:val="en-US"/>
        </w:rPr>
        <w:t>and 1.</w:t>
      </w:r>
      <w:r w:rsidRPr="00135E58">
        <w:rPr>
          <w:rFonts w:ascii="Times New Roman" w:hAnsi="Times New Roman"/>
          <w:noProof/>
          <w:sz w:val="24"/>
          <w:vertAlign w:val="superscript"/>
          <w:lang w:val="en-US"/>
        </w:rPr>
        <w:t xml:space="preserve">2 </w:t>
      </w:r>
      <w:r w:rsidRPr="00135E58">
        <w:rPr>
          <w:rFonts w:ascii="Times New Roman" w:hAnsi="Times New Roman"/>
          <w:noProof/>
          <w:sz w:val="24"/>
          <w:lang w:val="en-US"/>
        </w:rPr>
        <w:t>of this Law, the fee payer shall attach to the return of the fee tax period the information of the national supervisory authority of a covered bond programme from which it is possible to ascertain the amount of the covered bonds issued within the framework of a cross-border programme which has been authorised (registered) in another Member State and the share of such assets of the fee payer in the cover pool that have been used for such issue of the covered bonds. The information to be included in the return of the fee tax period shall be determined by the Cabinet.</w:t>
      </w:r>
    </w:p>
    <w:p w14:paraId="2F45ECA0"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(8) If, following the performance of the calculation referred to in Paragraph seven of this Section, it is established that the fee amount paid for the quarterly fee advance payments is less than the amount which should be paid in the tax period in accordance with the rate prescribed in this Law, the fee payer shall pay the remaining fee amount into the single tax account by 23 April of the post-tax period.</w:t>
      </w:r>
    </w:p>
    <w:p w14:paraId="28938626"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(9) While controlling the completeness and accuracy of the information indicated in the return referred to in Paragraph seven of this Section, the State Revenue Service may carry out control (inspection) of the fee. If, after the control (inspection) of the fee, non-conformity of the calculation of the fee to laws and regulations is established, the State Revenue Service shall take the decision on specification of the fee amount where the fee amount to be paid into the budget is calculated, as well as the late payment charges in the amount determined in Section 29, Paragraph two of the law On Taxes and Fees for the period from the fee payment deadline until the day of commencement of the fee control (inspection). The fee payer shall make the payments calculated in the decision within 30 days from the day of notification of the decision. If the fee payer fails to make the payments specified in the decision within the abovementioned period, the State Revenue Service shall calculate the late payment charges specified in Section 29, Paragraph two of the law On Taxes and Fees starting from the day following the payment deadline.</w:t>
      </w:r>
    </w:p>
    <w:p w14:paraId="3E8E3958"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(10) If following the calculation referred to in Paragraph seven of this Section it is established that the fee amount paid by the fee payer for the quarterly advance payments is greater than the amount which should be paid in the tax period in accordance with the rate prescribed in this Law, the State Revenue Service shall transfer the overpaid fee amount into the single tax account for covering other payment liabilities or refund upon written request of the fee payer.</w:t>
      </w:r>
    </w:p>
    <w:p w14:paraId="713AC121"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(11) [29 September 2022]</w:t>
      </w:r>
    </w:p>
    <w:p w14:paraId="760FF8DC"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(12) If the fee payer commences or terminates its activity in the middle of a tax period, the fee amount shall be determined proportionally to its period of activity during the tax period.</w:t>
      </w:r>
    </w:p>
    <w:p w14:paraId="5DCB0316"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(13) If the fee payer commences its activity in the middle of a tax period, the quarterly fee advance payments for the first tax period shall be calculated from the total liabilities indicated in the accounts balance of the last month of the accounting quarter of the fee payer, making the relevant adjustment in accordance with Section 4 of this Law.</w:t>
      </w:r>
    </w:p>
    <w:p w14:paraId="504243E0"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w:t>
      </w:r>
      <w:r w:rsidRPr="00135E58">
        <w:rPr>
          <w:rFonts w:ascii="Times New Roman" w:hAnsi="Times New Roman"/>
          <w:i/>
          <w:iCs/>
          <w:noProof/>
          <w:sz w:val="24"/>
          <w:lang w:val="en-US"/>
        </w:rPr>
        <w:t>27 May 2021; 29 September 2022</w:t>
      </w:r>
      <w:r w:rsidRPr="00135E58">
        <w:rPr>
          <w:rFonts w:ascii="Times New Roman" w:hAnsi="Times New Roman"/>
          <w:noProof/>
          <w:sz w:val="24"/>
          <w:lang w:val="en-US"/>
        </w:rPr>
        <w:t>]</w:t>
      </w:r>
    </w:p>
    <w:p w14:paraId="1932BCE6"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4A8572D6" w14:textId="77777777" w:rsidR="00135E58" w:rsidRPr="00135E58" w:rsidRDefault="00135E58" w:rsidP="00135E58">
      <w:pPr>
        <w:widowControl w:val="0"/>
        <w:spacing w:after="0" w:line="240" w:lineRule="auto"/>
        <w:jc w:val="both"/>
        <w:rPr>
          <w:rFonts w:ascii="Times New Roman" w:hAnsi="Times New Roman"/>
          <w:b/>
          <w:noProof/>
          <w:sz w:val="24"/>
          <w:lang w:val="en-US"/>
        </w:rPr>
      </w:pPr>
      <w:r w:rsidRPr="00135E58">
        <w:rPr>
          <w:rFonts w:ascii="Times New Roman" w:hAnsi="Times New Roman"/>
          <w:b/>
          <w:noProof/>
          <w:sz w:val="24"/>
          <w:lang w:val="en-US"/>
        </w:rPr>
        <w:t>Section 6. Fee Administration</w:t>
      </w:r>
    </w:p>
    <w:p w14:paraId="7C9346D1"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3910C047"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(1) The fee shall be administered by the State Revenue Service.</w:t>
      </w:r>
    </w:p>
    <w:p w14:paraId="52AD437A"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(2) The State Revenue Service shall:</w:t>
      </w:r>
    </w:p>
    <w:p w14:paraId="5C02776F" w14:textId="77777777" w:rsidR="00135E58" w:rsidRPr="00135E58" w:rsidRDefault="00135E58" w:rsidP="00135E58">
      <w:pPr>
        <w:widowControl w:val="0"/>
        <w:spacing w:after="0" w:line="240" w:lineRule="auto"/>
        <w:ind w:firstLine="709"/>
        <w:jc w:val="both"/>
        <w:rPr>
          <w:rFonts w:ascii="Times New Roman" w:hAnsi="Times New Roman"/>
          <w:noProof/>
          <w:sz w:val="24"/>
          <w:lang w:val="en-US"/>
        </w:rPr>
      </w:pPr>
      <w:r w:rsidRPr="00135E58">
        <w:rPr>
          <w:rFonts w:ascii="Times New Roman" w:hAnsi="Times New Roman"/>
          <w:noProof/>
          <w:sz w:val="24"/>
          <w:lang w:val="en-US"/>
        </w:rPr>
        <w:t>1) prepare a calculation of the fee quarterly advance payment for the following tax period by 20 April of the post-tax period;</w:t>
      </w:r>
    </w:p>
    <w:p w14:paraId="65ACCE8A" w14:textId="77777777" w:rsidR="00135E58" w:rsidRPr="00135E58" w:rsidRDefault="00135E58" w:rsidP="00135E58">
      <w:pPr>
        <w:widowControl w:val="0"/>
        <w:spacing w:after="0" w:line="240" w:lineRule="auto"/>
        <w:ind w:firstLine="709"/>
        <w:jc w:val="both"/>
        <w:rPr>
          <w:rFonts w:ascii="Times New Roman" w:hAnsi="Times New Roman"/>
          <w:noProof/>
          <w:sz w:val="24"/>
          <w:lang w:val="en-US"/>
        </w:rPr>
      </w:pPr>
      <w:r w:rsidRPr="00135E58">
        <w:rPr>
          <w:rFonts w:ascii="Times New Roman" w:hAnsi="Times New Roman"/>
          <w:noProof/>
          <w:sz w:val="24"/>
          <w:lang w:val="en-US"/>
        </w:rPr>
        <w:t>2) control the payment of the fee;</w:t>
      </w:r>
    </w:p>
    <w:p w14:paraId="317C6F95" w14:textId="77777777" w:rsidR="00135E58" w:rsidRPr="00135E58" w:rsidRDefault="00135E58" w:rsidP="00135E58">
      <w:pPr>
        <w:widowControl w:val="0"/>
        <w:spacing w:after="0" w:line="240" w:lineRule="auto"/>
        <w:ind w:firstLine="709"/>
        <w:jc w:val="both"/>
        <w:rPr>
          <w:rFonts w:ascii="Times New Roman" w:hAnsi="Times New Roman"/>
          <w:noProof/>
          <w:sz w:val="24"/>
          <w:lang w:val="en-US"/>
        </w:rPr>
      </w:pPr>
      <w:r w:rsidRPr="00135E58">
        <w:rPr>
          <w:rFonts w:ascii="Times New Roman" w:hAnsi="Times New Roman"/>
          <w:noProof/>
          <w:sz w:val="24"/>
          <w:lang w:val="en-US"/>
        </w:rPr>
        <w:t>3) control the completeness and accuracy of the information indicated in the return referred to in Section 5, Paragraph seven of this Law;</w:t>
      </w:r>
    </w:p>
    <w:p w14:paraId="0DD16CBE" w14:textId="77777777" w:rsidR="00135E58" w:rsidRPr="00135E58" w:rsidRDefault="00135E58" w:rsidP="00135E58">
      <w:pPr>
        <w:widowControl w:val="0"/>
        <w:spacing w:after="0" w:line="240" w:lineRule="auto"/>
        <w:ind w:firstLine="709"/>
        <w:jc w:val="both"/>
        <w:rPr>
          <w:rFonts w:ascii="Times New Roman" w:hAnsi="Times New Roman"/>
          <w:noProof/>
          <w:sz w:val="24"/>
          <w:lang w:val="en-US"/>
        </w:rPr>
      </w:pPr>
      <w:r w:rsidRPr="00135E58">
        <w:rPr>
          <w:rFonts w:ascii="Times New Roman" w:hAnsi="Times New Roman"/>
          <w:noProof/>
          <w:sz w:val="24"/>
          <w:lang w:val="en-US"/>
        </w:rPr>
        <w:t>4) prepare and send an account to the fee payer for an incompletely performed fee payment.</w:t>
      </w:r>
    </w:p>
    <w:p w14:paraId="36455EAF"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(3) Latvijas Banka shall:</w:t>
      </w:r>
    </w:p>
    <w:p w14:paraId="1E4E391E" w14:textId="77777777" w:rsidR="00135E58" w:rsidRPr="00135E58" w:rsidRDefault="00135E58" w:rsidP="00135E58">
      <w:pPr>
        <w:widowControl w:val="0"/>
        <w:spacing w:after="0" w:line="240" w:lineRule="auto"/>
        <w:ind w:firstLine="709"/>
        <w:jc w:val="both"/>
        <w:rPr>
          <w:rFonts w:ascii="Times New Roman" w:hAnsi="Times New Roman"/>
          <w:noProof/>
          <w:sz w:val="24"/>
          <w:lang w:val="en-US"/>
        </w:rPr>
      </w:pPr>
      <w:r w:rsidRPr="00135E58">
        <w:rPr>
          <w:rFonts w:ascii="Times New Roman" w:hAnsi="Times New Roman"/>
          <w:noProof/>
          <w:sz w:val="24"/>
          <w:lang w:val="en-US"/>
        </w:rPr>
        <w:t>1) for the needs of fee administration, provide the State Revenue Service with the current information on fee payers within 10 days from the moment when this information has come into the possession of Latvijas Banka;</w:t>
      </w:r>
    </w:p>
    <w:p w14:paraId="39F1E9B3" w14:textId="77777777" w:rsidR="00135E58" w:rsidRPr="00135E58" w:rsidRDefault="00135E58" w:rsidP="00135E58">
      <w:pPr>
        <w:widowControl w:val="0"/>
        <w:spacing w:after="0" w:line="240" w:lineRule="auto"/>
        <w:ind w:firstLine="709"/>
        <w:jc w:val="both"/>
        <w:rPr>
          <w:rFonts w:ascii="Times New Roman" w:hAnsi="Times New Roman"/>
          <w:noProof/>
          <w:sz w:val="24"/>
          <w:lang w:val="en-US"/>
        </w:rPr>
      </w:pPr>
      <w:r w:rsidRPr="00135E58">
        <w:rPr>
          <w:rFonts w:ascii="Times New Roman" w:hAnsi="Times New Roman"/>
          <w:noProof/>
          <w:sz w:val="24"/>
          <w:lang w:val="en-US"/>
        </w:rPr>
        <w:t>2) for the needs of the return of the fee tax period and calculation of the fee quarterly advance payments for the following tax period, submit to the State Revenue Service by 15 April of the post-tax period the data of the financial statements included by fee payers in the annual statement of the tax period.</w:t>
      </w:r>
    </w:p>
    <w:p w14:paraId="109F3B8A"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w:t>
      </w:r>
      <w:r w:rsidRPr="00135E58">
        <w:rPr>
          <w:rFonts w:ascii="Times New Roman" w:hAnsi="Times New Roman"/>
          <w:i/>
          <w:iCs/>
          <w:noProof/>
          <w:sz w:val="24"/>
          <w:lang w:val="en-US"/>
        </w:rPr>
        <w:t>29 September 2022</w:t>
      </w:r>
      <w:r w:rsidRPr="00135E58">
        <w:rPr>
          <w:rFonts w:ascii="Times New Roman" w:hAnsi="Times New Roman"/>
          <w:noProof/>
          <w:sz w:val="24"/>
          <w:lang w:val="en-US"/>
        </w:rPr>
        <w:t>]</w:t>
      </w:r>
    </w:p>
    <w:p w14:paraId="47BBE9DC"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0F0776C4" w14:textId="77777777" w:rsidR="00135E58" w:rsidRPr="00135E58" w:rsidRDefault="00135E58" w:rsidP="00135E58">
      <w:pPr>
        <w:widowControl w:val="0"/>
        <w:spacing w:after="0" w:line="240" w:lineRule="auto"/>
        <w:jc w:val="both"/>
        <w:rPr>
          <w:rFonts w:ascii="Times New Roman" w:hAnsi="Times New Roman"/>
          <w:b/>
          <w:noProof/>
          <w:sz w:val="24"/>
          <w:lang w:val="en-US"/>
        </w:rPr>
      </w:pPr>
      <w:r w:rsidRPr="00135E58">
        <w:rPr>
          <w:rFonts w:ascii="Times New Roman" w:hAnsi="Times New Roman"/>
          <w:b/>
          <w:noProof/>
          <w:sz w:val="24"/>
          <w:lang w:val="en-US"/>
        </w:rPr>
        <w:t>Section 7. Liability for Exceeding the Time Limit for Payment of the Fee</w:t>
      </w:r>
    </w:p>
    <w:p w14:paraId="2C63E883"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0FDBC2FC" w14:textId="77777777" w:rsidR="00135E58" w:rsidRPr="00135E58" w:rsidRDefault="00135E58" w:rsidP="00135E58">
      <w:pPr>
        <w:widowControl w:val="0"/>
        <w:spacing w:after="0" w:line="240" w:lineRule="auto"/>
        <w:ind w:firstLine="709"/>
        <w:jc w:val="both"/>
        <w:rPr>
          <w:rFonts w:ascii="Times New Roman" w:hAnsi="Times New Roman"/>
          <w:noProof/>
          <w:sz w:val="24"/>
          <w:lang w:val="en-US"/>
        </w:rPr>
      </w:pPr>
      <w:r w:rsidRPr="00135E58">
        <w:rPr>
          <w:rFonts w:ascii="Times New Roman" w:hAnsi="Times New Roman"/>
          <w:noProof/>
          <w:sz w:val="24"/>
          <w:lang w:val="en-US"/>
        </w:rPr>
        <w:t>If the fee payer does not make a fee payment within the time limit prescribed by this Law, the late charge for the delayed period shall be calculated to it in accordance with the law On Taxes and Fees.</w:t>
      </w:r>
    </w:p>
    <w:p w14:paraId="7CD3E568"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6814B8E5" w14:textId="77777777" w:rsidR="00135E58" w:rsidRPr="00135E58" w:rsidRDefault="00135E58" w:rsidP="00135E58">
      <w:pPr>
        <w:widowControl w:val="0"/>
        <w:spacing w:after="0" w:line="240" w:lineRule="auto"/>
        <w:jc w:val="center"/>
        <w:rPr>
          <w:rFonts w:ascii="Times New Roman" w:hAnsi="Times New Roman"/>
          <w:b/>
          <w:noProof/>
          <w:sz w:val="24"/>
          <w:lang w:val="en-US"/>
        </w:rPr>
      </w:pPr>
      <w:r w:rsidRPr="00135E58">
        <w:rPr>
          <w:rFonts w:ascii="Times New Roman" w:hAnsi="Times New Roman"/>
          <w:b/>
          <w:noProof/>
          <w:sz w:val="24"/>
          <w:lang w:val="en-US"/>
        </w:rPr>
        <w:t>Transitional Provisions</w:t>
      </w:r>
    </w:p>
    <w:p w14:paraId="7E061B9A" w14:textId="77777777" w:rsidR="00135E58" w:rsidRPr="00135E58" w:rsidRDefault="00135E58" w:rsidP="00135E58">
      <w:pPr>
        <w:widowControl w:val="0"/>
        <w:spacing w:after="0" w:line="240" w:lineRule="auto"/>
        <w:jc w:val="both"/>
        <w:rPr>
          <w:rFonts w:ascii="Times New Roman" w:hAnsi="Times New Roman" w:cs="Times New Roman"/>
          <w:b/>
          <w:bCs/>
          <w:noProof/>
          <w:sz w:val="24"/>
          <w:szCs w:val="24"/>
          <w:lang w:val="en-US"/>
        </w:rPr>
      </w:pPr>
    </w:p>
    <w:p w14:paraId="4B5DF129"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1. The Cabinet shall, by 1 July 2011, assess the options of applying fees to other financial and capital market participants and other consumer credit service providers in future tax periods and, if necessary, draft the relevant amendments to this Law.</w:t>
      </w:r>
    </w:p>
    <w:p w14:paraId="6DF98271"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180E0D02"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2. The Cabinet shall, by 31 January 2013, assess the options of channelling the fee payments into a specially established stability fund in future tax periods and, if necessary, draft the relevant amendments to this Law.</w:t>
      </w:r>
    </w:p>
    <w:p w14:paraId="6E15C530"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543ABCDF"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3. The fee payer who has, until 1 December 2022, created a new financial service available to customers, i.e. an account for the revenues from economic activity within the meaning of the law On Taxes and Fees, and has informed the Financial and Capital Market Commission thereof, is entitled to reduce the amount of the fee calculated in accordance with Section 4 of this Law by the actual costs for the creation of the account for the revenues from economic activity but by not more than EUR 50 000.</w:t>
      </w:r>
    </w:p>
    <w:p w14:paraId="6C6C895B"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w:t>
      </w:r>
      <w:r w:rsidRPr="00135E58">
        <w:rPr>
          <w:rFonts w:ascii="Times New Roman" w:hAnsi="Times New Roman"/>
          <w:i/>
          <w:iCs/>
          <w:noProof/>
          <w:sz w:val="24"/>
          <w:lang w:val="en-US"/>
        </w:rPr>
        <w:t>16 June 2021; 29 September 2022</w:t>
      </w:r>
      <w:r w:rsidRPr="00135E58">
        <w:rPr>
          <w:rFonts w:ascii="Times New Roman" w:hAnsi="Times New Roman"/>
          <w:noProof/>
          <w:sz w:val="24"/>
          <w:lang w:val="en-US"/>
        </w:rPr>
        <w:t>]</w:t>
      </w:r>
    </w:p>
    <w:p w14:paraId="1ADE59CD"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5F27DD1F"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4. In applying Paragraph 3 of Transitional Provisions, the fee payer shall submit to the State Revenue Service the calculation of the estimated costs for the creation of the account for the revenues from economic activity and a timetable for covering such costs.</w:t>
      </w:r>
    </w:p>
    <w:p w14:paraId="175ACB53"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w:t>
      </w:r>
      <w:r w:rsidRPr="00135E58">
        <w:rPr>
          <w:rFonts w:ascii="Times New Roman" w:hAnsi="Times New Roman"/>
          <w:i/>
          <w:iCs/>
          <w:noProof/>
          <w:sz w:val="24"/>
          <w:lang w:val="en-US"/>
        </w:rPr>
        <w:t>16 June 2021; 29 September 2022</w:t>
      </w:r>
      <w:r w:rsidRPr="00135E58">
        <w:rPr>
          <w:rFonts w:ascii="Times New Roman" w:hAnsi="Times New Roman"/>
          <w:noProof/>
          <w:sz w:val="24"/>
          <w:lang w:val="en-US"/>
        </w:rPr>
        <w:t>]</w:t>
      </w:r>
    </w:p>
    <w:p w14:paraId="1136F98F"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0510A497"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5. Upon receipt of the agreement of the State Revenue Service on the calculation of the estimated costs for the creation of the account for the revenues from economic activity and the timetable for covering such costs, the fee payer is entitled to, after receipt of a credit note from the State Revenue Service, reduce the next quarterly payments of the fee by the relevant actual costs for the creation of the account for the revenues from economic activity in accordance with Paragraph 3 of these Transitional Provisions.</w:t>
      </w:r>
    </w:p>
    <w:p w14:paraId="6A86ECD3"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w:t>
      </w:r>
      <w:r w:rsidRPr="00135E58">
        <w:rPr>
          <w:rFonts w:ascii="Times New Roman" w:hAnsi="Times New Roman"/>
          <w:i/>
          <w:iCs/>
          <w:noProof/>
          <w:sz w:val="24"/>
          <w:lang w:val="en-US"/>
        </w:rPr>
        <w:t>16 June 2021; 29 September 2022</w:t>
      </w:r>
      <w:r w:rsidRPr="00135E58">
        <w:rPr>
          <w:rFonts w:ascii="Times New Roman" w:hAnsi="Times New Roman"/>
          <w:noProof/>
          <w:sz w:val="24"/>
          <w:lang w:val="en-US"/>
        </w:rPr>
        <w:t>]</w:t>
      </w:r>
    </w:p>
    <w:p w14:paraId="55384ECA"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6C338A0D"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6. The fee payer who has received the agreement referred to in Paragraph 5 of these Transitional Provisions but has failed to create an account for the revenues from economic activity until 1 December 2022 is not entitled to use the reduction in the fee referred to in Paragraph 3 of these Transitional Provisions and shall make its payment in accordance with the procedures laid down in Section 5 of this Law, and also lose the right to reduce the payable amount of the fee in the next quarters.</w:t>
      </w:r>
    </w:p>
    <w:p w14:paraId="1043F96E"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w:t>
      </w:r>
      <w:r w:rsidRPr="00135E58">
        <w:rPr>
          <w:rFonts w:ascii="Times New Roman" w:hAnsi="Times New Roman"/>
          <w:i/>
          <w:iCs/>
          <w:noProof/>
          <w:sz w:val="24"/>
          <w:lang w:val="en-US"/>
        </w:rPr>
        <w:t>29 September 2022</w:t>
      </w:r>
      <w:r w:rsidRPr="00135E58">
        <w:rPr>
          <w:rFonts w:ascii="Times New Roman" w:hAnsi="Times New Roman"/>
          <w:noProof/>
          <w:sz w:val="24"/>
          <w:lang w:val="en-US"/>
        </w:rPr>
        <w:t>]</w:t>
      </w:r>
    </w:p>
    <w:p w14:paraId="1AC4A93C"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059D2616"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7. The fee payer is entitled to reduce the fee payments of the following tax periods by the share of the actual costs incurred due to creation of the account for the revenues from economic activity which exceeds the amount of the fee specified in accordance with Section 5, Paragraph seven of this Law in compliance with Paragraphs 3, 4, and 5 of these Transitional Provisions.</w:t>
      </w:r>
    </w:p>
    <w:p w14:paraId="78CAD1D0"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w:t>
      </w:r>
      <w:r w:rsidRPr="00135E58">
        <w:rPr>
          <w:rFonts w:ascii="Times New Roman" w:hAnsi="Times New Roman"/>
          <w:i/>
          <w:iCs/>
          <w:noProof/>
          <w:sz w:val="24"/>
          <w:lang w:val="en-US"/>
        </w:rPr>
        <w:t>16 June 2021; 29 September 2022</w:t>
      </w:r>
      <w:r w:rsidRPr="00135E58">
        <w:rPr>
          <w:rFonts w:ascii="Times New Roman" w:hAnsi="Times New Roman"/>
          <w:noProof/>
          <w:sz w:val="24"/>
          <w:lang w:val="en-US"/>
        </w:rPr>
        <w:t>]</w:t>
      </w:r>
    </w:p>
    <w:p w14:paraId="17DFFEC4"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073D75C1"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8. The fee payer who has applied Paragraph 3 of these Transitional Provisions is not entitled to attribute to the total price of services such costs for the creation of the account for the revenues from economic activity by which the fee payment has been reduced.</w:t>
      </w:r>
    </w:p>
    <w:p w14:paraId="5BDB2AB4"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w:t>
      </w:r>
      <w:r w:rsidRPr="00135E58">
        <w:rPr>
          <w:rFonts w:ascii="Times New Roman" w:hAnsi="Times New Roman"/>
          <w:i/>
          <w:iCs/>
          <w:noProof/>
          <w:sz w:val="24"/>
          <w:lang w:val="en-US"/>
        </w:rPr>
        <w:t>16 June 2021</w:t>
      </w:r>
      <w:r w:rsidRPr="00135E58">
        <w:rPr>
          <w:rFonts w:ascii="Times New Roman" w:hAnsi="Times New Roman"/>
          <w:noProof/>
          <w:sz w:val="24"/>
          <w:lang w:val="en-US"/>
        </w:rPr>
        <w:t>]</w:t>
      </w:r>
    </w:p>
    <w:p w14:paraId="02022113"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26BB75AC"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 xml:space="preserve">9. The aid for commercial activities referred to in Paragraph 3 of these Transitional Provisions shall be granted by the State Revenue Service to the fee payer prior to provision of the agreement referred to in Paragraph 5 of these Transitional Provisions in accordance with Commission Regulation (EU) No 1407/2013 of 18 December 2013 on the application of Articles 107 and 108 of the Treaty on the Functioning of the European Union to </w:t>
      </w:r>
      <w:r w:rsidRPr="00135E58">
        <w:rPr>
          <w:rFonts w:ascii="Times New Roman" w:hAnsi="Times New Roman"/>
          <w:i/>
          <w:iCs/>
          <w:noProof/>
          <w:sz w:val="24"/>
          <w:lang w:val="en-US"/>
        </w:rPr>
        <w:t xml:space="preserve">de minimis </w:t>
      </w:r>
      <w:r w:rsidRPr="00135E58">
        <w:rPr>
          <w:rFonts w:ascii="Times New Roman" w:hAnsi="Times New Roman"/>
          <w:noProof/>
          <w:sz w:val="24"/>
          <w:lang w:val="en-US"/>
        </w:rPr>
        <w:t>aid.</w:t>
      </w:r>
    </w:p>
    <w:p w14:paraId="009E21EE"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w:t>
      </w:r>
      <w:r w:rsidRPr="00135E58">
        <w:rPr>
          <w:rFonts w:ascii="Times New Roman" w:hAnsi="Times New Roman"/>
          <w:i/>
          <w:iCs/>
          <w:noProof/>
          <w:sz w:val="24"/>
          <w:lang w:val="en-US"/>
        </w:rPr>
        <w:t>16 June 2021; 29 September 2022</w:t>
      </w:r>
      <w:r w:rsidRPr="00135E58">
        <w:rPr>
          <w:rFonts w:ascii="Times New Roman" w:hAnsi="Times New Roman"/>
          <w:noProof/>
          <w:sz w:val="24"/>
          <w:lang w:val="en-US"/>
        </w:rPr>
        <w:t>]</w:t>
      </w:r>
    </w:p>
    <w:p w14:paraId="4D8854CB"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0229C578" w14:textId="77777777" w:rsidR="00135E58" w:rsidRPr="00135E58" w:rsidRDefault="00135E58" w:rsidP="00135E58">
      <w:pPr>
        <w:keepNext/>
        <w:keepLines/>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10. Latvijas Banka shall, by 1 February 2023, transfer to the State Revenue Service information on fee balances as of 31 December 2022.</w:t>
      </w:r>
    </w:p>
    <w:p w14:paraId="178943BE"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w:t>
      </w:r>
      <w:r w:rsidRPr="00135E58">
        <w:rPr>
          <w:rFonts w:ascii="Times New Roman" w:hAnsi="Times New Roman"/>
          <w:i/>
          <w:iCs/>
          <w:noProof/>
          <w:sz w:val="24"/>
          <w:lang w:val="en-US"/>
        </w:rPr>
        <w:t>29 September 2022</w:t>
      </w:r>
      <w:r w:rsidRPr="00135E58">
        <w:rPr>
          <w:rFonts w:ascii="Times New Roman" w:hAnsi="Times New Roman"/>
          <w:noProof/>
          <w:sz w:val="24"/>
          <w:lang w:val="en-US"/>
        </w:rPr>
        <w:t>]</w:t>
      </w:r>
    </w:p>
    <w:p w14:paraId="07F89DE1"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67CD80A6"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11. The fee payer shall submit the return of the fee tax period referred to in Section 5, Paragraph seven of this Law for the year 2022 to the State Revenue Service in accordance with the annex to Cabinet Regulation No. 396 of 24 May 2011, Regulations Regarding the Return of the Financial Stability Fee Tax Period and the Procedures for Filling Out Thereof.</w:t>
      </w:r>
    </w:p>
    <w:p w14:paraId="51CD5E2F"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w:t>
      </w:r>
      <w:r w:rsidRPr="00135E58">
        <w:rPr>
          <w:rFonts w:ascii="Times New Roman" w:hAnsi="Times New Roman"/>
          <w:i/>
          <w:iCs/>
          <w:noProof/>
          <w:sz w:val="24"/>
          <w:lang w:val="en-US"/>
        </w:rPr>
        <w:t>29 September 2022</w:t>
      </w:r>
      <w:r w:rsidRPr="00135E58">
        <w:rPr>
          <w:rFonts w:ascii="Times New Roman" w:hAnsi="Times New Roman"/>
          <w:noProof/>
          <w:sz w:val="24"/>
          <w:lang w:val="en-US"/>
        </w:rPr>
        <w:t>]</w:t>
      </w:r>
    </w:p>
    <w:p w14:paraId="4EA310E8"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60CC7A55"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1F7DF7DB"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The Law shall come into force on 1 January 2011.</w:t>
      </w:r>
    </w:p>
    <w:p w14:paraId="3E9A5264"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4157AB42"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r w:rsidRPr="00135E58">
        <w:rPr>
          <w:rFonts w:ascii="Times New Roman" w:hAnsi="Times New Roman"/>
          <w:noProof/>
          <w:sz w:val="24"/>
          <w:lang w:val="en-US"/>
        </w:rPr>
        <w:t xml:space="preserve">The Law has been adopted by the </w:t>
      </w:r>
      <w:r w:rsidRPr="00135E58">
        <w:rPr>
          <w:rFonts w:ascii="Times New Roman" w:hAnsi="Times New Roman"/>
          <w:i/>
          <w:noProof/>
          <w:sz w:val="24"/>
          <w:lang w:val="en-US"/>
        </w:rPr>
        <w:t xml:space="preserve">Saeima </w:t>
      </w:r>
      <w:r w:rsidRPr="00135E58">
        <w:rPr>
          <w:rFonts w:ascii="Times New Roman" w:hAnsi="Times New Roman"/>
          <w:noProof/>
          <w:sz w:val="24"/>
          <w:lang w:val="en-US"/>
        </w:rPr>
        <w:t>on 20 December 2010.</w:t>
      </w:r>
    </w:p>
    <w:p w14:paraId="5B51D027"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6CAB4574"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01945274" w14:textId="77777777" w:rsidR="00135E58" w:rsidRPr="00135E58" w:rsidRDefault="00135E58" w:rsidP="00135E58">
      <w:pPr>
        <w:widowControl w:val="0"/>
        <w:tabs>
          <w:tab w:val="left" w:pos="8080"/>
        </w:tabs>
        <w:spacing w:after="0" w:line="240" w:lineRule="auto"/>
        <w:jc w:val="both"/>
        <w:rPr>
          <w:rFonts w:ascii="Times New Roman" w:hAnsi="Times New Roman"/>
          <w:noProof/>
          <w:sz w:val="24"/>
          <w:lang w:val="en-US"/>
        </w:rPr>
      </w:pPr>
      <w:r w:rsidRPr="00135E58">
        <w:rPr>
          <w:rFonts w:ascii="Times New Roman" w:hAnsi="Times New Roman"/>
          <w:noProof/>
          <w:sz w:val="24"/>
          <w:lang w:val="en-US"/>
        </w:rPr>
        <w:t>President</w:t>
      </w:r>
      <w:r w:rsidRPr="00135E58">
        <w:rPr>
          <w:rFonts w:ascii="Times New Roman" w:hAnsi="Times New Roman"/>
          <w:noProof/>
          <w:sz w:val="24"/>
          <w:lang w:val="en-US"/>
        </w:rPr>
        <w:tab/>
        <w:t>V. Zatlers</w:t>
      </w:r>
    </w:p>
    <w:p w14:paraId="322BE16A"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p w14:paraId="58737EF7" w14:textId="77777777" w:rsidR="00135E58" w:rsidRPr="00135E58" w:rsidRDefault="00135E58" w:rsidP="00135E58">
      <w:pPr>
        <w:widowControl w:val="0"/>
        <w:spacing w:after="0" w:line="240" w:lineRule="auto"/>
        <w:jc w:val="both"/>
        <w:rPr>
          <w:rFonts w:ascii="Times New Roman" w:hAnsi="Times New Roman"/>
          <w:noProof/>
          <w:sz w:val="24"/>
          <w:lang w:val="en-US"/>
        </w:rPr>
      </w:pPr>
      <w:r w:rsidRPr="00135E58">
        <w:rPr>
          <w:rFonts w:ascii="Times New Roman" w:hAnsi="Times New Roman"/>
          <w:noProof/>
          <w:sz w:val="24"/>
          <w:lang w:val="en-US"/>
        </w:rPr>
        <w:t>Rīga, 30 December 2010</w:t>
      </w:r>
    </w:p>
    <w:p w14:paraId="61DABECE" w14:textId="77777777" w:rsidR="00135E58" w:rsidRPr="00135E58" w:rsidRDefault="00135E58" w:rsidP="00135E58">
      <w:pPr>
        <w:widowControl w:val="0"/>
        <w:spacing w:after="0" w:line="240" w:lineRule="auto"/>
        <w:jc w:val="both"/>
        <w:rPr>
          <w:rFonts w:ascii="Times New Roman" w:hAnsi="Times New Roman" w:cs="Times New Roman"/>
          <w:noProof/>
          <w:sz w:val="24"/>
          <w:szCs w:val="24"/>
          <w:lang w:val="en-US"/>
        </w:rPr>
      </w:pPr>
    </w:p>
    <w:sectPr w:rsidR="00135E58" w:rsidRPr="00135E58" w:rsidSect="00F22E0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8360" w14:textId="77777777" w:rsidR="004A6C1A" w:rsidRPr="00135E58" w:rsidRDefault="004A6C1A" w:rsidP="004A6C1A">
      <w:pPr>
        <w:spacing w:after="0" w:line="240" w:lineRule="auto"/>
        <w:rPr>
          <w:noProof/>
          <w:lang w:val="en-US"/>
        </w:rPr>
      </w:pPr>
      <w:r w:rsidRPr="00135E58">
        <w:rPr>
          <w:noProof/>
          <w:lang w:val="en-US"/>
        </w:rPr>
        <w:separator/>
      </w:r>
    </w:p>
  </w:endnote>
  <w:endnote w:type="continuationSeparator" w:id="0">
    <w:p w14:paraId="70E384A9" w14:textId="77777777" w:rsidR="004A6C1A" w:rsidRPr="00135E58" w:rsidRDefault="004A6C1A" w:rsidP="004A6C1A">
      <w:pPr>
        <w:spacing w:after="0" w:line="240" w:lineRule="auto"/>
        <w:rPr>
          <w:noProof/>
          <w:lang w:val="en-US"/>
        </w:rPr>
      </w:pPr>
      <w:r w:rsidRPr="00135E5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19EF" w14:textId="77777777" w:rsidR="00135E58" w:rsidRDefault="00135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0163" w14:textId="77777777" w:rsidR="009522CD" w:rsidRPr="00135E58" w:rsidRDefault="009522CD" w:rsidP="009522CD">
    <w:pPr>
      <w:pStyle w:val="Footer"/>
      <w:rPr>
        <w:rFonts w:ascii="Times New Roman" w:hAnsi="Times New Roman" w:cs="Times New Roman"/>
        <w:noProof/>
        <w:sz w:val="20"/>
        <w:szCs w:val="20"/>
        <w:lang w:val="en-US"/>
      </w:rPr>
    </w:pPr>
  </w:p>
  <w:p w14:paraId="36C20FCD" w14:textId="77777777" w:rsidR="009522CD" w:rsidRPr="00135E58" w:rsidRDefault="009522CD" w:rsidP="009522CD">
    <w:pPr>
      <w:pStyle w:val="Footer"/>
      <w:framePr w:wrap="around" w:vAnchor="text" w:hAnchor="margin" w:xAlign="right" w:y="1"/>
      <w:jc w:val="right"/>
      <w:rPr>
        <w:rStyle w:val="PageNumber"/>
        <w:rFonts w:ascii="Times New Roman" w:hAnsi="Times New Roman" w:cs="Times New Roman"/>
        <w:noProof/>
        <w:sz w:val="20"/>
        <w:szCs w:val="20"/>
        <w:lang w:val="en-US"/>
      </w:rPr>
    </w:pPr>
    <w:r w:rsidRPr="00135E58">
      <w:rPr>
        <w:rStyle w:val="PageNumber"/>
        <w:rFonts w:ascii="Times New Roman" w:hAnsi="Times New Roman" w:cs="Times New Roman"/>
        <w:noProof/>
        <w:sz w:val="20"/>
        <w:szCs w:val="20"/>
        <w:lang w:val="en-US"/>
      </w:rPr>
      <w:fldChar w:fldCharType="begin"/>
    </w:r>
    <w:r w:rsidRPr="00135E58">
      <w:rPr>
        <w:rStyle w:val="PageNumber"/>
        <w:rFonts w:ascii="Times New Roman" w:hAnsi="Times New Roman" w:cs="Times New Roman"/>
        <w:noProof/>
        <w:sz w:val="20"/>
        <w:szCs w:val="20"/>
        <w:lang w:val="en-US"/>
      </w:rPr>
      <w:instrText xml:space="preserve"> PAGE </w:instrText>
    </w:r>
    <w:r w:rsidRPr="00135E58">
      <w:rPr>
        <w:rStyle w:val="PageNumber"/>
        <w:rFonts w:ascii="Times New Roman" w:hAnsi="Times New Roman" w:cs="Times New Roman"/>
        <w:noProof/>
        <w:sz w:val="20"/>
        <w:szCs w:val="20"/>
        <w:lang w:val="en-US"/>
      </w:rPr>
      <w:fldChar w:fldCharType="separate"/>
    </w:r>
    <w:r w:rsidRPr="00135E58">
      <w:rPr>
        <w:rStyle w:val="PageNumber"/>
        <w:rFonts w:ascii="Times New Roman" w:hAnsi="Times New Roman" w:cs="Times New Roman"/>
        <w:noProof/>
        <w:sz w:val="20"/>
        <w:szCs w:val="20"/>
        <w:lang w:val="en-US"/>
      </w:rPr>
      <w:t>2</w:t>
    </w:r>
    <w:r w:rsidRPr="00135E58">
      <w:rPr>
        <w:rStyle w:val="PageNumber"/>
        <w:rFonts w:ascii="Times New Roman" w:hAnsi="Times New Roman" w:cs="Times New Roman"/>
        <w:noProof/>
        <w:sz w:val="20"/>
        <w:szCs w:val="20"/>
        <w:lang w:val="en-US"/>
      </w:rPr>
      <w:fldChar w:fldCharType="end"/>
    </w:r>
    <w:r w:rsidRPr="00135E58">
      <w:rPr>
        <w:rStyle w:val="PageNumber"/>
        <w:rFonts w:ascii="Times New Roman" w:hAnsi="Times New Roman" w:cs="Times New Roman"/>
        <w:noProof/>
        <w:sz w:val="20"/>
        <w:szCs w:val="20"/>
        <w:lang w:val="en-US"/>
      </w:rPr>
      <w:t xml:space="preserve"> </w:t>
    </w:r>
  </w:p>
  <w:p w14:paraId="45F4C655" w14:textId="3971AE8B" w:rsidR="00980EED" w:rsidRPr="00135E58" w:rsidRDefault="009522CD">
    <w:pPr>
      <w:pStyle w:val="Footer"/>
      <w:rPr>
        <w:rFonts w:ascii="Times New Roman" w:hAnsi="Times New Roman" w:cs="Times New Roman"/>
        <w:noProof/>
        <w:sz w:val="20"/>
        <w:szCs w:val="20"/>
        <w:lang w:val="en-US"/>
      </w:rPr>
    </w:pPr>
    <w:r w:rsidRPr="00135E58">
      <w:rPr>
        <w:rFonts w:ascii="Times New Roman" w:hAnsi="Times New Roman" w:cs="Times New Roman"/>
        <w:noProof/>
        <w:sz w:val="20"/>
        <w:szCs w:val="20"/>
        <w:lang w:val="en-US"/>
      </w:rPr>
      <w:t xml:space="preserve">Translation </w:t>
    </w:r>
    <w:r w:rsidRPr="00135E58">
      <w:rPr>
        <w:rFonts w:ascii="Times New Roman" w:hAnsi="Times New Roman" w:cs="Times New Roman"/>
        <w:noProof/>
        <w:sz w:val="20"/>
        <w:szCs w:val="20"/>
        <w:lang w:val="en-US"/>
      </w:rPr>
      <w:fldChar w:fldCharType="begin"/>
    </w:r>
    <w:r w:rsidRPr="00135E58">
      <w:rPr>
        <w:rFonts w:ascii="Times New Roman" w:hAnsi="Times New Roman" w:cs="Times New Roman"/>
        <w:noProof/>
        <w:sz w:val="20"/>
        <w:szCs w:val="20"/>
        <w:lang w:val="en-US"/>
      </w:rPr>
      <w:instrText>symbol 169 \f "UnivrstyRoman TL" \s 8</w:instrText>
    </w:r>
    <w:r w:rsidRPr="00135E58">
      <w:rPr>
        <w:rFonts w:ascii="Times New Roman" w:hAnsi="Times New Roman" w:cs="Times New Roman"/>
        <w:noProof/>
        <w:sz w:val="20"/>
        <w:szCs w:val="20"/>
        <w:lang w:val="en-US"/>
      </w:rPr>
      <w:fldChar w:fldCharType="separate"/>
    </w:r>
    <w:r w:rsidRPr="00135E58">
      <w:rPr>
        <w:rFonts w:ascii="Times New Roman" w:hAnsi="Times New Roman" w:cs="Times New Roman"/>
        <w:noProof/>
        <w:sz w:val="20"/>
        <w:szCs w:val="20"/>
        <w:lang w:val="en-US"/>
      </w:rPr>
      <w:t>©</w:t>
    </w:r>
    <w:r w:rsidRPr="00135E58">
      <w:rPr>
        <w:rFonts w:ascii="Times New Roman" w:hAnsi="Times New Roman" w:cs="Times New Roman"/>
        <w:noProof/>
        <w:sz w:val="20"/>
        <w:szCs w:val="20"/>
        <w:lang w:val="en-US"/>
      </w:rPr>
      <w:fldChar w:fldCharType="end"/>
    </w:r>
    <w:r w:rsidRPr="00135E58">
      <w:rPr>
        <w:rFonts w:ascii="Times New Roman" w:hAnsi="Times New Roman"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93D8" w14:textId="77777777" w:rsidR="009E006C" w:rsidRPr="00135E58" w:rsidRDefault="009E006C" w:rsidP="009E006C">
    <w:pPr>
      <w:pStyle w:val="Footer"/>
      <w:rPr>
        <w:rFonts w:ascii="Times New Roman" w:hAnsi="Times New Roman" w:cs="Times New Roman"/>
        <w:noProof/>
        <w:sz w:val="20"/>
        <w:szCs w:val="20"/>
        <w:vertAlign w:val="superscript"/>
        <w:lang w:val="en-US"/>
      </w:rPr>
    </w:pPr>
    <w:bookmarkStart w:id="0" w:name="_Hlk32478718"/>
    <w:bookmarkStart w:id="1" w:name="_Hlk32478719"/>
  </w:p>
  <w:p w14:paraId="59CE96E1" w14:textId="77777777" w:rsidR="009E006C" w:rsidRPr="00135E58" w:rsidRDefault="009E006C" w:rsidP="009E006C">
    <w:pPr>
      <w:pStyle w:val="Footer"/>
      <w:rPr>
        <w:rFonts w:ascii="Times New Roman" w:hAnsi="Times New Roman" w:cs="Times New Roman"/>
        <w:noProof/>
        <w:sz w:val="20"/>
        <w:szCs w:val="20"/>
        <w:lang w:val="en-US"/>
      </w:rPr>
    </w:pPr>
    <w:bookmarkStart w:id="2" w:name="_Hlk32310318"/>
    <w:bookmarkStart w:id="3" w:name="_Hlk32310319"/>
    <w:r w:rsidRPr="00135E58">
      <w:rPr>
        <w:rFonts w:ascii="Times New Roman" w:hAnsi="Times New Roman" w:cs="Times New Roman"/>
        <w:noProof/>
        <w:sz w:val="20"/>
        <w:szCs w:val="20"/>
        <w:vertAlign w:val="superscript"/>
        <w:lang w:val="en-US"/>
      </w:rPr>
      <w:t xml:space="preserve">1 </w:t>
    </w:r>
    <w:r w:rsidRPr="00135E58">
      <w:rPr>
        <w:rFonts w:ascii="Times New Roman" w:hAnsi="Times New Roman" w:cs="Times New Roman"/>
        <w:noProof/>
        <w:sz w:val="20"/>
        <w:szCs w:val="20"/>
        <w:lang w:val="en-US"/>
      </w:rPr>
      <w:t>The Parliament of the Republic of Latvia</w:t>
    </w:r>
  </w:p>
  <w:p w14:paraId="657F156B" w14:textId="77777777" w:rsidR="009E006C" w:rsidRPr="00135E58" w:rsidRDefault="009E006C" w:rsidP="009E006C">
    <w:pPr>
      <w:pStyle w:val="Footer"/>
      <w:rPr>
        <w:rFonts w:ascii="Times New Roman" w:hAnsi="Times New Roman" w:cs="Times New Roman"/>
        <w:noProof/>
        <w:sz w:val="20"/>
        <w:szCs w:val="20"/>
        <w:lang w:val="en-US"/>
      </w:rPr>
    </w:pPr>
  </w:p>
  <w:p w14:paraId="73A710D0" w14:textId="0D38C955" w:rsidR="00980EED" w:rsidRPr="00135E58" w:rsidRDefault="009E006C">
    <w:pPr>
      <w:pStyle w:val="Footer"/>
      <w:rPr>
        <w:rFonts w:ascii="Times New Roman" w:hAnsi="Times New Roman" w:cs="Times New Roman"/>
        <w:noProof/>
        <w:sz w:val="20"/>
        <w:szCs w:val="20"/>
        <w:lang w:val="en-US"/>
      </w:rPr>
    </w:pPr>
    <w:r w:rsidRPr="00135E58">
      <w:rPr>
        <w:rFonts w:ascii="Times New Roman" w:hAnsi="Times New Roman" w:cs="Times New Roman"/>
        <w:noProof/>
        <w:sz w:val="20"/>
        <w:szCs w:val="20"/>
        <w:lang w:val="en-US"/>
      </w:rPr>
      <w:t xml:space="preserve">Translation </w:t>
    </w:r>
    <w:r w:rsidRPr="00135E58">
      <w:rPr>
        <w:rFonts w:ascii="Times New Roman" w:hAnsi="Times New Roman" w:cs="Times New Roman"/>
        <w:noProof/>
        <w:sz w:val="20"/>
        <w:szCs w:val="20"/>
        <w:lang w:val="en-US"/>
      </w:rPr>
      <w:fldChar w:fldCharType="begin"/>
    </w:r>
    <w:r w:rsidRPr="00135E58">
      <w:rPr>
        <w:rFonts w:ascii="Times New Roman" w:hAnsi="Times New Roman" w:cs="Times New Roman"/>
        <w:noProof/>
        <w:sz w:val="20"/>
        <w:szCs w:val="20"/>
        <w:lang w:val="en-US"/>
      </w:rPr>
      <w:instrText>symbol 169 \f "UnivrstyRoman TL" \s 8</w:instrText>
    </w:r>
    <w:r w:rsidRPr="00135E58">
      <w:rPr>
        <w:rFonts w:ascii="Times New Roman" w:hAnsi="Times New Roman" w:cs="Times New Roman"/>
        <w:noProof/>
        <w:sz w:val="20"/>
        <w:szCs w:val="20"/>
        <w:lang w:val="en-US"/>
      </w:rPr>
      <w:fldChar w:fldCharType="separate"/>
    </w:r>
    <w:r w:rsidRPr="00135E58">
      <w:rPr>
        <w:rFonts w:ascii="Times New Roman" w:hAnsi="Times New Roman" w:cs="Times New Roman"/>
        <w:noProof/>
        <w:sz w:val="20"/>
        <w:szCs w:val="20"/>
        <w:lang w:val="en-US"/>
      </w:rPr>
      <w:t>©</w:t>
    </w:r>
    <w:r w:rsidRPr="00135E58">
      <w:rPr>
        <w:rFonts w:ascii="Times New Roman" w:hAnsi="Times New Roman" w:cs="Times New Roman"/>
        <w:noProof/>
        <w:sz w:val="20"/>
        <w:szCs w:val="20"/>
        <w:lang w:val="en-US"/>
      </w:rPr>
      <w:fldChar w:fldCharType="end"/>
    </w:r>
    <w:r w:rsidRPr="00135E58">
      <w:rPr>
        <w:rFonts w:ascii="Times New Roman" w:hAnsi="Times New Roman" w:cs="Times New Roman"/>
        <w:noProof/>
        <w:sz w:val="20"/>
        <w:szCs w:val="20"/>
        <w:lang w:val="en-US"/>
      </w:rPr>
      <w:t xml:space="preserve"> 2023 Valsts valodas centrs (State Language Centre)</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26CE" w14:textId="77777777" w:rsidR="004A6C1A" w:rsidRPr="00135E58" w:rsidRDefault="004A6C1A" w:rsidP="004A6C1A">
      <w:pPr>
        <w:spacing w:after="0" w:line="240" w:lineRule="auto"/>
        <w:rPr>
          <w:noProof/>
          <w:lang w:val="en-US"/>
        </w:rPr>
      </w:pPr>
      <w:r w:rsidRPr="00135E58">
        <w:rPr>
          <w:noProof/>
          <w:lang w:val="en-US"/>
        </w:rPr>
        <w:separator/>
      </w:r>
    </w:p>
  </w:footnote>
  <w:footnote w:type="continuationSeparator" w:id="0">
    <w:p w14:paraId="3B95FF65" w14:textId="77777777" w:rsidR="004A6C1A" w:rsidRPr="00135E58" w:rsidRDefault="004A6C1A" w:rsidP="004A6C1A">
      <w:pPr>
        <w:spacing w:after="0" w:line="240" w:lineRule="auto"/>
        <w:rPr>
          <w:noProof/>
          <w:lang w:val="en-US"/>
        </w:rPr>
      </w:pPr>
      <w:r w:rsidRPr="00135E5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3AC7" w14:textId="77777777" w:rsidR="00135E58" w:rsidRDefault="00135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8849" w14:textId="77777777" w:rsidR="00135E58" w:rsidRDefault="00135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9261" w14:textId="77777777" w:rsidR="00135E58" w:rsidRDefault="00135E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47"/>
    <w:rsid w:val="00135E58"/>
    <w:rsid w:val="001B43F0"/>
    <w:rsid w:val="004A6C1A"/>
    <w:rsid w:val="00544072"/>
    <w:rsid w:val="005846B7"/>
    <w:rsid w:val="005B5347"/>
    <w:rsid w:val="0070754A"/>
    <w:rsid w:val="00783CF9"/>
    <w:rsid w:val="007C397E"/>
    <w:rsid w:val="007C4F5A"/>
    <w:rsid w:val="00870635"/>
    <w:rsid w:val="008F241E"/>
    <w:rsid w:val="009522CD"/>
    <w:rsid w:val="00973A5C"/>
    <w:rsid w:val="00980EED"/>
    <w:rsid w:val="009D72C1"/>
    <w:rsid w:val="009E006C"/>
    <w:rsid w:val="00A17ED7"/>
    <w:rsid w:val="00A96EDC"/>
    <w:rsid w:val="00C60DA4"/>
    <w:rsid w:val="00CA469E"/>
    <w:rsid w:val="00D50C53"/>
    <w:rsid w:val="00F22E06"/>
    <w:rsid w:val="00F3535C"/>
    <w:rsid w:val="00FE50A7"/>
    <w:rsid w:val="00FE6C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C58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17ED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7ED7"/>
    <w:rPr>
      <w:rFonts w:ascii="Times New Roman" w:eastAsia="Times New Roman" w:hAnsi="Times New Roman" w:cs="Times New Roman"/>
      <w:b/>
      <w:bCs/>
      <w:sz w:val="27"/>
      <w:szCs w:val="27"/>
      <w:lang w:eastAsia="lv-LV"/>
    </w:rPr>
  </w:style>
  <w:style w:type="paragraph" w:customStyle="1" w:styleId="likc">
    <w:name w:val="lik_c"/>
    <w:basedOn w:val="Normal"/>
    <w:rsid w:val="00A17ED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17ED7"/>
    <w:rPr>
      <w:color w:val="0000FF"/>
      <w:u w:val="single"/>
    </w:rPr>
  </w:style>
  <w:style w:type="paragraph" w:styleId="NormalWeb">
    <w:name w:val="Normal (Web)"/>
    <w:basedOn w:val="Normal"/>
    <w:uiPriority w:val="99"/>
    <w:semiHidden/>
    <w:unhideWhenUsed/>
    <w:rsid w:val="00A17E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A17E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A17E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A17E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A6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C1A"/>
  </w:style>
  <w:style w:type="paragraph" w:styleId="Footer">
    <w:name w:val="footer"/>
    <w:basedOn w:val="Normal"/>
    <w:link w:val="FooterChar"/>
    <w:unhideWhenUsed/>
    <w:rsid w:val="004A6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C1A"/>
  </w:style>
  <w:style w:type="paragraph" w:styleId="BlockText">
    <w:name w:val="Block Text"/>
    <w:basedOn w:val="Normal"/>
    <w:rsid w:val="00C60DA4"/>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952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4327">
      <w:bodyDiv w:val="1"/>
      <w:marLeft w:val="0"/>
      <w:marRight w:val="0"/>
      <w:marTop w:val="0"/>
      <w:marBottom w:val="0"/>
      <w:divBdr>
        <w:top w:val="none" w:sz="0" w:space="0" w:color="auto"/>
        <w:left w:val="none" w:sz="0" w:space="0" w:color="auto"/>
        <w:bottom w:val="none" w:sz="0" w:space="0" w:color="auto"/>
        <w:right w:val="none" w:sz="0" w:space="0" w:color="auto"/>
      </w:divBdr>
    </w:div>
    <w:div w:id="179509760">
      <w:bodyDiv w:val="1"/>
      <w:marLeft w:val="0"/>
      <w:marRight w:val="0"/>
      <w:marTop w:val="0"/>
      <w:marBottom w:val="0"/>
      <w:divBdr>
        <w:top w:val="none" w:sz="0" w:space="0" w:color="auto"/>
        <w:left w:val="none" w:sz="0" w:space="0" w:color="auto"/>
        <w:bottom w:val="none" w:sz="0" w:space="0" w:color="auto"/>
        <w:right w:val="none" w:sz="0" w:space="0" w:color="auto"/>
      </w:divBdr>
    </w:div>
    <w:div w:id="316615381">
      <w:bodyDiv w:val="1"/>
      <w:marLeft w:val="0"/>
      <w:marRight w:val="0"/>
      <w:marTop w:val="0"/>
      <w:marBottom w:val="0"/>
      <w:divBdr>
        <w:top w:val="none" w:sz="0" w:space="0" w:color="auto"/>
        <w:left w:val="none" w:sz="0" w:space="0" w:color="auto"/>
        <w:bottom w:val="none" w:sz="0" w:space="0" w:color="auto"/>
        <w:right w:val="none" w:sz="0" w:space="0" w:color="auto"/>
      </w:divBdr>
      <w:divsChild>
        <w:div w:id="1318340223">
          <w:marLeft w:val="0"/>
          <w:marRight w:val="0"/>
          <w:marTop w:val="480"/>
          <w:marBottom w:val="240"/>
          <w:divBdr>
            <w:top w:val="none" w:sz="0" w:space="0" w:color="auto"/>
            <w:left w:val="none" w:sz="0" w:space="0" w:color="auto"/>
            <w:bottom w:val="none" w:sz="0" w:space="0" w:color="auto"/>
            <w:right w:val="none" w:sz="0" w:space="0" w:color="auto"/>
          </w:divBdr>
        </w:div>
        <w:div w:id="177080696">
          <w:marLeft w:val="0"/>
          <w:marRight w:val="0"/>
          <w:marTop w:val="0"/>
          <w:marBottom w:val="567"/>
          <w:divBdr>
            <w:top w:val="none" w:sz="0" w:space="0" w:color="auto"/>
            <w:left w:val="none" w:sz="0" w:space="0" w:color="auto"/>
            <w:bottom w:val="none" w:sz="0" w:space="0" w:color="auto"/>
            <w:right w:val="none" w:sz="0" w:space="0" w:color="auto"/>
          </w:divBdr>
        </w:div>
        <w:div w:id="981228527">
          <w:marLeft w:val="0"/>
          <w:marRight w:val="0"/>
          <w:marTop w:val="0"/>
          <w:marBottom w:val="0"/>
          <w:divBdr>
            <w:top w:val="none" w:sz="0" w:space="0" w:color="auto"/>
            <w:left w:val="none" w:sz="0" w:space="0" w:color="auto"/>
            <w:bottom w:val="none" w:sz="0" w:space="0" w:color="auto"/>
            <w:right w:val="none" w:sz="0" w:space="0" w:color="auto"/>
          </w:divBdr>
        </w:div>
        <w:div w:id="26420231">
          <w:marLeft w:val="0"/>
          <w:marRight w:val="0"/>
          <w:marTop w:val="0"/>
          <w:marBottom w:val="0"/>
          <w:divBdr>
            <w:top w:val="none" w:sz="0" w:space="0" w:color="auto"/>
            <w:left w:val="none" w:sz="0" w:space="0" w:color="auto"/>
            <w:bottom w:val="none" w:sz="0" w:space="0" w:color="auto"/>
            <w:right w:val="none" w:sz="0" w:space="0" w:color="auto"/>
          </w:divBdr>
        </w:div>
        <w:div w:id="604338826">
          <w:marLeft w:val="0"/>
          <w:marRight w:val="0"/>
          <w:marTop w:val="0"/>
          <w:marBottom w:val="0"/>
          <w:divBdr>
            <w:top w:val="none" w:sz="0" w:space="0" w:color="auto"/>
            <w:left w:val="none" w:sz="0" w:space="0" w:color="auto"/>
            <w:bottom w:val="none" w:sz="0" w:space="0" w:color="auto"/>
            <w:right w:val="none" w:sz="0" w:space="0" w:color="auto"/>
          </w:divBdr>
        </w:div>
        <w:div w:id="947933149">
          <w:marLeft w:val="0"/>
          <w:marRight w:val="0"/>
          <w:marTop w:val="0"/>
          <w:marBottom w:val="0"/>
          <w:divBdr>
            <w:top w:val="none" w:sz="0" w:space="0" w:color="auto"/>
            <w:left w:val="none" w:sz="0" w:space="0" w:color="auto"/>
            <w:bottom w:val="none" w:sz="0" w:space="0" w:color="auto"/>
            <w:right w:val="none" w:sz="0" w:space="0" w:color="auto"/>
          </w:divBdr>
        </w:div>
        <w:div w:id="1815827349">
          <w:marLeft w:val="0"/>
          <w:marRight w:val="0"/>
          <w:marTop w:val="0"/>
          <w:marBottom w:val="0"/>
          <w:divBdr>
            <w:top w:val="none" w:sz="0" w:space="0" w:color="auto"/>
            <w:left w:val="none" w:sz="0" w:space="0" w:color="auto"/>
            <w:bottom w:val="none" w:sz="0" w:space="0" w:color="auto"/>
            <w:right w:val="none" w:sz="0" w:space="0" w:color="auto"/>
          </w:divBdr>
        </w:div>
        <w:div w:id="321082084">
          <w:marLeft w:val="0"/>
          <w:marRight w:val="0"/>
          <w:marTop w:val="0"/>
          <w:marBottom w:val="0"/>
          <w:divBdr>
            <w:top w:val="none" w:sz="0" w:space="0" w:color="auto"/>
            <w:left w:val="none" w:sz="0" w:space="0" w:color="auto"/>
            <w:bottom w:val="none" w:sz="0" w:space="0" w:color="auto"/>
            <w:right w:val="none" w:sz="0" w:space="0" w:color="auto"/>
          </w:divBdr>
        </w:div>
        <w:div w:id="490146084">
          <w:marLeft w:val="0"/>
          <w:marRight w:val="0"/>
          <w:marTop w:val="0"/>
          <w:marBottom w:val="0"/>
          <w:divBdr>
            <w:top w:val="none" w:sz="0" w:space="0" w:color="auto"/>
            <w:left w:val="none" w:sz="0" w:space="0" w:color="auto"/>
            <w:bottom w:val="none" w:sz="0" w:space="0" w:color="auto"/>
            <w:right w:val="none" w:sz="0" w:space="0" w:color="auto"/>
          </w:divBdr>
        </w:div>
        <w:div w:id="1195312646">
          <w:marLeft w:val="0"/>
          <w:marRight w:val="0"/>
          <w:marTop w:val="135"/>
          <w:marBottom w:val="0"/>
          <w:divBdr>
            <w:top w:val="none" w:sz="0" w:space="0" w:color="auto"/>
            <w:left w:val="none" w:sz="0" w:space="0" w:color="auto"/>
            <w:bottom w:val="none" w:sz="0" w:space="0" w:color="auto"/>
            <w:right w:val="none" w:sz="0" w:space="0" w:color="auto"/>
          </w:divBdr>
        </w:div>
        <w:div w:id="473834145">
          <w:marLeft w:val="0"/>
          <w:marRight w:val="0"/>
          <w:marTop w:val="0"/>
          <w:marBottom w:val="0"/>
          <w:divBdr>
            <w:top w:val="none" w:sz="0" w:space="0" w:color="auto"/>
            <w:left w:val="none" w:sz="0" w:space="0" w:color="auto"/>
            <w:bottom w:val="none" w:sz="0" w:space="0" w:color="auto"/>
            <w:right w:val="none" w:sz="0" w:space="0" w:color="auto"/>
          </w:divBdr>
        </w:div>
        <w:div w:id="463543916">
          <w:marLeft w:val="0"/>
          <w:marRight w:val="0"/>
          <w:marTop w:val="0"/>
          <w:marBottom w:val="0"/>
          <w:divBdr>
            <w:top w:val="none" w:sz="0" w:space="0" w:color="auto"/>
            <w:left w:val="none" w:sz="0" w:space="0" w:color="auto"/>
            <w:bottom w:val="none" w:sz="0" w:space="0" w:color="auto"/>
            <w:right w:val="none" w:sz="0" w:space="0" w:color="auto"/>
          </w:divBdr>
        </w:div>
        <w:div w:id="740298038">
          <w:marLeft w:val="0"/>
          <w:marRight w:val="0"/>
          <w:marTop w:val="0"/>
          <w:marBottom w:val="0"/>
          <w:divBdr>
            <w:top w:val="none" w:sz="0" w:space="0" w:color="auto"/>
            <w:left w:val="none" w:sz="0" w:space="0" w:color="auto"/>
            <w:bottom w:val="none" w:sz="0" w:space="0" w:color="auto"/>
            <w:right w:val="none" w:sz="0" w:space="0" w:color="auto"/>
          </w:divBdr>
        </w:div>
        <w:div w:id="1570921239">
          <w:marLeft w:val="0"/>
          <w:marRight w:val="0"/>
          <w:marTop w:val="0"/>
          <w:marBottom w:val="0"/>
          <w:divBdr>
            <w:top w:val="none" w:sz="0" w:space="0" w:color="auto"/>
            <w:left w:val="none" w:sz="0" w:space="0" w:color="auto"/>
            <w:bottom w:val="none" w:sz="0" w:space="0" w:color="auto"/>
            <w:right w:val="none" w:sz="0" w:space="0" w:color="auto"/>
          </w:divBdr>
        </w:div>
        <w:div w:id="763576180">
          <w:marLeft w:val="0"/>
          <w:marRight w:val="0"/>
          <w:marTop w:val="0"/>
          <w:marBottom w:val="0"/>
          <w:divBdr>
            <w:top w:val="none" w:sz="0" w:space="0" w:color="auto"/>
            <w:left w:val="none" w:sz="0" w:space="0" w:color="auto"/>
            <w:bottom w:val="none" w:sz="0" w:space="0" w:color="auto"/>
            <w:right w:val="none" w:sz="0" w:space="0" w:color="auto"/>
          </w:divBdr>
        </w:div>
        <w:div w:id="1516076517">
          <w:marLeft w:val="0"/>
          <w:marRight w:val="0"/>
          <w:marTop w:val="0"/>
          <w:marBottom w:val="0"/>
          <w:divBdr>
            <w:top w:val="none" w:sz="0" w:space="0" w:color="auto"/>
            <w:left w:val="none" w:sz="0" w:space="0" w:color="auto"/>
            <w:bottom w:val="none" w:sz="0" w:space="0" w:color="auto"/>
            <w:right w:val="none" w:sz="0" w:space="0" w:color="auto"/>
          </w:divBdr>
        </w:div>
        <w:div w:id="1990475226">
          <w:marLeft w:val="0"/>
          <w:marRight w:val="0"/>
          <w:marTop w:val="0"/>
          <w:marBottom w:val="0"/>
          <w:divBdr>
            <w:top w:val="none" w:sz="0" w:space="0" w:color="auto"/>
            <w:left w:val="none" w:sz="0" w:space="0" w:color="auto"/>
            <w:bottom w:val="none" w:sz="0" w:space="0" w:color="auto"/>
            <w:right w:val="none" w:sz="0" w:space="0" w:color="auto"/>
          </w:divBdr>
        </w:div>
        <w:div w:id="1794640833">
          <w:marLeft w:val="0"/>
          <w:marRight w:val="0"/>
          <w:marTop w:val="0"/>
          <w:marBottom w:val="0"/>
          <w:divBdr>
            <w:top w:val="none" w:sz="0" w:space="0" w:color="auto"/>
            <w:left w:val="none" w:sz="0" w:space="0" w:color="auto"/>
            <w:bottom w:val="none" w:sz="0" w:space="0" w:color="auto"/>
            <w:right w:val="none" w:sz="0" w:space="0" w:color="auto"/>
          </w:divBdr>
        </w:div>
        <w:div w:id="1762406285">
          <w:marLeft w:val="0"/>
          <w:marRight w:val="0"/>
          <w:marTop w:val="0"/>
          <w:marBottom w:val="0"/>
          <w:divBdr>
            <w:top w:val="none" w:sz="0" w:space="0" w:color="auto"/>
            <w:left w:val="none" w:sz="0" w:space="0" w:color="auto"/>
            <w:bottom w:val="none" w:sz="0" w:space="0" w:color="auto"/>
            <w:right w:val="none" w:sz="0" w:space="0" w:color="auto"/>
          </w:divBdr>
        </w:div>
        <w:div w:id="1394893068">
          <w:marLeft w:val="0"/>
          <w:marRight w:val="0"/>
          <w:marTop w:val="567"/>
          <w:marBottom w:val="0"/>
          <w:divBdr>
            <w:top w:val="none" w:sz="0" w:space="0" w:color="auto"/>
            <w:left w:val="none" w:sz="0" w:space="0" w:color="auto"/>
            <w:bottom w:val="none" w:sz="0" w:space="0" w:color="auto"/>
            <w:right w:val="none" w:sz="0" w:space="0" w:color="auto"/>
          </w:divBdr>
        </w:div>
        <w:div w:id="946547729">
          <w:marLeft w:val="0"/>
          <w:marRight w:val="0"/>
          <w:marTop w:val="240"/>
          <w:marBottom w:val="0"/>
          <w:divBdr>
            <w:top w:val="none" w:sz="0" w:space="0" w:color="auto"/>
            <w:left w:val="none" w:sz="0" w:space="0" w:color="auto"/>
            <w:bottom w:val="none" w:sz="0" w:space="0" w:color="auto"/>
            <w:right w:val="none" w:sz="0" w:space="0" w:color="auto"/>
          </w:divBdr>
        </w:div>
        <w:div w:id="52586956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FA450F6-EF35-4249-95C2-515186D0D240}"/>
</file>

<file path=customXml/itemProps2.xml><?xml version="1.0" encoding="utf-8"?>
<ds:datastoreItem xmlns:ds="http://schemas.openxmlformats.org/officeDocument/2006/customXml" ds:itemID="{FF4E5A25-1844-4E7A-B0D7-E0131456D9C9}">
  <ds:schemaRefs>
    <ds:schemaRef ds:uri="http://schemas.microsoft.com/sharepoint/v3/contenttype/forms"/>
  </ds:schemaRefs>
</ds:datastoreItem>
</file>

<file path=customXml/itemProps3.xml><?xml version="1.0" encoding="utf-8"?>
<ds:datastoreItem xmlns:ds="http://schemas.openxmlformats.org/officeDocument/2006/customXml" ds:itemID="{4CC4CA58-2254-4A87-AC1D-EE514E45A42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8659</Words>
  <Characters>4937</Characters>
  <Application>Microsoft Office Word</Application>
  <DocSecurity>0</DocSecurity>
  <Lines>41</Lines>
  <Paragraphs>27</Paragraphs>
  <ScaleCrop>false</ScaleCrop>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2022-03-23T13:53:00Z</dcterms:created>
  <dcterms:modified xsi:type="dcterms:W3CDTF">2023-07-17T09:10:00Z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