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3AE3" w14:textId="5AA2FF7B" w:rsidR="00D9389E" w:rsidRDefault="00D9389E" w:rsidP="00D9389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i/>
          <w:iCs/>
          <w:sz w:val="24"/>
        </w:rPr>
        <w:t>Saeima</w:t>
      </w:r>
      <w:r w:rsidR="009A146A">
        <w:rPr>
          <w:rFonts w:ascii="Times New Roman" w:hAnsi="Times New Roman"/>
          <w:i/>
          <w:iCs/>
          <w:sz w:val="24"/>
        </w:rPr>
        <w:t> </w:t>
      </w:r>
      <w:r w:rsidR="009A146A" w:rsidRPr="009A146A"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 has adopted and</w:t>
      </w:r>
    </w:p>
    <w:p w14:paraId="1CCB8391" w14:textId="2D253161" w:rsidR="00D9389E" w:rsidRDefault="00D9389E" w:rsidP="00D9389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the President has proclaimed the following law:</w:t>
      </w:r>
    </w:p>
    <w:p w14:paraId="06E41B8D" w14:textId="7801A45F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720BBA88" w14:textId="77777777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6831C28" w14:textId="46FFF482" w:rsidR="00D9389E" w:rsidRPr="00D9389E" w:rsidRDefault="00D9389E" w:rsidP="00D93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sz w:val="28"/>
        </w:rPr>
        <w:t>Law on the Assistance to be Provided to the European Anti-Fraud Office</w:t>
      </w:r>
    </w:p>
    <w:p w14:paraId="6453F7DD" w14:textId="0458D4EC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5EED09F8" w14:textId="77777777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2EDBF323" w14:textId="77777777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bookmarkStart w:id="0" w:name="p-771116"/>
      <w:bookmarkEnd w:id="0"/>
      <w:r>
        <w:rPr>
          <w:rFonts w:ascii="Times New Roman" w:hAnsi="Times New Roman"/>
          <w:b/>
          <w:sz w:val="24"/>
        </w:rPr>
        <w:t>Section 1. Terms Used in the Law</w:t>
      </w:r>
      <w:bookmarkStart w:id="1" w:name="p1"/>
      <w:bookmarkEnd w:id="1"/>
    </w:p>
    <w:p w14:paraId="2AAB06AD" w14:textId="77777777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70B5FEE" w14:textId="46A45DB0" w:rsidR="00D9389E" w:rsidRPr="00D9389E" w:rsidRDefault="00D9389E" w:rsidP="00D9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The terms used in Regulation (EU, Euratom) No 883/2013 of the European Parliament and of the Council of 11 September 2013 concerning investigations conducted by the European Anti-Fraud Office (OLAF) and repealing Regulation (EC) No 1073/1999 of the European Parliament and of the Council and Council Regulation (Euratom) No 1074/1999 (hereinafter – Regulation No 883/2013) are used in the Law.</w:t>
      </w:r>
    </w:p>
    <w:p w14:paraId="72ED286E" w14:textId="77777777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bookmarkStart w:id="2" w:name="p-771117"/>
      <w:bookmarkEnd w:id="2"/>
    </w:p>
    <w:p w14:paraId="1A6BFB9D" w14:textId="7E2BD73D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>Section 2. Purpose of the Law</w:t>
      </w:r>
      <w:bookmarkStart w:id="3" w:name="p2"/>
      <w:bookmarkEnd w:id="3"/>
    </w:p>
    <w:p w14:paraId="011E434D" w14:textId="77777777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3BA07AD2" w14:textId="0F350C1C" w:rsidR="00D9389E" w:rsidRPr="00D9389E" w:rsidRDefault="00D9389E" w:rsidP="00D9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The purpose of the Law is to ensure effective assistance to the European Anti-Fraud Office (hereinafter – the Office) in administrative investigations conducted thereby in accordance with Regulation No 883/2013 and Council Regulation (Euratom, EC) No 2185/96 of 11 November 1996 concerning on-the-spot checks and inspections carried out by the Commission in order to protect the European Communities’ financial interests against fraud and other irregularities (hereinafter – Regulation No 2185/96).</w:t>
      </w:r>
    </w:p>
    <w:p w14:paraId="3FF4BFCE" w14:textId="77777777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bookmarkStart w:id="4" w:name="p-771118"/>
      <w:bookmarkEnd w:id="4"/>
    </w:p>
    <w:p w14:paraId="16949A64" w14:textId="01088C23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>Section 3. Competent Authority in Assisting to the Office</w:t>
      </w:r>
      <w:bookmarkStart w:id="5" w:name="p3"/>
      <w:bookmarkEnd w:id="5"/>
    </w:p>
    <w:p w14:paraId="61BD5885" w14:textId="77777777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5DF3A879" w14:textId="2B6F23CE" w:rsidR="00D9389E" w:rsidRPr="00D9389E" w:rsidRDefault="00D9389E" w:rsidP="00D9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The Ministry of Finance shall provide assistance to the Office in the capacity of the competent authority within the meaning of Regulation No 883/2013 (hereinafter – the competent authority).</w:t>
      </w:r>
    </w:p>
    <w:p w14:paraId="0719247F" w14:textId="77777777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bookmarkStart w:id="6" w:name="p-771119"/>
      <w:bookmarkEnd w:id="6"/>
    </w:p>
    <w:p w14:paraId="679301FF" w14:textId="37F9D97B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>Section 4. Rights and Obligations of the Competent Authority</w:t>
      </w:r>
      <w:bookmarkStart w:id="7" w:name="p4"/>
      <w:bookmarkEnd w:id="7"/>
    </w:p>
    <w:p w14:paraId="27E720EB" w14:textId="77777777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0DC07DE3" w14:textId="6A99C352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(1) Upon request of the Office, the competent authority shall provide assistance thereto in administrative investigations in the Republic of Latvia, including the following:</w:t>
      </w:r>
    </w:p>
    <w:p w14:paraId="2CAA36AC" w14:textId="77777777" w:rsidR="00D9389E" w:rsidRPr="00D9389E" w:rsidRDefault="00D9389E" w:rsidP="00D9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1) participate and provide assistance in on-the-spot checks carried out by the Office;</w:t>
      </w:r>
    </w:p>
    <w:p w14:paraId="190029B9" w14:textId="77777777" w:rsidR="00D9389E" w:rsidRPr="00D9389E" w:rsidRDefault="00D9389E" w:rsidP="00D9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2) participate and provide assistance in the meetings of the Office with State and local government authorities, including law enforcement institutions;</w:t>
      </w:r>
    </w:p>
    <w:p w14:paraId="364D4B64" w14:textId="77777777" w:rsidR="00D9389E" w:rsidRPr="00D9389E" w:rsidRDefault="00D9389E" w:rsidP="00D9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3) request information or documents at the disposal of private persons, State or local government authorities within the scope of the administrative investigation case;</w:t>
      </w:r>
    </w:p>
    <w:p w14:paraId="4E52031C" w14:textId="77777777" w:rsidR="00D9389E" w:rsidRPr="00D9389E" w:rsidRDefault="00D9389E" w:rsidP="00D9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4) request and receive information included in the account register in accordance with the Account Register Law within the scope of the administrative investigation case;</w:t>
      </w:r>
    </w:p>
    <w:p w14:paraId="3B4E2376" w14:textId="77777777" w:rsidR="00D9389E" w:rsidRPr="00D9389E" w:rsidRDefault="00D9389E" w:rsidP="00D9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5) request non-disclosable information at the disposal of a credit institution in accordance with the Credit Institution Law on the basis of a decision of a judge within the scope of the administrative investigation case.</w:t>
      </w:r>
    </w:p>
    <w:p w14:paraId="3FB33AFC" w14:textId="77777777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(2) During participation and assisting in on-the-spot checks carried out by the Office in the Republic of Latvia, the competent authority, if necessary, is entitled to invite the State Police or municipal police.</w:t>
      </w:r>
    </w:p>
    <w:p w14:paraId="59EABC92" w14:textId="77777777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(3) If during administrative investigations a private person does not fulfil the obligation laid down in Regulation No 883/2013 or Regulation No 2185/96, the competent authority may take a decision on imposing a legal obligation on the private person:</w:t>
      </w:r>
    </w:p>
    <w:p w14:paraId="1D5123E1" w14:textId="77777777" w:rsidR="00D9389E" w:rsidRPr="00D9389E" w:rsidRDefault="00D9389E" w:rsidP="00D9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1) to ensure access to premises or movable property in the ownership, possession or use of the private person;</w:t>
      </w:r>
    </w:p>
    <w:p w14:paraId="4CDA255C" w14:textId="77777777" w:rsidR="00D9389E" w:rsidRPr="00D9389E" w:rsidRDefault="00D9389E" w:rsidP="00D9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2) to provide information or documents or to ensure access to them, irrespective of the type of storage of such information or documents;</w:t>
      </w:r>
    </w:p>
    <w:p w14:paraId="67D82438" w14:textId="77777777" w:rsidR="00D9389E" w:rsidRPr="00D9389E" w:rsidRDefault="00D9389E" w:rsidP="00D93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3) to take other certain actions or to refrain from taking such actions in order to ensure the fulfilment of the obligation imposed on the private person.</w:t>
      </w:r>
    </w:p>
    <w:p w14:paraId="69F26477" w14:textId="77777777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(4) The decision to impose a legal obligation may be appealed in accordance with the procedures laid down in the Administrative Procedure Law. The appeal of the decision shall not suspend the operation thereof.</w:t>
      </w:r>
    </w:p>
    <w:p w14:paraId="533D3957" w14:textId="77777777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bookmarkStart w:id="8" w:name="p-771120"/>
      <w:bookmarkEnd w:id="8"/>
    </w:p>
    <w:p w14:paraId="13050732" w14:textId="01B9E2C4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>Section 5. Authorisation to Request Non-disclosable Information</w:t>
      </w:r>
      <w:bookmarkStart w:id="9" w:name="p5"/>
      <w:bookmarkEnd w:id="9"/>
    </w:p>
    <w:p w14:paraId="63271604" w14:textId="77777777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2F1B419" w14:textId="6ECDAB07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(1) The decision to grant authorisation to request non-disclosable information at the disposal of a credit institution in accordance with the Credit Institution Law shall be taken by the judge of the district (city) court in conformity with the address of the competent authority.</w:t>
      </w:r>
    </w:p>
    <w:p w14:paraId="4D96FFFE" w14:textId="77777777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(2) The judge shall, within five working days from the day of submitting the submission by the competent authority, examine the submission which provides grounds for the necessity to request non-disclosable information and which is accompanied by the request for information of the Office and take a decision on authorisation to request non-disclosable information or refusal thereof.</w:t>
      </w:r>
    </w:p>
    <w:p w14:paraId="34E7961B" w14:textId="77777777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(3) A true copy of the decision of the judge shall be sent to the competent authority within two working days after taking the decision.</w:t>
      </w:r>
    </w:p>
    <w:p w14:paraId="337653B0" w14:textId="77777777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(4) The decision of the judge shall not be subject to appeal.</w:t>
      </w:r>
    </w:p>
    <w:p w14:paraId="0DA1D46C" w14:textId="77777777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bookmarkStart w:id="10" w:name="p-771121"/>
      <w:bookmarkEnd w:id="10"/>
    </w:p>
    <w:p w14:paraId="5D756485" w14:textId="6D8475A3" w:rsidR="00D9389E" w:rsidRPr="00D9389E" w:rsidRDefault="00D9389E" w:rsidP="00C04434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>Section 6. Requesting and Receipt of Non-disclosable Information at the Disposal of a Credit Institution</w:t>
      </w:r>
      <w:bookmarkStart w:id="11" w:name="p6"/>
      <w:bookmarkEnd w:id="11"/>
    </w:p>
    <w:p w14:paraId="166135D4" w14:textId="77777777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7B9E3D7F" w14:textId="145EDD6C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(1) The competent authority shall request non-disclosable information at the disposal of a credit institution in writing from the credit institution by indicating specific information in the request and the scope thereof, and also the grounds for requesting such information – a reference to the relevant decision of the judge, the administrative investigation case of the Office and the law.</w:t>
      </w:r>
    </w:p>
    <w:p w14:paraId="00AA22A8" w14:textId="77777777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(2) A credit institution shall, not later than within 14 days, provide the requested non-disclosable information at the disposal of the credit institution electronically to the competent authority.</w:t>
      </w:r>
    </w:p>
    <w:p w14:paraId="77511402" w14:textId="77777777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5ED0CB2C" w14:textId="77777777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1A0041B4" w14:textId="7C799186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Law has been adopted by the </w:t>
      </w:r>
      <w:r>
        <w:rPr>
          <w:rFonts w:ascii="Times New Roman" w:hAnsi="Times New Roman"/>
          <w:i/>
          <w:iCs/>
          <w:sz w:val="24"/>
        </w:rPr>
        <w:t>Saeima</w:t>
      </w:r>
      <w:r>
        <w:rPr>
          <w:rFonts w:ascii="Times New Roman" w:hAnsi="Times New Roman"/>
          <w:sz w:val="24"/>
        </w:rPr>
        <w:t xml:space="preserve"> on 21 January 2021.</w:t>
      </w:r>
    </w:p>
    <w:p w14:paraId="629CCBA1" w14:textId="77777777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1D39282B" w14:textId="77777777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16E5527D" w14:textId="75895E65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Presiden</w:t>
      </w:r>
      <w:r w:rsidR="0037726D">
        <w:rPr>
          <w:rFonts w:ascii="Times New Roman" w:hAnsi="Times New Roman"/>
          <w:sz w:val="24"/>
        </w:rPr>
        <w:tab/>
      </w:r>
      <w:r w:rsidR="0037726D">
        <w:rPr>
          <w:rFonts w:ascii="Times New Roman" w:hAnsi="Times New Roman"/>
          <w:sz w:val="24"/>
        </w:rPr>
        <w:tab/>
      </w:r>
      <w:r w:rsidR="0037726D">
        <w:rPr>
          <w:rFonts w:ascii="Times New Roman" w:hAnsi="Times New Roman"/>
          <w:sz w:val="24"/>
        </w:rPr>
        <w:tab/>
      </w:r>
      <w:r w:rsidR="0037726D">
        <w:rPr>
          <w:rFonts w:ascii="Times New Roman" w:hAnsi="Times New Roman"/>
          <w:sz w:val="24"/>
        </w:rPr>
        <w:tab/>
      </w:r>
      <w:r w:rsidR="0037726D">
        <w:rPr>
          <w:rFonts w:ascii="Times New Roman" w:hAnsi="Times New Roman"/>
          <w:sz w:val="24"/>
        </w:rPr>
        <w:tab/>
      </w:r>
      <w:r w:rsidR="0037726D">
        <w:rPr>
          <w:rFonts w:ascii="Times New Roman" w:hAnsi="Times New Roman"/>
          <w:sz w:val="24"/>
        </w:rPr>
        <w:tab/>
      </w:r>
      <w:r w:rsidR="0037726D">
        <w:rPr>
          <w:rFonts w:ascii="Times New Roman" w:hAnsi="Times New Roman"/>
          <w:sz w:val="24"/>
        </w:rPr>
        <w:tab/>
      </w:r>
      <w:r w:rsidR="0037726D">
        <w:rPr>
          <w:rFonts w:ascii="Times New Roman" w:hAnsi="Times New Roman"/>
          <w:sz w:val="24"/>
        </w:rPr>
        <w:tab/>
      </w:r>
      <w:r w:rsidR="0037726D">
        <w:rPr>
          <w:rFonts w:ascii="Times New Roman" w:hAnsi="Times New Roman"/>
          <w:sz w:val="24"/>
        </w:rPr>
        <w:tab/>
      </w:r>
      <w:r w:rsidR="0037726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E. Levits</w:t>
      </w:r>
    </w:p>
    <w:p w14:paraId="449AED60" w14:textId="77777777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769A37F2" w14:textId="35373FC5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Rīga, 2 February 2021</w:t>
      </w:r>
    </w:p>
    <w:p w14:paraId="108C5F6A" w14:textId="23963B84" w:rsid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5575ED5A" w14:textId="77777777" w:rsidR="00D9389E" w:rsidRPr="00D9389E" w:rsidRDefault="00D9389E" w:rsidP="00D9389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sectPr w:rsidR="00D9389E" w:rsidRPr="00D9389E" w:rsidSect="00D9389E">
      <w:footerReference w:type="default" r:id="rId9"/>
      <w:footerReference w:type="first" r:id="rId10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C065" w14:textId="77777777" w:rsidR="00D9389E" w:rsidRPr="00D9389E" w:rsidRDefault="00D9389E" w:rsidP="00D9389E">
      <w:pPr>
        <w:spacing w:after="0" w:line="240" w:lineRule="auto"/>
        <w:rPr>
          <w:noProof/>
          <w:lang w:val="en-US"/>
        </w:rPr>
      </w:pPr>
      <w:r w:rsidRPr="00D9389E">
        <w:rPr>
          <w:noProof/>
          <w:lang w:val="en-US"/>
        </w:rPr>
        <w:separator/>
      </w:r>
    </w:p>
  </w:endnote>
  <w:endnote w:type="continuationSeparator" w:id="0">
    <w:p w14:paraId="0D662FFE" w14:textId="77777777" w:rsidR="00D9389E" w:rsidRPr="00D9389E" w:rsidRDefault="00D9389E" w:rsidP="00D9389E">
      <w:pPr>
        <w:spacing w:after="0" w:line="240" w:lineRule="auto"/>
        <w:rPr>
          <w:noProof/>
          <w:lang w:val="en-US"/>
        </w:rPr>
      </w:pPr>
      <w:r w:rsidRPr="00D9389E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C6897" w14:textId="77777777" w:rsidR="00A2703E" w:rsidRPr="00E04E12" w:rsidRDefault="00A2703E" w:rsidP="00A2703E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</w:p>
  <w:p w14:paraId="298551C2" w14:textId="77777777" w:rsidR="00A2703E" w:rsidRPr="00E04E12" w:rsidRDefault="00A2703E" w:rsidP="00A2703E">
    <w:pPr>
      <w:framePr w:wrap="around" w:vAnchor="text" w:hAnchor="margin" w:xAlign="right" w:y="1"/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napToGrid w:val="0"/>
        <w:sz w:val="20"/>
        <w:szCs w:val="20"/>
      </w:rPr>
    </w:pPr>
    <w:r w:rsidRPr="00E04E12">
      <w:rPr>
        <w:rFonts w:ascii="Times New Roman" w:eastAsia="Times New Roman" w:hAnsi="Times New Roman" w:cs="Times New Roman"/>
        <w:snapToGrid w:val="0"/>
        <w:sz w:val="20"/>
        <w:szCs w:val="20"/>
      </w:rPr>
      <w:fldChar w:fldCharType="begin"/>
    </w:r>
    <w:r w:rsidRPr="00E04E12">
      <w:rPr>
        <w:rFonts w:ascii="Times New Roman" w:eastAsia="Times New Roman" w:hAnsi="Times New Roman" w:cs="Times New Roman"/>
        <w:snapToGrid w:val="0"/>
        <w:sz w:val="20"/>
        <w:szCs w:val="20"/>
      </w:rPr>
      <w:instrText xml:space="preserve"> PAGE </w:instrText>
    </w:r>
    <w:r w:rsidRPr="00E04E12">
      <w:rPr>
        <w:rFonts w:ascii="Times New Roman" w:eastAsia="Times New Roman" w:hAnsi="Times New Roman" w:cs="Times New Roman"/>
        <w:snapToGrid w:val="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napToGrid w:val="0"/>
        <w:sz w:val="20"/>
        <w:szCs w:val="20"/>
      </w:rPr>
      <w:t>2</w:t>
    </w:r>
    <w:r w:rsidRPr="00E04E12">
      <w:rPr>
        <w:rFonts w:ascii="Times New Roman" w:eastAsia="Times New Roman" w:hAnsi="Times New Roman" w:cs="Times New Roman"/>
        <w:snapToGrid w:val="0"/>
        <w:sz w:val="20"/>
        <w:szCs w:val="20"/>
      </w:rPr>
      <w:fldChar w:fldCharType="end"/>
    </w:r>
    <w:r w:rsidRPr="00E04E12">
      <w:rPr>
        <w:rFonts w:ascii="Times New Roman" w:eastAsia="Times New Roman" w:hAnsi="Times New Roman" w:cs="Times New Roman"/>
        <w:snapToGrid w:val="0"/>
        <w:sz w:val="20"/>
        <w:szCs w:val="20"/>
      </w:rPr>
      <w:t xml:space="preserve"> </w:t>
    </w:r>
  </w:p>
  <w:p w14:paraId="7A9E3E57" w14:textId="77777777" w:rsidR="00A2703E" w:rsidRPr="00E04E12" w:rsidRDefault="00A2703E" w:rsidP="00A2703E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  <w:r w:rsidRPr="00E04E12">
      <w:rPr>
        <w:rFonts w:ascii="Times New Roman" w:eastAsia="Times New Roman" w:hAnsi="Times New Roman" w:cs="Times New Roman"/>
        <w:snapToGrid w:val="0"/>
        <w:sz w:val="20"/>
        <w:szCs w:val="20"/>
      </w:rPr>
      <w:t xml:space="preserve">Translation </w:t>
    </w:r>
    <w:r w:rsidRPr="00E04E12">
      <w:rPr>
        <w:rFonts w:ascii="Times New Roman" w:eastAsia="Times New Roman" w:hAnsi="Times New Roman" w:cs="Times New Roman"/>
        <w:snapToGrid w:val="0"/>
        <w:sz w:val="20"/>
        <w:szCs w:val="20"/>
      </w:rPr>
      <w:fldChar w:fldCharType="begin"/>
    </w:r>
    <w:r w:rsidRPr="00E04E12">
      <w:rPr>
        <w:rFonts w:ascii="Times New Roman" w:eastAsia="Times New Roman" w:hAnsi="Times New Roman" w:cs="Times New Roman"/>
        <w:snapToGrid w:val="0"/>
        <w:sz w:val="20"/>
        <w:szCs w:val="20"/>
      </w:rPr>
      <w:instrText>symbol 169 \f "UnivrstyRoman TL" \s 8</w:instrText>
    </w:r>
    <w:r w:rsidRPr="00E04E12">
      <w:rPr>
        <w:rFonts w:ascii="Times New Roman" w:eastAsia="Times New Roman" w:hAnsi="Times New Roman" w:cs="Times New Roman"/>
        <w:snapToGrid w:val="0"/>
        <w:sz w:val="20"/>
        <w:szCs w:val="20"/>
      </w:rPr>
      <w:fldChar w:fldCharType="separate"/>
    </w:r>
    <w:r w:rsidRPr="00E04E12">
      <w:rPr>
        <w:rFonts w:ascii="Times New Roman" w:eastAsia="Times New Roman" w:hAnsi="Times New Roman" w:cs="Times New Roman"/>
        <w:snapToGrid w:val="0"/>
        <w:sz w:val="20"/>
        <w:szCs w:val="20"/>
      </w:rPr>
      <w:t>©</w:t>
    </w:r>
    <w:r w:rsidRPr="00E04E12">
      <w:rPr>
        <w:rFonts w:ascii="Times New Roman" w:eastAsia="Times New Roman" w:hAnsi="Times New Roman" w:cs="Times New Roman"/>
        <w:snapToGrid w:val="0"/>
        <w:sz w:val="20"/>
        <w:szCs w:val="20"/>
      </w:rPr>
      <w:fldChar w:fldCharType="end"/>
    </w:r>
    <w:r w:rsidRPr="00E04E12">
      <w:rPr>
        <w:rFonts w:ascii="Times New Roman" w:eastAsia="Times New Roman" w:hAnsi="Times New Roman" w:cs="Times New Roman"/>
        <w:snapToGrid w:val="0"/>
        <w:sz w:val="20"/>
        <w:szCs w:val="20"/>
      </w:rPr>
      <w:t xml:space="preserve"> 2021 Valsts valodas centrs (State Language Centre)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8AD2" w14:textId="77777777" w:rsidR="005741DB" w:rsidRPr="00157F01" w:rsidRDefault="005741DB" w:rsidP="005741DB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  <w:vertAlign w:val="superscript"/>
      </w:rPr>
    </w:pPr>
    <w:bookmarkStart w:id="12" w:name="_Hlk32478718"/>
    <w:bookmarkStart w:id="13" w:name="_Hlk32478719"/>
    <w:bookmarkStart w:id="14" w:name="_Hlk60650487"/>
    <w:bookmarkStart w:id="15" w:name="_Hlk60650488"/>
    <w:bookmarkStart w:id="16" w:name="_Hlk60650489"/>
    <w:bookmarkStart w:id="17" w:name="_Hlk60650490"/>
  </w:p>
  <w:p w14:paraId="30F352A3" w14:textId="77777777" w:rsidR="005741DB" w:rsidRPr="00157F01" w:rsidRDefault="005741DB" w:rsidP="005741DB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  <w:bookmarkStart w:id="18" w:name="_Hlk32310318"/>
    <w:bookmarkStart w:id="19" w:name="_Hlk32310319"/>
    <w:r w:rsidRPr="00157F01">
      <w:rPr>
        <w:rFonts w:ascii="Times New Roman" w:eastAsia="Times New Roman" w:hAnsi="Times New Roman" w:cs="Times New Roman"/>
        <w:snapToGrid w:val="0"/>
        <w:sz w:val="20"/>
        <w:szCs w:val="20"/>
        <w:vertAlign w:val="superscript"/>
      </w:rPr>
      <w:t>1</w:t>
    </w:r>
    <w:r w:rsidRPr="00157F01">
      <w:rPr>
        <w:rFonts w:ascii="Times New Roman" w:eastAsia="Times New Roman" w:hAnsi="Times New Roman" w:cs="Times New Roman"/>
        <w:snapToGrid w:val="0"/>
        <w:sz w:val="20"/>
        <w:szCs w:val="20"/>
      </w:rPr>
      <w:t xml:space="preserve"> The Parliament of the Republic of Latvia</w:t>
    </w:r>
  </w:p>
  <w:p w14:paraId="01B60179" w14:textId="77777777" w:rsidR="005741DB" w:rsidRPr="00157F01" w:rsidRDefault="005741DB" w:rsidP="005741DB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</w:p>
  <w:p w14:paraId="3E6332A8" w14:textId="77777777" w:rsidR="005741DB" w:rsidRPr="00157F01" w:rsidRDefault="005741DB" w:rsidP="005741DB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  <w:r w:rsidRPr="00157F01">
      <w:rPr>
        <w:rFonts w:ascii="Times New Roman" w:eastAsia="Times New Roman" w:hAnsi="Times New Roman" w:cs="Times New Roman"/>
        <w:snapToGrid w:val="0"/>
        <w:sz w:val="20"/>
        <w:szCs w:val="20"/>
      </w:rPr>
      <w:t xml:space="preserve">Translation </w:t>
    </w:r>
    <w:r w:rsidRPr="00157F01">
      <w:rPr>
        <w:rFonts w:ascii="Times New Roman" w:eastAsia="Times New Roman" w:hAnsi="Times New Roman" w:cs="Times New Roman"/>
        <w:snapToGrid w:val="0"/>
        <w:sz w:val="20"/>
        <w:szCs w:val="20"/>
      </w:rPr>
      <w:fldChar w:fldCharType="begin"/>
    </w:r>
    <w:r w:rsidRPr="00157F01">
      <w:rPr>
        <w:rFonts w:ascii="Times New Roman" w:eastAsia="Times New Roman" w:hAnsi="Times New Roman" w:cs="Times New Roman"/>
        <w:snapToGrid w:val="0"/>
        <w:sz w:val="20"/>
        <w:szCs w:val="20"/>
      </w:rPr>
      <w:instrText>symbol 169 \f "UnivrstyRoman TL" \s 8</w:instrText>
    </w:r>
    <w:r w:rsidRPr="00157F01">
      <w:rPr>
        <w:rFonts w:ascii="Times New Roman" w:eastAsia="Times New Roman" w:hAnsi="Times New Roman" w:cs="Times New Roman"/>
        <w:snapToGrid w:val="0"/>
        <w:sz w:val="20"/>
        <w:szCs w:val="20"/>
      </w:rPr>
      <w:fldChar w:fldCharType="separate"/>
    </w:r>
    <w:r w:rsidRPr="00157F01">
      <w:rPr>
        <w:rFonts w:ascii="Times New Roman" w:eastAsia="Times New Roman" w:hAnsi="Times New Roman" w:cs="Times New Roman"/>
        <w:snapToGrid w:val="0"/>
        <w:sz w:val="20"/>
        <w:szCs w:val="20"/>
      </w:rPr>
      <w:t>©</w:t>
    </w:r>
    <w:r w:rsidRPr="00157F01">
      <w:rPr>
        <w:rFonts w:ascii="Times New Roman" w:eastAsia="Times New Roman" w:hAnsi="Times New Roman" w:cs="Times New Roman"/>
        <w:snapToGrid w:val="0"/>
        <w:sz w:val="20"/>
        <w:szCs w:val="20"/>
      </w:rPr>
      <w:fldChar w:fldCharType="end"/>
    </w:r>
    <w:r w:rsidRPr="00157F01">
      <w:rPr>
        <w:rFonts w:ascii="Times New Roman" w:eastAsia="Times New Roman" w:hAnsi="Times New Roman" w:cs="Times New Roman"/>
        <w:snapToGrid w:val="0"/>
        <w:sz w:val="20"/>
        <w:szCs w:val="20"/>
      </w:rPr>
      <w:t xml:space="preserve"> 2021 Valsts valodas centrs (State Language Centre)</w:t>
    </w:r>
    <w:bookmarkEnd w:id="12"/>
    <w:bookmarkEnd w:id="13"/>
    <w:bookmarkEnd w:id="14"/>
    <w:bookmarkEnd w:id="15"/>
    <w:bookmarkEnd w:id="16"/>
    <w:bookmarkEnd w:id="17"/>
  </w:p>
  <w:bookmarkEnd w:id="18"/>
  <w:bookmarkEnd w:id="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C315" w14:textId="77777777" w:rsidR="00D9389E" w:rsidRPr="00D9389E" w:rsidRDefault="00D9389E" w:rsidP="00D9389E">
      <w:pPr>
        <w:spacing w:after="0" w:line="240" w:lineRule="auto"/>
        <w:rPr>
          <w:noProof/>
          <w:lang w:val="en-US"/>
        </w:rPr>
      </w:pPr>
      <w:r w:rsidRPr="00D9389E">
        <w:rPr>
          <w:noProof/>
          <w:lang w:val="en-US"/>
        </w:rPr>
        <w:separator/>
      </w:r>
    </w:p>
  </w:footnote>
  <w:footnote w:type="continuationSeparator" w:id="0">
    <w:p w14:paraId="61728FEC" w14:textId="77777777" w:rsidR="00D9389E" w:rsidRPr="00D9389E" w:rsidRDefault="00D9389E" w:rsidP="00D9389E">
      <w:pPr>
        <w:spacing w:after="0" w:line="240" w:lineRule="auto"/>
        <w:rPr>
          <w:noProof/>
          <w:lang w:val="en-US"/>
        </w:rPr>
      </w:pPr>
      <w:r w:rsidRPr="00D9389E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25"/>
    <w:rsid w:val="001575C2"/>
    <w:rsid w:val="00251425"/>
    <w:rsid w:val="002C638A"/>
    <w:rsid w:val="0037726D"/>
    <w:rsid w:val="005741DB"/>
    <w:rsid w:val="009A146A"/>
    <w:rsid w:val="00A2703E"/>
    <w:rsid w:val="00C04434"/>
    <w:rsid w:val="00D9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96B9"/>
  <w15:chartTrackingRefBased/>
  <w15:docId w15:val="{17E30B87-08BE-44ED-974D-0165D851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D9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D9389E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93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9389E"/>
  </w:style>
  <w:style w:type="paragraph" w:styleId="Kjene">
    <w:name w:val="footer"/>
    <w:basedOn w:val="Parasts"/>
    <w:link w:val="KjeneRakstz"/>
    <w:uiPriority w:val="99"/>
    <w:unhideWhenUsed/>
    <w:rsid w:val="00D93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9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6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1742F60F5DC847ADA3134B77337160" ma:contentTypeVersion="8" ma:contentTypeDescription="Izveidot jaunu dokumentu." ma:contentTypeScope="" ma:versionID="d88662969294f587880e8ba3f39c3ffd">
  <xsd:schema xmlns:xsd="http://www.w3.org/2001/XMLSchema" xmlns:xs="http://www.w3.org/2001/XMLSchema" xmlns:p="http://schemas.microsoft.com/office/2006/metadata/properties" xmlns:ns2="6cc2d0a5-6e69-4156-a8eb-1c0292fca1c4" targetNamespace="http://schemas.microsoft.com/office/2006/metadata/properties" ma:root="true" ma:fieldsID="ed10f8c55a0ed7ba42296e0d0748bb59" ns2:_="">
    <xsd:import namespace="6cc2d0a5-6e69-4156-a8eb-1c0292fca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d0a5-6e69-4156-a8eb-1c0292fc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9B6BB-ECD6-4C0E-AA4B-A2178D0279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94666-1B4A-46DD-A48A-20EAA229B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d0a5-6e69-4156-a8eb-1c0292fca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3D594-6369-414B-8FDB-CFB28F071E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3329</Words>
  <Characters>1899</Characters>
  <Application>Microsoft Office Word</Application>
  <DocSecurity>0</DocSecurity>
  <Lines>15</Lines>
  <Paragraphs>10</Paragraphs>
  <ScaleCrop>false</ScaleCrop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Dombrovska</dc:creator>
  <cp:keywords/>
  <dc:description/>
  <cp:lastModifiedBy>Beāte Paula</cp:lastModifiedBy>
  <cp:revision>7</cp:revision>
  <dcterms:created xsi:type="dcterms:W3CDTF">2021-05-31T06:45:00Z</dcterms:created>
  <dcterms:modified xsi:type="dcterms:W3CDTF">2021-11-29T08:07:00Z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0x0101007C1742F60F5DC847ADA3134B77337160</vt:lpwstr>
  </property>
</Properties>
</file>