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DFAE" w14:textId="77777777" w:rsidR="004C647A" w:rsidRPr="004C647A" w:rsidRDefault="004C647A" w:rsidP="004C647A">
      <w:pPr>
        <w:spacing w:after="0" w:line="240" w:lineRule="auto"/>
        <w:rPr>
          <w:rFonts w:ascii="Times New Roman" w:eastAsia="Times New Roman" w:hAnsi="Times New Roman" w:cs="Times New Roman"/>
          <w:snapToGrid w:val="0"/>
          <w:sz w:val="24"/>
          <w:szCs w:val="20"/>
        </w:rPr>
      </w:pPr>
    </w:p>
    <w:p w14:paraId="63F5D8D2" w14:textId="77777777" w:rsidR="004C647A" w:rsidRPr="004C647A" w:rsidRDefault="004C647A" w:rsidP="004C647A">
      <w:pPr>
        <w:widowControl w:val="0"/>
        <w:spacing w:after="0" w:line="240" w:lineRule="auto"/>
        <w:jc w:val="both"/>
        <w:rPr>
          <w:rFonts w:ascii="Times New Roman" w:eastAsia="Times New Roman" w:hAnsi="Times New Roman" w:cs="Times New Roman"/>
          <w:snapToGrid w:val="0"/>
          <w:sz w:val="20"/>
          <w:szCs w:val="20"/>
        </w:rPr>
      </w:pPr>
      <w:r w:rsidRPr="004C647A">
        <w:rPr>
          <w:rFonts w:ascii="Times New Roman" w:eastAsia="Times New Roman" w:hAnsi="Times New Roman" w:cs="Times New Roman"/>
          <w:snapToGrid w:val="0"/>
          <w:sz w:val="20"/>
          <w:szCs w:val="20"/>
        </w:rPr>
        <w:t>Text consolidated by Valsts valodas centrs (State Language Centre) with amending laws of:</w:t>
      </w:r>
    </w:p>
    <w:p w14:paraId="498259A2" w14:textId="18E71348" w:rsidR="004C647A" w:rsidRPr="004C647A" w:rsidRDefault="005F5CF5" w:rsidP="004C647A">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February 2009</w:t>
      </w:r>
      <w:r w:rsidR="004C647A" w:rsidRPr="004C647A">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11 March 2009</w:t>
      </w:r>
      <w:r w:rsidR="004C647A" w:rsidRPr="004C647A">
        <w:rPr>
          <w:rFonts w:ascii="Times New Roman" w:eastAsia="Times New Roman" w:hAnsi="Times New Roman" w:cs="Times New Roman"/>
          <w:sz w:val="20"/>
          <w:szCs w:val="24"/>
        </w:rPr>
        <w:t>].</w:t>
      </w:r>
    </w:p>
    <w:p w14:paraId="28B57B50" w14:textId="77777777" w:rsidR="004C647A" w:rsidRPr="004C647A" w:rsidRDefault="004C647A" w:rsidP="004C647A">
      <w:pPr>
        <w:widowControl w:val="0"/>
        <w:spacing w:after="0" w:line="240" w:lineRule="auto"/>
        <w:ind w:right="26"/>
        <w:jc w:val="both"/>
        <w:rPr>
          <w:rFonts w:ascii="Times New Roman" w:eastAsia="Times New Roman" w:hAnsi="Times New Roman" w:cs="Times New Roman"/>
          <w:snapToGrid w:val="0"/>
          <w:sz w:val="20"/>
          <w:szCs w:val="24"/>
        </w:rPr>
      </w:pPr>
      <w:r w:rsidRPr="004C647A">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4C647A">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416369BA" w14:textId="77777777" w:rsidR="004C647A" w:rsidRDefault="004C647A" w:rsidP="002D40C5">
      <w:pPr>
        <w:spacing w:after="0" w:line="240" w:lineRule="auto"/>
        <w:jc w:val="right"/>
        <w:rPr>
          <w:rFonts w:ascii="Times New Roman" w:hAnsi="Times New Roman"/>
          <w:sz w:val="24"/>
        </w:rPr>
      </w:pPr>
    </w:p>
    <w:p w14:paraId="7692B3E0" w14:textId="77777777" w:rsidR="004C647A" w:rsidRDefault="004C647A" w:rsidP="002D40C5">
      <w:pPr>
        <w:spacing w:after="0" w:line="240" w:lineRule="auto"/>
        <w:jc w:val="right"/>
        <w:rPr>
          <w:rFonts w:ascii="Times New Roman" w:hAnsi="Times New Roman"/>
          <w:sz w:val="24"/>
        </w:rPr>
      </w:pPr>
    </w:p>
    <w:p w14:paraId="0ED9AC1A" w14:textId="6AD67C17" w:rsidR="002D40C5" w:rsidRDefault="00C70438" w:rsidP="002D40C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631377">
        <w:rPr>
          <w:rFonts w:ascii="Times New Roman" w:hAnsi="Times New Roman"/>
          <w:i/>
          <w:iCs/>
          <w:sz w:val="24"/>
        </w:rPr>
        <w:t> </w:t>
      </w:r>
      <w:r w:rsidR="00631377" w:rsidRPr="00631377">
        <w:rPr>
          <w:rFonts w:ascii="Times New Roman" w:hAnsi="Times New Roman"/>
          <w:sz w:val="24"/>
          <w:vertAlign w:val="superscript"/>
        </w:rPr>
        <w:t>1</w:t>
      </w:r>
      <w:r>
        <w:rPr>
          <w:rFonts w:ascii="Times New Roman" w:hAnsi="Times New Roman"/>
          <w:sz w:val="24"/>
        </w:rPr>
        <w:t xml:space="preserve"> has adopted and</w:t>
      </w:r>
    </w:p>
    <w:p w14:paraId="30C3A029" w14:textId="370AECF3" w:rsidR="00C70438" w:rsidRDefault="00C70438" w:rsidP="002D40C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3930E584" w14:textId="23E1DE7C" w:rsidR="002D40C5" w:rsidRDefault="002D40C5" w:rsidP="002D40C5">
      <w:pPr>
        <w:spacing w:after="0" w:line="240" w:lineRule="auto"/>
        <w:jc w:val="both"/>
        <w:rPr>
          <w:rFonts w:ascii="Times New Roman" w:eastAsia="Times New Roman" w:hAnsi="Times New Roman" w:cs="Times New Roman"/>
          <w:noProof/>
          <w:sz w:val="24"/>
          <w:szCs w:val="24"/>
          <w:lang w:eastAsia="lv-LV"/>
        </w:rPr>
      </w:pPr>
    </w:p>
    <w:p w14:paraId="2B20F33F" w14:textId="77777777" w:rsidR="002D40C5" w:rsidRPr="00C70438" w:rsidRDefault="002D40C5" w:rsidP="002D40C5">
      <w:pPr>
        <w:spacing w:after="0" w:line="240" w:lineRule="auto"/>
        <w:jc w:val="both"/>
        <w:rPr>
          <w:rFonts w:ascii="Times New Roman" w:eastAsia="Times New Roman" w:hAnsi="Times New Roman" w:cs="Times New Roman"/>
          <w:noProof/>
          <w:sz w:val="24"/>
          <w:szCs w:val="24"/>
          <w:lang w:eastAsia="lv-LV"/>
        </w:rPr>
      </w:pPr>
    </w:p>
    <w:p w14:paraId="5BE41EBB" w14:textId="2A207435" w:rsidR="00C70438" w:rsidRPr="002D40C5" w:rsidRDefault="00C70438" w:rsidP="002D40C5">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the Sacred Site of International Significance in Aglona</w:t>
      </w:r>
    </w:p>
    <w:p w14:paraId="3A16D132" w14:textId="186450FF" w:rsidR="002D40C5" w:rsidRDefault="002D40C5" w:rsidP="002D40C5">
      <w:pPr>
        <w:spacing w:after="0" w:line="240" w:lineRule="auto"/>
        <w:jc w:val="both"/>
        <w:rPr>
          <w:rFonts w:ascii="Times New Roman" w:eastAsia="Times New Roman" w:hAnsi="Times New Roman" w:cs="Times New Roman"/>
          <w:noProof/>
          <w:sz w:val="24"/>
          <w:szCs w:val="24"/>
          <w:lang w:eastAsia="lv-LV"/>
        </w:rPr>
      </w:pPr>
    </w:p>
    <w:p w14:paraId="5B83F457" w14:textId="77777777" w:rsidR="002D40C5" w:rsidRPr="00C70438" w:rsidRDefault="002D40C5" w:rsidP="002D40C5">
      <w:pPr>
        <w:spacing w:after="0" w:line="240" w:lineRule="auto"/>
        <w:jc w:val="both"/>
        <w:rPr>
          <w:rFonts w:ascii="Times New Roman" w:eastAsia="Times New Roman" w:hAnsi="Times New Roman" w:cs="Times New Roman"/>
          <w:noProof/>
          <w:sz w:val="24"/>
          <w:szCs w:val="24"/>
          <w:lang w:eastAsia="lv-LV"/>
        </w:rPr>
      </w:pPr>
    </w:p>
    <w:p w14:paraId="4949A9E9" w14:textId="77777777" w:rsidR="002D40C5" w:rsidRPr="002D40C5" w:rsidRDefault="00C70438" w:rsidP="002D40C5">
      <w:pPr>
        <w:spacing w:after="0" w:line="240" w:lineRule="auto"/>
        <w:jc w:val="center"/>
        <w:rPr>
          <w:rFonts w:ascii="Times New Roman" w:eastAsia="Times New Roman" w:hAnsi="Times New Roman" w:cs="Times New Roman"/>
          <w:b/>
          <w:bCs/>
          <w:noProof/>
          <w:sz w:val="24"/>
          <w:szCs w:val="24"/>
        </w:rPr>
      </w:pPr>
      <w:bookmarkStart w:id="0" w:name="n1"/>
      <w:bookmarkStart w:id="1" w:name="n-26614"/>
      <w:bookmarkEnd w:id="0"/>
      <w:bookmarkEnd w:id="1"/>
      <w:r>
        <w:rPr>
          <w:rFonts w:ascii="Times New Roman" w:hAnsi="Times New Roman"/>
          <w:b/>
          <w:sz w:val="24"/>
        </w:rPr>
        <w:t>Chapter I</w:t>
      </w:r>
    </w:p>
    <w:p w14:paraId="597BE3F8" w14:textId="7041A62A" w:rsidR="00C70438" w:rsidRPr="002D40C5" w:rsidRDefault="00C70438" w:rsidP="002D40C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21907D11" w14:textId="77777777" w:rsidR="002D40C5" w:rsidRPr="00C70438" w:rsidRDefault="002D40C5" w:rsidP="002D40C5">
      <w:pPr>
        <w:spacing w:after="0" w:line="240" w:lineRule="auto"/>
        <w:jc w:val="both"/>
        <w:rPr>
          <w:rFonts w:ascii="Times New Roman" w:eastAsia="Times New Roman" w:hAnsi="Times New Roman" w:cs="Times New Roman"/>
          <w:noProof/>
          <w:sz w:val="24"/>
          <w:szCs w:val="24"/>
          <w:lang w:eastAsia="lv-LV"/>
        </w:rPr>
      </w:pPr>
    </w:p>
    <w:p w14:paraId="00E57A7D" w14:textId="77777777" w:rsidR="00C70438" w:rsidRPr="00C70438" w:rsidRDefault="00C70438" w:rsidP="002D40C5">
      <w:pPr>
        <w:spacing w:after="0" w:line="240" w:lineRule="auto"/>
        <w:jc w:val="both"/>
        <w:rPr>
          <w:rFonts w:ascii="Times New Roman" w:eastAsia="Times New Roman" w:hAnsi="Times New Roman" w:cs="Times New Roman"/>
          <w:noProof/>
          <w:sz w:val="24"/>
          <w:szCs w:val="24"/>
        </w:rPr>
      </w:pPr>
      <w:bookmarkStart w:id="2" w:name="p1"/>
      <w:bookmarkStart w:id="3" w:name="p-26615"/>
      <w:bookmarkEnd w:id="2"/>
      <w:bookmarkEnd w:id="3"/>
      <w:r>
        <w:rPr>
          <w:rFonts w:ascii="Times New Roman" w:hAnsi="Times New Roman"/>
          <w:b/>
          <w:sz w:val="24"/>
        </w:rPr>
        <w:t xml:space="preserve">Section 1. </w:t>
      </w:r>
      <w:r>
        <w:rPr>
          <w:rFonts w:ascii="Times New Roman" w:hAnsi="Times New Roman"/>
          <w:sz w:val="24"/>
        </w:rPr>
        <w:t>The sacred site of international significance in Aglona (hereinafter – the sacred site of Aglona) is a part of the cultural and historical heritage of Latvia – a cultural monument and a place of religious pilgrimage.</w:t>
      </w:r>
    </w:p>
    <w:p w14:paraId="7C7463F5" w14:textId="77777777" w:rsidR="002D40C5" w:rsidRDefault="002D40C5" w:rsidP="002D40C5">
      <w:pPr>
        <w:spacing w:after="0" w:line="240" w:lineRule="auto"/>
        <w:jc w:val="both"/>
        <w:rPr>
          <w:rFonts w:ascii="Times New Roman" w:eastAsia="Times New Roman" w:hAnsi="Times New Roman" w:cs="Times New Roman"/>
          <w:b/>
          <w:bCs/>
          <w:noProof/>
          <w:sz w:val="24"/>
          <w:szCs w:val="24"/>
        </w:rPr>
      </w:pPr>
      <w:bookmarkStart w:id="4" w:name="p2"/>
      <w:bookmarkStart w:id="5" w:name="p-272178"/>
      <w:bookmarkEnd w:id="4"/>
      <w:bookmarkEnd w:id="5"/>
    </w:p>
    <w:p w14:paraId="7E98B545" w14:textId="3F1AA68E" w:rsidR="00C70438" w:rsidRPr="00C70438"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(1) The sacred site of Aglona is located in the territory of Aglona municipality.</w:t>
      </w:r>
    </w:p>
    <w:p w14:paraId="436F0A2F" w14:textId="77777777" w:rsidR="00C70438" w:rsidRPr="00C70438"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sacred site of Aglona includes the Basilica’s sacred buildings, the holy spring, the monastery, the sacral square, and Aglona cemetery. The protection zone of the sacred site of Aglona includes other land, buildings and structures belonging to the Basilica of Aglona.</w:t>
      </w:r>
    </w:p>
    <w:p w14:paraId="47ECC079" w14:textId="77777777" w:rsidR="002D40C5"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February 2009 /</w:t>
      </w:r>
      <w:r>
        <w:rPr>
          <w:rFonts w:ascii="Times New Roman" w:hAnsi="Times New Roman"/>
          <w:sz w:val="24"/>
        </w:rPr>
        <w:t xml:space="preserve"> </w:t>
      </w:r>
      <w:r>
        <w:rPr>
          <w:rFonts w:ascii="Times New Roman" w:hAnsi="Times New Roman"/>
          <w:i/>
          <w:iCs/>
          <w:sz w:val="24"/>
        </w:rPr>
        <w:t>The replacement of the word “parish” with “municipality” in Paragraph one shall come into force on 1 July 2009.</w:t>
      </w:r>
      <w:r>
        <w:rPr>
          <w:rFonts w:ascii="Times New Roman" w:hAnsi="Times New Roman"/>
          <w:sz w:val="24"/>
        </w:rPr>
        <w:t xml:space="preserve"> </w:t>
      </w:r>
      <w:r>
        <w:rPr>
          <w:rFonts w:ascii="Times New Roman" w:hAnsi="Times New Roman"/>
          <w:i/>
          <w:iCs/>
          <w:sz w:val="24"/>
        </w:rPr>
        <w:t>See Transitional Provision</w:t>
      </w:r>
      <w:r>
        <w:rPr>
          <w:rFonts w:ascii="Times New Roman" w:hAnsi="Times New Roman"/>
          <w:sz w:val="24"/>
        </w:rPr>
        <w:t>]</w:t>
      </w:r>
    </w:p>
    <w:p w14:paraId="5EC13942" w14:textId="77777777" w:rsidR="002D40C5" w:rsidRDefault="002D40C5" w:rsidP="002D40C5">
      <w:pPr>
        <w:spacing w:after="0" w:line="240" w:lineRule="auto"/>
        <w:jc w:val="both"/>
        <w:rPr>
          <w:rFonts w:ascii="Times New Roman" w:eastAsia="Times New Roman" w:hAnsi="Times New Roman" w:cs="Times New Roman"/>
          <w:b/>
          <w:bCs/>
          <w:noProof/>
          <w:sz w:val="24"/>
          <w:szCs w:val="24"/>
        </w:rPr>
      </w:pPr>
      <w:bookmarkStart w:id="6" w:name="p3"/>
      <w:bookmarkStart w:id="7" w:name="p-26617"/>
      <w:bookmarkEnd w:id="6"/>
      <w:bookmarkEnd w:id="7"/>
    </w:p>
    <w:p w14:paraId="477C548F" w14:textId="182BAE0F" w:rsidR="00C70438" w:rsidRPr="00C70438"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(1) The protection of the sacred site of Aglona as a cultural monument shall be determined by the law On Protection of Cultural Monuments.</w:t>
      </w:r>
    </w:p>
    <w:p w14:paraId="07C4D3E2" w14:textId="77777777" w:rsidR="00C70438" w:rsidRPr="00C70438"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Religious activity at the sacred site of Aglona shall be determined by the Law on Religious Organisations.</w:t>
      </w:r>
    </w:p>
    <w:p w14:paraId="25014817" w14:textId="77777777" w:rsidR="00C70438" w:rsidRPr="00C70438"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relations of the Church with the State at the sacred site of Aglona shall be determined by the constitutional law Rights and Duties of Man and Citizen.</w:t>
      </w:r>
    </w:p>
    <w:p w14:paraId="687DD41E" w14:textId="77777777" w:rsidR="002D40C5" w:rsidRDefault="002D40C5" w:rsidP="002D40C5">
      <w:pPr>
        <w:spacing w:after="0" w:line="240" w:lineRule="auto"/>
        <w:jc w:val="both"/>
        <w:rPr>
          <w:rFonts w:ascii="Times New Roman" w:eastAsia="Times New Roman" w:hAnsi="Times New Roman" w:cs="Times New Roman"/>
          <w:b/>
          <w:bCs/>
          <w:noProof/>
          <w:sz w:val="24"/>
          <w:szCs w:val="24"/>
        </w:rPr>
      </w:pPr>
      <w:bookmarkStart w:id="8" w:name="p4"/>
      <w:bookmarkStart w:id="9" w:name="p-26618"/>
      <w:bookmarkEnd w:id="8"/>
      <w:bookmarkEnd w:id="9"/>
    </w:p>
    <w:p w14:paraId="3D375CAB" w14:textId="35BE8194" w:rsidR="00C70438" w:rsidRPr="00C70438"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The special procedures for the maintenance of the sacred site of Aglona as a place of religious pilgrimage shall be determined by this Law.</w:t>
      </w:r>
    </w:p>
    <w:p w14:paraId="249579A1" w14:textId="77777777" w:rsidR="002D40C5" w:rsidRDefault="002D40C5" w:rsidP="002D40C5">
      <w:pPr>
        <w:spacing w:after="0" w:line="240" w:lineRule="auto"/>
        <w:jc w:val="both"/>
        <w:rPr>
          <w:rFonts w:ascii="Times New Roman" w:eastAsia="Times New Roman" w:hAnsi="Times New Roman" w:cs="Times New Roman"/>
          <w:b/>
          <w:bCs/>
          <w:noProof/>
          <w:sz w:val="24"/>
          <w:szCs w:val="24"/>
        </w:rPr>
      </w:pPr>
      <w:bookmarkStart w:id="10" w:name="p5"/>
      <w:bookmarkStart w:id="11" w:name="p-26619"/>
      <w:bookmarkEnd w:id="10"/>
      <w:bookmarkEnd w:id="11"/>
    </w:p>
    <w:p w14:paraId="0FEADC73" w14:textId="3E3F7C6F" w:rsidR="00C70438" w:rsidRPr="00C70438"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The maintenance and development of the sacred site of Aglona and its protection zone shall be determined by the following principles:</w:t>
      </w:r>
    </w:p>
    <w:p w14:paraId="4017D077" w14:textId="77777777" w:rsidR="00C70438" w:rsidRPr="00C70438" w:rsidRDefault="00C70438" w:rsidP="002D4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determination of fees related to the visiting of the sacred site of Aglona shall not be permitted;</w:t>
      </w:r>
    </w:p>
    <w:p w14:paraId="6CA530E8" w14:textId="77777777" w:rsidR="00C70438" w:rsidRPr="00C70438" w:rsidRDefault="00C70438" w:rsidP="002D4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sacred site of Aglona shall be used only for events of religious and spiritual nature which shall be determined by the management of the Catholic Church in Latvia;</w:t>
      </w:r>
    </w:p>
    <w:p w14:paraId="18521FA8" w14:textId="77777777" w:rsidR="00C70438" w:rsidRPr="00C70438" w:rsidRDefault="00C70438" w:rsidP="002D4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costs related to events of State significance for the maintenance of the sacred site of Aglona may be financed from the State budget;</w:t>
      </w:r>
    </w:p>
    <w:p w14:paraId="21952EC0" w14:textId="77777777" w:rsidR="00C70438" w:rsidRPr="00C70438" w:rsidRDefault="00C70438" w:rsidP="002D4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sacred site of Aglona and the protection zone thereof in the territory of its property, in conformity with the law On Protection of Cultural Monuments, shall be managed by the congregation of the Basilica of Aglona, enjoying the exemptions specified in the laws regarding property, land, natural resources, corporate income, and value added tax.</w:t>
      </w:r>
    </w:p>
    <w:p w14:paraId="4CBD3910" w14:textId="77777777" w:rsidR="002D40C5" w:rsidRDefault="002D40C5" w:rsidP="002D40C5">
      <w:pPr>
        <w:spacing w:after="0" w:line="240" w:lineRule="auto"/>
        <w:jc w:val="both"/>
        <w:rPr>
          <w:rFonts w:ascii="Times New Roman" w:eastAsia="Times New Roman" w:hAnsi="Times New Roman" w:cs="Times New Roman"/>
          <w:noProof/>
          <w:sz w:val="24"/>
          <w:szCs w:val="24"/>
        </w:rPr>
      </w:pPr>
      <w:bookmarkStart w:id="12" w:name="n2"/>
      <w:bookmarkStart w:id="13" w:name="n-26620"/>
      <w:bookmarkEnd w:id="12"/>
      <w:bookmarkEnd w:id="13"/>
    </w:p>
    <w:p w14:paraId="16884795" w14:textId="1567DE06" w:rsidR="002D40C5" w:rsidRPr="002D40C5" w:rsidRDefault="00C70438" w:rsidP="002D40C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732F307F" w14:textId="2A082BE2" w:rsidR="00C70438" w:rsidRPr="00C70438" w:rsidRDefault="00C70438" w:rsidP="002D40C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Financing of the Sacred Site of Aglona</w:t>
      </w:r>
    </w:p>
    <w:p w14:paraId="2C8E2967" w14:textId="77777777" w:rsidR="002D40C5" w:rsidRDefault="002D40C5" w:rsidP="002D40C5">
      <w:pPr>
        <w:spacing w:after="0" w:line="240" w:lineRule="auto"/>
        <w:jc w:val="both"/>
        <w:rPr>
          <w:rFonts w:ascii="Times New Roman" w:eastAsia="Times New Roman" w:hAnsi="Times New Roman" w:cs="Times New Roman"/>
          <w:b/>
          <w:bCs/>
          <w:noProof/>
          <w:sz w:val="24"/>
          <w:szCs w:val="24"/>
        </w:rPr>
      </w:pPr>
      <w:bookmarkStart w:id="14" w:name="p6"/>
      <w:bookmarkStart w:id="15" w:name="p-26621"/>
      <w:bookmarkEnd w:id="14"/>
      <w:bookmarkEnd w:id="15"/>
    </w:p>
    <w:p w14:paraId="7464738A" w14:textId="1242ED16" w:rsidR="00C70438" w:rsidRPr="00C70438"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The financial resources of the sacred site of Aglona shall consist of:</w:t>
      </w:r>
    </w:p>
    <w:p w14:paraId="4CB17BA1" w14:textId="77777777" w:rsidR="00C70438" w:rsidRPr="00C70438" w:rsidRDefault="00C70438" w:rsidP="002D4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funds acquired by the congregation of the Basilica of Aglona from business and other economic activities;</w:t>
      </w:r>
    </w:p>
    <w:p w14:paraId="4FE0AB20" w14:textId="77777777" w:rsidR="00C70438" w:rsidRPr="00C70438" w:rsidRDefault="00C70438" w:rsidP="002D4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donations by natural persons and legal persons;</w:t>
      </w:r>
    </w:p>
    <w:p w14:paraId="7911CA15" w14:textId="77777777" w:rsidR="00C70438" w:rsidRPr="00C70438" w:rsidRDefault="00C70438" w:rsidP="002D4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funds allocated by the local governments;</w:t>
      </w:r>
    </w:p>
    <w:p w14:paraId="3A827134" w14:textId="77777777" w:rsidR="00C70438" w:rsidRPr="00C70438" w:rsidRDefault="00C70438" w:rsidP="002D4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resources from the State budget for covering expenditures related to events of national significance.</w:t>
      </w:r>
    </w:p>
    <w:p w14:paraId="60D74643" w14:textId="77777777" w:rsidR="002D40C5" w:rsidRDefault="002D40C5" w:rsidP="002D40C5">
      <w:pPr>
        <w:spacing w:after="0" w:line="240" w:lineRule="auto"/>
        <w:jc w:val="both"/>
        <w:rPr>
          <w:rFonts w:ascii="Times New Roman" w:eastAsia="Times New Roman" w:hAnsi="Times New Roman" w:cs="Times New Roman"/>
          <w:b/>
          <w:bCs/>
          <w:noProof/>
          <w:sz w:val="24"/>
          <w:szCs w:val="24"/>
        </w:rPr>
      </w:pPr>
      <w:bookmarkStart w:id="16" w:name="p7"/>
      <w:bookmarkStart w:id="17" w:name="p-272179"/>
      <w:bookmarkEnd w:id="16"/>
      <w:bookmarkEnd w:id="17"/>
    </w:p>
    <w:p w14:paraId="393DAF2F" w14:textId="790F73B8" w:rsidR="00C70438" w:rsidRPr="00C70438"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(1) The Cabinet, the relevant local governments, and the management of the Catholic Church in Latvia shall agree each year on the events of national significance anticipated at the sacred site of Aglona and the course thereof.</w:t>
      </w:r>
    </w:p>
    <w:p w14:paraId="0E766902" w14:textId="77777777" w:rsidR="00C70438" w:rsidRPr="00C70438"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Expenditures related to the medical provision for events of national significance, the provision of road traffic and public order at the sacred site of Aglona and the protection zone thereof may be covered from the State budget.</w:t>
      </w:r>
    </w:p>
    <w:p w14:paraId="6FA7176A" w14:textId="77777777" w:rsidR="00C70438" w:rsidRPr="00C70438"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procedures by which events of national significance at the sacred site of Aglona shall be determined, and also the course and financing thereof shall be ensured.</w:t>
      </w:r>
    </w:p>
    <w:p w14:paraId="19103CEE" w14:textId="77777777" w:rsidR="002D40C5"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February 2009 /</w:t>
      </w:r>
      <w:r>
        <w:rPr>
          <w:rFonts w:ascii="Times New Roman" w:hAnsi="Times New Roman"/>
          <w:sz w:val="24"/>
        </w:rPr>
        <w:t xml:space="preserve"> </w:t>
      </w:r>
      <w:r>
        <w:rPr>
          <w:rFonts w:ascii="Times New Roman" w:hAnsi="Times New Roman"/>
          <w:i/>
          <w:iCs/>
          <w:sz w:val="24"/>
        </w:rPr>
        <w:t>The new wording of Paragraph one and Paragraph three shall come into force on 1 July 2009.</w:t>
      </w:r>
      <w:r>
        <w:rPr>
          <w:rFonts w:ascii="Times New Roman" w:hAnsi="Times New Roman"/>
          <w:sz w:val="24"/>
        </w:rPr>
        <w:t xml:space="preserve"> </w:t>
      </w:r>
      <w:r>
        <w:rPr>
          <w:rFonts w:ascii="Times New Roman" w:hAnsi="Times New Roman"/>
          <w:i/>
          <w:iCs/>
          <w:sz w:val="24"/>
        </w:rPr>
        <w:t>See Transitional Provision</w:t>
      </w:r>
      <w:r>
        <w:rPr>
          <w:rFonts w:ascii="Times New Roman" w:hAnsi="Times New Roman"/>
          <w:sz w:val="24"/>
        </w:rPr>
        <w:t>]</w:t>
      </w:r>
    </w:p>
    <w:p w14:paraId="37D42354" w14:textId="77777777" w:rsidR="002D40C5" w:rsidRDefault="002D40C5" w:rsidP="002D40C5">
      <w:pPr>
        <w:spacing w:after="0" w:line="240" w:lineRule="auto"/>
        <w:jc w:val="both"/>
        <w:rPr>
          <w:rFonts w:ascii="Times New Roman" w:eastAsia="Times New Roman" w:hAnsi="Times New Roman" w:cs="Times New Roman"/>
          <w:b/>
          <w:bCs/>
          <w:noProof/>
          <w:sz w:val="24"/>
          <w:szCs w:val="24"/>
        </w:rPr>
      </w:pPr>
      <w:bookmarkStart w:id="18" w:name="p8"/>
      <w:bookmarkStart w:id="19" w:name="p-26623"/>
      <w:bookmarkEnd w:id="18"/>
      <w:bookmarkEnd w:id="19"/>
    </w:p>
    <w:p w14:paraId="69B80AF8" w14:textId="31C39912" w:rsidR="00C70438" w:rsidRPr="00C70438"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Any business at the sacred site of Aglona and its protection zone shall be performed in accordance with the procedures laid down in the legislation and with a written permission of the congregation of the Basilica of Aglona. The inhabitants of the rural territory of Aglona who used this land until restoration of the land ownership rights of the Basilica of Aglona have the priority right to enter into a long-term land lease agreement with the congregation of the Basilica of Aglona.</w:t>
      </w:r>
    </w:p>
    <w:p w14:paraId="478D2031" w14:textId="77777777" w:rsidR="002D40C5" w:rsidRDefault="002D40C5" w:rsidP="002D40C5">
      <w:pPr>
        <w:spacing w:after="0" w:line="240" w:lineRule="auto"/>
        <w:jc w:val="both"/>
        <w:rPr>
          <w:rFonts w:ascii="Times New Roman" w:eastAsia="Times New Roman" w:hAnsi="Times New Roman" w:cs="Times New Roman"/>
          <w:noProof/>
          <w:sz w:val="24"/>
          <w:szCs w:val="24"/>
        </w:rPr>
      </w:pPr>
      <w:bookmarkStart w:id="20" w:name="n3"/>
      <w:bookmarkStart w:id="21" w:name="n-26624"/>
      <w:bookmarkEnd w:id="20"/>
      <w:bookmarkEnd w:id="21"/>
    </w:p>
    <w:p w14:paraId="737CF182" w14:textId="605C148C" w:rsidR="002D40C5" w:rsidRPr="002D40C5" w:rsidRDefault="00C70438" w:rsidP="002D40C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5489B01F" w14:textId="1E299EBD" w:rsidR="00C70438" w:rsidRPr="00C70438" w:rsidRDefault="00C70438" w:rsidP="002D40C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Provisions Regarding Staying at the Sacred Site of Aglona and the Protection Zone Thereof</w:t>
      </w:r>
    </w:p>
    <w:p w14:paraId="59C5FCAC" w14:textId="77777777" w:rsidR="002D40C5" w:rsidRDefault="002D40C5" w:rsidP="002D40C5">
      <w:pPr>
        <w:spacing w:after="0" w:line="240" w:lineRule="auto"/>
        <w:jc w:val="both"/>
        <w:rPr>
          <w:rFonts w:ascii="Times New Roman" w:eastAsia="Times New Roman" w:hAnsi="Times New Roman" w:cs="Times New Roman"/>
          <w:b/>
          <w:bCs/>
          <w:noProof/>
          <w:sz w:val="24"/>
          <w:szCs w:val="24"/>
        </w:rPr>
      </w:pPr>
      <w:bookmarkStart w:id="22" w:name="p9"/>
      <w:bookmarkStart w:id="23" w:name="p-26625"/>
      <w:bookmarkEnd w:id="22"/>
      <w:bookmarkEnd w:id="23"/>
    </w:p>
    <w:p w14:paraId="413681E8" w14:textId="3DBB695D" w:rsidR="00C70438" w:rsidRPr="00C70438"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The management of the Catholic Church in Latvia, in coordination with the Cabinet, shall determine the procedures for staying at the sacred site of Aglona. These provisions shall be published and placed in places accessible to the public in the territory of the sacred site of Aglona. Malevolent violators of these provisions shall be expelled from the sacred site of Aglona.</w:t>
      </w:r>
    </w:p>
    <w:p w14:paraId="615D06EF" w14:textId="77777777" w:rsidR="002D40C5" w:rsidRDefault="002D40C5" w:rsidP="002D40C5">
      <w:pPr>
        <w:spacing w:after="0" w:line="240" w:lineRule="auto"/>
        <w:jc w:val="both"/>
        <w:rPr>
          <w:rFonts w:ascii="Times New Roman" w:eastAsia="Times New Roman" w:hAnsi="Times New Roman" w:cs="Times New Roman"/>
          <w:b/>
          <w:bCs/>
          <w:noProof/>
          <w:sz w:val="24"/>
          <w:szCs w:val="24"/>
        </w:rPr>
      </w:pPr>
      <w:bookmarkStart w:id="24" w:name="p10"/>
      <w:bookmarkStart w:id="25" w:name="p-272180"/>
      <w:bookmarkEnd w:id="24"/>
      <w:bookmarkEnd w:id="25"/>
    </w:p>
    <w:p w14:paraId="632289A8" w14:textId="1B7B3997" w:rsidR="00C70438" w:rsidRPr="00C70438"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(1) The Cabinet shall, in agreement with the management of the Catholic Church in Latvia and the relevant local governments, issue provisions regarding the staying of all natural persons and legal persons in the protection zone of the sacred site of Aglona.</w:t>
      </w:r>
    </w:p>
    <w:p w14:paraId="3F07CCD8" w14:textId="77777777" w:rsidR="00C70438" w:rsidRPr="00C70438"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These provisions may incorporate:</w:t>
      </w:r>
    </w:p>
    <w:p w14:paraId="294A5A01" w14:textId="77777777" w:rsidR="00C70438" w:rsidRPr="00C70438" w:rsidRDefault="00C70438" w:rsidP="002D4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special procedures for the maintenance of constructions, buildings, structures and the use of natural resources;</w:t>
      </w:r>
    </w:p>
    <w:p w14:paraId="246BA28B" w14:textId="77777777" w:rsidR="00C70438" w:rsidRPr="00C70438" w:rsidRDefault="00C70438" w:rsidP="002D4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restrictions regarding trade with intoxicating beverages, other goods intended for entertainment, and the advertising of such goods;</w:t>
      </w:r>
    </w:p>
    <w:p w14:paraId="50478197" w14:textId="77777777" w:rsidR="00C70438" w:rsidRPr="00C70438" w:rsidRDefault="00C70438" w:rsidP="002D4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restrictions in relation to the installation, advertising, and operation of different types of entertainment sites;</w:t>
      </w:r>
    </w:p>
    <w:p w14:paraId="6243688D" w14:textId="77777777" w:rsidR="00C70438" w:rsidRPr="00C70438" w:rsidRDefault="00C70438" w:rsidP="002D4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measures to be taken for the upkeep of public order.</w:t>
      </w:r>
    </w:p>
    <w:p w14:paraId="4F0EDC3D" w14:textId="77777777" w:rsidR="00C70438" w:rsidRPr="00C70438"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shall be published and placed in places accessible to the public on the border of the protection zone of the sacred site of Aglona and in the territory thereof.</w:t>
      </w:r>
    </w:p>
    <w:p w14:paraId="0823E309" w14:textId="77777777" w:rsidR="00C70438" w:rsidRPr="00C70438"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enforcement of the provisions shall be controlled by the Aglona municipality council, the State Police, and the National Guard.</w:t>
      </w:r>
    </w:p>
    <w:p w14:paraId="63C97FB3" w14:textId="77777777" w:rsidR="00C70438" w:rsidRPr="00C70438"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violators of the provisions shall be held under administrative liability in accordance with the Latvian Administrative Violations Code.</w:t>
      </w:r>
    </w:p>
    <w:p w14:paraId="6CB57CDC" w14:textId="77777777" w:rsidR="002D40C5"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February 2009 /</w:t>
      </w:r>
      <w:r>
        <w:rPr>
          <w:rFonts w:ascii="Times New Roman" w:hAnsi="Times New Roman"/>
          <w:sz w:val="24"/>
        </w:rPr>
        <w:t xml:space="preserve"> </w:t>
      </w:r>
      <w:r>
        <w:rPr>
          <w:rFonts w:ascii="Times New Roman" w:hAnsi="Times New Roman"/>
          <w:i/>
          <w:iCs/>
          <w:sz w:val="24"/>
        </w:rPr>
        <w:t>The replacement of the words “Aglona parish council” with the words “Aglona municipality council” in Paragraph four shall come into force on 1 July 2009.</w:t>
      </w:r>
      <w:r>
        <w:rPr>
          <w:rFonts w:ascii="Times New Roman" w:hAnsi="Times New Roman"/>
          <w:sz w:val="24"/>
        </w:rPr>
        <w:t xml:space="preserve"> </w:t>
      </w:r>
      <w:r>
        <w:rPr>
          <w:rFonts w:ascii="Times New Roman" w:hAnsi="Times New Roman"/>
          <w:i/>
          <w:iCs/>
          <w:sz w:val="24"/>
        </w:rPr>
        <w:t>See Transitional Provision</w:t>
      </w:r>
      <w:r>
        <w:rPr>
          <w:rFonts w:ascii="Times New Roman" w:hAnsi="Times New Roman"/>
          <w:sz w:val="24"/>
        </w:rPr>
        <w:t>]</w:t>
      </w:r>
    </w:p>
    <w:p w14:paraId="4927E815" w14:textId="77777777" w:rsidR="002D40C5" w:rsidRDefault="002D40C5" w:rsidP="002D40C5">
      <w:pPr>
        <w:spacing w:after="0" w:line="240" w:lineRule="auto"/>
        <w:jc w:val="both"/>
        <w:rPr>
          <w:rFonts w:ascii="Times New Roman" w:eastAsia="Times New Roman" w:hAnsi="Times New Roman" w:cs="Times New Roman"/>
          <w:noProof/>
          <w:sz w:val="24"/>
          <w:szCs w:val="24"/>
        </w:rPr>
      </w:pPr>
      <w:bookmarkStart w:id="26" w:name="272181"/>
      <w:bookmarkEnd w:id="26"/>
    </w:p>
    <w:p w14:paraId="38F7AABE" w14:textId="466C7095" w:rsidR="00C70438" w:rsidRPr="00C70438" w:rsidRDefault="00C70438" w:rsidP="002D40C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w:t>
      </w:r>
      <w:bookmarkStart w:id="27" w:name="pn-272181"/>
      <w:bookmarkEnd w:id="27"/>
    </w:p>
    <w:p w14:paraId="502BC3D5" w14:textId="77777777" w:rsidR="002D40C5" w:rsidRDefault="002D40C5" w:rsidP="002D40C5">
      <w:pPr>
        <w:spacing w:after="0" w:line="240" w:lineRule="auto"/>
        <w:jc w:val="both"/>
        <w:rPr>
          <w:rFonts w:ascii="Times New Roman" w:eastAsia="Times New Roman" w:hAnsi="Times New Roman" w:cs="Times New Roman"/>
          <w:noProof/>
          <w:sz w:val="24"/>
          <w:szCs w:val="24"/>
        </w:rPr>
      </w:pPr>
      <w:bookmarkStart w:id="28" w:name="p-272183"/>
      <w:bookmarkEnd w:id="28"/>
    </w:p>
    <w:p w14:paraId="105E1B62" w14:textId="1AFF534F" w:rsidR="00C70438" w:rsidRPr="00C70438" w:rsidRDefault="00C70438" w:rsidP="002D40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Amendment to Section 2, Paragraph one of this Law regarding the replacement of the word “parish” with the word “municipality”, amendments to Section 7 regarding the agreement on the events of national significance intended at the sacred site of Aglona and the course thereof and the corresponding delegation to the Cabinet to issue regulations, and also amendment to Section 10, Paragraph four regarding the replacement of the words “Aglona parish council” with the words “Aglona municipality council” shall come into force on 1 July 2009.</w:t>
      </w:r>
      <w:bookmarkStart w:id="29" w:name="pn2"/>
      <w:bookmarkEnd w:id="29"/>
    </w:p>
    <w:p w14:paraId="054D48B6" w14:textId="77777777" w:rsidR="00C70438" w:rsidRPr="00C70438"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February 2009</w:t>
      </w:r>
      <w:r>
        <w:rPr>
          <w:rFonts w:ascii="Times New Roman" w:hAnsi="Times New Roman"/>
          <w:sz w:val="24"/>
        </w:rPr>
        <w:t>]</w:t>
      </w:r>
    </w:p>
    <w:p w14:paraId="5E00E0FB" w14:textId="77777777" w:rsidR="002D40C5" w:rsidRDefault="002D40C5" w:rsidP="002D40C5">
      <w:pPr>
        <w:spacing w:after="0" w:line="240" w:lineRule="auto"/>
        <w:jc w:val="both"/>
        <w:rPr>
          <w:rFonts w:ascii="Times New Roman" w:eastAsia="Times New Roman" w:hAnsi="Times New Roman" w:cs="Times New Roman"/>
          <w:noProof/>
          <w:sz w:val="24"/>
          <w:szCs w:val="24"/>
          <w:lang w:eastAsia="lv-LV"/>
        </w:rPr>
      </w:pPr>
    </w:p>
    <w:p w14:paraId="0EDA8A52" w14:textId="77777777" w:rsidR="002D40C5" w:rsidRDefault="002D40C5" w:rsidP="002D40C5">
      <w:pPr>
        <w:spacing w:after="0" w:line="240" w:lineRule="auto"/>
        <w:jc w:val="both"/>
        <w:rPr>
          <w:rFonts w:ascii="Times New Roman" w:eastAsia="Times New Roman" w:hAnsi="Times New Roman" w:cs="Times New Roman"/>
          <w:noProof/>
          <w:sz w:val="24"/>
          <w:szCs w:val="24"/>
          <w:lang w:eastAsia="lv-LV"/>
        </w:rPr>
      </w:pPr>
    </w:p>
    <w:p w14:paraId="79B43200" w14:textId="62C3DBF7" w:rsidR="002D40C5"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day of its proclamation.</w:t>
      </w:r>
    </w:p>
    <w:p w14:paraId="11E3D8EB" w14:textId="3E69BE3E" w:rsidR="002D40C5" w:rsidRDefault="002D40C5" w:rsidP="002D40C5">
      <w:pPr>
        <w:spacing w:after="0" w:line="240" w:lineRule="auto"/>
        <w:jc w:val="both"/>
        <w:rPr>
          <w:rFonts w:ascii="Times New Roman" w:eastAsia="Times New Roman" w:hAnsi="Times New Roman" w:cs="Times New Roman"/>
          <w:noProof/>
          <w:sz w:val="24"/>
          <w:szCs w:val="24"/>
          <w:lang w:eastAsia="lv-LV"/>
        </w:rPr>
      </w:pPr>
    </w:p>
    <w:p w14:paraId="00EB13E3" w14:textId="3F3290A5" w:rsidR="00C70438" w:rsidRPr="00C70438"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12 October 1995.</w:t>
      </w:r>
    </w:p>
    <w:p w14:paraId="1F9BCC1A" w14:textId="77777777" w:rsidR="002D40C5" w:rsidRDefault="002D40C5" w:rsidP="002D40C5">
      <w:pPr>
        <w:spacing w:after="0" w:line="240" w:lineRule="auto"/>
        <w:jc w:val="both"/>
        <w:rPr>
          <w:rFonts w:ascii="Times New Roman" w:eastAsia="Times New Roman" w:hAnsi="Times New Roman" w:cs="Times New Roman"/>
          <w:noProof/>
          <w:sz w:val="24"/>
          <w:szCs w:val="24"/>
          <w:lang w:eastAsia="lv-LV"/>
        </w:rPr>
      </w:pPr>
    </w:p>
    <w:p w14:paraId="75096D1F" w14:textId="77777777" w:rsidR="002D40C5" w:rsidRDefault="002D40C5" w:rsidP="002D40C5">
      <w:pPr>
        <w:spacing w:after="0" w:line="240" w:lineRule="auto"/>
        <w:jc w:val="both"/>
        <w:rPr>
          <w:rFonts w:ascii="Times New Roman" w:eastAsia="Times New Roman" w:hAnsi="Times New Roman" w:cs="Times New Roman"/>
          <w:noProof/>
          <w:sz w:val="24"/>
          <w:szCs w:val="24"/>
          <w:lang w:eastAsia="lv-LV"/>
        </w:rPr>
      </w:pPr>
    </w:p>
    <w:p w14:paraId="55668D8E" w14:textId="567A2109" w:rsidR="00C70438" w:rsidRPr="00C70438"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the Chairperson of the </w:t>
      </w:r>
      <w:r>
        <w:rPr>
          <w:rFonts w:ascii="Times New Roman" w:hAnsi="Times New Roman"/>
          <w:i/>
          <w:iCs/>
          <w:sz w:val="24"/>
        </w:rPr>
        <w:t>Saeima</w:t>
      </w:r>
      <w:r w:rsidR="009E5C09">
        <w:rPr>
          <w:rFonts w:ascii="Times New Roman" w:hAnsi="Times New Roman"/>
          <w:sz w:val="24"/>
        </w:rPr>
        <w:tab/>
      </w:r>
      <w:r w:rsidR="009E5C09">
        <w:rPr>
          <w:rFonts w:ascii="Times New Roman" w:hAnsi="Times New Roman"/>
          <w:sz w:val="24"/>
        </w:rPr>
        <w:tab/>
      </w:r>
      <w:r w:rsidR="009E5C09">
        <w:rPr>
          <w:rFonts w:ascii="Times New Roman" w:hAnsi="Times New Roman"/>
          <w:sz w:val="24"/>
        </w:rPr>
        <w:tab/>
      </w:r>
      <w:r>
        <w:rPr>
          <w:rFonts w:ascii="Times New Roman" w:hAnsi="Times New Roman"/>
          <w:sz w:val="24"/>
        </w:rPr>
        <w:t>A. Gorbunovs</w:t>
      </w:r>
    </w:p>
    <w:p w14:paraId="3CFEE04E" w14:textId="77777777" w:rsidR="002D40C5" w:rsidRDefault="002D40C5" w:rsidP="002D40C5">
      <w:pPr>
        <w:spacing w:after="0" w:line="240" w:lineRule="auto"/>
        <w:jc w:val="both"/>
        <w:rPr>
          <w:rFonts w:ascii="Times New Roman" w:eastAsia="Times New Roman" w:hAnsi="Times New Roman" w:cs="Times New Roman"/>
          <w:noProof/>
          <w:sz w:val="24"/>
          <w:szCs w:val="24"/>
          <w:lang w:eastAsia="lv-LV"/>
        </w:rPr>
      </w:pPr>
    </w:p>
    <w:p w14:paraId="5A51733A" w14:textId="05AC45D0" w:rsidR="00C70438" w:rsidRPr="00C70438" w:rsidRDefault="00C70438" w:rsidP="002D40C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21 October 1995</w:t>
      </w:r>
    </w:p>
    <w:p w14:paraId="01BE59EE" w14:textId="77777777" w:rsidR="00C70438" w:rsidRPr="002D40C5" w:rsidRDefault="00C70438" w:rsidP="002D40C5">
      <w:pPr>
        <w:spacing w:after="0" w:line="240" w:lineRule="auto"/>
        <w:jc w:val="both"/>
        <w:rPr>
          <w:rFonts w:ascii="Times New Roman" w:eastAsia="Times New Roman" w:hAnsi="Times New Roman" w:cs="Times New Roman"/>
          <w:noProof/>
          <w:sz w:val="24"/>
          <w:szCs w:val="24"/>
          <w:lang w:eastAsia="lv-LV"/>
        </w:rPr>
      </w:pPr>
    </w:p>
    <w:sectPr w:rsidR="00C70438" w:rsidRPr="002D40C5" w:rsidSect="002D40C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C3D04" w14:textId="77777777" w:rsidR="00C70438" w:rsidRPr="00C70438" w:rsidRDefault="00C70438" w:rsidP="00C70438">
      <w:pPr>
        <w:spacing w:after="0" w:line="240" w:lineRule="auto"/>
        <w:rPr>
          <w:noProof/>
          <w:lang w:val="en-US"/>
        </w:rPr>
      </w:pPr>
      <w:r w:rsidRPr="00C70438">
        <w:rPr>
          <w:noProof/>
          <w:lang w:val="en-US"/>
        </w:rPr>
        <w:separator/>
      </w:r>
    </w:p>
  </w:endnote>
  <w:endnote w:type="continuationSeparator" w:id="0">
    <w:p w14:paraId="1A88688B" w14:textId="77777777" w:rsidR="00C70438" w:rsidRPr="00C70438" w:rsidRDefault="00C70438" w:rsidP="00C70438">
      <w:pPr>
        <w:spacing w:after="0" w:line="240" w:lineRule="auto"/>
        <w:rPr>
          <w:noProof/>
          <w:lang w:val="en-US"/>
        </w:rPr>
      </w:pPr>
      <w:r w:rsidRPr="00C7043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10CF" w14:textId="77777777" w:rsidR="00E460A6" w:rsidRPr="00E460A6" w:rsidRDefault="00E460A6" w:rsidP="00E460A6">
    <w:pPr>
      <w:tabs>
        <w:tab w:val="center" w:pos="4153"/>
        <w:tab w:val="right" w:pos="8306"/>
      </w:tabs>
      <w:spacing w:after="0" w:line="240" w:lineRule="auto"/>
      <w:rPr>
        <w:rFonts w:ascii="Times New Roman" w:eastAsia="Times New Roman" w:hAnsi="Times New Roman" w:cs="Times New Roman"/>
        <w:snapToGrid w:val="0"/>
        <w:sz w:val="20"/>
        <w:szCs w:val="20"/>
      </w:rPr>
    </w:pPr>
  </w:p>
  <w:p w14:paraId="7A62BA46" w14:textId="77777777" w:rsidR="00E460A6" w:rsidRPr="00E460A6" w:rsidRDefault="00E460A6" w:rsidP="00E460A6">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E460A6">
      <w:rPr>
        <w:rFonts w:ascii="Times New Roman" w:eastAsia="Times New Roman" w:hAnsi="Times New Roman" w:cs="Times New Roman"/>
        <w:snapToGrid w:val="0"/>
        <w:sz w:val="20"/>
        <w:szCs w:val="20"/>
      </w:rPr>
      <w:fldChar w:fldCharType="begin"/>
    </w:r>
    <w:r w:rsidRPr="00E460A6">
      <w:rPr>
        <w:rFonts w:ascii="Times New Roman" w:eastAsia="Times New Roman" w:hAnsi="Times New Roman" w:cs="Times New Roman"/>
        <w:snapToGrid w:val="0"/>
        <w:sz w:val="20"/>
        <w:szCs w:val="20"/>
      </w:rPr>
      <w:instrText xml:space="preserve"> PAGE </w:instrText>
    </w:r>
    <w:r w:rsidRPr="00E460A6">
      <w:rPr>
        <w:rFonts w:ascii="Times New Roman" w:eastAsia="Times New Roman" w:hAnsi="Times New Roman" w:cs="Times New Roman"/>
        <w:snapToGrid w:val="0"/>
        <w:sz w:val="20"/>
        <w:szCs w:val="20"/>
      </w:rPr>
      <w:fldChar w:fldCharType="separate"/>
    </w:r>
    <w:r w:rsidRPr="00E460A6">
      <w:rPr>
        <w:rFonts w:ascii="Times New Roman" w:eastAsia="Times New Roman" w:hAnsi="Times New Roman" w:cs="Times New Roman"/>
        <w:snapToGrid w:val="0"/>
        <w:sz w:val="20"/>
        <w:szCs w:val="20"/>
      </w:rPr>
      <w:t>2</w:t>
    </w:r>
    <w:r w:rsidRPr="00E460A6">
      <w:rPr>
        <w:rFonts w:ascii="Times New Roman" w:eastAsia="Times New Roman" w:hAnsi="Times New Roman" w:cs="Times New Roman"/>
        <w:snapToGrid w:val="0"/>
        <w:sz w:val="20"/>
        <w:szCs w:val="20"/>
      </w:rPr>
      <w:fldChar w:fldCharType="end"/>
    </w:r>
    <w:r w:rsidRPr="00E460A6">
      <w:rPr>
        <w:rFonts w:ascii="Times New Roman" w:eastAsia="Times New Roman" w:hAnsi="Times New Roman" w:cs="Times New Roman"/>
        <w:snapToGrid w:val="0"/>
        <w:sz w:val="20"/>
        <w:szCs w:val="20"/>
      </w:rPr>
      <w:t xml:space="preserve"> </w:t>
    </w:r>
  </w:p>
  <w:p w14:paraId="389110E8" w14:textId="77777777" w:rsidR="00E460A6" w:rsidRPr="00E460A6" w:rsidRDefault="00E460A6" w:rsidP="00E460A6">
    <w:pPr>
      <w:tabs>
        <w:tab w:val="center" w:pos="4153"/>
        <w:tab w:val="right" w:pos="8306"/>
      </w:tabs>
      <w:spacing w:after="0" w:line="240" w:lineRule="auto"/>
      <w:rPr>
        <w:rFonts w:ascii="Times New Roman" w:eastAsia="Times New Roman" w:hAnsi="Times New Roman" w:cs="Times New Roman"/>
        <w:snapToGrid w:val="0"/>
        <w:sz w:val="20"/>
        <w:szCs w:val="20"/>
      </w:rPr>
    </w:pPr>
    <w:r w:rsidRPr="00E460A6">
      <w:rPr>
        <w:rFonts w:ascii="Times New Roman" w:eastAsia="Times New Roman" w:hAnsi="Times New Roman" w:cs="Times New Roman"/>
        <w:snapToGrid w:val="0"/>
        <w:sz w:val="20"/>
        <w:szCs w:val="20"/>
      </w:rPr>
      <w:t xml:space="preserve">Translation </w:t>
    </w:r>
    <w:r w:rsidRPr="00E460A6">
      <w:rPr>
        <w:rFonts w:ascii="Times New Roman" w:eastAsia="Times New Roman" w:hAnsi="Times New Roman" w:cs="Times New Roman"/>
        <w:snapToGrid w:val="0"/>
        <w:sz w:val="20"/>
        <w:szCs w:val="20"/>
      </w:rPr>
      <w:fldChar w:fldCharType="begin"/>
    </w:r>
    <w:r w:rsidRPr="00E460A6">
      <w:rPr>
        <w:rFonts w:ascii="Times New Roman" w:eastAsia="Times New Roman" w:hAnsi="Times New Roman" w:cs="Times New Roman"/>
        <w:snapToGrid w:val="0"/>
        <w:sz w:val="20"/>
        <w:szCs w:val="20"/>
      </w:rPr>
      <w:instrText>symbol 169 \f "UnivrstyRoman TL" \s 8</w:instrText>
    </w:r>
    <w:r w:rsidRPr="00E460A6">
      <w:rPr>
        <w:rFonts w:ascii="Times New Roman" w:eastAsia="Times New Roman" w:hAnsi="Times New Roman" w:cs="Times New Roman"/>
        <w:snapToGrid w:val="0"/>
        <w:sz w:val="20"/>
        <w:szCs w:val="20"/>
      </w:rPr>
      <w:fldChar w:fldCharType="separate"/>
    </w:r>
    <w:r w:rsidRPr="00E460A6">
      <w:rPr>
        <w:rFonts w:ascii="Times New Roman" w:eastAsia="Times New Roman" w:hAnsi="Times New Roman" w:cs="Times New Roman"/>
        <w:snapToGrid w:val="0"/>
        <w:sz w:val="20"/>
        <w:szCs w:val="20"/>
      </w:rPr>
      <w:t>©</w:t>
    </w:r>
    <w:r w:rsidRPr="00E460A6">
      <w:rPr>
        <w:rFonts w:ascii="Times New Roman" w:eastAsia="Times New Roman" w:hAnsi="Times New Roman" w:cs="Times New Roman"/>
        <w:snapToGrid w:val="0"/>
        <w:sz w:val="20"/>
        <w:szCs w:val="20"/>
      </w:rPr>
      <w:fldChar w:fldCharType="end"/>
    </w:r>
    <w:r w:rsidRPr="00E460A6">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F976" w14:textId="77777777" w:rsidR="005C14D4" w:rsidRPr="005C14D4" w:rsidRDefault="005C14D4" w:rsidP="005C14D4">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30" w:name="_Hlk32478718"/>
    <w:bookmarkStart w:id="31" w:name="_Hlk32478719"/>
    <w:bookmarkStart w:id="32" w:name="_Hlk60650487"/>
    <w:bookmarkStart w:id="33" w:name="_Hlk60650488"/>
    <w:bookmarkStart w:id="34" w:name="_Hlk60650489"/>
    <w:bookmarkStart w:id="35" w:name="_Hlk60650490"/>
    <w:bookmarkStart w:id="36" w:name="_Hlk92283107"/>
    <w:bookmarkStart w:id="37" w:name="_Hlk92283108"/>
    <w:bookmarkStart w:id="38" w:name="_Hlk92283109"/>
    <w:bookmarkStart w:id="39" w:name="_Hlk92283110"/>
  </w:p>
  <w:p w14:paraId="76D0106F" w14:textId="77777777" w:rsidR="005C14D4" w:rsidRPr="005C14D4" w:rsidRDefault="005C14D4" w:rsidP="005C14D4">
    <w:pPr>
      <w:tabs>
        <w:tab w:val="center" w:pos="4153"/>
        <w:tab w:val="right" w:pos="8306"/>
      </w:tabs>
      <w:spacing w:after="0" w:line="240" w:lineRule="auto"/>
      <w:rPr>
        <w:rFonts w:ascii="Times New Roman" w:eastAsia="Times New Roman" w:hAnsi="Times New Roman" w:cs="Times New Roman"/>
        <w:snapToGrid w:val="0"/>
        <w:sz w:val="20"/>
        <w:szCs w:val="20"/>
      </w:rPr>
    </w:pPr>
    <w:bookmarkStart w:id="40" w:name="_Hlk32310318"/>
    <w:bookmarkStart w:id="41" w:name="_Hlk32310319"/>
    <w:r w:rsidRPr="005C14D4">
      <w:rPr>
        <w:rFonts w:ascii="Times New Roman" w:eastAsia="Times New Roman" w:hAnsi="Times New Roman" w:cs="Times New Roman"/>
        <w:snapToGrid w:val="0"/>
        <w:sz w:val="20"/>
        <w:szCs w:val="20"/>
        <w:vertAlign w:val="superscript"/>
      </w:rPr>
      <w:t>1</w:t>
    </w:r>
    <w:r w:rsidRPr="005C14D4">
      <w:rPr>
        <w:rFonts w:ascii="Times New Roman" w:eastAsia="Times New Roman" w:hAnsi="Times New Roman" w:cs="Times New Roman"/>
        <w:snapToGrid w:val="0"/>
        <w:sz w:val="20"/>
        <w:szCs w:val="20"/>
      </w:rPr>
      <w:t xml:space="preserve"> The Parliament of the Republic of Latvia</w:t>
    </w:r>
  </w:p>
  <w:p w14:paraId="27137A19" w14:textId="77777777" w:rsidR="005C14D4" w:rsidRPr="005C14D4" w:rsidRDefault="005C14D4" w:rsidP="005C14D4">
    <w:pPr>
      <w:tabs>
        <w:tab w:val="center" w:pos="4153"/>
        <w:tab w:val="right" w:pos="8306"/>
      </w:tabs>
      <w:spacing w:after="0" w:line="240" w:lineRule="auto"/>
      <w:rPr>
        <w:rFonts w:ascii="Times New Roman" w:eastAsia="Times New Roman" w:hAnsi="Times New Roman" w:cs="Times New Roman"/>
        <w:snapToGrid w:val="0"/>
        <w:sz w:val="20"/>
        <w:szCs w:val="20"/>
      </w:rPr>
    </w:pPr>
  </w:p>
  <w:p w14:paraId="313FC9A7" w14:textId="77777777" w:rsidR="005C14D4" w:rsidRPr="005C14D4" w:rsidRDefault="005C14D4" w:rsidP="005C14D4">
    <w:pPr>
      <w:tabs>
        <w:tab w:val="center" w:pos="4153"/>
        <w:tab w:val="right" w:pos="8306"/>
      </w:tabs>
      <w:spacing w:after="0" w:line="240" w:lineRule="auto"/>
      <w:rPr>
        <w:rFonts w:ascii="Times New Roman" w:eastAsia="Times New Roman" w:hAnsi="Times New Roman" w:cs="Times New Roman"/>
        <w:snapToGrid w:val="0"/>
        <w:sz w:val="20"/>
        <w:szCs w:val="20"/>
      </w:rPr>
    </w:pPr>
    <w:r w:rsidRPr="005C14D4">
      <w:rPr>
        <w:rFonts w:ascii="Times New Roman" w:eastAsia="Times New Roman" w:hAnsi="Times New Roman" w:cs="Times New Roman"/>
        <w:snapToGrid w:val="0"/>
        <w:sz w:val="20"/>
        <w:szCs w:val="20"/>
      </w:rPr>
      <w:t xml:space="preserve">Translation </w:t>
    </w:r>
    <w:r w:rsidRPr="005C14D4">
      <w:rPr>
        <w:rFonts w:ascii="Times New Roman" w:eastAsia="Times New Roman" w:hAnsi="Times New Roman" w:cs="Times New Roman"/>
        <w:snapToGrid w:val="0"/>
        <w:sz w:val="20"/>
        <w:szCs w:val="20"/>
      </w:rPr>
      <w:fldChar w:fldCharType="begin"/>
    </w:r>
    <w:r w:rsidRPr="005C14D4">
      <w:rPr>
        <w:rFonts w:ascii="Times New Roman" w:eastAsia="Times New Roman" w:hAnsi="Times New Roman" w:cs="Times New Roman"/>
        <w:snapToGrid w:val="0"/>
        <w:sz w:val="20"/>
        <w:szCs w:val="20"/>
      </w:rPr>
      <w:instrText>symbol 169 \f "UnivrstyRoman TL" \s 8</w:instrText>
    </w:r>
    <w:r w:rsidRPr="005C14D4">
      <w:rPr>
        <w:rFonts w:ascii="Times New Roman" w:eastAsia="Times New Roman" w:hAnsi="Times New Roman" w:cs="Times New Roman"/>
        <w:snapToGrid w:val="0"/>
        <w:sz w:val="20"/>
        <w:szCs w:val="20"/>
      </w:rPr>
      <w:fldChar w:fldCharType="separate"/>
    </w:r>
    <w:r w:rsidRPr="005C14D4">
      <w:rPr>
        <w:rFonts w:ascii="Times New Roman" w:eastAsia="Times New Roman" w:hAnsi="Times New Roman" w:cs="Times New Roman"/>
        <w:snapToGrid w:val="0"/>
        <w:sz w:val="20"/>
        <w:szCs w:val="20"/>
      </w:rPr>
      <w:t>©</w:t>
    </w:r>
    <w:r w:rsidRPr="005C14D4">
      <w:rPr>
        <w:rFonts w:ascii="Times New Roman" w:eastAsia="Times New Roman" w:hAnsi="Times New Roman" w:cs="Times New Roman"/>
        <w:snapToGrid w:val="0"/>
        <w:sz w:val="20"/>
        <w:szCs w:val="20"/>
      </w:rPr>
      <w:fldChar w:fldCharType="end"/>
    </w:r>
    <w:r w:rsidRPr="005C14D4">
      <w:rPr>
        <w:rFonts w:ascii="Times New Roman" w:eastAsia="Times New Roman" w:hAnsi="Times New Roman" w:cs="Times New Roman"/>
        <w:snapToGrid w:val="0"/>
        <w:sz w:val="20"/>
        <w:szCs w:val="20"/>
      </w:rPr>
      <w:t xml:space="preserve"> 2022 Valsts valodas centrs (State Language Centre)</w:t>
    </w:r>
    <w:bookmarkEnd w:id="30"/>
    <w:bookmarkEnd w:id="31"/>
    <w:bookmarkEnd w:id="32"/>
    <w:bookmarkEnd w:id="33"/>
    <w:bookmarkEnd w:id="34"/>
    <w:bookmarkEnd w:id="35"/>
    <w:bookmarkEnd w:id="36"/>
    <w:bookmarkEnd w:id="37"/>
    <w:bookmarkEnd w:id="38"/>
    <w:bookmarkEnd w:id="39"/>
  </w:p>
  <w:bookmarkEnd w:id="40"/>
  <w:bookmarkEnd w:id="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9C4F9" w14:textId="77777777" w:rsidR="00C70438" w:rsidRPr="00C70438" w:rsidRDefault="00C70438" w:rsidP="00C70438">
      <w:pPr>
        <w:spacing w:after="0" w:line="240" w:lineRule="auto"/>
        <w:rPr>
          <w:noProof/>
          <w:lang w:val="en-US"/>
        </w:rPr>
      </w:pPr>
      <w:r w:rsidRPr="00C70438">
        <w:rPr>
          <w:noProof/>
          <w:lang w:val="en-US"/>
        </w:rPr>
        <w:separator/>
      </w:r>
    </w:p>
  </w:footnote>
  <w:footnote w:type="continuationSeparator" w:id="0">
    <w:p w14:paraId="2536F5A9" w14:textId="77777777" w:rsidR="00C70438" w:rsidRPr="00C70438" w:rsidRDefault="00C70438" w:rsidP="00C70438">
      <w:pPr>
        <w:spacing w:after="0" w:line="240" w:lineRule="auto"/>
        <w:rPr>
          <w:noProof/>
          <w:lang w:val="en-US"/>
        </w:rPr>
      </w:pPr>
      <w:r w:rsidRPr="00C7043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4C"/>
    <w:rsid w:val="002D40C5"/>
    <w:rsid w:val="004C647A"/>
    <w:rsid w:val="005C14D4"/>
    <w:rsid w:val="005F5CF5"/>
    <w:rsid w:val="00612425"/>
    <w:rsid w:val="00631377"/>
    <w:rsid w:val="00717E4C"/>
    <w:rsid w:val="00921840"/>
    <w:rsid w:val="009E5C09"/>
    <w:rsid w:val="00C70438"/>
    <w:rsid w:val="00E460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A788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704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C7043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C70438"/>
    <w:rPr>
      <w:color w:val="0000FF"/>
      <w:u w:val="single"/>
    </w:rPr>
  </w:style>
  <w:style w:type="paragraph" w:styleId="Galvene">
    <w:name w:val="header"/>
    <w:basedOn w:val="Parasts"/>
    <w:link w:val="GalveneRakstz"/>
    <w:uiPriority w:val="99"/>
    <w:unhideWhenUsed/>
    <w:rsid w:val="00C7043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70438"/>
  </w:style>
  <w:style w:type="paragraph" w:styleId="Kjene">
    <w:name w:val="footer"/>
    <w:basedOn w:val="Parasts"/>
    <w:link w:val="KjeneRakstz"/>
    <w:uiPriority w:val="99"/>
    <w:unhideWhenUsed/>
    <w:rsid w:val="00C7043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70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430122">
      <w:bodyDiv w:val="1"/>
      <w:marLeft w:val="0"/>
      <w:marRight w:val="0"/>
      <w:marTop w:val="0"/>
      <w:marBottom w:val="0"/>
      <w:divBdr>
        <w:top w:val="none" w:sz="0" w:space="0" w:color="auto"/>
        <w:left w:val="none" w:sz="0" w:space="0" w:color="auto"/>
        <w:bottom w:val="none" w:sz="0" w:space="0" w:color="auto"/>
        <w:right w:val="none" w:sz="0" w:space="0" w:color="auto"/>
      </w:divBdr>
      <w:divsChild>
        <w:div w:id="1450010041">
          <w:marLeft w:val="0"/>
          <w:marRight w:val="0"/>
          <w:marTop w:val="0"/>
          <w:marBottom w:val="0"/>
          <w:divBdr>
            <w:top w:val="none" w:sz="0" w:space="0" w:color="auto"/>
            <w:left w:val="none" w:sz="0" w:space="0" w:color="auto"/>
            <w:bottom w:val="none" w:sz="0" w:space="0" w:color="auto"/>
            <w:right w:val="none" w:sz="0" w:space="0" w:color="auto"/>
          </w:divBdr>
        </w:div>
        <w:div w:id="572744685">
          <w:marLeft w:val="0"/>
          <w:marRight w:val="0"/>
          <w:marTop w:val="0"/>
          <w:marBottom w:val="0"/>
          <w:divBdr>
            <w:top w:val="none" w:sz="0" w:space="0" w:color="auto"/>
            <w:left w:val="none" w:sz="0" w:space="0" w:color="auto"/>
            <w:bottom w:val="none" w:sz="0" w:space="0" w:color="auto"/>
            <w:right w:val="none" w:sz="0" w:space="0" w:color="auto"/>
          </w:divBdr>
        </w:div>
        <w:div w:id="717625316">
          <w:marLeft w:val="0"/>
          <w:marRight w:val="0"/>
          <w:marTop w:val="0"/>
          <w:marBottom w:val="0"/>
          <w:divBdr>
            <w:top w:val="none" w:sz="0" w:space="0" w:color="auto"/>
            <w:left w:val="none" w:sz="0" w:space="0" w:color="auto"/>
            <w:bottom w:val="none" w:sz="0" w:space="0" w:color="auto"/>
            <w:right w:val="none" w:sz="0" w:space="0" w:color="auto"/>
          </w:divBdr>
        </w:div>
        <w:div w:id="430441954">
          <w:marLeft w:val="0"/>
          <w:marRight w:val="0"/>
          <w:marTop w:val="0"/>
          <w:marBottom w:val="0"/>
          <w:divBdr>
            <w:top w:val="none" w:sz="0" w:space="0" w:color="auto"/>
            <w:left w:val="none" w:sz="0" w:space="0" w:color="auto"/>
            <w:bottom w:val="none" w:sz="0" w:space="0" w:color="auto"/>
            <w:right w:val="none" w:sz="0" w:space="0" w:color="auto"/>
          </w:divBdr>
        </w:div>
        <w:div w:id="1255289151">
          <w:marLeft w:val="0"/>
          <w:marRight w:val="0"/>
          <w:marTop w:val="0"/>
          <w:marBottom w:val="0"/>
          <w:divBdr>
            <w:top w:val="none" w:sz="0" w:space="0" w:color="auto"/>
            <w:left w:val="none" w:sz="0" w:space="0" w:color="auto"/>
            <w:bottom w:val="none" w:sz="0" w:space="0" w:color="auto"/>
            <w:right w:val="none" w:sz="0" w:space="0" w:color="auto"/>
          </w:divBdr>
        </w:div>
        <w:div w:id="1104374620">
          <w:marLeft w:val="0"/>
          <w:marRight w:val="0"/>
          <w:marTop w:val="0"/>
          <w:marBottom w:val="0"/>
          <w:divBdr>
            <w:top w:val="none" w:sz="0" w:space="0" w:color="auto"/>
            <w:left w:val="none" w:sz="0" w:space="0" w:color="auto"/>
            <w:bottom w:val="none" w:sz="0" w:space="0" w:color="auto"/>
            <w:right w:val="none" w:sz="0" w:space="0" w:color="auto"/>
          </w:divBdr>
        </w:div>
        <w:div w:id="1629244430">
          <w:marLeft w:val="0"/>
          <w:marRight w:val="0"/>
          <w:marTop w:val="0"/>
          <w:marBottom w:val="0"/>
          <w:divBdr>
            <w:top w:val="none" w:sz="0" w:space="0" w:color="auto"/>
            <w:left w:val="none" w:sz="0" w:space="0" w:color="auto"/>
            <w:bottom w:val="none" w:sz="0" w:space="0" w:color="auto"/>
            <w:right w:val="none" w:sz="0" w:space="0" w:color="auto"/>
          </w:divBdr>
        </w:div>
        <w:div w:id="1119299729">
          <w:marLeft w:val="0"/>
          <w:marRight w:val="0"/>
          <w:marTop w:val="0"/>
          <w:marBottom w:val="0"/>
          <w:divBdr>
            <w:top w:val="none" w:sz="0" w:space="0" w:color="auto"/>
            <w:left w:val="none" w:sz="0" w:space="0" w:color="auto"/>
            <w:bottom w:val="none" w:sz="0" w:space="0" w:color="auto"/>
            <w:right w:val="none" w:sz="0" w:space="0" w:color="auto"/>
          </w:divBdr>
        </w:div>
        <w:div w:id="1573393877">
          <w:marLeft w:val="0"/>
          <w:marRight w:val="0"/>
          <w:marTop w:val="0"/>
          <w:marBottom w:val="0"/>
          <w:divBdr>
            <w:top w:val="none" w:sz="0" w:space="0" w:color="auto"/>
            <w:left w:val="none" w:sz="0" w:space="0" w:color="auto"/>
            <w:bottom w:val="none" w:sz="0" w:space="0" w:color="auto"/>
            <w:right w:val="none" w:sz="0" w:space="0" w:color="auto"/>
          </w:divBdr>
        </w:div>
        <w:div w:id="181359442">
          <w:marLeft w:val="0"/>
          <w:marRight w:val="0"/>
          <w:marTop w:val="0"/>
          <w:marBottom w:val="0"/>
          <w:divBdr>
            <w:top w:val="none" w:sz="0" w:space="0" w:color="auto"/>
            <w:left w:val="none" w:sz="0" w:space="0" w:color="auto"/>
            <w:bottom w:val="none" w:sz="0" w:space="0" w:color="auto"/>
            <w:right w:val="none" w:sz="0" w:space="0" w:color="auto"/>
          </w:divBdr>
        </w:div>
        <w:div w:id="415829041">
          <w:marLeft w:val="0"/>
          <w:marRight w:val="0"/>
          <w:marTop w:val="0"/>
          <w:marBottom w:val="0"/>
          <w:divBdr>
            <w:top w:val="none" w:sz="0" w:space="0" w:color="auto"/>
            <w:left w:val="none" w:sz="0" w:space="0" w:color="auto"/>
            <w:bottom w:val="none" w:sz="0" w:space="0" w:color="auto"/>
            <w:right w:val="none" w:sz="0" w:space="0" w:color="auto"/>
          </w:divBdr>
        </w:div>
        <w:div w:id="913706366">
          <w:marLeft w:val="0"/>
          <w:marRight w:val="0"/>
          <w:marTop w:val="0"/>
          <w:marBottom w:val="0"/>
          <w:divBdr>
            <w:top w:val="none" w:sz="0" w:space="0" w:color="auto"/>
            <w:left w:val="none" w:sz="0" w:space="0" w:color="auto"/>
            <w:bottom w:val="none" w:sz="0" w:space="0" w:color="auto"/>
            <w:right w:val="none" w:sz="0" w:space="0" w:color="auto"/>
          </w:divBdr>
        </w:div>
        <w:div w:id="685594685">
          <w:marLeft w:val="0"/>
          <w:marRight w:val="0"/>
          <w:marTop w:val="0"/>
          <w:marBottom w:val="0"/>
          <w:divBdr>
            <w:top w:val="none" w:sz="0" w:space="0" w:color="auto"/>
            <w:left w:val="none" w:sz="0" w:space="0" w:color="auto"/>
            <w:bottom w:val="none" w:sz="0" w:space="0" w:color="auto"/>
            <w:right w:val="none" w:sz="0" w:space="0" w:color="auto"/>
          </w:divBdr>
        </w:div>
        <w:div w:id="803932445">
          <w:marLeft w:val="0"/>
          <w:marRight w:val="0"/>
          <w:marTop w:val="0"/>
          <w:marBottom w:val="0"/>
          <w:divBdr>
            <w:top w:val="none" w:sz="0" w:space="0" w:color="auto"/>
            <w:left w:val="none" w:sz="0" w:space="0" w:color="auto"/>
            <w:bottom w:val="none" w:sz="0" w:space="0" w:color="auto"/>
            <w:right w:val="none" w:sz="0" w:space="0" w:color="auto"/>
          </w:divBdr>
        </w:div>
        <w:div w:id="669605501">
          <w:marLeft w:val="0"/>
          <w:marRight w:val="0"/>
          <w:marTop w:val="0"/>
          <w:marBottom w:val="0"/>
          <w:divBdr>
            <w:top w:val="none" w:sz="0" w:space="0" w:color="auto"/>
            <w:left w:val="none" w:sz="0" w:space="0" w:color="auto"/>
            <w:bottom w:val="none" w:sz="0" w:space="0" w:color="auto"/>
            <w:right w:val="none" w:sz="0" w:space="0" w:color="auto"/>
          </w:divBdr>
        </w:div>
        <w:div w:id="392120322">
          <w:marLeft w:val="0"/>
          <w:marRight w:val="0"/>
          <w:marTop w:val="0"/>
          <w:marBottom w:val="0"/>
          <w:divBdr>
            <w:top w:val="none" w:sz="0" w:space="0" w:color="auto"/>
            <w:left w:val="none" w:sz="0" w:space="0" w:color="auto"/>
            <w:bottom w:val="none" w:sz="0" w:space="0" w:color="auto"/>
            <w:right w:val="none" w:sz="0" w:space="0" w:color="auto"/>
          </w:divBdr>
        </w:div>
        <w:div w:id="194737263">
          <w:marLeft w:val="0"/>
          <w:marRight w:val="0"/>
          <w:marTop w:val="0"/>
          <w:marBottom w:val="0"/>
          <w:divBdr>
            <w:top w:val="none" w:sz="0" w:space="0" w:color="auto"/>
            <w:left w:val="none" w:sz="0" w:space="0" w:color="auto"/>
            <w:bottom w:val="none" w:sz="0" w:space="0" w:color="auto"/>
            <w:right w:val="none" w:sz="0" w:space="0" w:color="auto"/>
          </w:divBdr>
        </w:div>
        <w:div w:id="70392963">
          <w:marLeft w:val="0"/>
          <w:marRight w:val="0"/>
          <w:marTop w:val="0"/>
          <w:marBottom w:val="0"/>
          <w:divBdr>
            <w:top w:val="none" w:sz="0" w:space="0" w:color="auto"/>
            <w:left w:val="none" w:sz="0" w:space="0" w:color="auto"/>
            <w:bottom w:val="none" w:sz="0" w:space="0" w:color="auto"/>
            <w:right w:val="none" w:sz="0" w:space="0" w:color="auto"/>
          </w:divBdr>
        </w:div>
        <w:div w:id="1451782478">
          <w:marLeft w:val="0"/>
          <w:marRight w:val="0"/>
          <w:marTop w:val="0"/>
          <w:marBottom w:val="0"/>
          <w:divBdr>
            <w:top w:val="none" w:sz="0" w:space="0" w:color="auto"/>
            <w:left w:val="none" w:sz="0" w:space="0" w:color="auto"/>
            <w:bottom w:val="none" w:sz="0" w:space="0" w:color="auto"/>
            <w:right w:val="none" w:sz="0" w:space="0" w:color="auto"/>
          </w:divBdr>
        </w:div>
        <w:div w:id="1794598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B4CAB-2A4B-4EF4-8EB1-9A117BD7CC7A}">
  <ds:schemaRefs>
    <ds:schemaRef ds:uri="http://schemas.microsoft.com/sharepoint/v3/contenttype/forms"/>
  </ds:schemaRefs>
</ds:datastoreItem>
</file>

<file path=customXml/itemProps2.xml><?xml version="1.0" encoding="utf-8"?>
<ds:datastoreItem xmlns:ds="http://schemas.openxmlformats.org/officeDocument/2006/customXml" ds:itemID="{84F37898-C207-457B-B6FD-4B0267907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DDF80-E6E9-4AAF-B6B7-3FBBDAC708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4654</Words>
  <Characters>2654</Characters>
  <Application>Microsoft Office Word</Application>
  <DocSecurity>0</DocSecurity>
  <Lines>22</Lines>
  <Paragraphs>14</Paragraphs>
  <ScaleCrop>false</ScaleCrop>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2021-11-23T16:17:00Z</dcterms:created>
  <dcterms:modified xsi:type="dcterms:W3CDTF">2022-01-11T15:05:00Z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