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58" w:rsidRPr="00B26D58" w:rsidRDefault="00B26D58" w:rsidP="00B26D58">
      <w:pPr>
        <w:spacing w:after="0" w:line="240" w:lineRule="auto"/>
        <w:jc w:val="both"/>
        <w:rPr>
          <w:rFonts w:ascii="Times New Roman" w:hAnsi="Times New Roman" w:cs="Times New Roman"/>
          <w:sz w:val="24"/>
          <w:szCs w:val="24"/>
        </w:rPr>
      </w:pPr>
    </w:p>
    <w:p w:rsidR="00B26D58" w:rsidRPr="00B26D58" w:rsidRDefault="00B26D58" w:rsidP="00B26D58">
      <w:pPr>
        <w:spacing w:after="0" w:line="240" w:lineRule="auto"/>
        <w:jc w:val="center"/>
        <w:rPr>
          <w:rFonts w:ascii="Times New Roman" w:hAnsi="Times New Roman" w:cs="Times New Roman"/>
          <w:sz w:val="24"/>
          <w:szCs w:val="24"/>
        </w:rPr>
      </w:pPr>
      <w:r w:rsidRPr="00B26D58">
        <w:rPr>
          <w:rFonts w:ascii="Times New Roman" w:hAnsi="Times New Roman" w:cs="Times New Roman"/>
          <w:sz w:val="24"/>
          <w:szCs w:val="24"/>
        </w:rPr>
        <w:t>Republic of Latvia</w:t>
      </w:r>
    </w:p>
    <w:p w:rsidR="00B26D58" w:rsidRPr="00B26D58" w:rsidRDefault="00B26D58" w:rsidP="00B26D58">
      <w:pPr>
        <w:spacing w:after="0" w:line="240" w:lineRule="auto"/>
        <w:jc w:val="center"/>
        <w:rPr>
          <w:rFonts w:ascii="Times New Roman" w:hAnsi="Times New Roman" w:cs="Times New Roman"/>
          <w:sz w:val="24"/>
          <w:szCs w:val="24"/>
        </w:rPr>
      </w:pPr>
    </w:p>
    <w:p w:rsidR="00D64423" w:rsidRPr="00B26D58" w:rsidRDefault="00D64423" w:rsidP="00D64423">
      <w:pPr>
        <w:spacing w:after="0" w:line="240" w:lineRule="auto"/>
        <w:jc w:val="center"/>
        <w:rPr>
          <w:rFonts w:ascii="Times New Roman" w:eastAsia="Times New Roman" w:hAnsi="Times New Roman" w:cs="Times New Roman"/>
          <w:bCs/>
          <w:noProof/>
          <w:sz w:val="24"/>
          <w:szCs w:val="24"/>
        </w:rPr>
      </w:pPr>
      <w:r w:rsidRPr="00B26D58">
        <w:rPr>
          <w:rFonts w:ascii="Times New Roman" w:hAnsi="Times New Roman" w:cs="Times New Roman"/>
          <w:noProof/>
          <w:sz w:val="24"/>
        </w:rPr>
        <w:t>Cabinet</w:t>
      </w:r>
    </w:p>
    <w:p w:rsidR="00D64423" w:rsidRPr="00B26D58" w:rsidRDefault="00D64423" w:rsidP="00D64423">
      <w:pPr>
        <w:spacing w:after="0" w:line="240" w:lineRule="auto"/>
        <w:jc w:val="center"/>
        <w:rPr>
          <w:rFonts w:ascii="Times New Roman" w:eastAsia="Times New Roman" w:hAnsi="Times New Roman" w:cs="Times New Roman"/>
          <w:bCs/>
          <w:noProof/>
          <w:sz w:val="24"/>
          <w:szCs w:val="24"/>
        </w:rPr>
      </w:pPr>
      <w:r w:rsidRPr="00B26D58">
        <w:rPr>
          <w:rFonts w:ascii="Times New Roman" w:hAnsi="Times New Roman" w:cs="Times New Roman"/>
          <w:noProof/>
          <w:sz w:val="24"/>
        </w:rPr>
        <w:t>Regulation No. 673</w:t>
      </w:r>
    </w:p>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Adopted 1 December 2015</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center"/>
        <w:rPr>
          <w:rFonts w:ascii="Times New Roman" w:eastAsia="Times New Roman" w:hAnsi="Times New Roman" w:cs="Times New Roman"/>
          <w:b/>
          <w:noProof/>
          <w:sz w:val="28"/>
          <w:szCs w:val="28"/>
        </w:rPr>
      </w:pPr>
      <w:r w:rsidRPr="00B26D58">
        <w:rPr>
          <w:rFonts w:ascii="Times New Roman" w:hAnsi="Times New Roman" w:cs="Times New Roman"/>
          <w:b/>
          <w:noProof/>
          <w:sz w:val="28"/>
        </w:rPr>
        <w:t>Regulations Regarding the Provision of the National Armed Forces, the State Fire and Rescue Service, the State Police, the State Border Guard, the Emergency Medical Assistance Service</w:t>
      </w:r>
      <w:bookmarkStart w:id="0" w:name="_GoBack"/>
      <w:bookmarkEnd w:id="0"/>
      <w:r w:rsidRPr="00B26D58">
        <w:rPr>
          <w:rFonts w:ascii="Times New Roman" w:hAnsi="Times New Roman" w:cs="Times New Roman"/>
          <w:b/>
          <w:noProof/>
          <w:sz w:val="28"/>
        </w:rPr>
        <w:t xml:space="preserve"> and the Civil Protection Bodies to Be Mobilised with Fuel in Ca</w:t>
      </w:r>
      <w:r w:rsidR="00B26D58">
        <w:rPr>
          <w:rFonts w:ascii="Times New Roman" w:hAnsi="Times New Roman" w:cs="Times New Roman"/>
          <w:b/>
          <w:noProof/>
          <w:sz w:val="28"/>
        </w:rPr>
        <w:t>se of Endangerment to the State</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right"/>
        <w:rPr>
          <w:rFonts w:ascii="Times New Roman" w:eastAsia="Times New Roman" w:hAnsi="Times New Roman" w:cs="Times New Roman"/>
          <w:i/>
          <w:noProof/>
          <w:sz w:val="24"/>
          <w:szCs w:val="24"/>
        </w:rPr>
      </w:pPr>
      <w:r w:rsidRPr="00B26D58">
        <w:rPr>
          <w:rFonts w:ascii="Times New Roman" w:hAnsi="Times New Roman" w:cs="Times New Roman"/>
          <w:i/>
          <w:noProof/>
          <w:sz w:val="24"/>
        </w:rPr>
        <w:t>Issued pursuant to</w:t>
      </w:r>
    </w:p>
    <w:p w:rsidR="00D64423" w:rsidRPr="00B26D58" w:rsidRDefault="00D64423" w:rsidP="00D64423">
      <w:pPr>
        <w:spacing w:after="0" w:line="240" w:lineRule="auto"/>
        <w:jc w:val="right"/>
        <w:rPr>
          <w:rFonts w:ascii="Times New Roman" w:eastAsia="Times New Roman" w:hAnsi="Times New Roman" w:cs="Times New Roman"/>
          <w:i/>
          <w:noProof/>
          <w:sz w:val="24"/>
          <w:szCs w:val="24"/>
        </w:rPr>
      </w:pPr>
      <w:r w:rsidRPr="00B26D58">
        <w:rPr>
          <w:rFonts w:ascii="Times New Roman" w:hAnsi="Times New Roman" w:cs="Times New Roman"/>
          <w:i/>
          <w:noProof/>
          <w:sz w:val="24"/>
        </w:rPr>
        <w:t>Section 9, Clause 7, Sub-clauses “b”, “c”, and “d” of the Mobilisation Law</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center"/>
        <w:rPr>
          <w:rFonts w:ascii="Times New Roman" w:eastAsia="Times New Roman" w:hAnsi="Times New Roman" w:cs="Times New Roman"/>
          <w:b/>
          <w:noProof/>
          <w:sz w:val="24"/>
          <w:szCs w:val="24"/>
        </w:rPr>
      </w:pPr>
      <w:bookmarkStart w:id="1" w:name="n1"/>
      <w:bookmarkEnd w:id="1"/>
      <w:r w:rsidRPr="00B26D58">
        <w:rPr>
          <w:rFonts w:ascii="Times New Roman" w:hAnsi="Times New Roman" w:cs="Times New Roman"/>
          <w:b/>
          <w:noProof/>
          <w:sz w:val="24"/>
        </w:rPr>
        <w:t>I. General Provisions</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2" w:name="p-569397"/>
      <w:bookmarkEnd w:id="2"/>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 This Regulation prescribes:</w:t>
      </w:r>
      <w:bookmarkStart w:id="3" w:name="p1"/>
      <w:bookmarkEnd w:id="3"/>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1.1. the amount of fuel reserves, the procedures for the establishment, maintenance and renewal thereof for the provision of the National Armed Forces, the State Fire and Rescue Service, the State Police, the State Border Guard, the Emergency Medical Assistance Service (hereinafter – the Services) and the civil protection bodies to be mobilised with energy resources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1.2. the procedures for planning, performance and control of performance of mobilisation requests for provision with fuel;</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1.3. the tasks and obligations of State and local government authorities in provision of the Services and civil protection bodies to be mobilised with fuel.</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4" w:name="p-569398"/>
      <w:bookmarkEnd w:id="4"/>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2. In emergency situations, the merchants providing the emergency stock services for the establishment of the State oil emergency stock shall provide the Services and the civil protection bodies to be mobilised with fuel in the amount necessary for the execution of tasks and without any restrictions.</w:t>
      </w:r>
      <w:bookmarkStart w:id="5" w:name="p2"/>
      <w:bookmarkEnd w:id="5"/>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6" w:name="p-569399"/>
      <w:bookmarkEnd w:id="6"/>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3. In case of declaring the state of exception or war, the merchants providing the emergency stock services for the establishment of the State oil emergency stock shall provide the Services and the civil protection bodies to be mobilised with fuel in the amount, within the time period, and in place specified in the mobilisation requests.</w:t>
      </w:r>
      <w:bookmarkStart w:id="7" w:name="p3"/>
      <w:bookmarkEnd w:id="7"/>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8" w:name="p-569400"/>
      <w:bookmarkEnd w:id="8"/>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4. If the electricity supply from the electricity grid is interrupted, the Services shall ensure that they have appropriate quantities of fuel at their disposal to ensure the operation of autonomous electric generators for at least 24 hours to ensure the electricity for the performance of basic functions of the Services. The Services shall have an obligation to maintain and renew the abovementioned quantities of fuel.</w:t>
      </w:r>
      <w:bookmarkStart w:id="9" w:name="p4"/>
      <w:bookmarkEnd w:id="9"/>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10" w:name="p-569401"/>
      <w:bookmarkEnd w:id="10"/>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5. In case of emergency situation, declaring the state of exception, or war, depending on the particular circumstances of energy supply and necessity the State Energy Crisis Centre shall prepare and submit to the Cabinet a proposal on the imposition of fuel use restrictions for citizens and merchants.</w:t>
      </w:r>
      <w:bookmarkStart w:id="11" w:name="p5"/>
      <w:bookmarkEnd w:id="11"/>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12" w:name="n2"/>
      <w:bookmarkEnd w:id="12"/>
    </w:p>
    <w:p w:rsidR="00D64423" w:rsidRPr="00B26D58" w:rsidRDefault="00D64423" w:rsidP="00D64423">
      <w:pPr>
        <w:spacing w:after="0" w:line="240" w:lineRule="auto"/>
        <w:jc w:val="center"/>
        <w:rPr>
          <w:rFonts w:ascii="Times New Roman" w:eastAsia="Times New Roman" w:hAnsi="Times New Roman" w:cs="Times New Roman"/>
          <w:b/>
          <w:noProof/>
          <w:sz w:val="24"/>
          <w:szCs w:val="24"/>
        </w:rPr>
      </w:pPr>
      <w:r w:rsidRPr="00B26D58">
        <w:rPr>
          <w:rFonts w:ascii="Times New Roman" w:hAnsi="Times New Roman" w:cs="Times New Roman"/>
          <w:b/>
          <w:noProof/>
          <w:sz w:val="24"/>
        </w:rPr>
        <w:t>II. The Amount of Fuel Reserves, the Procedures for Establishment, Maintenance and Renewal Thereof</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13" w:name="p-569403"/>
      <w:bookmarkEnd w:id="13"/>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lastRenderedPageBreak/>
        <w:t>6. To provide the Services and civil protection bodies to be mobilised with fuel in case of endangerment to the State, the State oil emergency stock intended for cases of energy crisis shall be used.</w:t>
      </w:r>
      <w:bookmarkStart w:id="14" w:name="p6"/>
      <w:bookmarkEnd w:id="14"/>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15" w:name="p-569404"/>
      <w:bookmarkEnd w:id="15"/>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7. The State oil emergency stock shall be established, maintained, and renewed in accordance with the legal act that prescribes the procedures by which merchants shall ensure and provide the emergency stock services for the establishment of the State oil emergency stock in a specified amount.</w:t>
      </w:r>
      <w:bookmarkStart w:id="16" w:name="p7"/>
      <w:bookmarkEnd w:id="16"/>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17" w:name="n3"/>
      <w:bookmarkEnd w:id="17"/>
    </w:p>
    <w:p w:rsidR="00D64423" w:rsidRPr="00B26D58" w:rsidRDefault="00D64423" w:rsidP="00D64423">
      <w:pPr>
        <w:spacing w:after="0" w:line="240" w:lineRule="auto"/>
        <w:jc w:val="center"/>
        <w:rPr>
          <w:rFonts w:ascii="Times New Roman" w:eastAsia="Times New Roman" w:hAnsi="Times New Roman" w:cs="Times New Roman"/>
          <w:b/>
          <w:noProof/>
          <w:sz w:val="24"/>
          <w:szCs w:val="24"/>
        </w:rPr>
      </w:pPr>
      <w:r w:rsidRPr="00B26D58">
        <w:rPr>
          <w:rFonts w:ascii="Times New Roman" w:hAnsi="Times New Roman" w:cs="Times New Roman"/>
          <w:b/>
          <w:noProof/>
          <w:sz w:val="24"/>
        </w:rPr>
        <w:t>III. The Procedures for Planning, Performance and Control of Performance of Mobilisation Requests for Provision With Fuel</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18" w:name="p-569406"/>
      <w:bookmarkEnd w:id="18"/>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8. The fuel mobilisation requests shall be planned on the basis of the National Armed Forces Mobilisation Plans, National Economy Mobilisation Plan, State Civil Protection Plan, local government civil protection plans, and mobilisation plans of civil protection bodies to be mobilised.</w:t>
      </w:r>
      <w:bookmarkStart w:id="19" w:name="p8"/>
      <w:bookmarkEnd w:id="19"/>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20" w:name="p-569407"/>
      <w:bookmarkEnd w:id="20"/>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9. Mobilisation requests for the provision with fuel shall be determined only for such legal persons registered in the Republic of Latvia to which licences for entrepreneurial activities with fuel (hereinafter – the performers of mobilisation requests) have been issued in accordance with the procedures laid down in laws and regulations.</w:t>
      </w:r>
      <w:bookmarkStart w:id="21" w:name="p9"/>
      <w:bookmarkEnd w:id="21"/>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22" w:name="p-569408"/>
      <w:bookmarkEnd w:id="22"/>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10. Mobilisation requests for the provision with fuel shall be planned as follows:</w:t>
      </w:r>
      <w:bookmarkStart w:id="23" w:name="p10"/>
      <w:bookmarkEnd w:id="23"/>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10.1. determine the quantities of fuel necessary for the Services and for ensuring the operation of the civil protection bodies to be mobilised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10.2. mobilisation requests for the provision with fuel shall be submitted to the Ministry of Economics by filling in the mobilisation request form (Annex).</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24" w:name="p-569409"/>
      <w:bookmarkEnd w:id="24"/>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11. The necessary amount of fuel reserves in case of endangerment to the State shall be determined by:</w:t>
      </w:r>
      <w:bookmarkStart w:id="25" w:name="p11"/>
      <w:bookmarkEnd w:id="25"/>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11.1. The Ministry of Defence to ensure the operation of the National Armed forces;</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11.2. The Ministry of the Interior to ensure the operation of the State Fire and Rescue Service, the State Police, the State Border Guard, and the civil protection bodies to be mobilised;</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11.3. The Ministry of Health to ensure the operation of the Emergency Medical Assistance Service.</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26" w:name="p-569410"/>
      <w:bookmarkEnd w:id="26"/>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12. To determine their readiness to perform the mobilisation requests for the provision with fuel, the checks of the legal persons registered in the Republic of Latvia shall be performed by the Ministry of Economics taking into account the mobilisation requests submitted by ministries.</w:t>
      </w:r>
      <w:bookmarkStart w:id="27" w:name="p12"/>
      <w:bookmarkEnd w:id="27"/>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28" w:name="p-569411"/>
      <w:bookmarkEnd w:id="28"/>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13. In case of announcing the mobilisation, the check of the mobilisation request performance shall include:</w:t>
      </w:r>
      <w:bookmarkStart w:id="29" w:name="p13"/>
      <w:bookmarkEnd w:id="29"/>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13.1. check on conformity of the procedures for receiving fuel (recipient, point of receipt, and time) in accordance with the mobilisation request;</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13.2. check on conformity of the type and amount of fuel to be received in accordance with the mobilisation request.</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30" w:name="p-569412"/>
      <w:bookmarkEnd w:id="30"/>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14. In case of announcing the mobilisation, the check of the mobilisation request performance shall be organized and ensured by the institution that has prepared the mobilisation request.</w:t>
      </w:r>
      <w:bookmarkStart w:id="31" w:name="p14"/>
      <w:bookmarkEnd w:id="31"/>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32" w:name="n4"/>
      <w:bookmarkEnd w:id="32"/>
    </w:p>
    <w:p w:rsidR="00D64423" w:rsidRPr="00B26D58" w:rsidRDefault="00D64423" w:rsidP="00D64423">
      <w:pPr>
        <w:spacing w:after="0" w:line="240" w:lineRule="auto"/>
        <w:jc w:val="center"/>
        <w:rPr>
          <w:rFonts w:ascii="Times New Roman" w:eastAsia="Times New Roman" w:hAnsi="Times New Roman" w:cs="Times New Roman"/>
          <w:b/>
          <w:noProof/>
          <w:sz w:val="24"/>
          <w:szCs w:val="24"/>
        </w:rPr>
      </w:pPr>
      <w:r w:rsidRPr="00B26D58">
        <w:rPr>
          <w:rFonts w:ascii="Times New Roman" w:hAnsi="Times New Roman" w:cs="Times New Roman"/>
          <w:b/>
          <w:noProof/>
          <w:sz w:val="24"/>
        </w:rPr>
        <w:lastRenderedPageBreak/>
        <w:t>IV. The Tasks and Obligations of State and Local Government Authorities in Provision of the Services and Civil Protection Bodies to Be Mobilised With Fuel</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33" w:name="p-569414"/>
      <w:bookmarkEnd w:id="33"/>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 The Ministry of Defence shall:</w:t>
      </w:r>
      <w:bookmarkStart w:id="34" w:name="p15"/>
      <w:bookmarkEnd w:id="34"/>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15.1. determine the quantities of fuel necessary to ensure the operation of the National Armed Forces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15.2. determine the quantity of fuel to be maintained at the National Armed Forces;</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15.3. develop and submit to the Ministry of Economics mobilisation requests for the provision of the National Armed Forces with fuel in addition to fuel reserves at disposal of the National Armed Forces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15.4. control and ensure the receipt of the fuel specified in mobilisation requests at the National Armed Forces;</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15.5. depending on the amount of tasks to be carried out by the National Armed Forces, if necessary, prepare proposals for the State Energy Crisis Centre on the allocation of additional oil products to the National Armed Forces;</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15.6. prepare and submit for evaluation the request on the necessity of fuel resources for incoming armed forces of the North Atlantic Treaty Organization and European Union Member States.</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35" w:name="p-569415"/>
      <w:bookmarkEnd w:id="35"/>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16. The Ministry of the Interior shall:</w:t>
      </w:r>
      <w:bookmarkStart w:id="36" w:name="p16"/>
      <w:bookmarkEnd w:id="36"/>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16.1. determine the quantities of fuel necessary to ensure the operation of the State Fire and Rescue Service, the State Police, the State Border Guard, and the civil protection bodies to be mobilised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16.2. determine the quantity of fuel to be maintained at the State Fire and Rescue Service, the State Police, and the State Border Guard;</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16.3. develop and submit to the Ministry of Economics mobilisation requests for the provision of operation of the State Fire and Rescue Service, the State Police, the State Border Guard, and the civil protection bodies to be mobilised with fuel in addition to fuel reserves at disposal of the Services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16.4. control and ensure the receipt of the fuel specified in mobilisation requests;</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16.5. depending on the intensity of endangerment to the State and the amount of the tasks to be carried out, if necessary, prepare proposals for the State Energy Crisis Centre on the allocation of additional oil products for ensuring the operation of the State Fire and Rescue Service, the State Police, the State Border Guard, and the civil protection bodies to be mobilised.</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37" w:name="p-569416"/>
      <w:bookmarkEnd w:id="37"/>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17. The Ministry of Health shall:</w:t>
      </w:r>
      <w:bookmarkStart w:id="38" w:name="p17"/>
      <w:bookmarkEnd w:id="38"/>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17.1. determine the quantities of fuel necessary for ensuring the operation of the Emergency Medical Assistance Service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17.2. determine the quantity of fuel to be maintained at the Emergency Medical Assistance Service;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17.3. develop and submit to the Ministry of Economics mobilisation requests for ensuring operation of the Emergency Medical Assistance Service with fuel in addition to fuel reserves at disposal of the service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17.4. control and ensure the receipt of the fuel specified in mobilisation requests;</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17.5. depending on the intensity of endangerment to the State and the amount of the tasks to be carried out, if necessary, prepare proposals for the State Energy Crisis Centre on the allocation of additional oil products for ensuring the operation of the Emergency Medical Assistance Service.</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39" w:name="p-569417"/>
      <w:bookmarkEnd w:id="39"/>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18. The Ministry of Economics shall:</w:t>
      </w:r>
      <w:bookmarkStart w:id="40" w:name="p18"/>
      <w:bookmarkEnd w:id="40"/>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18.1. in co-operation with the Ministry of Defence, the Ministry of the Interior and the Ministry of Health by compiling the submitted mobilisation requests for the provision with fuel determine the total amount of fuel necessary for the mobilisation in case of endangerment to the State;</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18.2. submit to the performers of mobilisation requests the mobilisation requests for the provision with fuel co-ordinated with ministries.</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41" w:name="p-569418"/>
      <w:bookmarkEnd w:id="41"/>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19. In case of endangerment to the State, the Cabinet shall decide on the sources of the necessary funding for the purchase of fuel.</w:t>
      </w:r>
      <w:bookmarkStart w:id="42" w:name="p19"/>
      <w:bookmarkEnd w:id="42"/>
    </w:p>
    <w:p w:rsidR="00D64423" w:rsidRPr="00B26D58" w:rsidRDefault="00D64423" w:rsidP="00D64423">
      <w:pPr>
        <w:spacing w:after="0" w:line="240" w:lineRule="auto"/>
        <w:jc w:val="both"/>
        <w:rPr>
          <w:rFonts w:ascii="Times New Roman" w:eastAsia="Times New Roman" w:hAnsi="Times New Roman" w:cs="Times New Roman"/>
          <w:noProof/>
          <w:sz w:val="24"/>
          <w:szCs w:val="24"/>
        </w:rPr>
      </w:pPr>
      <w:bookmarkStart w:id="43" w:name="p-569419"/>
      <w:bookmarkEnd w:id="43"/>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20. Local governments:</w:t>
      </w:r>
      <w:bookmarkStart w:id="44" w:name="p20"/>
      <w:bookmarkEnd w:id="44"/>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20.1. if in case of endangerment to the State the Cabinet order on restrictions of fuel use has been adopted, shall control and ensure execution thereof in the administrative territory of the local government;</w:t>
      </w:r>
    </w:p>
    <w:p w:rsidR="00D64423" w:rsidRPr="00B26D58" w:rsidRDefault="00D64423" w:rsidP="00D64423">
      <w:pPr>
        <w:spacing w:after="0" w:line="240" w:lineRule="auto"/>
        <w:ind w:firstLine="709"/>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20.2. if necessary, shall determine additional restrictions on the fuel use of citizens and merchants or shall perform the fuel reallocation among the fuel consumers.</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Prime Minister</w:t>
      </w:r>
      <w:r w:rsidR="00B26D58">
        <w:rPr>
          <w:rFonts w:ascii="Times New Roman" w:hAnsi="Times New Roman" w:cs="Times New Roman"/>
          <w:noProof/>
          <w:sz w:val="24"/>
        </w:rPr>
        <w:tab/>
      </w:r>
      <w:r w:rsidR="00B26D58">
        <w:rPr>
          <w:rFonts w:ascii="Times New Roman" w:hAnsi="Times New Roman" w:cs="Times New Roman"/>
          <w:noProof/>
          <w:sz w:val="24"/>
        </w:rPr>
        <w:tab/>
      </w:r>
      <w:r w:rsidR="00B26D58">
        <w:rPr>
          <w:rFonts w:ascii="Times New Roman" w:hAnsi="Times New Roman" w:cs="Times New Roman"/>
          <w:noProof/>
          <w:sz w:val="24"/>
        </w:rPr>
        <w:tab/>
      </w:r>
      <w:r w:rsidR="00B26D58">
        <w:rPr>
          <w:rFonts w:ascii="Times New Roman" w:hAnsi="Times New Roman" w:cs="Times New Roman"/>
          <w:noProof/>
          <w:sz w:val="24"/>
        </w:rPr>
        <w:tab/>
      </w:r>
      <w:r w:rsidR="00B26D58">
        <w:rPr>
          <w:rFonts w:ascii="Times New Roman" w:hAnsi="Times New Roman" w:cs="Times New Roman"/>
          <w:noProof/>
          <w:sz w:val="24"/>
        </w:rPr>
        <w:tab/>
      </w:r>
      <w:r w:rsidR="00B26D58">
        <w:rPr>
          <w:rFonts w:ascii="Times New Roman" w:hAnsi="Times New Roman" w:cs="Times New Roman"/>
          <w:noProof/>
          <w:sz w:val="24"/>
        </w:rPr>
        <w:tab/>
      </w:r>
      <w:r w:rsidR="00B26D58">
        <w:rPr>
          <w:rFonts w:ascii="Times New Roman" w:hAnsi="Times New Roman" w:cs="Times New Roman"/>
          <w:noProof/>
          <w:sz w:val="24"/>
        </w:rPr>
        <w:tab/>
      </w:r>
      <w:r w:rsidRPr="00B26D58">
        <w:rPr>
          <w:rFonts w:ascii="Times New Roman" w:hAnsi="Times New Roman" w:cs="Times New Roman"/>
          <w:noProof/>
          <w:sz w:val="24"/>
        </w:rPr>
        <w:t>Laimdota Straujuma</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B26D58" w:rsidP="00D6442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Economics</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D64423" w:rsidRPr="00B26D58">
        <w:rPr>
          <w:rFonts w:ascii="Times New Roman" w:hAnsi="Times New Roman" w:cs="Times New Roman"/>
          <w:noProof/>
          <w:sz w:val="24"/>
        </w:rPr>
        <w:t>Dana Reizniece-Ozola</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pPr>
        <w:rPr>
          <w:rFonts w:ascii="Times New Roman" w:eastAsia="Times New Roman" w:hAnsi="Times New Roman" w:cs="Times New Roman"/>
          <w:noProof/>
          <w:sz w:val="24"/>
          <w:szCs w:val="24"/>
        </w:rPr>
      </w:pPr>
      <w:r w:rsidRPr="00B26D58">
        <w:rPr>
          <w:rFonts w:ascii="Times New Roman" w:hAnsi="Times New Roman" w:cs="Times New Roman"/>
        </w:rPr>
        <w:br w:type="page"/>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right"/>
        <w:rPr>
          <w:rFonts w:ascii="Times New Roman" w:eastAsia="Times New Roman" w:hAnsi="Times New Roman" w:cs="Times New Roman"/>
          <w:b/>
          <w:noProof/>
          <w:sz w:val="24"/>
          <w:szCs w:val="24"/>
        </w:rPr>
      </w:pPr>
      <w:r w:rsidRPr="00B26D58">
        <w:rPr>
          <w:rFonts w:ascii="Times New Roman" w:hAnsi="Times New Roman" w:cs="Times New Roman"/>
          <w:b/>
          <w:noProof/>
          <w:sz w:val="24"/>
        </w:rPr>
        <w:t>Annex</w:t>
      </w:r>
    </w:p>
    <w:p w:rsidR="00D64423" w:rsidRPr="00B26D58" w:rsidRDefault="00D64423" w:rsidP="00D64423">
      <w:pPr>
        <w:spacing w:after="0" w:line="240" w:lineRule="auto"/>
        <w:jc w:val="right"/>
        <w:rPr>
          <w:rFonts w:ascii="Times New Roman" w:eastAsia="Times New Roman" w:hAnsi="Times New Roman" w:cs="Times New Roman"/>
          <w:noProof/>
          <w:sz w:val="24"/>
          <w:szCs w:val="24"/>
        </w:rPr>
      </w:pPr>
      <w:r w:rsidRPr="00B26D58">
        <w:rPr>
          <w:rFonts w:ascii="Times New Roman" w:hAnsi="Times New Roman" w:cs="Times New Roman"/>
          <w:noProof/>
          <w:sz w:val="24"/>
        </w:rPr>
        <w:t>Cabinet</w:t>
      </w:r>
    </w:p>
    <w:p w:rsidR="00D64423" w:rsidRPr="00B26D58" w:rsidRDefault="00D64423" w:rsidP="00D64423">
      <w:pPr>
        <w:spacing w:after="0" w:line="240" w:lineRule="auto"/>
        <w:jc w:val="right"/>
        <w:rPr>
          <w:rFonts w:ascii="Times New Roman" w:eastAsia="Times New Roman" w:hAnsi="Times New Roman" w:cs="Times New Roman"/>
          <w:noProof/>
          <w:sz w:val="24"/>
          <w:szCs w:val="24"/>
        </w:rPr>
      </w:pPr>
      <w:r w:rsidRPr="00B26D58">
        <w:rPr>
          <w:rFonts w:ascii="Times New Roman" w:hAnsi="Times New Roman" w:cs="Times New Roman"/>
          <w:noProof/>
          <w:sz w:val="24"/>
        </w:rPr>
        <w:t>Regulation No. 673</w:t>
      </w:r>
    </w:p>
    <w:p w:rsidR="00D64423" w:rsidRPr="00B26D58" w:rsidRDefault="00D64423" w:rsidP="00D64423">
      <w:pPr>
        <w:spacing w:after="0" w:line="240" w:lineRule="auto"/>
        <w:jc w:val="right"/>
        <w:rPr>
          <w:rFonts w:ascii="Times New Roman" w:eastAsia="Times New Roman" w:hAnsi="Times New Roman" w:cs="Times New Roman"/>
          <w:noProof/>
          <w:sz w:val="24"/>
          <w:szCs w:val="24"/>
        </w:rPr>
      </w:pPr>
      <w:r w:rsidRPr="00B26D58">
        <w:rPr>
          <w:rFonts w:ascii="Times New Roman" w:hAnsi="Times New Roman" w:cs="Times New Roman"/>
          <w:noProof/>
          <w:sz w:val="24"/>
        </w:rPr>
        <w:t>1 December 2015</w:t>
      </w:r>
      <w:bookmarkStart w:id="45" w:name="piel0"/>
      <w:bookmarkEnd w:id="45"/>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B26D58" w:rsidRPr="00B26D58" w:rsidTr="00B26D58">
        <w:trPr>
          <w:tblCellSpacing w:w="15" w:type="dxa"/>
        </w:trPr>
        <w:tc>
          <w:tcPr>
            <w:tcW w:w="4967" w:type="pct"/>
            <w:tcBorders>
              <w:top w:val="nil"/>
              <w:left w:val="nil"/>
              <w:bottom w:val="outset" w:sz="6" w:space="0" w:color="auto"/>
              <w:right w:val="nil"/>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r>
      <w:tr w:rsidR="00B26D58" w:rsidRPr="00B26D58" w:rsidTr="00B26D58">
        <w:trPr>
          <w:tblCellSpacing w:w="15" w:type="dxa"/>
        </w:trPr>
        <w:tc>
          <w:tcPr>
            <w:tcW w:w="4967" w:type="pct"/>
            <w:tcBorders>
              <w:top w:val="single" w:sz="6" w:space="0" w:color="auto"/>
              <w:left w:val="nil"/>
              <w:bottom w:val="nil"/>
              <w:right w:val="nil"/>
            </w:tcBorders>
            <w:hideMark/>
          </w:tcPr>
          <w:p w:rsidR="00D64423" w:rsidRPr="00B26D58" w:rsidRDefault="00D64423" w:rsidP="00D64423">
            <w:pPr>
              <w:spacing w:after="0" w:line="240" w:lineRule="auto"/>
              <w:jc w:val="center"/>
              <w:rPr>
                <w:rFonts w:ascii="Times New Roman" w:eastAsia="Times New Roman" w:hAnsi="Times New Roman" w:cs="Times New Roman"/>
                <w:b/>
                <w:bCs/>
                <w:noProof/>
                <w:sz w:val="24"/>
                <w:szCs w:val="24"/>
              </w:rPr>
            </w:pPr>
            <w:r w:rsidRPr="00B26D58">
              <w:rPr>
                <w:rFonts w:ascii="Times New Roman" w:hAnsi="Times New Roman" w:cs="Times New Roman"/>
                <w:b/>
                <w:noProof/>
                <w:sz w:val="24"/>
              </w:rPr>
              <w:t>(name of the authority)</w:t>
            </w:r>
          </w:p>
          <w:p w:rsidR="00D64423" w:rsidRPr="00B26D58" w:rsidRDefault="00D64423" w:rsidP="00D64423">
            <w:pPr>
              <w:spacing w:after="0" w:line="240" w:lineRule="auto"/>
              <w:jc w:val="center"/>
              <w:rPr>
                <w:rFonts w:ascii="Times New Roman" w:eastAsia="Times New Roman" w:hAnsi="Times New Roman" w:cs="Times New Roman"/>
                <w:b/>
                <w:bCs/>
                <w:noProof/>
                <w:sz w:val="24"/>
                <w:szCs w:val="24"/>
              </w:rPr>
            </w:pPr>
          </w:p>
        </w:tc>
      </w:tr>
      <w:tr w:rsidR="00B26D58" w:rsidRPr="00B26D58" w:rsidTr="00B26D58">
        <w:trPr>
          <w:tblCellSpacing w:w="15" w:type="dxa"/>
        </w:trPr>
        <w:tc>
          <w:tcPr>
            <w:tcW w:w="4967" w:type="pct"/>
            <w:tcBorders>
              <w:top w:val="nil"/>
              <w:left w:val="nil"/>
              <w:bottom w:val="nil"/>
              <w:right w:val="nil"/>
            </w:tcBorders>
            <w:hideMark/>
          </w:tcPr>
          <w:p w:rsidR="00D64423" w:rsidRPr="00B26D58" w:rsidRDefault="00D64423" w:rsidP="00D64423">
            <w:pPr>
              <w:spacing w:after="0" w:line="240" w:lineRule="auto"/>
              <w:jc w:val="center"/>
              <w:rPr>
                <w:rFonts w:ascii="Times New Roman" w:eastAsia="Times New Roman" w:hAnsi="Times New Roman" w:cs="Times New Roman"/>
                <w:b/>
                <w:bCs/>
                <w:noProof/>
                <w:sz w:val="24"/>
                <w:szCs w:val="24"/>
              </w:rPr>
            </w:pPr>
            <w:r w:rsidRPr="00B26D58">
              <w:rPr>
                <w:rFonts w:ascii="Times New Roman" w:hAnsi="Times New Roman" w:cs="Times New Roman"/>
                <w:b/>
                <w:noProof/>
                <w:sz w:val="24"/>
              </w:rPr>
              <w:t>mobilisation request for the provision with fuel and the necessary funding thereof</w:t>
            </w:r>
          </w:p>
        </w:tc>
      </w:tr>
    </w:tbl>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3"/>
        <w:gridCol w:w="1394"/>
        <w:gridCol w:w="1483"/>
        <w:gridCol w:w="1400"/>
        <w:gridCol w:w="1046"/>
        <w:gridCol w:w="1221"/>
        <w:gridCol w:w="1628"/>
      </w:tblGrid>
      <w:tr w:rsidR="00B26D58" w:rsidRPr="00B26D58" w:rsidTr="00B26D58">
        <w:trPr>
          <w:tblCellSpacing w:w="15" w:type="dxa"/>
        </w:trPr>
        <w:tc>
          <w:tcPr>
            <w:tcW w:w="465" w:type="pct"/>
            <w:vMerge w:val="restar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No.</w:t>
            </w:r>
          </w:p>
        </w:tc>
        <w:tc>
          <w:tcPr>
            <w:tcW w:w="756" w:type="pct"/>
            <w:vMerge w:val="restar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Name of the fuel</w:t>
            </w:r>
          </w:p>
        </w:tc>
        <w:tc>
          <w:tcPr>
            <w:tcW w:w="806" w:type="pct"/>
            <w:vMerge w:val="restar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Classification code of the fuel</w:t>
            </w:r>
          </w:p>
        </w:tc>
        <w:tc>
          <w:tcPr>
            <w:tcW w:w="756" w:type="pct"/>
            <w:vMerge w:val="restar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Unit of measurement</w:t>
            </w:r>
          </w:p>
        </w:tc>
        <w:tc>
          <w:tcPr>
            <w:tcW w:w="564" w:type="pct"/>
            <w:vMerge w:val="restar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Unit price</w:t>
            </w:r>
          </w:p>
        </w:tc>
        <w:tc>
          <w:tcPr>
            <w:tcW w:w="1537" w:type="pct"/>
            <w:gridSpan w:val="2"/>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Mobilisation request</w:t>
            </w:r>
          </w:p>
        </w:tc>
      </w:tr>
      <w:tr w:rsidR="00B26D58" w:rsidRPr="00B26D58" w:rsidTr="00B26D58">
        <w:trPr>
          <w:tblCellSpacing w:w="15" w:type="dxa"/>
        </w:trPr>
        <w:tc>
          <w:tcPr>
            <w:tcW w:w="465" w:type="pct"/>
            <w:vMerge/>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p>
        </w:tc>
        <w:tc>
          <w:tcPr>
            <w:tcW w:w="756" w:type="pct"/>
            <w:vMerge/>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p>
        </w:tc>
        <w:tc>
          <w:tcPr>
            <w:tcW w:w="756" w:type="pct"/>
            <w:vMerge/>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p>
        </w:tc>
        <w:tc>
          <w:tcPr>
            <w:tcW w:w="564" w:type="pct"/>
            <w:vMerge/>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p>
        </w:tc>
        <w:tc>
          <w:tcPr>
            <w:tcW w:w="660" w:type="pc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Quantity</w:t>
            </w:r>
          </w:p>
        </w:tc>
        <w:tc>
          <w:tcPr>
            <w:tcW w:w="860" w:type="pct"/>
            <w:tcBorders>
              <w:top w:val="outset" w:sz="6" w:space="0" w:color="auto"/>
              <w:left w:val="outset" w:sz="6" w:space="0" w:color="auto"/>
              <w:bottom w:val="outset" w:sz="6" w:space="0" w:color="auto"/>
              <w:right w:val="outset" w:sz="6" w:space="0" w:color="auto"/>
            </w:tcBorders>
            <w:vAlign w:val="center"/>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The necessary funding</w:t>
            </w:r>
          </w:p>
        </w:tc>
      </w:tr>
      <w:tr w:rsidR="00B26D58" w:rsidRPr="00B26D58" w:rsidTr="00B26D58">
        <w:trPr>
          <w:tblCellSpacing w:w="15" w:type="dxa"/>
        </w:trPr>
        <w:tc>
          <w:tcPr>
            <w:tcW w:w="465"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1</w:t>
            </w:r>
          </w:p>
        </w:tc>
        <w:tc>
          <w:tcPr>
            <w:tcW w:w="756"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2</w:t>
            </w:r>
          </w:p>
        </w:tc>
        <w:tc>
          <w:tcPr>
            <w:tcW w:w="806"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3</w:t>
            </w:r>
          </w:p>
        </w:tc>
        <w:tc>
          <w:tcPr>
            <w:tcW w:w="756"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4</w:t>
            </w:r>
          </w:p>
        </w:tc>
        <w:tc>
          <w:tcPr>
            <w:tcW w:w="564"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5</w:t>
            </w:r>
          </w:p>
        </w:tc>
        <w:tc>
          <w:tcPr>
            <w:tcW w:w="660"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6</w:t>
            </w:r>
          </w:p>
        </w:tc>
        <w:tc>
          <w:tcPr>
            <w:tcW w:w="860"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7</w:t>
            </w:r>
          </w:p>
        </w:tc>
      </w:tr>
      <w:tr w:rsidR="00B26D58" w:rsidRPr="00B26D58" w:rsidTr="00B26D58">
        <w:trPr>
          <w:tblCellSpacing w:w="15" w:type="dxa"/>
        </w:trPr>
        <w:tc>
          <w:tcPr>
            <w:tcW w:w="465"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806"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564"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660"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860" w:type="pct"/>
            <w:tcBorders>
              <w:top w:val="outset" w:sz="6" w:space="0" w:color="auto"/>
              <w:left w:val="outset" w:sz="6" w:space="0" w:color="auto"/>
              <w:bottom w:val="outset" w:sz="6" w:space="0" w:color="auto"/>
              <w:right w:val="outset" w:sz="6" w:space="0" w:color="auto"/>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r>
    </w:tbl>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44"/>
        <w:gridCol w:w="2534"/>
        <w:gridCol w:w="2193"/>
      </w:tblGrid>
      <w:tr w:rsidR="00B26D58" w:rsidRPr="00B26D58" w:rsidTr="00B26D58">
        <w:trPr>
          <w:tblCellSpacing w:w="15" w:type="dxa"/>
        </w:trPr>
        <w:tc>
          <w:tcPr>
            <w:tcW w:w="2369" w:type="pct"/>
            <w:tcBorders>
              <w:top w:val="nil"/>
              <w:left w:val="nil"/>
              <w:bottom w:val="single" w:sz="6" w:space="0" w:color="auto"/>
              <w:right w:val="nil"/>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1381" w:type="pct"/>
            <w:tcBorders>
              <w:top w:val="nil"/>
              <w:left w:val="nil"/>
              <w:bottom w:val="nil"/>
              <w:right w:val="nil"/>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c>
          <w:tcPr>
            <w:tcW w:w="1184" w:type="pct"/>
            <w:tcBorders>
              <w:top w:val="nil"/>
              <w:left w:val="nil"/>
              <w:bottom w:val="single" w:sz="6" w:space="0" w:color="auto"/>
              <w:right w:val="nil"/>
            </w:tcBorders>
            <w:hideMark/>
          </w:tcPr>
          <w:p w:rsidR="00D64423" w:rsidRPr="00B26D58" w:rsidRDefault="00D64423" w:rsidP="00D64423">
            <w:pPr>
              <w:spacing w:after="0" w:line="240" w:lineRule="auto"/>
              <w:jc w:val="both"/>
              <w:rPr>
                <w:rFonts w:ascii="Times New Roman" w:eastAsia="Times New Roman" w:hAnsi="Times New Roman" w:cs="Times New Roman"/>
                <w:noProof/>
                <w:sz w:val="24"/>
                <w:szCs w:val="24"/>
              </w:rPr>
            </w:pPr>
            <w:r w:rsidRPr="00B26D58">
              <w:rPr>
                <w:rFonts w:ascii="Times New Roman" w:hAnsi="Times New Roman" w:cs="Times New Roman"/>
                <w:noProof/>
                <w:sz w:val="24"/>
              </w:rPr>
              <w:t> </w:t>
            </w:r>
          </w:p>
        </w:tc>
      </w:tr>
      <w:tr w:rsidR="00B26D58" w:rsidRPr="00B26D58" w:rsidTr="00B26D58">
        <w:trPr>
          <w:tblCellSpacing w:w="15" w:type="dxa"/>
        </w:trPr>
        <w:tc>
          <w:tcPr>
            <w:tcW w:w="2369" w:type="pct"/>
            <w:tcBorders>
              <w:top w:val="outset" w:sz="6" w:space="0" w:color="auto"/>
              <w:left w:val="nil"/>
              <w:bottom w:val="nil"/>
              <w:right w:val="nil"/>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(position, given name, surname, and signature)</w:t>
            </w:r>
          </w:p>
        </w:tc>
        <w:tc>
          <w:tcPr>
            <w:tcW w:w="1381" w:type="pct"/>
            <w:tcBorders>
              <w:top w:val="nil"/>
              <w:left w:val="nil"/>
              <w:bottom w:val="nil"/>
              <w:right w:val="nil"/>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p>
        </w:tc>
        <w:tc>
          <w:tcPr>
            <w:tcW w:w="1184" w:type="pct"/>
            <w:tcBorders>
              <w:top w:val="outset" w:sz="6" w:space="0" w:color="auto"/>
              <w:left w:val="nil"/>
              <w:bottom w:val="nil"/>
              <w:right w:val="nil"/>
            </w:tcBorders>
            <w:hideMark/>
          </w:tcPr>
          <w:p w:rsidR="00D64423" w:rsidRPr="00B26D58" w:rsidRDefault="00D64423" w:rsidP="00D64423">
            <w:pPr>
              <w:spacing w:after="0" w:line="240" w:lineRule="auto"/>
              <w:jc w:val="center"/>
              <w:rPr>
                <w:rFonts w:ascii="Times New Roman" w:eastAsia="Times New Roman" w:hAnsi="Times New Roman" w:cs="Times New Roman"/>
                <w:noProof/>
                <w:sz w:val="24"/>
                <w:szCs w:val="24"/>
              </w:rPr>
            </w:pPr>
            <w:r w:rsidRPr="00B26D58">
              <w:rPr>
                <w:rFonts w:ascii="Times New Roman" w:hAnsi="Times New Roman" w:cs="Times New Roman"/>
                <w:noProof/>
                <w:sz w:val="24"/>
              </w:rPr>
              <w:t>(date)</w:t>
            </w:r>
          </w:p>
        </w:tc>
      </w:tr>
    </w:tbl>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B26D58" w:rsidP="00D64423">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Economics</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D64423" w:rsidRPr="00B26D58">
        <w:rPr>
          <w:rFonts w:ascii="Times New Roman" w:hAnsi="Times New Roman" w:cs="Times New Roman"/>
          <w:noProof/>
          <w:sz w:val="24"/>
        </w:rPr>
        <w:t>Dana Reizniece-Ozola</w:t>
      </w:r>
    </w:p>
    <w:p w:rsidR="00D64423" w:rsidRPr="00B26D58" w:rsidRDefault="00D64423" w:rsidP="00D64423">
      <w:pPr>
        <w:spacing w:after="0" w:line="240" w:lineRule="auto"/>
        <w:jc w:val="both"/>
        <w:rPr>
          <w:rFonts w:ascii="Times New Roman" w:eastAsia="Times New Roman" w:hAnsi="Times New Roman" w:cs="Times New Roman"/>
          <w:noProof/>
          <w:sz w:val="24"/>
          <w:szCs w:val="24"/>
        </w:rPr>
      </w:pPr>
    </w:p>
    <w:p w:rsidR="00D64423" w:rsidRPr="00B26D58" w:rsidRDefault="00D64423" w:rsidP="00D64423">
      <w:pPr>
        <w:spacing w:after="0" w:line="240" w:lineRule="auto"/>
        <w:jc w:val="both"/>
        <w:rPr>
          <w:rFonts w:ascii="Times New Roman" w:hAnsi="Times New Roman" w:cs="Times New Roman"/>
          <w:noProof/>
          <w:sz w:val="24"/>
        </w:rPr>
      </w:pPr>
    </w:p>
    <w:sectPr w:rsidR="00D64423" w:rsidRPr="00B26D58" w:rsidSect="00D6442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23" w:rsidRPr="00D64423" w:rsidRDefault="00D64423" w:rsidP="00D64423">
      <w:pPr>
        <w:spacing w:after="0" w:line="240" w:lineRule="auto"/>
        <w:rPr>
          <w:noProof/>
          <w:lang w:val="en-US"/>
        </w:rPr>
      </w:pPr>
      <w:r w:rsidRPr="00D64423">
        <w:rPr>
          <w:noProof/>
          <w:lang w:val="en-US"/>
        </w:rPr>
        <w:separator/>
      </w:r>
    </w:p>
  </w:endnote>
  <w:endnote w:type="continuationSeparator" w:id="0">
    <w:p w:rsidR="00D64423" w:rsidRPr="00D64423" w:rsidRDefault="00D64423" w:rsidP="00D64423">
      <w:pPr>
        <w:spacing w:after="0" w:line="240" w:lineRule="auto"/>
        <w:rPr>
          <w:noProof/>
          <w:lang w:val="en-US"/>
        </w:rPr>
      </w:pPr>
      <w:r w:rsidRPr="00D644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58" w:rsidRPr="00750961" w:rsidRDefault="00B26D58" w:rsidP="00B26D58">
    <w:pPr>
      <w:pStyle w:val="Footer"/>
      <w:tabs>
        <w:tab w:val="clear" w:pos="4153"/>
        <w:tab w:val="clear" w:pos="8306"/>
        <w:tab w:val="right" w:pos="9072"/>
      </w:tabs>
      <w:rPr>
        <w:rFonts w:ascii="Times New Roman" w:hAnsi="Times New Roman"/>
        <w:sz w:val="20"/>
      </w:rPr>
    </w:pPr>
  </w:p>
  <w:p w:rsidR="00B26D58" w:rsidRPr="000523BF" w:rsidRDefault="00B26D58" w:rsidP="00B26D58">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5</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58" w:rsidRPr="00750961" w:rsidRDefault="00B26D58" w:rsidP="00B26D58">
    <w:pPr>
      <w:pStyle w:val="Footer"/>
      <w:rPr>
        <w:rFonts w:ascii="Times New Roman" w:hAnsi="Times New Roman"/>
        <w:sz w:val="20"/>
      </w:rPr>
    </w:pPr>
  </w:p>
  <w:p w:rsidR="00B26D58" w:rsidRPr="000523BF" w:rsidRDefault="00B26D58" w:rsidP="00B26D5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23" w:rsidRPr="00D64423" w:rsidRDefault="00D64423" w:rsidP="00D64423">
      <w:pPr>
        <w:spacing w:after="0" w:line="240" w:lineRule="auto"/>
        <w:rPr>
          <w:noProof/>
          <w:lang w:val="en-US"/>
        </w:rPr>
      </w:pPr>
      <w:r w:rsidRPr="00D64423">
        <w:rPr>
          <w:noProof/>
          <w:lang w:val="en-US"/>
        </w:rPr>
        <w:separator/>
      </w:r>
    </w:p>
  </w:footnote>
  <w:footnote w:type="continuationSeparator" w:id="0">
    <w:p w:rsidR="00D64423" w:rsidRPr="00D64423" w:rsidRDefault="00D64423" w:rsidP="00D64423">
      <w:pPr>
        <w:spacing w:after="0" w:line="240" w:lineRule="auto"/>
        <w:rPr>
          <w:noProof/>
          <w:lang w:val="en-US"/>
        </w:rPr>
      </w:pPr>
      <w:r w:rsidRPr="00D6442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5"/>
    <w:rsid w:val="00016237"/>
    <w:rsid w:val="0054699C"/>
    <w:rsid w:val="00B26D58"/>
    <w:rsid w:val="00CF7735"/>
    <w:rsid w:val="00D64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510BB-5B76-4438-A5D7-99FF438E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423"/>
    <w:rPr>
      <w:color w:val="0000FF"/>
      <w:u w:val="single"/>
    </w:rPr>
  </w:style>
  <w:style w:type="paragraph" w:customStyle="1" w:styleId="tv213">
    <w:name w:val="tv213"/>
    <w:basedOn w:val="Normal"/>
    <w:rsid w:val="00D6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D644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44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4423"/>
  </w:style>
  <w:style w:type="paragraph" w:styleId="Footer">
    <w:name w:val="footer"/>
    <w:basedOn w:val="Normal"/>
    <w:link w:val="FooterChar"/>
    <w:unhideWhenUsed/>
    <w:rsid w:val="00D644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4423"/>
  </w:style>
  <w:style w:type="character" w:styleId="PageNumber">
    <w:name w:val="page number"/>
    <w:rsid w:val="00B2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6772">
      <w:bodyDiv w:val="1"/>
      <w:marLeft w:val="0"/>
      <w:marRight w:val="0"/>
      <w:marTop w:val="0"/>
      <w:marBottom w:val="0"/>
      <w:divBdr>
        <w:top w:val="none" w:sz="0" w:space="0" w:color="auto"/>
        <w:left w:val="none" w:sz="0" w:space="0" w:color="auto"/>
        <w:bottom w:val="none" w:sz="0" w:space="0" w:color="auto"/>
        <w:right w:val="none" w:sz="0" w:space="0" w:color="auto"/>
      </w:divBdr>
      <w:divsChild>
        <w:div w:id="1438210049">
          <w:marLeft w:val="0"/>
          <w:marRight w:val="0"/>
          <w:marTop w:val="0"/>
          <w:marBottom w:val="0"/>
          <w:divBdr>
            <w:top w:val="none" w:sz="0" w:space="0" w:color="auto"/>
            <w:left w:val="none" w:sz="0" w:space="0" w:color="auto"/>
            <w:bottom w:val="none" w:sz="0" w:space="0" w:color="auto"/>
            <w:right w:val="none" w:sz="0" w:space="0" w:color="auto"/>
          </w:divBdr>
        </w:div>
        <w:div w:id="946159162">
          <w:marLeft w:val="0"/>
          <w:marRight w:val="0"/>
          <w:marTop w:val="0"/>
          <w:marBottom w:val="0"/>
          <w:divBdr>
            <w:top w:val="none" w:sz="0" w:space="0" w:color="auto"/>
            <w:left w:val="none" w:sz="0" w:space="0" w:color="auto"/>
            <w:bottom w:val="none" w:sz="0" w:space="0" w:color="auto"/>
            <w:right w:val="none" w:sz="0" w:space="0" w:color="auto"/>
          </w:divBdr>
        </w:div>
        <w:div w:id="1072851911">
          <w:marLeft w:val="0"/>
          <w:marRight w:val="0"/>
          <w:marTop w:val="0"/>
          <w:marBottom w:val="0"/>
          <w:divBdr>
            <w:top w:val="none" w:sz="0" w:space="0" w:color="auto"/>
            <w:left w:val="none" w:sz="0" w:space="0" w:color="auto"/>
            <w:bottom w:val="none" w:sz="0" w:space="0" w:color="auto"/>
            <w:right w:val="none" w:sz="0" w:space="0" w:color="auto"/>
          </w:divBdr>
        </w:div>
        <w:div w:id="1787777277">
          <w:marLeft w:val="0"/>
          <w:marRight w:val="0"/>
          <w:marTop w:val="0"/>
          <w:marBottom w:val="0"/>
          <w:divBdr>
            <w:top w:val="none" w:sz="0" w:space="0" w:color="auto"/>
            <w:left w:val="none" w:sz="0" w:space="0" w:color="auto"/>
            <w:bottom w:val="none" w:sz="0" w:space="0" w:color="auto"/>
            <w:right w:val="none" w:sz="0" w:space="0" w:color="auto"/>
          </w:divBdr>
        </w:div>
        <w:div w:id="120348080">
          <w:marLeft w:val="0"/>
          <w:marRight w:val="0"/>
          <w:marTop w:val="0"/>
          <w:marBottom w:val="0"/>
          <w:divBdr>
            <w:top w:val="none" w:sz="0" w:space="0" w:color="auto"/>
            <w:left w:val="none" w:sz="0" w:space="0" w:color="auto"/>
            <w:bottom w:val="none" w:sz="0" w:space="0" w:color="auto"/>
            <w:right w:val="none" w:sz="0" w:space="0" w:color="auto"/>
          </w:divBdr>
        </w:div>
        <w:div w:id="1029454436">
          <w:marLeft w:val="0"/>
          <w:marRight w:val="0"/>
          <w:marTop w:val="0"/>
          <w:marBottom w:val="0"/>
          <w:divBdr>
            <w:top w:val="none" w:sz="0" w:space="0" w:color="auto"/>
            <w:left w:val="none" w:sz="0" w:space="0" w:color="auto"/>
            <w:bottom w:val="none" w:sz="0" w:space="0" w:color="auto"/>
            <w:right w:val="none" w:sz="0" w:space="0" w:color="auto"/>
          </w:divBdr>
        </w:div>
        <w:div w:id="842859970">
          <w:marLeft w:val="0"/>
          <w:marRight w:val="0"/>
          <w:marTop w:val="0"/>
          <w:marBottom w:val="0"/>
          <w:divBdr>
            <w:top w:val="none" w:sz="0" w:space="0" w:color="auto"/>
            <w:left w:val="none" w:sz="0" w:space="0" w:color="auto"/>
            <w:bottom w:val="none" w:sz="0" w:space="0" w:color="auto"/>
            <w:right w:val="none" w:sz="0" w:space="0" w:color="auto"/>
          </w:divBdr>
        </w:div>
        <w:div w:id="1573271252">
          <w:marLeft w:val="0"/>
          <w:marRight w:val="0"/>
          <w:marTop w:val="0"/>
          <w:marBottom w:val="0"/>
          <w:divBdr>
            <w:top w:val="none" w:sz="0" w:space="0" w:color="auto"/>
            <w:left w:val="none" w:sz="0" w:space="0" w:color="auto"/>
            <w:bottom w:val="none" w:sz="0" w:space="0" w:color="auto"/>
            <w:right w:val="none" w:sz="0" w:space="0" w:color="auto"/>
          </w:divBdr>
        </w:div>
        <w:div w:id="1767968049">
          <w:marLeft w:val="0"/>
          <w:marRight w:val="0"/>
          <w:marTop w:val="0"/>
          <w:marBottom w:val="0"/>
          <w:divBdr>
            <w:top w:val="none" w:sz="0" w:space="0" w:color="auto"/>
            <w:left w:val="none" w:sz="0" w:space="0" w:color="auto"/>
            <w:bottom w:val="none" w:sz="0" w:space="0" w:color="auto"/>
            <w:right w:val="none" w:sz="0" w:space="0" w:color="auto"/>
          </w:divBdr>
        </w:div>
        <w:div w:id="287860403">
          <w:marLeft w:val="0"/>
          <w:marRight w:val="0"/>
          <w:marTop w:val="0"/>
          <w:marBottom w:val="0"/>
          <w:divBdr>
            <w:top w:val="none" w:sz="0" w:space="0" w:color="auto"/>
            <w:left w:val="none" w:sz="0" w:space="0" w:color="auto"/>
            <w:bottom w:val="none" w:sz="0" w:space="0" w:color="auto"/>
            <w:right w:val="none" w:sz="0" w:space="0" w:color="auto"/>
          </w:divBdr>
        </w:div>
        <w:div w:id="91752089">
          <w:marLeft w:val="0"/>
          <w:marRight w:val="0"/>
          <w:marTop w:val="0"/>
          <w:marBottom w:val="0"/>
          <w:divBdr>
            <w:top w:val="none" w:sz="0" w:space="0" w:color="auto"/>
            <w:left w:val="none" w:sz="0" w:space="0" w:color="auto"/>
            <w:bottom w:val="none" w:sz="0" w:space="0" w:color="auto"/>
            <w:right w:val="none" w:sz="0" w:space="0" w:color="auto"/>
          </w:divBdr>
        </w:div>
        <w:div w:id="467744283">
          <w:marLeft w:val="0"/>
          <w:marRight w:val="0"/>
          <w:marTop w:val="0"/>
          <w:marBottom w:val="0"/>
          <w:divBdr>
            <w:top w:val="none" w:sz="0" w:space="0" w:color="auto"/>
            <w:left w:val="none" w:sz="0" w:space="0" w:color="auto"/>
            <w:bottom w:val="none" w:sz="0" w:space="0" w:color="auto"/>
            <w:right w:val="none" w:sz="0" w:space="0" w:color="auto"/>
          </w:divBdr>
        </w:div>
        <w:div w:id="1261908463">
          <w:marLeft w:val="0"/>
          <w:marRight w:val="0"/>
          <w:marTop w:val="0"/>
          <w:marBottom w:val="0"/>
          <w:divBdr>
            <w:top w:val="none" w:sz="0" w:space="0" w:color="auto"/>
            <w:left w:val="none" w:sz="0" w:space="0" w:color="auto"/>
            <w:bottom w:val="none" w:sz="0" w:space="0" w:color="auto"/>
            <w:right w:val="none" w:sz="0" w:space="0" w:color="auto"/>
          </w:divBdr>
        </w:div>
        <w:div w:id="1036588439">
          <w:marLeft w:val="0"/>
          <w:marRight w:val="0"/>
          <w:marTop w:val="0"/>
          <w:marBottom w:val="0"/>
          <w:divBdr>
            <w:top w:val="none" w:sz="0" w:space="0" w:color="auto"/>
            <w:left w:val="none" w:sz="0" w:space="0" w:color="auto"/>
            <w:bottom w:val="none" w:sz="0" w:space="0" w:color="auto"/>
            <w:right w:val="none" w:sz="0" w:space="0" w:color="auto"/>
          </w:divBdr>
        </w:div>
        <w:div w:id="1165362660">
          <w:marLeft w:val="0"/>
          <w:marRight w:val="0"/>
          <w:marTop w:val="0"/>
          <w:marBottom w:val="0"/>
          <w:divBdr>
            <w:top w:val="none" w:sz="0" w:space="0" w:color="auto"/>
            <w:left w:val="none" w:sz="0" w:space="0" w:color="auto"/>
            <w:bottom w:val="none" w:sz="0" w:space="0" w:color="auto"/>
            <w:right w:val="none" w:sz="0" w:space="0" w:color="auto"/>
          </w:divBdr>
        </w:div>
        <w:div w:id="48188685">
          <w:marLeft w:val="0"/>
          <w:marRight w:val="0"/>
          <w:marTop w:val="0"/>
          <w:marBottom w:val="0"/>
          <w:divBdr>
            <w:top w:val="none" w:sz="0" w:space="0" w:color="auto"/>
            <w:left w:val="none" w:sz="0" w:space="0" w:color="auto"/>
            <w:bottom w:val="none" w:sz="0" w:space="0" w:color="auto"/>
            <w:right w:val="none" w:sz="0" w:space="0" w:color="auto"/>
          </w:divBdr>
        </w:div>
        <w:div w:id="2068990776">
          <w:marLeft w:val="0"/>
          <w:marRight w:val="0"/>
          <w:marTop w:val="0"/>
          <w:marBottom w:val="0"/>
          <w:divBdr>
            <w:top w:val="none" w:sz="0" w:space="0" w:color="auto"/>
            <w:left w:val="none" w:sz="0" w:space="0" w:color="auto"/>
            <w:bottom w:val="none" w:sz="0" w:space="0" w:color="auto"/>
            <w:right w:val="none" w:sz="0" w:space="0" w:color="auto"/>
          </w:divBdr>
        </w:div>
        <w:div w:id="856583552">
          <w:marLeft w:val="0"/>
          <w:marRight w:val="0"/>
          <w:marTop w:val="0"/>
          <w:marBottom w:val="0"/>
          <w:divBdr>
            <w:top w:val="none" w:sz="0" w:space="0" w:color="auto"/>
            <w:left w:val="none" w:sz="0" w:space="0" w:color="auto"/>
            <w:bottom w:val="none" w:sz="0" w:space="0" w:color="auto"/>
            <w:right w:val="none" w:sz="0" w:space="0" w:color="auto"/>
          </w:divBdr>
        </w:div>
        <w:div w:id="1918056734">
          <w:marLeft w:val="0"/>
          <w:marRight w:val="0"/>
          <w:marTop w:val="0"/>
          <w:marBottom w:val="0"/>
          <w:divBdr>
            <w:top w:val="none" w:sz="0" w:space="0" w:color="auto"/>
            <w:left w:val="none" w:sz="0" w:space="0" w:color="auto"/>
            <w:bottom w:val="none" w:sz="0" w:space="0" w:color="auto"/>
            <w:right w:val="none" w:sz="0" w:space="0" w:color="auto"/>
          </w:divBdr>
        </w:div>
        <w:div w:id="1478062260">
          <w:marLeft w:val="0"/>
          <w:marRight w:val="0"/>
          <w:marTop w:val="0"/>
          <w:marBottom w:val="0"/>
          <w:divBdr>
            <w:top w:val="none" w:sz="0" w:space="0" w:color="auto"/>
            <w:left w:val="none" w:sz="0" w:space="0" w:color="auto"/>
            <w:bottom w:val="none" w:sz="0" w:space="0" w:color="auto"/>
            <w:right w:val="none" w:sz="0" w:space="0" w:color="auto"/>
          </w:divBdr>
        </w:div>
        <w:div w:id="1281037148">
          <w:marLeft w:val="0"/>
          <w:marRight w:val="0"/>
          <w:marTop w:val="0"/>
          <w:marBottom w:val="0"/>
          <w:divBdr>
            <w:top w:val="none" w:sz="0" w:space="0" w:color="auto"/>
            <w:left w:val="none" w:sz="0" w:space="0" w:color="auto"/>
            <w:bottom w:val="none" w:sz="0" w:space="0" w:color="auto"/>
            <w:right w:val="none" w:sz="0" w:space="0" w:color="auto"/>
          </w:divBdr>
        </w:div>
        <w:div w:id="732696116">
          <w:marLeft w:val="0"/>
          <w:marRight w:val="0"/>
          <w:marTop w:val="0"/>
          <w:marBottom w:val="0"/>
          <w:divBdr>
            <w:top w:val="none" w:sz="0" w:space="0" w:color="auto"/>
            <w:left w:val="none" w:sz="0" w:space="0" w:color="auto"/>
            <w:bottom w:val="none" w:sz="0" w:space="0" w:color="auto"/>
            <w:right w:val="none" w:sz="0" w:space="0" w:color="auto"/>
          </w:divBdr>
        </w:div>
        <w:div w:id="1725910948">
          <w:marLeft w:val="0"/>
          <w:marRight w:val="0"/>
          <w:marTop w:val="0"/>
          <w:marBottom w:val="0"/>
          <w:divBdr>
            <w:top w:val="none" w:sz="0" w:space="0" w:color="auto"/>
            <w:left w:val="none" w:sz="0" w:space="0" w:color="auto"/>
            <w:bottom w:val="none" w:sz="0" w:space="0" w:color="auto"/>
            <w:right w:val="none" w:sz="0" w:space="0" w:color="auto"/>
          </w:divBdr>
        </w:div>
        <w:div w:id="1526016937">
          <w:marLeft w:val="0"/>
          <w:marRight w:val="0"/>
          <w:marTop w:val="0"/>
          <w:marBottom w:val="0"/>
          <w:divBdr>
            <w:top w:val="none" w:sz="0" w:space="0" w:color="auto"/>
            <w:left w:val="none" w:sz="0" w:space="0" w:color="auto"/>
            <w:bottom w:val="none" w:sz="0" w:space="0" w:color="auto"/>
            <w:right w:val="none" w:sz="0" w:space="0" w:color="auto"/>
          </w:divBdr>
        </w:div>
        <w:div w:id="2022928770">
          <w:marLeft w:val="0"/>
          <w:marRight w:val="0"/>
          <w:marTop w:val="0"/>
          <w:marBottom w:val="0"/>
          <w:divBdr>
            <w:top w:val="none" w:sz="0" w:space="0" w:color="auto"/>
            <w:left w:val="none" w:sz="0" w:space="0" w:color="auto"/>
            <w:bottom w:val="none" w:sz="0" w:space="0" w:color="auto"/>
            <w:right w:val="none" w:sz="0" w:space="0" w:color="auto"/>
          </w:divBdr>
        </w:div>
        <w:div w:id="916092384">
          <w:marLeft w:val="0"/>
          <w:marRight w:val="0"/>
          <w:marTop w:val="0"/>
          <w:marBottom w:val="0"/>
          <w:divBdr>
            <w:top w:val="none" w:sz="0" w:space="0" w:color="auto"/>
            <w:left w:val="none" w:sz="0" w:space="0" w:color="auto"/>
            <w:bottom w:val="none" w:sz="0" w:space="0" w:color="auto"/>
            <w:right w:val="none" w:sz="0" w:space="0" w:color="auto"/>
          </w:divBdr>
        </w:div>
        <w:div w:id="939144949">
          <w:marLeft w:val="0"/>
          <w:marRight w:val="0"/>
          <w:marTop w:val="0"/>
          <w:marBottom w:val="0"/>
          <w:divBdr>
            <w:top w:val="none" w:sz="0" w:space="0" w:color="auto"/>
            <w:left w:val="none" w:sz="0" w:space="0" w:color="auto"/>
            <w:bottom w:val="none" w:sz="0" w:space="0" w:color="auto"/>
            <w:right w:val="none" w:sz="0" w:space="0" w:color="auto"/>
          </w:divBdr>
        </w:div>
        <w:div w:id="1835946214">
          <w:marLeft w:val="0"/>
          <w:marRight w:val="0"/>
          <w:marTop w:val="0"/>
          <w:marBottom w:val="0"/>
          <w:divBdr>
            <w:top w:val="none" w:sz="0" w:space="0" w:color="auto"/>
            <w:left w:val="none" w:sz="0" w:space="0" w:color="auto"/>
            <w:bottom w:val="none" w:sz="0" w:space="0" w:color="auto"/>
            <w:right w:val="none" w:sz="0" w:space="0" w:color="auto"/>
          </w:divBdr>
        </w:div>
        <w:div w:id="984089931">
          <w:marLeft w:val="0"/>
          <w:marRight w:val="0"/>
          <w:marTop w:val="0"/>
          <w:marBottom w:val="0"/>
          <w:divBdr>
            <w:top w:val="none" w:sz="0" w:space="0" w:color="auto"/>
            <w:left w:val="none" w:sz="0" w:space="0" w:color="auto"/>
            <w:bottom w:val="none" w:sz="0" w:space="0" w:color="auto"/>
            <w:right w:val="none" w:sz="0" w:space="0" w:color="auto"/>
          </w:divBdr>
        </w:div>
      </w:divsChild>
    </w:div>
    <w:div w:id="1407415232">
      <w:bodyDiv w:val="1"/>
      <w:marLeft w:val="0"/>
      <w:marRight w:val="0"/>
      <w:marTop w:val="0"/>
      <w:marBottom w:val="0"/>
      <w:divBdr>
        <w:top w:val="none" w:sz="0" w:space="0" w:color="auto"/>
        <w:left w:val="none" w:sz="0" w:space="0" w:color="auto"/>
        <w:bottom w:val="none" w:sz="0" w:space="0" w:color="auto"/>
        <w:right w:val="none" w:sz="0" w:space="0" w:color="auto"/>
      </w:divBdr>
      <w:divsChild>
        <w:div w:id="129592784">
          <w:marLeft w:val="0"/>
          <w:marRight w:val="0"/>
          <w:marTop w:val="0"/>
          <w:marBottom w:val="0"/>
          <w:divBdr>
            <w:top w:val="none" w:sz="0" w:space="0" w:color="auto"/>
            <w:left w:val="none" w:sz="0" w:space="0" w:color="auto"/>
            <w:bottom w:val="none" w:sz="0" w:space="0" w:color="auto"/>
            <w:right w:val="none" w:sz="0" w:space="0" w:color="auto"/>
          </w:divBdr>
          <w:divsChild>
            <w:div w:id="128204491">
              <w:marLeft w:val="0"/>
              <w:marRight w:val="0"/>
              <w:marTop w:val="0"/>
              <w:marBottom w:val="0"/>
              <w:divBdr>
                <w:top w:val="none" w:sz="0" w:space="0" w:color="auto"/>
                <w:left w:val="none" w:sz="0" w:space="0" w:color="auto"/>
                <w:bottom w:val="none" w:sz="0" w:space="0" w:color="auto"/>
                <w:right w:val="none" w:sz="0" w:space="0" w:color="auto"/>
              </w:divBdr>
            </w:div>
            <w:div w:id="453908841">
              <w:marLeft w:val="0"/>
              <w:marRight w:val="0"/>
              <w:marTop w:val="0"/>
              <w:marBottom w:val="0"/>
              <w:divBdr>
                <w:top w:val="none" w:sz="0" w:space="0" w:color="auto"/>
                <w:left w:val="none" w:sz="0" w:space="0" w:color="auto"/>
                <w:bottom w:val="none" w:sz="0" w:space="0" w:color="auto"/>
                <w:right w:val="none" w:sz="0" w:space="0" w:color="auto"/>
              </w:divBdr>
            </w:div>
            <w:div w:id="1318268900">
              <w:marLeft w:val="0"/>
              <w:marRight w:val="0"/>
              <w:marTop w:val="0"/>
              <w:marBottom w:val="0"/>
              <w:divBdr>
                <w:top w:val="none" w:sz="0" w:space="0" w:color="auto"/>
                <w:left w:val="none" w:sz="0" w:space="0" w:color="auto"/>
                <w:bottom w:val="none" w:sz="0" w:space="0" w:color="auto"/>
                <w:right w:val="none" w:sz="0" w:space="0" w:color="auto"/>
              </w:divBdr>
            </w:div>
            <w:div w:id="1228029826">
              <w:marLeft w:val="0"/>
              <w:marRight w:val="0"/>
              <w:marTop w:val="0"/>
              <w:marBottom w:val="0"/>
              <w:divBdr>
                <w:top w:val="none" w:sz="0" w:space="0" w:color="auto"/>
                <w:left w:val="none" w:sz="0" w:space="0" w:color="auto"/>
                <w:bottom w:val="none" w:sz="0" w:space="0" w:color="auto"/>
                <w:right w:val="none" w:sz="0" w:space="0" w:color="auto"/>
              </w:divBdr>
            </w:div>
            <w:div w:id="2025744792">
              <w:marLeft w:val="0"/>
              <w:marRight w:val="0"/>
              <w:marTop w:val="0"/>
              <w:marBottom w:val="0"/>
              <w:divBdr>
                <w:top w:val="none" w:sz="0" w:space="0" w:color="auto"/>
                <w:left w:val="none" w:sz="0" w:space="0" w:color="auto"/>
                <w:bottom w:val="none" w:sz="0" w:space="0" w:color="auto"/>
                <w:right w:val="none" w:sz="0" w:space="0" w:color="auto"/>
              </w:divBdr>
            </w:div>
            <w:div w:id="158271917">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679506397">
              <w:marLeft w:val="0"/>
              <w:marRight w:val="0"/>
              <w:marTop w:val="0"/>
              <w:marBottom w:val="0"/>
              <w:divBdr>
                <w:top w:val="none" w:sz="0" w:space="0" w:color="auto"/>
                <w:left w:val="none" w:sz="0" w:space="0" w:color="auto"/>
                <w:bottom w:val="none" w:sz="0" w:space="0" w:color="auto"/>
                <w:right w:val="none" w:sz="0" w:space="0" w:color="auto"/>
              </w:divBdr>
            </w:div>
            <w:div w:id="766999470">
              <w:marLeft w:val="0"/>
              <w:marRight w:val="0"/>
              <w:marTop w:val="0"/>
              <w:marBottom w:val="0"/>
              <w:divBdr>
                <w:top w:val="none" w:sz="0" w:space="0" w:color="auto"/>
                <w:left w:val="none" w:sz="0" w:space="0" w:color="auto"/>
                <w:bottom w:val="none" w:sz="0" w:space="0" w:color="auto"/>
                <w:right w:val="none" w:sz="0" w:space="0" w:color="auto"/>
              </w:divBdr>
            </w:div>
            <w:div w:id="1851528697">
              <w:marLeft w:val="0"/>
              <w:marRight w:val="0"/>
              <w:marTop w:val="0"/>
              <w:marBottom w:val="0"/>
              <w:divBdr>
                <w:top w:val="none" w:sz="0" w:space="0" w:color="auto"/>
                <w:left w:val="none" w:sz="0" w:space="0" w:color="auto"/>
                <w:bottom w:val="none" w:sz="0" w:space="0" w:color="auto"/>
                <w:right w:val="none" w:sz="0" w:space="0" w:color="auto"/>
              </w:divBdr>
            </w:div>
            <w:div w:id="51972879">
              <w:marLeft w:val="0"/>
              <w:marRight w:val="0"/>
              <w:marTop w:val="0"/>
              <w:marBottom w:val="0"/>
              <w:divBdr>
                <w:top w:val="none" w:sz="0" w:space="0" w:color="auto"/>
                <w:left w:val="none" w:sz="0" w:space="0" w:color="auto"/>
                <w:bottom w:val="none" w:sz="0" w:space="0" w:color="auto"/>
                <w:right w:val="none" w:sz="0" w:space="0" w:color="auto"/>
              </w:divBdr>
            </w:div>
            <w:div w:id="1417290284">
              <w:marLeft w:val="0"/>
              <w:marRight w:val="0"/>
              <w:marTop w:val="0"/>
              <w:marBottom w:val="0"/>
              <w:divBdr>
                <w:top w:val="none" w:sz="0" w:space="0" w:color="auto"/>
                <w:left w:val="none" w:sz="0" w:space="0" w:color="auto"/>
                <w:bottom w:val="none" w:sz="0" w:space="0" w:color="auto"/>
                <w:right w:val="none" w:sz="0" w:space="0" w:color="auto"/>
              </w:divBdr>
            </w:div>
            <w:div w:id="178276506">
              <w:marLeft w:val="0"/>
              <w:marRight w:val="0"/>
              <w:marTop w:val="0"/>
              <w:marBottom w:val="0"/>
              <w:divBdr>
                <w:top w:val="none" w:sz="0" w:space="0" w:color="auto"/>
                <w:left w:val="none" w:sz="0" w:space="0" w:color="auto"/>
                <w:bottom w:val="none" w:sz="0" w:space="0" w:color="auto"/>
                <w:right w:val="none" w:sz="0" w:space="0" w:color="auto"/>
              </w:divBdr>
            </w:div>
            <w:div w:id="1712413783">
              <w:marLeft w:val="0"/>
              <w:marRight w:val="0"/>
              <w:marTop w:val="0"/>
              <w:marBottom w:val="0"/>
              <w:divBdr>
                <w:top w:val="none" w:sz="0" w:space="0" w:color="auto"/>
                <w:left w:val="none" w:sz="0" w:space="0" w:color="auto"/>
                <w:bottom w:val="none" w:sz="0" w:space="0" w:color="auto"/>
                <w:right w:val="none" w:sz="0" w:space="0" w:color="auto"/>
              </w:divBdr>
            </w:div>
            <w:div w:id="497043926">
              <w:marLeft w:val="0"/>
              <w:marRight w:val="0"/>
              <w:marTop w:val="0"/>
              <w:marBottom w:val="0"/>
              <w:divBdr>
                <w:top w:val="none" w:sz="0" w:space="0" w:color="auto"/>
                <w:left w:val="none" w:sz="0" w:space="0" w:color="auto"/>
                <w:bottom w:val="none" w:sz="0" w:space="0" w:color="auto"/>
                <w:right w:val="none" w:sz="0" w:space="0" w:color="auto"/>
              </w:divBdr>
            </w:div>
            <w:div w:id="1137256507">
              <w:marLeft w:val="0"/>
              <w:marRight w:val="0"/>
              <w:marTop w:val="0"/>
              <w:marBottom w:val="0"/>
              <w:divBdr>
                <w:top w:val="none" w:sz="0" w:space="0" w:color="auto"/>
                <w:left w:val="none" w:sz="0" w:space="0" w:color="auto"/>
                <w:bottom w:val="none" w:sz="0" w:space="0" w:color="auto"/>
                <w:right w:val="none" w:sz="0" w:space="0" w:color="auto"/>
              </w:divBdr>
            </w:div>
            <w:div w:id="1740514964">
              <w:marLeft w:val="0"/>
              <w:marRight w:val="0"/>
              <w:marTop w:val="0"/>
              <w:marBottom w:val="0"/>
              <w:divBdr>
                <w:top w:val="none" w:sz="0" w:space="0" w:color="auto"/>
                <w:left w:val="none" w:sz="0" w:space="0" w:color="auto"/>
                <w:bottom w:val="none" w:sz="0" w:space="0" w:color="auto"/>
                <w:right w:val="none" w:sz="0" w:space="0" w:color="auto"/>
              </w:divBdr>
            </w:div>
            <w:div w:id="245116458">
              <w:marLeft w:val="0"/>
              <w:marRight w:val="0"/>
              <w:marTop w:val="0"/>
              <w:marBottom w:val="0"/>
              <w:divBdr>
                <w:top w:val="none" w:sz="0" w:space="0" w:color="auto"/>
                <w:left w:val="none" w:sz="0" w:space="0" w:color="auto"/>
                <w:bottom w:val="none" w:sz="0" w:space="0" w:color="auto"/>
                <w:right w:val="none" w:sz="0" w:space="0" w:color="auto"/>
              </w:divBdr>
            </w:div>
            <w:div w:id="490608827">
              <w:marLeft w:val="0"/>
              <w:marRight w:val="0"/>
              <w:marTop w:val="0"/>
              <w:marBottom w:val="0"/>
              <w:divBdr>
                <w:top w:val="none" w:sz="0" w:space="0" w:color="auto"/>
                <w:left w:val="none" w:sz="0" w:space="0" w:color="auto"/>
                <w:bottom w:val="none" w:sz="0" w:space="0" w:color="auto"/>
                <w:right w:val="none" w:sz="0" w:space="0" w:color="auto"/>
              </w:divBdr>
            </w:div>
            <w:div w:id="1060637657">
              <w:marLeft w:val="0"/>
              <w:marRight w:val="0"/>
              <w:marTop w:val="0"/>
              <w:marBottom w:val="0"/>
              <w:divBdr>
                <w:top w:val="none" w:sz="0" w:space="0" w:color="auto"/>
                <w:left w:val="none" w:sz="0" w:space="0" w:color="auto"/>
                <w:bottom w:val="none" w:sz="0" w:space="0" w:color="auto"/>
                <w:right w:val="none" w:sz="0" w:space="0" w:color="auto"/>
              </w:divBdr>
            </w:div>
            <w:div w:id="59910481">
              <w:marLeft w:val="0"/>
              <w:marRight w:val="0"/>
              <w:marTop w:val="0"/>
              <w:marBottom w:val="0"/>
              <w:divBdr>
                <w:top w:val="none" w:sz="0" w:space="0" w:color="auto"/>
                <w:left w:val="none" w:sz="0" w:space="0" w:color="auto"/>
                <w:bottom w:val="none" w:sz="0" w:space="0" w:color="auto"/>
                <w:right w:val="none" w:sz="0" w:space="0" w:color="auto"/>
              </w:divBdr>
            </w:div>
            <w:div w:id="207226506">
              <w:marLeft w:val="0"/>
              <w:marRight w:val="0"/>
              <w:marTop w:val="0"/>
              <w:marBottom w:val="0"/>
              <w:divBdr>
                <w:top w:val="none" w:sz="0" w:space="0" w:color="auto"/>
                <w:left w:val="none" w:sz="0" w:space="0" w:color="auto"/>
                <w:bottom w:val="none" w:sz="0" w:space="0" w:color="auto"/>
                <w:right w:val="none" w:sz="0" w:space="0" w:color="auto"/>
              </w:divBdr>
            </w:div>
            <w:div w:id="2021810112">
              <w:marLeft w:val="0"/>
              <w:marRight w:val="0"/>
              <w:marTop w:val="0"/>
              <w:marBottom w:val="0"/>
              <w:divBdr>
                <w:top w:val="none" w:sz="0" w:space="0" w:color="auto"/>
                <w:left w:val="none" w:sz="0" w:space="0" w:color="auto"/>
                <w:bottom w:val="none" w:sz="0" w:space="0" w:color="auto"/>
                <w:right w:val="none" w:sz="0" w:space="0" w:color="auto"/>
              </w:divBdr>
            </w:div>
            <w:div w:id="1931502855">
              <w:marLeft w:val="0"/>
              <w:marRight w:val="0"/>
              <w:marTop w:val="0"/>
              <w:marBottom w:val="0"/>
              <w:divBdr>
                <w:top w:val="none" w:sz="0" w:space="0" w:color="auto"/>
                <w:left w:val="none" w:sz="0" w:space="0" w:color="auto"/>
                <w:bottom w:val="none" w:sz="0" w:space="0" w:color="auto"/>
                <w:right w:val="none" w:sz="0" w:space="0" w:color="auto"/>
              </w:divBdr>
            </w:div>
            <w:div w:id="1353068901">
              <w:marLeft w:val="0"/>
              <w:marRight w:val="0"/>
              <w:marTop w:val="0"/>
              <w:marBottom w:val="0"/>
              <w:divBdr>
                <w:top w:val="none" w:sz="0" w:space="0" w:color="auto"/>
                <w:left w:val="none" w:sz="0" w:space="0" w:color="auto"/>
                <w:bottom w:val="none" w:sz="0" w:space="0" w:color="auto"/>
                <w:right w:val="none" w:sz="0" w:space="0" w:color="auto"/>
              </w:divBdr>
            </w:div>
            <w:div w:id="229080033">
              <w:marLeft w:val="0"/>
              <w:marRight w:val="0"/>
              <w:marTop w:val="0"/>
              <w:marBottom w:val="0"/>
              <w:divBdr>
                <w:top w:val="none" w:sz="0" w:space="0" w:color="auto"/>
                <w:left w:val="none" w:sz="0" w:space="0" w:color="auto"/>
                <w:bottom w:val="none" w:sz="0" w:space="0" w:color="auto"/>
                <w:right w:val="none" w:sz="0" w:space="0" w:color="auto"/>
              </w:divBdr>
            </w:div>
            <w:div w:id="354620272">
              <w:marLeft w:val="0"/>
              <w:marRight w:val="0"/>
              <w:marTop w:val="0"/>
              <w:marBottom w:val="0"/>
              <w:divBdr>
                <w:top w:val="none" w:sz="0" w:space="0" w:color="auto"/>
                <w:left w:val="none" w:sz="0" w:space="0" w:color="auto"/>
                <w:bottom w:val="none" w:sz="0" w:space="0" w:color="auto"/>
                <w:right w:val="none" w:sz="0" w:space="0" w:color="auto"/>
              </w:divBdr>
            </w:div>
            <w:div w:id="1027565590">
              <w:marLeft w:val="0"/>
              <w:marRight w:val="0"/>
              <w:marTop w:val="0"/>
              <w:marBottom w:val="0"/>
              <w:divBdr>
                <w:top w:val="none" w:sz="0" w:space="0" w:color="auto"/>
                <w:left w:val="none" w:sz="0" w:space="0" w:color="auto"/>
                <w:bottom w:val="none" w:sz="0" w:space="0" w:color="auto"/>
                <w:right w:val="none" w:sz="0" w:space="0" w:color="auto"/>
              </w:divBdr>
            </w:div>
            <w:div w:id="805004213">
              <w:marLeft w:val="0"/>
              <w:marRight w:val="0"/>
              <w:marTop w:val="0"/>
              <w:marBottom w:val="0"/>
              <w:divBdr>
                <w:top w:val="none" w:sz="0" w:space="0" w:color="auto"/>
                <w:left w:val="none" w:sz="0" w:space="0" w:color="auto"/>
                <w:bottom w:val="none" w:sz="0" w:space="0" w:color="auto"/>
                <w:right w:val="none" w:sz="0" w:space="0" w:color="auto"/>
              </w:divBdr>
            </w:div>
            <w:div w:id="1199778398">
              <w:marLeft w:val="0"/>
              <w:marRight w:val="0"/>
              <w:marTop w:val="0"/>
              <w:marBottom w:val="0"/>
              <w:divBdr>
                <w:top w:val="none" w:sz="0" w:space="0" w:color="auto"/>
                <w:left w:val="none" w:sz="0" w:space="0" w:color="auto"/>
                <w:bottom w:val="none" w:sz="0" w:space="0" w:color="auto"/>
                <w:right w:val="none" w:sz="0" w:space="0" w:color="auto"/>
              </w:divBdr>
            </w:div>
            <w:div w:id="15309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2398">
      <w:bodyDiv w:val="1"/>
      <w:marLeft w:val="0"/>
      <w:marRight w:val="0"/>
      <w:marTop w:val="0"/>
      <w:marBottom w:val="0"/>
      <w:divBdr>
        <w:top w:val="none" w:sz="0" w:space="0" w:color="auto"/>
        <w:left w:val="none" w:sz="0" w:space="0" w:color="auto"/>
        <w:bottom w:val="none" w:sz="0" w:space="0" w:color="auto"/>
        <w:right w:val="none" w:sz="0" w:space="0" w:color="auto"/>
      </w:divBdr>
      <w:divsChild>
        <w:div w:id="302078505">
          <w:marLeft w:val="0"/>
          <w:marRight w:val="0"/>
          <w:marTop w:val="0"/>
          <w:marBottom w:val="0"/>
          <w:divBdr>
            <w:top w:val="none" w:sz="0" w:space="0" w:color="auto"/>
            <w:left w:val="none" w:sz="0" w:space="0" w:color="auto"/>
            <w:bottom w:val="none" w:sz="0" w:space="0" w:color="auto"/>
            <w:right w:val="none" w:sz="0" w:space="0" w:color="auto"/>
          </w:divBdr>
        </w:div>
        <w:div w:id="1680499574">
          <w:marLeft w:val="0"/>
          <w:marRight w:val="0"/>
          <w:marTop w:val="0"/>
          <w:marBottom w:val="0"/>
          <w:divBdr>
            <w:top w:val="none" w:sz="0" w:space="0" w:color="auto"/>
            <w:left w:val="none" w:sz="0" w:space="0" w:color="auto"/>
            <w:bottom w:val="none" w:sz="0" w:space="0" w:color="auto"/>
            <w:right w:val="none" w:sz="0" w:space="0" w:color="auto"/>
          </w:divBdr>
        </w:div>
        <w:div w:id="97622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1668</Words>
  <Characters>8876</Characters>
  <Application>Microsoft Office Word</Application>
  <DocSecurity>0</DocSecurity>
  <Lines>246</Lines>
  <Paragraphs>103</Paragraphs>
  <ScaleCrop>false</ScaleCrop>
  <Company>.</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2017-01-12T11:19:00Z</dcterms:created>
  <dcterms:modified xsi:type="dcterms:W3CDTF">2017-04-07T10:27:00Z</dcterms:modified>
</cp:coreProperties>
</file>