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DF" w:rsidRPr="006D67DF" w:rsidRDefault="006D67DF" w:rsidP="006D67DF">
      <w:pPr>
        <w:spacing w:after="0" w:line="240" w:lineRule="auto"/>
        <w:jc w:val="both"/>
        <w:rPr>
          <w:rFonts w:ascii="Times New Roman" w:hAnsi="Times New Roman" w:cs="Times New Roman"/>
          <w:sz w:val="24"/>
          <w:szCs w:val="24"/>
        </w:rPr>
      </w:pPr>
    </w:p>
    <w:p w:rsidR="006D67DF" w:rsidRPr="006D67DF" w:rsidRDefault="006D67DF" w:rsidP="006D67DF">
      <w:pPr>
        <w:widowControl w:val="0"/>
        <w:spacing w:after="0" w:line="240" w:lineRule="auto"/>
        <w:jc w:val="both"/>
        <w:rPr>
          <w:rFonts w:ascii="Times New Roman" w:hAnsi="Times New Roman" w:cs="Times New Roman"/>
          <w:sz w:val="20"/>
          <w:szCs w:val="24"/>
        </w:rPr>
      </w:pPr>
      <w:r w:rsidRPr="006D67DF">
        <w:rPr>
          <w:rFonts w:ascii="Times New Roman" w:hAnsi="Times New Roman" w:cs="Times New Roman"/>
          <w:sz w:val="20"/>
          <w:szCs w:val="24"/>
        </w:rPr>
        <w:t>Text consolidated by Valsts valodas centrs (State Language Centre) with amending regulations of:</w:t>
      </w:r>
    </w:p>
    <w:p w:rsidR="006D67DF" w:rsidRPr="006D67DF" w:rsidRDefault="006D67DF" w:rsidP="006D67DF">
      <w:pPr>
        <w:pStyle w:val="BlockText"/>
        <w:ind w:left="0" w:right="26"/>
        <w:jc w:val="center"/>
        <w:rPr>
          <w:szCs w:val="24"/>
        </w:rPr>
      </w:pPr>
      <w:r w:rsidRPr="006D67DF">
        <w:rPr>
          <w:szCs w:val="24"/>
        </w:rPr>
        <w:t>17 December 2013 [shall come into force from 28 December 2013];</w:t>
      </w:r>
    </w:p>
    <w:p w:rsidR="006D67DF" w:rsidRPr="006D67DF" w:rsidRDefault="006D67DF" w:rsidP="006D67DF">
      <w:pPr>
        <w:pStyle w:val="BlockText"/>
        <w:ind w:left="0" w:right="26"/>
        <w:jc w:val="center"/>
        <w:rPr>
          <w:szCs w:val="24"/>
        </w:rPr>
      </w:pPr>
      <w:r w:rsidRPr="006D67DF">
        <w:rPr>
          <w:szCs w:val="24"/>
        </w:rPr>
        <w:t>5 August 2014 [shall come into force from 9 August 2014].</w:t>
      </w:r>
    </w:p>
    <w:p w:rsidR="006D67DF" w:rsidRPr="006D67DF" w:rsidRDefault="006D67DF" w:rsidP="006D67DF">
      <w:pPr>
        <w:widowControl w:val="0"/>
        <w:spacing w:after="0" w:line="240" w:lineRule="auto"/>
        <w:jc w:val="both"/>
        <w:rPr>
          <w:rFonts w:ascii="Times New Roman" w:hAnsi="Times New Roman" w:cs="Times New Roman"/>
          <w:sz w:val="20"/>
          <w:szCs w:val="24"/>
        </w:rPr>
      </w:pPr>
      <w:r w:rsidRPr="006D67DF">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D67DF" w:rsidRPr="006D67DF" w:rsidRDefault="006D67DF" w:rsidP="006D67DF">
      <w:pPr>
        <w:spacing w:after="0" w:line="240" w:lineRule="auto"/>
        <w:jc w:val="both"/>
        <w:rPr>
          <w:rFonts w:ascii="Times New Roman" w:hAnsi="Times New Roman" w:cs="Times New Roman"/>
          <w:sz w:val="24"/>
          <w:szCs w:val="24"/>
        </w:rPr>
      </w:pPr>
    </w:p>
    <w:p w:rsidR="006D67DF" w:rsidRPr="006D67DF" w:rsidRDefault="006D67DF" w:rsidP="006D67DF">
      <w:pPr>
        <w:spacing w:after="0" w:line="240" w:lineRule="auto"/>
        <w:jc w:val="both"/>
        <w:rPr>
          <w:rFonts w:ascii="Times New Roman" w:hAnsi="Times New Roman" w:cs="Times New Roman"/>
          <w:sz w:val="24"/>
          <w:szCs w:val="24"/>
        </w:rPr>
      </w:pPr>
    </w:p>
    <w:p w:rsidR="006D67DF" w:rsidRPr="006D67DF" w:rsidRDefault="006D67DF" w:rsidP="006D67DF">
      <w:pPr>
        <w:spacing w:after="0" w:line="240" w:lineRule="auto"/>
        <w:jc w:val="center"/>
        <w:rPr>
          <w:rFonts w:ascii="Times New Roman" w:hAnsi="Times New Roman" w:cs="Times New Roman"/>
          <w:sz w:val="24"/>
          <w:szCs w:val="24"/>
        </w:rPr>
      </w:pPr>
      <w:r w:rsidRPr="006D67DF">
        <w:rPr>
          <w:rFonts w:ascii="Times New Roman" w:hAnsi="Times New Roman" w:cs="Times New Roman"/>
          <w:sz w:val="24"/>
          <w:szCs w:val="24"/>
        </w:rPr>
        <w:t>Republic of Latvia</w:t>
      </w:r>
    </w:p>
    <w:p w:rsidR="006D67DF" w:rsidRPr="006D67DF" w:rsidRDefault="006D67DF" w:rsidP="006D67DF">
      <w:pPr>
        <w:spacing w:after="0" w:line="240" w:lineRule="auto"/>
        <w:jc w:val="center"/>
        <w:rPr>
          <w:rFonts w:ascii="Times New Roman" w:hAnsi="Times New Roman" w:cs="Times New Roman"/>
          <w:sz w:val="24"/>
          <w:szCs w:val="24"/>
        </w:rPr>
      </w:pPr>
    </w:p>
    <w:p w:rsidR="006D67DF" w:rsidRPr="006D67DF" w:rsidRDefault="006D67DF" w:rsidP="006D67DF">
      <w:pPr>
        <w:spacing w:after="0" w:line="240" w:lineRule="auto"/>
        <w:jc w:val="center"/>
        <w:rPr>
          <w:rFonts w:ascii="Times New Roman" w:eastAsia="Times New Roman" w:hAnsi="Times New Roman" w:cs="Times New Roman"/>
          <w:bCs/>
          <w:sz w:val="24"/>
          <w:szCs w:val="24"/>
        </w:rPr>
      </w:pPr>
      <w:r w:rsidRPr="006D67DF">
        <w:rPr>
          <w:rFonts w:ascii="Times New Roman" w:hAnsi="Times New Roman" w:cs="Times New Roman"/>
          <w:sz w:val="24"/>
        </w:rPr>
        <w:t>Cabinet</w:t>
      </w:r>
    </w:p>
    <w:p w:rsidR="00A51B3F" w:rsidRPr="006D67DF" w:rsidRDefault="00A51B3F" w:rsidP="00A51B3F">
      <w:pPr>
        <w:spacing w:after="0" w:line="240" w:lineRule="auto"/>
        <w:jc w:val="center"/>
        <w:rPr>
          <w:rFonts w:ascii="Times New Roman" w:eastAsia="Times New Roman" w:hAnsi="Times New Roman" w:cs="Times New Roman"/>
          <w:bCs/>
          <w:noProof/>
          <w:sz w:val="24"/>
          <w:szCs w:val="24"/>
        </w:rPr>
      </w:pPr>
      <w:r w:rsidRPr="006D67DF">
        <w:rPr>
          <w:rFonts w:ascii="Times New Roman" w:hAnsi="Times New Roman" w:cs="Times New Roman"/>
          <w:noProof/>
          <w:sz w:val="24"/>
        </w:rPr>
        <w:t>Regulation No. 752</w:t>
      </w:r>
    </w:p>
    <w:p w:rsidR="00A51B3F" w:rsidRPr="006D67DF" w:rsidRDefault="00A51B3F" w:rsidP="00A51B3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rPr>
        <w:t>Adopted 3 September 2013</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4212BF">
      <w:pPr>
        <w:spacing w:after="0" w:line="240" w:lineRule="auto"/>
        <w:jc w:val="center"/>
        <w:rPr>
          <w:rFonts w:ascii="Times New Roman" w:eastAsia="Times New Roman" w:hAnsi="Times New Roman" w:cs="Times New Roman"/>
          <w:b/>
          <w:noProof/>
          <w:sz w:val="28"/>
          <w:szCs w:val="28"/>
        </w:rPr>
      </w:pPr>
      <w:r w:rsidRPr="006D67DF">
        <w:rPr>
          <w:rFonts w:ascii="Times New Roman" w:hAnsi="Times New Roman" w:cs="Times New Roman"/>
          <w:b/>
          <w:noProof/>
          <w:sz w:val="28"/>
        </w:rPr>
        <w:t>Price List for the Paid Services of the State Limited Liability Company “Latvian Environment, Geology and Meteorology Centre”</w:t>
      </w: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4212BF">
      <w:pPr>
        <w:spacing w:after="0" w:line="240" w:lineRule="auto"/>
        <w:jc w:val="right"/>
        <w:rPr>
          <w:rFonts w:ascii="Times New Roman" w:eastAsia="Times New Roman" w:hAnsi="Times New Roman" w:cs="Times New Roman"/>
          <w:i/>
          <w:noProof/>
          <w:sz w:val="24"/>
          <w:szCs w:val="24"/>
        </w:rPr>
      </w:pPr>
      <w:r w:rsidRPr="006D67DF">
        <w:rPr>
          <w:rFonts w:ascii="Times New Roman" w:hAnsi="Times New Roman" w:cs="Times New Roman"/>
          <w:i/>
          <w:noProof/>
          <w:sz w:val="24"/>
        </w:rPr>
        <w:t>Issued pursuant to</w:t>
      </w:r>
    </w:p>
    <w:p w:rsidR="006D67DF" w:rsidRPr="006D67DF" w:rsidRDefault="00A51B3F" w:rsidP="004212BF">
      <w:pPr>
        <w:spacing w:after="0" w:line="240" w:lineRule="auto"/>
        <w:jc w:val="right"/>
        <w:rPr>
          <w:rFonts w:ascii="Times New Roman" w:hAnsi="Times New Roman" w:cs="Times New Roman"/>
          <w:i/>
          <w:noProof/>
          <w:sz w:val="24"/>
        </w:rPr>
      </w:pPr>
      <w:r w:rsidRPr="006D67DF">
        <w:rPr>
          <w:rFonts w:ascii="Times New Roman" w:hAnsi="Times New Roman" w:cs="Times New Roman"/>
          <w:i/>
          <w:noProof/>
          <w:sz w:val="24"/>
        </w:rPr>
        <w:t xml:space="preserve">Section 4, Paragraph three of the Chemical Substances </w:t>
      </w:r>
      <w:r w:rsidR="006D67DF" w:rsidRPr="006D67DF">
        <w:rPr>
          <w:rFonts w:ascii="Times New Roman" w:hAnsi="Times New Roman" w:cs="Times New Roman"/>
          <w:i/>
          <w:noProof/>
          <w:sz w:val="24"/>
        </w:rPr>
        <w:t>Law,</w:t>
      </w:r>
    </w:p>
    <w:p w:rsidR="00A51B3F" w:rsidRPr="006D67DF" w:rsidRDefault="00A51B3F" w:rsidP="004212BF">
      <w:pPr>
        <w:spacing w:after="0" w:line="240" w:lineRule="auto"/>
        <w:jc w:val="right"/>
        <w:rPr>
          <w:rFonts w:ascii="Times New Roman" w:eastAsia="Times New Roman" w:hAnsi="Times New Roman" w:cs="Times New Roman"/>
          <w:i/>
          <w:noProof/>
          <w:sz w:val="24"/>
          <w:szCs w:val="24"/>
        </w:rPr>
      </w:pPr>
      <w:r w:rsidRPr="006D67DF">
        <w:rPr>
          <w:rFonts w:ascii="Times New Roman" w:hAnsi="Times New Roman" w:cs="Times New Roman"/>
          <w:i/>
          <w:noProof/>
          <w:sz w:val="24"/>
        </w:rPr>
        <w:t>Section 5, Paragraph four, Clause 2 of the Law On Subterranean Depths,</w:t>
      </w:r>
    </w:p>
    <w:p w:rsidR="00A51B3F" w:rsidRPr="006D67DF" w:rsidRDefault="00A51B3F" w:rsidP="004212BF">
      <w:pPr>
        <w:spacing w:after="0" w:line="240" w:lineRule="auto"/>
        <w:jc w:val="right"/>
        <w:rPr>
          <w:rFonts w:ascii="Times New Roman" w:eastAsia="Times New Roman" w:hAnsi="Times New Roman" w:cs="Times New Roman"/>
          <w:i/>
          <w:noProof/>
          <w:sz w:val="24"/>
          <w:szCs w:val="24"/>
        </w:rPr>
      </w:pPr>
      <w:r w:rsidRPr="006D67DF">
        <w:rPr>
          <w:rFonts w:ascii="Times New Roman" w:hAnsi="Times New Roman" w:cs="Times New Roman"/>
          <w:i/>
          <w:noProof/>
          <w:sz w:val="24"/>
        </w:rPr>
        <w:t>Section 13, Paragraph 4.</w:t>
      </w:r>
      <w:r w:rsidRPr="006D67DF">
        <w:rPr>
          <w:rFonts w:ascii="Times New Roman" w:hAnsi="Times New Roman" w:cs="Times New Roman"/>
          <w:i/>
          <w:noProof/>
          <w:sz w:val="24"/>
          <w:vertAlign w:val="superscript"/>
        </w:rPr>
        <w:t>1</w:t>
      </w:r>
      <w:r w:rsidRPr="006D67DF">
        <w:rPr>
          <w:rFonts w:ascii="Times New Roman" w:hAnsi="Times New Roman" w:cs="Times New Roman"/>
          <w:i/>
          <w:noProof/>
          <w:sz w:val="24"/>
        </w:rPr>
        <w:t xml:space="preserve"> of the Law On Radiation Safety and Nuclear Safety, and</w:t>
      </w:r>
    </w:p>
    <w:p w:rsidR="00A51B3F" w:rsidRPr="006D67DF" w:rsidRDefault="00A51B3F" w:rsidP="004212BF">
      <w:pPr>
        <w:spacing w:after="0" w:line="240" w:lineRule="auto"/>
        <w:jc w:val="right"/>
        <w:rPr>
          <w:rFonts w:ascii="Times New Roman" w:eastAsia="Times New Roman" w:hAnsi="Times New Roman" w:cs="Times New Roman"/>
          <w:i/>
          <w:noProof/>
          <w:sz w:val="24"/>
          <w:szCs w:val="24"/>
        </w:rPr>
      </w:pPr>
      <w:r w:rsidRPr="006D67DF">
        <w:rPr>
          <w:rFonts w:ascii="Times New Roman" w:hAnsi="Times New Roman" w:cs="Times New Roman"/>
          <w:i/>
          <w:noProof/>
          <w:sz w:val="24"/>
        </w:rPr>
        <w:t>Section 32.</w:t>
      </w:r>
      <w:r w:rsidRPr="006D67DF">
        <w:rPr>
          <w:rFonts w:ascii="Times New Roman" w:hAnsi="Times New Roman" w:cs="Times New Roman"/>
          <w:i/>
          <w:noProof/>
          <w:sz w:val="24"/>
          <w:vertAlign w:val="superscript"/>
        </w:rPr>
        <w:t>3</w:t>
      </w:r>
      <w:r w:rsidRPr="006D67DF">
        <w:rPr>
          <w:rFonts w:ascii="Times New Roman" w:hAnsi="Times New Roman" w:cs="Times New Roman"/>
          <w:i/>
          <w:noProof/>
          <w:sz w:val="24"/>
        </w:rPr>
        <w:t>, Paragraph nine, Clause 2 of the Law On Pollution</w:t>
      </w:r>
    </w:p>
    <w:p w:rsidR="00A51B3F" w:rsidRPr="006D67DF" w:rsidRDefault="00A51B3F" w:rsidP="004212BF">
      <w:pPr>
        <w:spacing w:after="0" w:line="240" w:lineRule="auto"/>
        <w:jc w:val="right"/>
        <w:rPr>
          <w:rFonts w:ascii="Times New Roman" w:eastAsia="Times New Roman" w:hAnsi="Times New Roman" w:cs="Times New Roman"/>
          <w:i/>
          <w:noProof/>
          <w:sz w:val="24"/>
          <w:szCs w:val="24"/>
        </w:rPr>
      </w:pPr>
      <w:r w:rsidRPr="006D67DF">
        <w:rPr>
          <w:rFonts w:ascii="Times New Roman" w:hAnsi="Times New Roman" w:cs="Times New Roman"/>
          <w:i/>
          <w:noProof/>
          <w:sz w:val="24"/>
        </w:rPr>
        <w:t>[5 August 2014]</w:t>
      </w: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bookmarkStart w:id="0" w:name="p-481020"/>
      <w:bookmarkEnd w:id="0"/>
      <w:r w:rsidRPr="006D67DF">
        <w:rPr>
          <w:rFonts w:ascii="Times New Roman" w:hAnsi="Times New Roman" w:cs="Times New Roman"/>
          <w:noProof/>
          <w:sz w:val="24"/>
        </w:rPr>
        <w:t>1. This Regulation prescribes the price list for the paid services of the State limited liability company “Latvian Environment, Geology and Meteorology Centre”.</w:t>
      </w:r>
      <w:bookmarkStart w:id="1" w:name="p1"/>
      <w:bookmarkEnd w:id="1"/>
    </w:p>
    <w:p w:rsidR="004212BF" w:rsidRPr="006D67DF" w:rsidRDefault="004212BF" w:rsidP="00A51B3F">
      <w:pPr>
        <w:spacing w:after="0" w:line="240" w:lineRule="auto"/>
        <w:jc w:val="both"/>
        <w:rPr>
          <w:rFonts w:ascii="Times New Roman" w:eastAsia="Times New Roman" w:hAnsi="Times New Roman" w:cs="Times New Roman"/>
          <w:noProof/>
          <w:sz w:val="24"/>
          <w:szCs w:val="24"/>
        </w:rPr>
      </w:pPr>
      <w:bookmarkStart w:id="2" w:name="p-481021"/>
      <w:bookmarkEnd w:id="2"/>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2. The State limited liability company “Latvian Environment, Geology and Meteorology Centre” shall provide the services specified in laws and regulations according to the price list (Annex).</w:t>
      </w:r>
      <w:bookmarkStart w:id="3" w:name="p2"/>
      <w:bookmarkEnd w:id="3"/>
    </w:p>
    <w:p w:rsidR="004212BF" w:rsidRPr="006D67DF" w:rsidRDefault="004212BF" w:rsidP="00A51B3F">
      <w:pPr>
        <w:spacing w:after="0" w:line="240" w:lineRule="auto"/>
        <w:jc w:val="both"/>
        <w:rPr>
          <w:rFonts w:ascii="Times New Roman" w:eastAsia="Times New Roman" w:hAnsi="Times New Roman" w:cs="Times New Roman"/>
          <w:noProof/>
          <w:sz w:val="24"/>
          <w:szCs w:val="24"/>
        </w:rPr>
      </w:pPr>
      <w:bookmarkStart w:id="4" w:name="p-481022"/>
      <w:bookmarkEnd w:id="4"/>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3. Cabinet Regulation No. 234 of 3 April 2012, Regulations Regarding the Price List for the Paid Services Provided by the State Limited Liability Company “Latvian Environment, Geology and Meteorology Centre” (</w:t>
      </w:r>
      <w:r w:rsidRPr="006D67DF">
        <w:rPr>
          <w:rFonts w:ascii="Times New Roman" w:hAnsi="Times New Roman" w:cs="Times New Roman"/>
          <w:i/>
          <w:noProof/>
          <w:sz w:val="24"/>
        </w:rPr>
        <w:t>Latvijas Vēstnesis</w:t>
      </w:r>
      <w:r w:rsidRPr="006D67DF">
        <w:rPr>
          <w:rFonts w:ascii="Times New Roman" w:hAnsi="Times New Roman" w:cs="Times New Roman"/>
          <w:noProof/>
          <w:sz w:val="24"/>
        </w:rPr>
        <w:t>, 2012, No. 55), is repealed.</w:t>
      </w:r>
      <w:bookmarkStart w:id="5" w:name="p3"/>
      <w:bookmarkEnd w:id="5"/>
    </w:p>
    <w:p w:rsidR="004212BF" w:rsidRPr="006D67DF" w:rsidRDefault="004212BF" w:rsidP="00A51B3F">
      <w:pPr>
        <w:spacing w:after="0" w:line="240" w:lineRule="auto"/>
        <w:jc w:val="both"/>
        <w:rPr>
          <w:rFonts w:ascii="Times New Roman" w:eastAsia="Times New Roman" w:hAnsi="Times New Roman" w:cs="Times New Roman"/>
          <w:noProof/>
          <w:sz w:val="24"/>
          <w:szCs w:val="24"/>
        </w:rPr>
      </w:pPr>
      <w:bookmarkStart w:id="6" w:name="p-481023"/>
      <w:bookmarkEnd w:id="6"/>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4. For cash payments which are performed in lats during the parallel circulation time period specified in the Law On the Procedure for Introduction of Euro Cabinet Regulation No. 234 of 3 April 2012, Regulations Regarding the Price List for the Paid Services Provided by the State Limited Liability Company “Latvian Environment, Geology and Meteorology Centre”, shall be applied.</w:t>
      </w:r>
      <w:bookmarkStart w:id="7" w:name="p4"/>
      <w:bookmarkEnd w:id="7"/>
    </w:p>
    <w:p w:rsidR="004212BF" w:rsidRPr="006D67DF" w:rsidRDefault="004212BF" w:rsidP="00A51B3F">
      <w:pPr>
        <w:spacing w:after="0" w:line="240" w:lineRule="auto"/>
        <w:jc w:val="both"/>
        <w:rPr>
          <w:rFonts w:ascii="Times New Roman" w:eastAsia="Times New Roman" w:hAnsi="Times New Roman" w:cs="Times New Roman"/>
          <w:noProof/>
          <w:sz w:val="24"/>
          <w:szCs w:val="24"/>
        </w:rPr>
      </w:pPr>
      <w:bookmarkStart w:id="8" w:name="p-481024"/>
      <w:bookmarkEnd w:id="8"/>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5. This Regulation shall come into force on 1 January 2014.</w:t>
      </w:r>
      <w:bookmarkStart w:id="9" w:name="p5"/>
      <w:bookmarkEnd w:id="9"/>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6D67DF" w:rsidRPr="006D67DF" w:rsidRDefault="006D67DF" w:rsidP="00A51B3F">
      <w:pPr>
        <w:spacing w:after="0" w:line="240" w:lineRule="auto"/>
        <w:jc w:val="both"/>
        <w:rPr>
          <w:rFonts w:ascii="Times New Roman" w:hAnsi="Times New Roman" w:cs="Times New Roman"/>
          <w:noProof/>
          <w:sz w:val="24"/>
        </w:rPr>
      </w:pPr>
      <w:r w:rsidRPr="006D67DF">
        <w:rPr>
          <w:rFonts w:ascii="Times New Roman" w:hAnsi="Times New Roman" w:cs="Times New Roman"/>
          <w:noProof/>
          <w:sz w:val="24"/>
        </w:rPr>
        <w:t>Acting for the Prime Minister,</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Minister for Welfare</w:t>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006D67DF" w:rsidRPr="006D67DF">
        <w:rPr>
          <w:rFonts w:ascii="Times New Roman" w:hAnsi="Times New Roman" w:cs="Times New Roman"/>
          <w:noProof/>
          <w:sz w:val="24"/>
        </w:rPr>
        <w:tab/>
      </w:r>
      <w:r w:rsidRPr="006D67DF">
        <w:rPr>
          <w:rFonts w:ascii="Times New Roman" w:hAnsi="Times New Roman" w:cs="Times New Roman"/>
          <w:noProof/>
          <w:sz w:val="24"/>
        </w:rPr>
        <w:t>Ilze Viņķele</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p>
    <w:p w:rsidR="006D67DF" w:rsidRPr="006D67DF" w:rsidRDefault="00A51B3F" w:rsidP="00A51B3F">
      <w:pPr>
        <w:spacing w:after="0" w:line="240" w:lineRule="auto"/>
        <w:jc w:val="both"/>
        <w:rPr>
          <w:rFonts w:ascii="Times New Roman" w:hAnsi="Times New Roman" w:cs="Times New Roman"/>
          <w:noProof/>
          <w:sz w:val="24"/>
        </w:rPr>
      </w:pPr>
      <w:r w:rsidRPr="006D67DF">
        <w:rPr>
          <w:rFonts w:ascii="Times New Roman" w:hAnsi="Times New Roman" w:cs="Times New Roman"/>
          <w:noProof/>
          <w:sz w:val="24"/>
        </w:rPr>
        <w:t>Minister f</w:t>
      </w:r>
      <w:r w:rsidR="006D67DF" w:rsidRPr="006D67DF">
        <w:rPr>
          <w:rFonts w:ascii="Times New Roman" w:hAnsi="Times New Roman" w:cs="Times New Roman"/>
          <w:noProof/>
          <w:sz w:val="24"/>
        </w:rPr>
        <w:t>or Environmental Protection</w:t>
      </w:r>
    </w:p>
    <w:p w:rsidR="004212BF" w:rsidRPr="006D67DF" w:rsidRDefault="006D67DF" w:rsidP="006D67D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rPr>
        <w:t>and Regional Development</w:t>
      </w:r>
      <w:r w:rsidRPr="006D67DF">
        <w:rPr>
          <w:rFonts w:ascii="Times New Roman" w:hAnsi="Times New Roman" w:cs="Times New Roman"/>
          <w:noProof/>
          <w:sz w:val="24"/>
        </w:rPr>
        <w:tab/>
      </w:r>
      <w:r w:rsidRPr="006D67DF">
        <w:rPr>
          <w:rFonts w:ascii="Times New Roman" w:hAnsi="Times New Roman" w:cs="Times New Roman"/>
          <w:noProof/>
          <w:sz w:val="24"/>
        </w:rPr>
        <w:tab/>
      </w:r>
      <w:r w:rsidRPr="006D67DF">
        <w:rPr>
          <w:rFonts w:ascii="Times New Roman" w:hAnsi="Times New Roman" w:cs="Times New Roman"/>
          <w:noProof/>
          <w:sz w:val="24"/>
        </w:rPr>
        <w:tab/>
      </w:r>
      <w:r w:rsidRPr="006D67DF">
        <w:rPr>
          <w:rFonts w:ascii="Times New Roman" w:hAnsi="Times New Roman" w:cs="Times New Roman"/>
          <w:noProof/>
          <w:sz w:val="24"/>
        </w:rPr>
        <w:tab/>
      </w:r>
      <w:r w:rsidRPr="006D67DF">
        <w:rPr>
          <w:rFonts w:ascii="Times New Roman" w:hAnsi="Times New Roman" w:cs="Times New Roman"/>
          <w:noProof/>
          <w:sz w:val="24"/>
        </w:rPr>
        <w:tab/>
      </w:r>
      <w:r w:rsidRPr="006D67DF">
        <w:rPr>
          <w:rFonts w:ascii="Times New Roman" w:hAnsi="Times New Roman" w:cs="Times New Roman"/>
          <w:noProof/>
          <w:sz w:val="24"/>
        </w:rPr>
        <w:tab/>
      </w:r>
      <w:r w:rsidRPr="006D67DF">
        <w:rPr>
          <w:rFonts w:ascii="Times New Roman" w:hAnsi="Times New Roman" w:cs="Times New Roman"/>
          <w:noProof/>
          <w:sz w:val="24"/>
        </w:rPr>
        <w:tab/>
      </w:r>
      <w:r w:rsidR="00A51B3F" w:rsidRPr="006D67DF">
        <w:rPr>
          <w:rFonts w:ascii="Times New Roman" w:hAnsi="Times New Roman" w:cs="Times New Roman"/>
          <w:noProof/>
          <w:sz w:val="24"/>
        </w:rPr>
        <w:t>Edmunds Sprūdžs</w:t>
      </w:r>
      <w:r w:rsidR="004212BF" w:rsidRPr="006D67DF">
        <w:rPr>
          <w:rFonts w:ascii="Times New Roman" w:hAnsi="Times New Roman" w:cs="Times New Roman"/>
        </w:rPr>
        <w:br w:type="page"/>
      </w: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4212BF">
      <w:pPr>
        <w:spacing w:after="0" w:line="240" w:lineRule="auto"/>
        <w:jc w:val="right"/>
        <w:rPr>
          <w:rFonts w:ascii="Times New Roman" w:eastAsia="Times New Roman" w:hAnsi="Times New Roman" w:cs="Times New Roman"/>
          <w:b/>
          <w:noProof/>
          <w:sz w:val="24"/>
          <w:szCs w:val="24"/>
        </w:rPr>
      </w:pPr>
      <w:r w:rsidRPr="006D67DF">
        <w:rPr>
          <w:rFonts w:ascii="Times New Roman" w:hAnsi="Times New Roman" w:cs="Times New Roman"/>
          <w:b/>
          <w:noProof/>
          <w:sz w:val="24"/>
        </w:rPr>
        <w:t>Annex</w:t>
      </w:r>
    </w:p>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rPr>
        <w:t>Cabinet Regulation No. 752</w:t>
      </w:r>
    </w:p>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rPr>
        <w:t>3 September 2013</w:t>
      </w:r>
      <w:bookmarkStart w:id="10" w:name="piel0"/>
      <w:bookmarkEnd w:id="10"/>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4212BF">
      <w:pPr>
        <w:spacing w:after="0" w:line="240" w:lineRule="auto"/>
        <w:jc w:val="center"/>
        <w:rPr>
          <w:rFonts w:ascii="Times New Roman" w:eastAsia="Times New Roman" w:hAnsi="Times New Roman" w:cs="Times New Roman"/>
          <w:b/>
          <w:noProof/>
          <w:sz w:val="28"/>
          <w:szCs w:val="28"/>
        </w:rPr>
      </w:pPr>
      <w:bookmarkStart w:id="11" w:name="522985"/>
      <w:bookmarkEnd w:id="11"/>
      <w:r w:rsidRPr="006D67DF">
        <w:rPr>
          <w:rFonts w:ascii="Times New Roman" w:hAnsi="Times New Roman" w:cs="Times New Roman"/>
          <w:b/>
          <w:noProof/>
          <w:sz w:val="28"/>
        </w:rPr>
        <w:t>Price List for the Paid Services of the State Limited Liability Company “Latvian Environment, Geology and Meteorology Centre”</w:t>
      </w:r>
    </w:p>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i/>
          <w:noProof/>
          <w:sz w:val="24"/>
        </w:rPr>
        <w:t>[17 December 2013; 5 August 2014]</w:t>
      </w: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5"/>
        <w:gridCol w:w="3353"/>
        <w:gridCol w:w="1547"/>
        <w:gridCol w:w="1200"/>
        <w:gridCol w:w="787"/>
        <w:gridCol w:w="1313"/>
      </w:tblGrid>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No.</w:t>
            </w:r>
          </w:p>
        </w:tc>
        <w:tc>
          <w:tcPr>
            <w:tcW w:w="1886"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Type of service</w:t>
            </w:r>
          </w:p>
        </w:tc>
        <w:tc>
          <w:tcPr>
            <w:tcW w:w="838"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Unit of measurement</w:t>
            </w:r>
          </w:p>
        </w:tc>
        <w:tc>
          <w:tcPr>
            <w:tcW w:w="646"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Price excluding VAT (euro)</w:t>
            </w:r>
          </w:p>
        </w:tc>
        <w:tc>
          <w:tcPr>
            <w:tcW w:w="418"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VAT (euro)</w:t>
            </w:r>
            <w:r w:rsidRPr="006D67DF">
              <w:rPr>
                <w:rFonts w:ascii="Times New Roman" w:hAnsi="Times New Roman" w:cs="Times New Roman"/>
                <w:noProof/>
                <w:sz w:val="24"/>
                <w:szCs w:val="24"/>
                <w:vertAlign w:val="superscript"/>
              </w:rPr>
              <w:t>1</w:t>
            </w:r>
          </w:p>
        </w:tc>
        <w:tc>
          <w:tcPr>
            <w:tcW w:w="649" w:type="pct"/>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Price including VAT (euro)</w:t>
            </w:r>
          </w:p>
        </w:tc>
      </w:tr>
      <w:tr w:rsidR="00A51B3F" w:rsidRPr="006D67DF" w:rsidTr="006D67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b/>
                <w:bCs/>
                <w:noProof/>
                <w:sz w:val="24"/>
                <w:szCs w:val="24"/>
              </w:rPr>
            </w:pPr>
            <w:r w:rsidRPr="006D67DF">
              <w:rPr>
                <w:rFonts w:ascii="Times New Roman" w:hAnsi="Times New Roman" w:cs="Times New Roman"/>
                <w:b/>
                <w:noProof/>
                <w:sz w:val="24"/>
                <w:szCs w:val="24"/>
              </w:rPr>
              <w:t>1. Evaluation of biocidal products</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receipt of the inventory number for a biocidal product</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60.20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60.20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documentation for approval of an active substance in accordance with Articles 7 and 8 of Regulation (EU) No 528/2012 of the European Parliament and of the Council of 22 May 2012 concerning the making available on the market and use of biocidal products (hereinafter –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active substance</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122,872.00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122,872.00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documentation for approval of an active substance for additional product type</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product type</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38,931.14</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38,931.14</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1.4.</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documentation for renewal of an active substance in accordance with Article 14 of Regulation No 528/2012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1.4.1.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Full evaluation of documentation</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active substance</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122,872.00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122,872.00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1.4.2.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Partial evaluation of documentation</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active substance</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15,136.97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15,136.97</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documentation for receipt of a permit for equivalent biocidal product in accordance with Article 17(7)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3,440.22</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3,440.22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1.6.</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mutual recognition of a permit granted to an equivalent biocidal product, if a permit has been granted to the reference biocidal product in Latvia in mutual recognition procedure</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963.26</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963.26</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in case of a comparative assessment in accordance with Article 23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17,773.94</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17,773.94</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1.8.</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receipt of a permit in a simplified procedure for granting a permit in accordance with Article 26 of Regulation No 528/2012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1.8.1.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individual application regarding a biocidal product</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1376.09</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1376.09</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1.8.2.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regarding a family of biocidal products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family of biocidal products</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1926.52</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1926.52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Examination of the labelling of a biocidal product, if it has been granted a permit in simplified procedure (Article 27(1)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137.61</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137.61</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1.10.</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granting a permit for a biocidal product in accordance with Articles 29 and 30 of Regulation No 528/2012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1.10.1.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individual application regarding a biocidal product</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59,216.60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59,216.60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1.10.2.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regarding a family of biocidal products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family of biocidal products</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77,048.15</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77,048.15</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granting a permit for a biocidal product for additional product type</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documentation for one product type</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20,554.92</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20,554.92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applying one biocidal product in a family of biocidal products which has already been granted a permit</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412.83</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412.83</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1.13.</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renewing a permit for a biocidal product in accordance with Article 31 of Regulation No 528/2012</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1.13.1.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Full evaluation of documentation</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59,216.60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59,216.60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1.13.2.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Partial evaluation of documentation</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12,109.57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12,109.57</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1.14.</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mutual recognition of a permit for biocidal products in accordance with Article 33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2752.18</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2752.18</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1.15.</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concurrent mutual recognition of a permit for biocidal products in accordance with Article 34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2752.18</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2752.18</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1.16.</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amending a permit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1.16.1.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in accordance with Article 51 of Regulation No 528/2012, if there are administrative changes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412.83</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412.83</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1.16.2.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in accordance with Article 51 of Regulation No 528/2012, if there are insignificant changes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2614.57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2614.57</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1.16.3.</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in accordance with Article 51 of Regulation No 528/2012, if there are significant changes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15,216.98</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15,216.98</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1.17.</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Evaluation of an application for receipt of a parallel trade permit in accordance with Article 53 of Regulation No 528/2012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application for one biocidal product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1376.09</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1376.09</w:t>
            </w:r>
          </w:p>
        </w:tc>
      </w:tr>
      <w:tr w:rsidR="00A51B3F" w:rsidRPr="006D67DF" w:rsidTr="006D67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b/>
                <w:bCs/>
                <w:noProof/>
                <w:sz w:val="24"/>
                <w:szCs w:val="24"/>
              </w:rPr>
            </w:pPr>
            <w:r w:rsidRPr="006D67DF">
              <w:rPr>
                <w:rFonts w:ascii="Times New Roman" w:hAnsi="Times New Roman" w:cs="Times New Roman"/>
                <w:b/>
                <w:noProof/>
                <w:sz w:val="24"/>
                <w:szCs w:val="24"/>
              </w:rPr>
              <w:t>2. Evaluation of geographic information</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Co-ordination of a water abstraction borehole passport or source passport</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passport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84.99</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84.99</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Accepting of stocks of mineral resources on the basis of the submitted geological research report or report on research of groundwater and calculation of stocks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report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497.18</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497.18</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2.3.</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Accepting of stocks of mineral resources on the basis of the re-submitted geological research report or report on research of groundwater and calculation of stocks</w:t>
            </w:r>
            <w:r w:rsidRPr="006D67DF">
              <w:rPr>
                <w:rFonts w:ascii="Times New Roman" w:hAnsi="Times New Roman" w:cs="Times New Roman"/>
                <w:noProof/>
                <w:sz w:val="24"/>
                <w:szCs w:val="24"/>
                <w:vertAlign w:val="superscript"/>
              </w:rPr>
              <w:t>2</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report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550.30</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550.30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2.4.</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Accepting of the stocks of mineral resources on the grounds of the study of the materials of the State geological fund</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deposit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178.47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178.47</w:t>
            </w:r>
          </w:p>
        </w:tc>
      </w:tr>
      <w:tr w:rsidR="00A51B3F" w:rsidRPr="006D67DF" w:rsidTr="006D67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b/>
                <w:bCs/>
                <w:noProof/>
                <w:sz w:val="24"/>
                <w:szCs w:val="24"/>
              </w:rPr>
            </w:pPr>
            <w:r w:rsidRPr="006D67DF">
              <w:rPr>
                <w:rFonts w:ascii="Times New Roman" w:hAnsi="Times New Roman" w:cs="Times New Roman"/>
                <w:b/>
                <w:noProof/>
                <w:sz w:val="24"/>
                <w:szCs w:val="24"/>
              </w:rPr>
              <w:t>3. Individual dosimetry</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3.1.</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Individual dosimetry with individual thermoluminescent dosimeters for the whole body</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3.1.1.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for legal persons, public persons and their institutions which use not more than 19 individual thermoluminiscent dosimeters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measurement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17.37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17.37</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3.1.2.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for legal persons, public persons and their institutions which use 20 individual thermoluminiscent dosimeters and more</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measurement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12.17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12.17</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3.2.</w:t>
            </w:r>
          </w:p>
        </w:tc>
        <w:tc>
          <w:tcPr>
            <w:tcW w:w="4503" w:type="pct"/>
            <w:gridSpan w:val="5"/>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Individual dosimetry with individual thermoluminescent dosimeters for a body part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3.2.1.</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for legal persons, public persons and their institutions which use not more than 19 individual thermoluminiscent dosimeters</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measurement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8.96</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8.96</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3.2.2.</w:t>
            </w:r>
          </w:p>
        </w:tc>
        <w:tc>
          <w:tcPr>
            <w:tcW w:w="188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for legal persons, public persons and their institutions which use 20 individual thermoluminiscent dosimeters and more</w:t>
            </w:r>
          </w:p>
        </w:tc>
        <w:tc>
          <w:tcPr>
            <w:tcW w:w="83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measurement</w:t>
            </w:r>
          </w:p>
        </w:tc>
        <w:tc>
          <w:tcPr>
            <w:tcW w:w="646"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6.27</w:t>
            </w:r>
          </w:p>
        </w:tc>
        <w:tc>
          <w:tcPr>
            <w:tcW w:w="418"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6.27</w:t>
            </w:r>
          </w:p>
        </w:tc>
      </w:tr>
      <w:tr w:rsidR="00A51B3F" w:rsidRPr="006D67DF" w:rsidTr="006D67DF">
        <w:trPr>
          <w:tblCellSpacing w:w="15" w:type="dxa"/>
        </w:trPr>
        <w:tc>
          <w:tcPr>
            <w:tcW w:w="4967" w:type="pct"/>
            <w:gridSpan w:val="6"/>
            <w:tcBorders>
              <w:top w:val="outset" w:sz="6" w:space="0" w:color="auto"/>
              <w:left w:val="outset" w:sz="6" w:space="0" w:color="auto"/>
              <w:bottom w:val="outset" w:sz="6" w:space="0" w:color="auto"/>
              <w:right w:val="outset" w:sz="6" w:space="0" w:color="auto"/>
            </w:tcBorders>
            <w:vAlign w:val="center"/>
            <w:hideMark/>
          </w:tcPr>
          <w:p w:rsidR="00A51B3F" w:rsidRPr="006D67DF" w:rsidRDefault="00A51B3F" w:rsidP="004212BF">
            <w:pPr>
              <w:spacing w:after="0" w:line="240" w:lineRule="auto"/>
              <w:jc w:val="center"/>
              <w:rPr>
                <w:rFonts w:ascii="Times New Roman" w:eastAsia="Times New Roman" w:hAnsi="Times New Roman" w:cs="Times New Roman"/>
                <w:b/>
                <w:bCs/>
                <w:noProof/>
                <w:sz w:val="24"/>
                <w:szCs w:val="24"/>
              </w:rPr>
            </w:pPr>
            <w:r w:rsidRPr="006D67DF">
              <w:rPr>
                <w:rFonts w:ascii="Times New Roman" w:hAnsi="Times New Roman" w:cs="Times New Roman"/>
                <w:b/>
                <w:noProof/>
                <w:sz w:val="24"/>
                <w:szCs w:val="24"/>
              </w:rPr>
              <w:t>4. Actions in the emission register</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Mandatory participants of the </w:t>
            </w:r>
            <w:r w:rsidRPr="006D67DF">
              <w:rPr>
                <w:rFonts w:ascii="Times New Roman" w:hAnsi="Times New Roman" w:cs="Times New Roman"/>
                <w:sz w:val="24"/>
                <w:szCs w:val="24"/>
              </w:rPr>
              <w:t>European Union Emissions Trading System</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Opening of the </w:t>
            </w:r>
            <w:r w:rsidRPr="006D67DF">
              <w:rPr>
                <w:rFonts w:ascii="Times New Roman" w:hAnsi="Times New Roman" w:cs="Times New Roman"/>
                <w:sz w:val="24"/>
                <w:szCs w:val="24"/>
              </w:rPr>
              <w:t>national holding account, approval of the authorised representatives of the account</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Opening of an account </w:t>
            </w:r>
            <w:r w:rsidRPr="006D67DF">
              <w:rPr>
                <w:rFonts w:ascii="Times New Roman" w:hAnsi="Times New Roman" w:cs="Times New Roman"/>
                <w:sz w:val="24"/>
                <w:szCs w:val="24"/>
              </w:rPr>
              <w:t>for the European Union Emissions Trading System operator of Latvia to which a permit for greenhouse gas emissions has been issued, approval of the authorised representatives of the account</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4.1.3.</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Opening of an account for an aircraft operator of the Latvian administration, approval of the authorised representatives of the account</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4.1.4.</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Such actions in the emissions register which are performed instead of the operator or aircraft operator, including:</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entering of the verified amount of emissions and performance of the transfer transaction;</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performance of all types of transactions, approval of transactions;</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adding of the list of trusted accounts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action</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31.9</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31.9</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Annual fee for servicing the </w:t>
            </w:r>
            <w:r w:rsidRPr="006D67DF">
              <w:rPr>
                <w:rFonts w:ascii="Times New Roman" w:hAnsi="Times New Roman" w:cs="Times New Roman"/>
                <w:sz w:val="24"/>
                <w:szCs w:val="24"/>
              </w:rPr>
              <w:t>operator or aircraft operator holding account</w:t>
            </w:r>
            <w:r w:rsidRPr="006D67DF">
              <w:rPr>
                <w:rFonts w:ascii="Times New Roman" w:hAnsi="Times New Roman" w:cs="Times New Roman"/>
                <w:sz w:val="24"/>
                <w:szCs w:val="24"/>
                <w:vertAlign w:val="superscript"/>
              </w:rPr>
              <w:t>3</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to 1000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95.70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95.70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1001 to 5,000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4.1.5.3.</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5,001 to 10,000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303.05</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303.05</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4.1.5.4.</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10,001 to 50,000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398.75</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398.75</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4.1.5.5.</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50,001 to 100,000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606.10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606.10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4.1.5.6.</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100,001 to 1,000,000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797.50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797.50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4.1.5.7.</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1,000,001 to 5,000,000 units</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957.00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957.00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4.1.6.</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Approval of the authorised representative of the </w:t>
            </w:r>
            <w:r w:rsidRPr="006D67DF">
              <w:rPr>
                <w:rFonts w:ascii="Times New Roman" w:hAnsi="Times New Roman" w:cs="Times New Roman"/>
                <w:sz w:val="24"/>
                <w:szCs w:val="24"/>
              </w:rPr>
              <w:t>operator or aircraft operator holding account, if the account holder is not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approval of 1 representative</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4.2.</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Opening of </w:t>
            </w:r>
            <w:r w:rsidRPr="006D67DF">
              <w:rPr>
                <w:rFonts w:ascii="Times New Roman" w:hAnsi="Times New Roman" w:cs="Times New Roman"/>
                <w:sz w:val="24"/>
                <w:szCs w:val="24"/>
              </w:rPr>
              <w:t>a verifier account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4.2.1.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verifier accredited in Latvia</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4.2.2.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verifier accredited in another European Union Member State</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4.2.3.</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verifier certified in another European Union Member State</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Voluntary participants of the </w:t>
            </w:r>
            <w:r w:rsidRPr="006D67DF">
              <w:rPr>
                <w:rFonts w:ascii="Times New Roman" w:hAnsi="Times New Roman" w:cs="Times New Roman"/>
                <w:sz w:val="24"/>
                <w:szCs w:val="24"/>
              </w:rPr>
              <w:t>European Union Emissions Trading System</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4.3.1.</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Approval of the authorised representative of the account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4.3.1.1.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authorised representative of the account is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approval of 1 representative</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174.90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174.90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4.3.1.2.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not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approval of 1 representative</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638.00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4.3.2.</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Opening of the auction </w:t>
            </w:r>
            <w:r w:rsidRPr="006D67DF">
              <w:rPr>
                <w:rFonts w:ascii="Times New Roman" w:hAnsi="Times New Roman" w:cs="Times New Roman"/>
                <w:sz w:val="24"/>
                <w:szCs w:val="24"/>
              </w:rPr>
              <w:t>delivery account, opening of a person holding account, or opening of an external trading platform account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4.3.2.1.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legal person registered in the Commercial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803.00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803.00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4.3.2.2.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legal person, but not a legal person registered in the Commercial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1276.00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1276.00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4.3.2.3.</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natural person and is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803.00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803.00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4.3.2.4.</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natural person, but is not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 account</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1276.00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1276.00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4.3.3.</w:t>
            </w:r>
          </w:p>
        </w:tc>
        <w:tc>
          <w:tcPr>
            <w:tcW w:w="4503" w:type="pct"/>
            <w:gridSpan w:val="5"/>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 xml:space="preserve">Annual fee for the maintenance and servicing of the auction </w:t>
            </w:r>
            <w:r w:rsidRPr="006D67DF">
              <w:rPr>
                <w:rFonts w:ascii="Times New Roman" w:hAnsi="Times New Roman" w:cs="Times New Roman"/>
                <w:sz w:val="24"/>
                <w:szCs w:val="24"/>
              </w:rPr>
              <w:t>delivery account, person holding account, or external trading platform account</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4.3.3.1.</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legal person registered in the Commercial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1595.00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1595.00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4.3.3.2.</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natural person and is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1595.00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1595.00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4.3.3.3.</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legal person, but not a legal person registered in the Commercial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1914.00</w:t>
            </w:r>
          </w:p>
        </w:tc>
      </w:tr>
      <w:tr w:rsidR="00A51B3F" w:rsidRPr="006D67DF" w:rsidTr="006D67DF">
        <w:trPr>
          <w:tblCellSpacing w:w="15" w:type="dxa"/>
        </w:trPr>
        <w:tc>
          <w:tcPr>
            <w:tcW w:w="447"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4.3.3.4.</w:t>
            </w:r>
          </w:p>
        </w:tc>
        <w:tc>
          <w:tcPr>
            <w:tcW w:w="188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if the account holder is a natural person, but is not a citizen of Latvia, non-citizen of Latvia, or a person who has received a residence permit in Latvia, a permanent residence permit, or a registration certificate of the Union citizen specified in the laws and regulations regarding the procedures by which Union citizens and their family members enter and reside in the Republic of Latvia, and accordingly has not been registered in the Population Register</w:t>
            </w:r>
          </w:p>
        </w:tc>
        <w:tc>
          <w:tcPr>
            <w:tcW w:w="83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center"/>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year</w:t>
            </w:r>
          </w:p>
        </w:tc>
        <w:tc>
          <w:tcPr>
            <w:tcW w:w="646"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1914.00</w:t>
            </w:r>
          </w:p>
        </w:tc>
        <w:tc>
          <w:tcPr>
            <w:tcW w:w="418"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0.00</w:t>
            </w:r>
          </w:p>
        </w:tc>
        <w:tc>
          <w:tcPr>
            <w:tcW w:w="649" w:type="pct"/>
            <w:tcBorders>
              <w:top w:val="outset" w:sz="6" w:space="0" w:color="auto"/>
              <w:left w:val="outset" w:sz="6" w:space="0" w:color="auto"/>
              <w:bottom w:val="outset" w:sz="6" w:space="0" w:color="auto"/>
              <w:right w:val="outset" w:sz="6" w:space="0" w:color="auto"/>
            </w:tcBorders>
            <w:shd w:val="clear" w:color="auto" w:fill="FFFFFF"/>
            <w:hideMark/>
          </w:tcPr>
          <w:p w:rsidR="00A51B3F" w:rsidRPr="006D67DF" w:rsidRDefault="00A51B3F" w:rsidP="004212BF">
            <w:pPr>
              <w:spacing w:after="0" w:line="240" w:lineRule="auto"/>
              <w:jc w:val="right"/>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1914.00</w:t>
            </w:r>
          </w:p>
        </w:tc>
      </w:tr>
    </w:tbl>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Notes.</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vertAlign w:val="superscript"/>
        </w:rPr>
        <w:t>1</w:t>
      </w:r>
      <w:r w:rsidRPr="006D67DF">
        <w:rPr>
          <w:rFonts w:ascii="Times New Roman" w:hAnsi="Times New Roman" w:cs="Times New Roman"/>
          <w:noProof/>
          <w:sz w:val="24"/>
          <w:szCs w:val="24"/>
        </w:rPr>
        <w:t xml:space="preserve"> Value added tax shall not be applied in accordance with Section 3, Paragraph eight of the Value Added Tax Law.</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vertAlign w:val="superscript"/>
        </w:rPr>
        <w:t>2</w:t>
      </w:r>
      <w:r w:rsidRPr="006D67DF">
        <w:rPr>
          <w:rFonts w:ascii="Times New Roman" w:hAnsi="Times New Roman" w:cs="Times New Roman"/>
          <w:noProof/>
          <w:sz w:val="24"/>
          <w:szCs w:val="24"/>
        </w:rPr>
        <w:t xml:space="preserve"> The fee for the procedure of acceptance if it includes a re-evaluation of the report.</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vertAlign w:val="superscript"/>
        </w:rPr>
        <w:t>3</w:t>
      </w:r>
      <w:r w:rsidRPr="006D67DF">
        <w:rPr>
          <w:rFonts w:ascii="Times New Roman" w:hAnsi="Times New Roman" w:cs="Times New Roman"/>
          <w:noProof/>
          <w:sz w:val="24"/>
          <w:szCs w:val="24"/>
        </w:rPr>
        <w:t xml:space="preserve"> The fee is determined, taking into account the amount of emission </w:t>
      </w:r>
      <w:r w:rsidRPr="006D67DF">
        <w:rPr>
          <w:rFonts w:ascii="Times New Roman" w:hAnsi="Times New Roman" w:cs="Times New Roman"/>
          <w:sz w:val="24"/>
          <w:szCs w:val="24"/>
        </w:rPr>
        <w:t>allowances or aviation emission allowances allocated to the operator or aircraft operator in the particular year.</w:t>
      </w: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4212BF" w:rsidRPr="006D67DF" w:rsidRDefault="004212BF" w:rsidP="00A51B3F">
      <w:pPr>
        <w:spacing w:after="0" w:line="240" w:lineRule="auto"/>
        <w:jc w:val="both"/>
        <w:rPr>
          <w:rFonts w:ascii="Times New Roman" w:eastAsia="Times New Roman" w:hAnsi="Times New Roman" w:cs="Times New Roman"/>
          <w:noProof/>
          <w:sz w:val="24"/>
          <w:szCs w:val="24"/>
        </w:rPr>
      </w:pPr>
    </w:p>
    <w:p w:rsidR="006D67DF" w:rsidRDefault="00A51B3F" w:rsidP="00A51B3F">
      <w:pPr>
        <w:spacing w:after="0" w:line="240" w:lineRule="auto"/>
        <w:jc w:val="both"/>
        <w:rPr>
          <w:rFonts w:ascii="Times New Roman" w:hAnsi="Times New Roman" w:cs="Times New Roman"/>
          <w:noProof/>
          <w:sz w:val="24"/>
          <w:szCs w:val="24"/>
        </w:rPr>
      </w:pPr>
      <w:r w:rsidRPr="006D67DF">
        <w:rPr>
          <w:rFonts w:ascii="Times New Roman" w:hAnsi="Times New Roman" w:cs="Times New Roman"/>
          <w:noProof/>
          <w:sz w:val="24"/>
          <w:szCs w:val="24"/>
        </w:rPr>
        <w:t>Minist</w:t>
      </w:r>
      <w:r w:rsidR="006D67DF">
        <w:rPr>
          <w:rFonts w:ascii="Times New Roman" w:hAnsi="Times New Roman" w:cs="Times New Roman"/>
          <w:noProof/>
          <w:sz w:val="24"/>
          <w:szCs w:val="24"/>
        </w:rPr>
        <w:t>er for Environmental Protection</w:t>
      </w:r>
    </w:p>
    <w:p w:rsidR="00A51B3F" w:rsidRPr="006D67DF" w:rsidRDefault="00A51B3F" w:rsidP="00A51B3F">
      <w:pPr>
        <w:spacing w:after="0" w:line="240" w:lineRule="auto"/>
        <w:jc w:val="both"/>
        <w:rPr>
          <w:rFonts w:ascii="Times New Roman" w:eastAsia="Times New Roman" w:hAnsi="Times New Roman" w:cs="Times New Roman"/>
          <w:noProof/>
          <w:sz w:val="24"/>
          <w:szCs w:val="24"/>
        </w:rPr>
      </w:pPr>
      <w:r w:rsidRPr="006D67DF">
        <w:rPr>
          <w:rFonts w:ascii="Times New Roman" w:hAnsi="Times New Roman" w:cs="Times New Roman"/>
          <w:noProof/>
          <w:sz w:val="24"/>
          <w:szCs w:val="24"/>
        </w:rPr>
        <w:t>and Regional Development</w:t>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006D67DF">
        <w:rPr>
          <w:rFonts w:ascii="Times New Roman" w:hAnsi="Times New Roman" w:cs="Times New Roman"/>
          <w:noProof/>
          <w:sz w:val="24"/>
          <w:szCs w:val="24"/>
        </w:rPr>
        <w:tab/>
      </w:r>
      <w:r w:rsidRPr="006D67DF">
        <w:rPr>
          <w:rFonts w:ascii="Times New Roman" w:hAnsi="Times New Roman" w:cs="Times New Roman"/>
          <w:noProof/>
          <w:sz w:val="24"/>
          <w:szCs w:val="24"/>
        </w:rPr>
        <w:t>Edmunds Sprūdžs</w:t>
      </w:r>
    </w:p>
    <w:p w:rsidR="00A51B3F" w:rsidRPr="006D67DF" w:rsidRDefault="00A51B3F" w:rsidP="00A51B3F">
      <w:pPr>
        <w:spacing w:after="0" w:line="240" w:lineRule="auto"/>
        <w:jc w:val="both"/>
        <w:rPr>
          <w:rFonts w:ascii="Times New Roman" w:hAnsi="Times New Roman" w:cs="Times New Roman"/>
          <w:noProof/>
          <w:sz w:val="24"/>
          <w:szCs w:val="24"/>
        </w:rPr>
      </w:pPr>
    </w:p>
    <w:p w:rsidR="00A51B3F" w:rsidRPr="006D67DF" w:rsidRDefault="00A51B3F">
      <w:pPr>
        <w:spacing w:after="0" w:line="240" w:lineRule="auto"/>
        <w:jc w:val="both"/>
        <w:rPr>
          <w:rFonts w:ascii="Times New Roman" w:hAnsi="Times New Roman" w:cs="Times New Roman"/>
          <w:noProof/>
          <w:sz w:val="24"/>
          <w:szCs w:val="24"/>
        </w:rPr>
      </w:pPr>
      <w:bookmarkStart w:id="12" w:name="_GoBack"/>
      <w:bookmarkEnd w:id="12"/>
    </w:p>
    <w:sectPr w:rsidR="00A51B3F" w:rsidRPr="006D67DF" w:rsidSect="00A51B3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B3F" w:rsidRPr="00A51B3F" w:rsidRDefault="00A51B3F" w:rsidP="00A51B3F">
      <w:pPr>
        <w:spacing w:after="0" w:line="240" w:lineRule="auto"/>
        <w:rPr>
          <w:noProof/>
          <w:lang w:val="en-US"/>
        </w:rPr>
      </w:pPr>
      <w:r w:rsidRPr="00A51B3F">
        <w:rPr>
          <w:noProof/>
          <w:lang w:val="en-US"/>
        </w:rPr>
        <w:separator/>
      </w:r>
    </w:p>
  </w:endnote>
  <w:endnote w:type="continuationSeparator" w:id="0">
    <w:p w:rsidR="00A51B3F" w:rsidRPr="00A51B3F" w:rsidRDefault="00A51B3F" w:rsidP="00A51B3F">
      <w:pPr>
        <w:spacing w:after="0" w:line="240" w:lineRule="auto"/>
        <w:rPr>
          <w:noProof/>
          <w:lang w:val="en-US"/>
        </w:rPr>
      </w:pPr>
      <w:r w:rsidRPr="00A51B3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DF" w:rsidRPr="00750961" w:rsidRDefault="006D67DF" w:rsidP="006D67DF">
    <w:pPr>
      <w:pStyle w:val="Footer"/>
      <w:tabs>
        <w:tab w:val="clear" w:pos="4153"/>
        <w:tab w:val="clear" w:pos="8306"/>
        <w:tab w:val="right" w:pos="9072"/>
      </w:tabs>
      <w:rPr>
        <w:rFonts w:ascii="Times New Roman" w:hAnsi="Times New Roman"/>
        <w:sz w:val="20"/>
      </w:rPr>
    </w:pPr>
  </w:p>
  <w:p w:rsidR="006D67DF" w:rsidRPr="000523BF" w:rsidRDefault="006D67DF" w:rsidP="006D67DF">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9</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DF" w:rsidRPr="00750961" w:rsidRDefault="006D67DF" w:rsidP="006D67DF">
    <w:pPr>
      <w:pStyle w:val="Footer"/>
      <w:rPr>
        <w:rFonts w:ascii="Times New Roman" w:hAnsi="Times New Roman"/>
        <w:sz w:val="20"/>
      </w:rPr>
    </w:pPr>
  </w:p>
  <w:p w:rsidR="006D67DF" w:rsidRPr="000523BF" w:rsidRDefault="006D67DF" w:rsidP="006D67DF">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B3F" w:rsidRPr="00A51B3F" w:rsidRDefault="00A51B3F" w:rsidP="00A51B3F">
      <w:pPr>
        <w:spacing w:after="0" w:line="240" w:lineRule="auto"/>
        <w:rPr>
          <w:noProof/>
          <w:lang w:val="en-US"/>
        </w:rPr>
      </w:pPr>
      <w:r w:rsidRPr="00A51B3F">
        <w:rPr>
          <w:noProof/>
          <w:lang w:val="en-US"/>
        </w:rPr>
        <w:separator/>
      </w:r>
    </w:p>
  </w:footnote>
  <w:footnote w:type="continuationSeparator" w:id="0">
    <w:p w:rsidR="00A51B3F" w:rsidRPr="00A51B3F" w:rsidRDefault="00A51B3F" w:rsidP="00A51B3F">
      <w:pPr>
        <w:spacing w:after="0" w:line="240" w:lineRule="auto"/>
        <w:rPr>
          <w:noProof/>
          <w:lang w:val="en-US"/>
        </w:rPr>
      </w:pPr>
      <w:r w:rsidRPr="00A51B3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4A"/>
    <w:rsid w:val="004212BF"/>
    <w:rsid w:val="006D67DF"/>
    <w:rsid w:val="007E2724"/>
    <w:rsid w:val="009C264A"/>
    <w:rsid w:val="00A51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54A2C-2476-47BD-9563-EF7361CF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B3F"/>
    <w:rPr>
      <w:color w:val="0000FF"/>
      <w:u w:val="single"/>
    </w:rPr>
  </w:style>
  <w:style w:type="character" w:customStyle="1" w:styleId="labojumupamats">
    <w:name w:val="labojumu_pamats"/>
    <w:basedOn w:val="DefaultParagraphFont"/>
    <w:rsid w:val="00A51B3F"/>
  </w:style>
  <w:style w:type="paragraph" w:customStyle="1" w:styleId="tv213">
    <w:name w:val="tv213"/>
    <w:basedOn w:val="Normal"/>
    <w:rsid w:val="00A51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1">
    <w:name w:val="labojumu_pamats1"/>
    <w:basedOn w:val="Normal"/>
    <w:rsid w:val="00A51B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A51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1">
    <w:name w:val="tv_html1"/>
    <w:basedOn w:val="DefaultParagraphFont"/>
    <w:rsid w:val="00A51B3F"/>
  </w:style>
  <w:style w:type="paragraph" w:styleId="Header">
    <w:name w:val="header"/>
    <w:basedOn w:val="Normal"/>
    <w:link w:val="HeaderChar"/>
    <w:uiPriority w:val="99"/>
    <w:unhideWhenUsed/>
    <w:rsid w:val="00A51B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1B3F"/>
  </w:style>
  <w:style w:type="paragraph" w:styleId="Footer">
    <w:name w:val="footer"/>
    <w:basedOn w:val="Normal"/>
    <w:link w:val="FooterChar"/>
    <w:unhideWhenUsed/>
    <w:rsid w:val="00A51B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1B3F"/>
  </w:style>
  <w:style w:type="paragraph" w:styleId="BlockText">
    <w:name w:val="Block Text"/>
    <w:basedOn w:val="Normal"/>
    <w:rsid w:val="006D67DF"/>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6D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947552">
      <w:bodyDiv w:val="1"/>
      <w:marLeft w:val="0"/>
      <w:marRight w:val="0"/>
      <w:marTop w:val="0"/>
      <w:marBottom w:val="0"/>
      <w:divBdr>
        <w:top w:val="none" w:sz="0" w:space="0" w:color="auto"/>
        <w:left w:val="none" w:sz="0" w:space="0" w:color="auto"/>
        <w:bottom w:val="none" w:sz="0" w:space="0" w:color="auto"/>
        <w:right w:val="none" w:sz="0" w:space="0" w:color="auto"/>
      </w:divBdr>
      <w:divsChild>
        <w:div w:id="1065687976">
          <w:marLeft w:val="0"/>
          <w:marRight w:val="0"/>
          <w:marTop w:val="0"/>
          <w:marBottom w:val="0"/>
          <w:divBdr>
            <w:top w:val="none" w:sz="0" w:space="0" w:color="auto"/>
            <w:left w:val="none" w:sz="0" w:space="0" w:color="auto"/>
            <w:bottom w:val="none" w:sz="0" w:space="0" w:color="auto"/>
            <w:right w:val="none" w:sz="0" w:space="0" w:color="auto"/>
          </w:divBdr>
        </w:div>
        <w:div w:id="217476627">
          <w:marLeft w:val="0"/>
          <w:marRight w:val="0"/>
          <w:marTop w:val="0"/>
          <w:marBottom w:val="0"/>
          <w:divBdr>
            <w:top w:val="none" w:sz="0" w:space="0" w:color="auto"/>
            <w:left w:val="none" w:sz="0" w:space="0" w:color="auto"/>
            <w:bottom w:val="none" w:sz="0" w:space="0" w:color="auto"/>
            <w:right w:val="none" w:sz="0" w:space="0" w:color="auto"/>
          </w:divBdr>
        </w:div>
        <w:div w:id="40326348">
          <w:marLeft w:val="0"/>
          <w:marRight w:val="0"/>
          <w:marTop w:val="0"/>
          <w:marBottom w:val="0"/>
          <w:divBdr>
            <w:top w:val="none" w:sz="0" w:space="0" w:color="auto"/>
            <w:left w:val="none" w:sz="0" w:space="0" w:color="auto"/>
            <w:bottom w:val="none" w:sz="0" w:space="0" w:color="auto"/>
            <w:right w:val="none" w:sz="0" w:space="0" w:color="auto"/>
          </w:divBdr>
        </w:div>
        <w:div w:id="662969555">
          <w:marLeft w:val="0"/>
          <w:marRight w:val="0"/>
          <w:marTop w:val="0"/>
          <w:marBottom w:val="0"/>
          <w:divBdr>
            <w:top w:val="none" w:sz="0" w:space="0" w:color="auto"/>
            <w:left w:val="none" w:sz="0" w:space="0" w:color="auto"/>
            <w:bottom w:val="none" w:sz="0" w:space="0" w:color="auto"/>
            <w:right w:val="none" w:sz="0" w:space="0" w:color="auto"/>
          </w:divBdr>
        </w:div>
        <w:div w:id="1798525182">
          <w:marLeft w:val="0"/>
          <w:marRight w:val="0"/>
          <w:marTop w:val="0"/>
          <w:marBottom w:val="0"/>
          <w:divBdr>
            <w:top w:val="none" w:sz="0" w:space="0" w:color="auto"/>
            <w:left w:val="none" w:sz="0" w:space="0" w:color="auto"/>
            <w:bottom w:val="none" w:sz="0" w:space="0" w:color="auto"/>
            <w:right w:val="none" w:sz="0" w:space="0" w:color="auto"/>
          </w:divBdr>
        </w:div>
        <w:div w:id="1232890629">
          <w:marLeft w:val="0"/>
          <w:marRight w:val="0"/>
          <w:marTop w:val="0"/>
          <w:marBottom w:val="0"/>
          <w:divBdr>
            <w:top w:val="none" w:sz="0" w:space="0" w:color="auto"/>
            <w:left w:val="none" w:sz="0" w:space="0" w:color="auto"/>
            <w:bottom w:val="none" w:sz="0" w:space="0" w:color="auto"/>
            <w:right w:val="none" w:sz="0" w:space="0" w:color="auto"/>
          </w:divBdr>
        </w:div>
        <w:div w:id="1262909121">
          <w:marLeft w:val="0"/>
          <w:marRight w:val="0"/>
          <w:marTop w:val="0"/>
          <w:marBottom w:val="0"/>
          <w:divBdr>
            <w:top w:val="none" w:sz="0" w:space="0" w:color="auto"/>
            <w:left w:val="none" w:sz="0" w:space="0" w:color="auto"/>
            <w:bottom w:val="none" w:sz="0" w:space="0" w:color="auto"/>
            <w:right w:val="none" w:sz="0" w:space="0" w:color="auto"/>
          </w:divBdr>
        </w:div>
        <w:div w:id="142435096">
          <w:marLeft w:val="0"/>
          <w:marRight w:val="0"/>
          <w:marTop w:val="0"/>
          <w:marBottom w:val="0"/>
          <w:divBdr>
            <w:top w:val="none" w:sz="0" w:space="0" w:color="auto"/>
            <w:left w:val="none" w:sz="0" w:space="0" w:color="auto"/>
            <w:bottom w:val="none" w:sz="0" w:space="0" w:color="auto"/>
            <w:right w:val="none" w:sz="0" w:space="0" w:color="auto"/>
          </w:divBdr>
        </w:div>
        <w:div w:id="1144855744">
          <w:marLeft w:val="0"/>
          <w:marRight w:val="0"/>
          <w:marTop w:val="0"/>
          <w:marBottom w:val="0"/>
          <w:divBdr>
            <w:top w:val="none" w:sz="0" w:space="0" w:color="auto"/>
            <w:left w:val="none" w:sz="0" w:space="0" w:color="auto"/>
            <w:bottom w:val="none" w:sz="0" w:space="0" w:color="auto"/>
            <w:right w:val="none" w:sz="0" w:space="0" w:color="auto"/>
          </w:divBdr>
        </w:div>
        <w:div w:id="137262252">
          <w:marLeft w:val="0"/>
          <w:marRight w:val="0"/>
          <w:marTop w:val="0"/>
          <w:marBottom w:val="0"/>
          <w:divBdr>
            <w:top w:val="none" w:sz="0" w:space="0" w:color="auto"/>
            <w:left w:val="none" w:sz="0" w:space="0" w:color="auto"/>
            <w:bottom w:val="none" w:sz="0" w:space="0" w:color="auto"/>
            <w:right w:val="none" w:sz="0" w:space="0" w:color="auto"/>
          </w:divBdr>
        </w:div>
        <w:div w:id="259871506">
          <w:marLeft w:val="0"/>
          <w:marRight w:val="0"/>
          <w:marTop w:val="0"/>
          <w:marBottom w:val="0"/>
          <w:divBdr>
            <w:top w:val="none" w:sz="0" w:space="0" w:color="auto"/>
            <w:left w:val="none" w:sz="0" w:space="0" w:color="auto"/>
            <w:bottom w:val="none" w:sz="0" w:space="0" w:color="auto"/>
            <w:right w:val="none" w:sz="0" w:space="0" w:color="auto"/>
          </w:divBdr>
        </w:div>
        <w:div w:id="1835759973">
          <w:marLeft w:val="0"/>
          <w:marRight w:val="0"/>
          <w:marTop w:val="0"/>
          <w:marBottom w:val="0"/>
          <w:divBdr>
            <w:top w:val="none" w:sz="0" w:space="0" w:color="auto"/>
            <w:left w:val="none" w:sz="0" w:space="0" w:color="auto"/>
            <w:bottom w:val="none" w:sz="0" w:space="0" w:color="auto"/>
            <w:right w:val="none" w:sz="0" w:space="0" w:color="auto"/>
          </w:divBdr>
        </w:div>
        <w:div w:id="141277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2387</Words>
  <Characters>13158</Characters>
  <Application>Microsoft Office Word</Application>
  <DocSecurity>0</DocSecurity>
  <Lines>760</Lines>
  <Paragraphs>412</Paragraphs>
  <ScaleCrop>false</ScaleCrop>
  <Company>.</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2016-07-21T06:48:00Z</dcterms:created>
  <dcterms:modified xsi:type="dcterms:W3CDTF">2017-04-24T09:46:00Z</dcterms:modified>
</cp:coreProperties>
</file>