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88FE" w14:textId="7CC4A7B2" w:rsidR="002167DE" w:rsidRDefault="002167DE" w:rsidP="00173AD7">
      <w:pPr>
        <w:jc w:val="both"/>
        <w:rPr>
          <w:rFonts w:ascii="Times New Roman" w:eastAsia="Times New Roman" w:hAnsi="Times New Roman" w:cs="Times New Roman"/>
          <w:noProof/>
          <w:sz w:val="24"/>
          <w:szCs w:val="11"/>
        </w:rPr>
      </w:pPr>
    </w:p>
    <w:p w14:paraId="1F624703" w14:textId="0B5A4A75" w:rsidR="00173AD7" w:rsidRDefault="00173AD7" w:rsidP="00173AD7">
      <w:pPr>
        <w:jc w:val="center"/>
        <w:rPr>
          <w:rFonts w:ascii="Times New Roman" w:eastAsia="Times New Roman" w:hAnsi="Times New Roman" w:cs="Times New Roman"/>
          <w:noProof/>
          <w:sz w:val="24"/>
          <w:szCs w:val="11"/>
        </w:rPr>
      </w:pPr>
      <w:r>
        <w:rPr>
          <w:rFonts w:ascii="Times New Roman" w:hAnsi="Times New Roman"/>
          <w:i/>
          <w:iCs/>
          <w:sz w:val="24"/>
        </w:rPr>
        <w:t>WADA</w:t>
      </w:r>
      <w:r>
        <w:rPr>
          <w:rFonts w:ascii="Times New Roman" w:hAnsi="Times New Roman"/>
          <w:sz w:val="24"/>
        </w:rPr>
        <w:t xml:space="preserve"> tehniskais dokuments – </w:t>
      </w:r>
      <w:r>
        <w:rPr>
          <w:rFonts w:ascii="Times New Roman" w:hAnsi="Times New Roman"/>
          <w:i/>
          <w:iCs/>
          <w:sz w:val="24"/>
        </w:rPr>
        <w:t>TD2018EAAS</w:t>
      </w:r>
    </w:p>
    <w:p w14:paraId="0DAF1E86" w14:textId="77777777" w:rsidR="00173AD7" w:rsidRPr="00173AD7" w:rsidRDefault="00173AD7" w:rsidP="00173AD7">
      <w:pPr>
        <w:jc w:val="both"/>
        <w:rPr>
          <w:rFonts w:ascii="Times New Roman" w:eastAsia="Times New Roman" w:hAnsi="Times New Roman" w:cs="Times New Roman"/>
          <w:noProof/>
          <w:sz w:val="24"/>
          <w:szCs w:val="11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2723"/>
        <w:gridCol w:w="1931"/>
        <w:gridCol w:w="2580"/>
      </w:tblGrid>
      <w:tr w:rsidR="002167DE" w:rsidRPr="00173AD7" w14:paraId="7706FF62" w14:textId="77777777" w:rsidTr="00173AD7">
        <w:tc>
          <w:tcPr>
            <w:tcW w:w="10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5389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Dokumenta numurs:</w:t>
            </w:r>
          </w:p>
        </w:tc>
        <w:tc>
          <w:tcPr>
            <w:tcW w:w="1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F91C0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TD2018EAAS</w:t>
            </w:r>
          </w:p>
        </w:tc>
        <w:tc>
          <w:tcPr>
            <w:tcW w:w="10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74A91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Versijas numurs:</w:t>
            </w:r>
          </w:p>
        </w:tc>
        <w:tc>
          <w:tcPr>
            <w:tcW w:w="1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7206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</w:p>
        </w:tc>
      </w:tr>
      <w:tr w:rsidR="002167DE" w:rsidRPr="00173AD7" w14:paraId="377D4901" w14:textId="77777777" w:rsidTr="00173AD7">
        <w:tc>
          <w:tcPr>
            <w:tcW w:w="10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3D13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Sarakstījusi:</w:t>
            </w:r>
          </w:p>
        </w:tc>
        <w:tc>
          <w:tcPr>
            <w:tcW w:w="1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3EE79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eastAsia="Verdana" w:hAnsi="Times New Roman" w:cs="Verdana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laboratoriju ekspertu grupa</w:t>
            </w:r>
          </w:p>
        </w:tc>
        <w:tc>
          <w:tcPr>
            <w:tcW w:w="10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0795D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Apstiprinājusi:</w:t>
            </w:r>
          </w:p>
        </w:tc>
        <w:tc>
          <w:tcPr>
            <w:tcW w:w="1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C3B8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eastAsia="Verdana" w:hAnsi="Times New Roman" w:cs="Verdana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izpildkomiteja</w:t>
            </w:r>
          </w:p>
        </w:tc>
      </w:tr>
      <w:tr w:rsidR="002167DE" w:rsidRPr="00173AD7" w14:paraId="3E56B060" w14:textId="77777777" w:rsidTr="00173AD7">
        <w:tc>
          <w:tcPr>
            <w:tcW w:w="101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67910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Datums:</w:t>
            </w:r>
          </w:p>
        </w:tc>
        <w:tc>
          <w:tcPr>
            <w:tcW w:w="14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F4283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2018. gada 16. maijs</w:t>
            </w:r>
          </w:p>
        </w:tc>
        <w:tc>
          <w:tcPr>
            <w:tcW w:w="10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846A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Spēkā stāšanās diena:</w:t>
            </w:r>
          </w:p>
        </w:tc>
        <w:tc>
          <w:tcPr>
            <w:tcW w:w="142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FB4C4" w14:textId="77777777" w:rsidR="002167DE" w:rsidRPr="00173AD7" w:rsidRDefault="002167DE" w:rsidP="00173AD7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2018. gada 1. septembris</w:t>
            </w:r>
          </w:p>
        </w:tc>
      </w:tr>
    </w:tbl>
    <w:p w14:paraId="1EB91F4E" w14:textId="77777777" w:rsidR="002167DE" w:rsidRPr="00173AD7" w:rsidRDefault="002167DE" w:rsidP="00173AD7">
      <w:pPr>
        <w:jc w:val="both"/>
        <w:rPr>
          <w:rFonts w:ascii="Times New Roman" w:eastAsia="Times New Roman" w:hAnsi="Times New Roman" w:cs="Times New Roman"/>
          <w:noProof/>
          <w:sz w:val="24"/>
          <w:szCs w:val="19"/>
        </w:rPr>
      </w:pPr>
    </w:p>
    <w:p w14:paraId="3EF2B14D" w14:textId="77777777" w:rsidR="002167DE" w:rsidRPr="00173AD7" w:rsidRDefault="002167DE" w:rsidP="00E66A09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Endogēnie anaboliskie androgēnie steroīdi</w:t>
      </w:r>
    </w:p>
    <w:p w14:paraId="7F88B920" w14:textId="77777777" w:rsidR="002167DE" w:rsidRPr="00173AD7" w:rsidRDefault="002167DE" w:rsidP="00E66A09">
      <w:pPr>
        <w:pStyle w:val="Heading1"/>
        <w:ind w:left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Mērījumi un ziņošana</w:t>
      </w:r>
    </w:p>
    <w:p w14:paraId="3B32FEE1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b/>
          <w:bCs/>
          <w:noProof/>
          <w:sz w:val="24"/>
          <w:szCs w:val="32"/>
        </w:rPr>
      </w:pPr>
    </w:p>
    <w:p w14:paraId="2E68DA20" w14:textId="34F2848C" w:rsidR="002167DE" w:rsidRPr="00173AD7" w:rsidRDefault="002167DE" w:rsidP="00173AD7">
      <w:pPr>
        <w:jc w:val="both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1.0. Ievads</w:t>
      </w:r>
    </w:p>
    <w:p w14:paraId="1212B761" w14:textId="77777777" w:rsidR="00E66A09" w:rsidRDefault="00E66A0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784D60B" w14:textId="56D3AFF9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Šis tehniskais dokuments (</w:t>
      </w:r>
      <w:r>
        <w:rPr>
          <w:rFonts w:ascii="Times New Roman" w:hAnsi="Times New Roman"/>
          <w:i/>
          <w:iCs/>
          <w:sz w:val="24"/>
        </w:rPr>
        <w:t>TD</w:t>
      </w:r>
      <w:r>
        <w:rPr>
          <w:rFonts w:ascii="Times New Roman" w:hAnsi="Times New Roman"/>
          <w:sz w:val="24"/>
        </w:rPr>
        <w:t>) ir izveidots, lai saskaņotu pieejas endogēno anabolisko androgēno steroīdu (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) urīna </w:t>
      </w:r>
      <w:r>
        <w:rPr>
          <w:rFonts w:ascii="Times New Roman" w:hAnsi="Times New Roman"/>
          <w:i/>
          <w:iCs/>
          <w:sz w:val="24"/>
        </w:rPr>
        <w:t>paraugos</w:t>
      </w:r>
      <w:r>
        <w:rPr>
          <w:rFonts w:ascii="Times New Roman" w:hAnsi="Times New Roman"/>
          <w:sz w:val="24"/>
        </w:rPr>
        <w:t xml:space="preserve"> mērījumiem uz ziņošanai par tiem, kā arī tajā ir iekļauti dati, kas nepieciešami, lai izveidotu </w:t>
      </w:r>
      <w:r>
        <w:rPr>
          <w:rFonts w:ascii="Times New Roman" w:hAnsi="Times New Roman"/>
          <w:i/>
          <w:sz w:val="24"/>
        </w:rPr>
        <w:t>sportista bioloģiskā pases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ABP</w:t>
      </w:r>
      <w:r>
        <w:rPr>
          <w:rFonts w:ascii="Times New Roman" w:hAnsi="Times New Roman"/>
          <w:sz w:val="24"/>
        </w:rPr>
        <w:t xml:space="preserve">) steroīdu moduli (steroīdu </w:t>
      </w:r>
      <w:r>
        <w:rPr>
          <w:rFonts w:ascii="Times New Roman" w:hAnsi="Times New Roman"/>
          <w:sz w:val="24"/>
          <w:u w:val="single" w:color="000000"/>
        </w:rPr>
        <w:t>pase</w:t>
      </w:r>
      <w:r>
        <w:rPr>
          <w:rFonts w:ascii="Times New Roman" w:hAnsi="Times New Roman"/>
          <w:sz w:val="24"/>
        </w:rPr>
        <w:t>).</w:t>
      </w:r>
    </w:p>
    <w:p w14:paraId="0C459C30" w14:textId="77777777" w:rsidR="00E66A09" w:rsidRDefault="00E66A0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E14245D" w14:textId="7311C87F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koncentrācijas vērtības un to proporcijas veido urīna steroīdu profilu, kas var mainīties, ievadot 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sintētiskās formas, jo īpaši testosteronu (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), tā prekursorus [piemēram, (dehidroepiandrosteronu jeb </w:t>
      </w:r>
      <w:r>
        <w:rPr>
          <w:rFonts w:ascii="Times New Roman" w:hAnsi="Times New Roman"/>
          <w:i/>
          <w:iCs/>
          <w:sz w:val="24"/>
        </w:rPr>
        <w:t>DHEA</w:t>
      </w:r>
      <w:r>
        <w:rPr>
          <w:rFonts w:ascii="Times New Roman" w:hAnsi="Times New Roman"/>
          <w:sz w:val="24"/>
        </w:rPr>
        <w:t>) vai tā aktīvo metabolītu [dihidrotestosteronu (</w:t>
      </w:r>
      <w:r>
        <w:rPr>
          <w:rFonts w:ascii="Times New Roman" w:hAnsi="Times New Roman"/>
          <w:i/>
          <w:iCs/>
          <w:sz w:val="24"/>
        </w:rPr>
        <w:t>DHT</w:t>
      </w:r>
      <w:r>
        <w:rPr>
          <w:rFonts w:ascii="Times New Roman" w:hAnsi="Times New Roman"/>
          <w:sz w:val="24"/>
        </w:rPr>
        <w:t>)], kā arī epitestosteronu (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).</w:t>
      </w:r>
    </w:p>
    <w:p w14:paraId="4FADB756" w14:textId="77777777" w:rsidR="00E66A09" w:rsidRDefault="00E66A0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5C3B863" w14:textId="565F3289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ABP</w:t>
      </w:r>
      <w:r>
        <w:rPr>
          <w:rFonts w:ascii="Times New Roman" w:hAnsi="Times New Roman"/>
          <w:sz w:val="24"/>
        </w:rPr>
        <w:t xml:space="preserve"> steroīdu modulī izmanto </w:t>
      </w:r>
      <w:r>
        <w:rPr>
          <w:rFonts w:ascii="Times New Roman" w:hAnsi="Times New Roman"/>
          <w:sz w:val="24"/>
          <w:u w:val="single"/>
        </w:rPr>
        <w:t>adaptīvo moduli</w:t>
      </w:r>
      <w:r>
        <w:rPr>
          <w:rFonts w:ascii="Times New Roman" w:hAnsi="Times New Roman"/>
          <w:sz w:val="24"/>
        </w:rPr>
        <w:t xml:space="preserve">, lai identificētu </w:t>
      </w:r>
      <w:r>
        <w:rPr>
          <w:rFonts w:ascii="Times New Roman" w:hAnsi="Times New Roman"/>
          <w:i/>
          <w:iCs/>
          <w:sz w:val="24"/>
        </w:rPr>
        <w:t>netipisku [bioloģiskās] pases parametru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ATPF</w:t>
      </w:r>
      <w:r>
        <w:rPr>
          <w:rFonts w:ascii="Times New Roman" w:hAnsi="Times New Roman"/>
          <w:sz w:val="24"/>
        </w:rPr>
        <w:t xml:space="preserve">) un pēc tam savukārt veiktu </w:t>
      </w:r>
      <w:r>
        <w:rPr>
          <w:rFonts w:ascii="Times New Roman" w:hAnsi="Times New Roman"/>
          <w:sz w:val="24"/>
          <w:u w:val="single"/>
        </w:rPr>
        <w:t>apstiprināšanas procedūras</w:t>
      </w:r>
      <w:r>
        <w:rPr>
          <w:rFonts w:ascii="Times New Roman" w:hAnsi="Times New Roman"/>
          <w:sz w:val="24"/>
        </w:rPr>
        <w:t xml:space="preserve">. To turklāt var izmantot, lai veiktu pārdomātas </w:t>
      </w:r>
      <w:r>
        <w:rPr>
          <w:rFonts w:ascii="Times New Roman" w:hAnsi="Times New Roman"/>
          <w:i/>
          <w:iCs/>
          <w:sz w:val="24"/>
        </w:rPr>
        <w:t>sportista</w:t>
      </w:r>
      <w:r>
        <w:rPr>
          <w:rFonts w:ascii="Times New Roman" w:hAnsi="Times New Roman"/>
          <w:sz w:val="24"/>
        </w:rPr>
        <w:t xml:space="preserve"> garengriezuma </w:t>
      </w:r>
      <w:r>
        <w:rPr>
          <w:rFonts w:ascii="Times New Roman" w:hAnsi="Times New Roman"/>
          <w:i/>
          <w:iCs/>
          <w:sz w:val="24"/>
        </w:rPr>
        <w:t>mērķpārbaudes</w:t>
      </w:r>
      <w:r>
        <w:rPr>
          <w:rFonts w:ascii="Times New Roman" w:hAnsi="Times New Roman"/>
          <w:sz w:val="24"/>
        </w:rPr>
        <w:t xml:space="preserve">. Turklāt pārmērīgu steroīdu profilu (kas iegūts no viena urīna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) vai netipisku steroīdu </w:t>
      </w:r>
      <w:r>
        <w:rPr>
          <w:rFonts w:ascii="Times New Roman" w:hAnsi="Times New Roman"/>
          <w:sz w:val="24"/>
          <w:u w:val="single"/>
        </w:rPr>
        <w:t>pasi</w:t>
      </w:r>
      <w:r>
        <w:rPr>
          <w:rFonts w:ascii="Times New Roman" w:hAnsi="Times New Roman"/>
          <w:sz w:val="24"/>
        </w:rPr>
        <w:t xml:space="preserve"> (iekļaujot steroīdu profilus, kas iegūti no vairākiem </w:t>
      </w:r>
      <w:r>
        <w:rPr>
          <w:rFonts w:ascii="Times New Roman" w:hAnsi="Times New Roman"/>
          <w:i/>
          <w:iCs/>
          <w:sz w:val="24"/>
        </w:rPr>
        <w:t>paraugiem</w:t>
      </w:r>
      <w:r>
        <w:rPr>
          <w:rFonts w:ascii="Times New Roman" w:hAnsi="Times New Roman"/>
          <w:sz w:val="24"/>
        </w:rPr>
        <w:t>, kas savākti ilgākā laikposmā) var izmantot, lai izskatītu antidopinga noteikumu pārkāpumu (</w:t>
      </w:r>
      <w:r>
        <w:rPr>
          <w:rFonts w:ascii="Times New Roman" w:hAnsi="Times New Roman"/>
          <w:i/>
          <w:iCs/>
          <w:sz w:val="24"/>
        </w:rPr>
        <w:t>ADRV</w:t>
      </w:r>
      <w:r>
        <w:rPr>
          <w:rFonts w:ascii="Times New Roman" w:hAnsi="Times New Roman"/>
          <w:sz w:val="24"/>
        </w:rPr>
        <w:t>).</w:t>
      </w:r>
    </w:p>
    <w:p w14:paraId="1D2298E0" w14:textId="77777777" w:rsidR="00E66A09" w:rsidRPr="00173AD7" w:rsidRDefault="00E66A0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0857513" w14:textId="534F7A74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analītiskās pārbaudes</w:t>
      </w:r>
      <w:r>
        <w:rPr>
          <w:rFonts w:ascii="Times New Roman" w:hAnsi="Times New Roman"/>
          <w:sz w:val="24"/>
        </w:rPr>
        <w:t xml:space="preserve"> un ziņošanas procedūrai ir divi posmi. </w:t>
      </w:r>
      <w:r>
        <w:rPr>
          <w:rFonts w:ascii="Times New Roman" w:hAnsi="Times New Roman"/>
          <w:sz w:val="24"/>
          <w:u w:val="single" w:color="000000"/>
        </w:rPr>
        <w:t>Sākotnējās pārbaudes procedūru</w:t>
      </w:r>
      <w:r>
        <w:rPr>
          <w:rFonts w:ascii="Times New Roman" w:hAnsi="Times New Roman"/>
          <w:sz w:val="24"/>
        </w:rPr>
        <w:t xml:space="preserve"> veic, lai noteiktu </w:t>
      </w:r>
      <w:r>
        <w:rPr>
          <w:rFonts w:ascii="Times New Roman" w:hAnsi="Times New Roman"/>
          <w:i/>
          <w:sz w:val="24"/>
        </w:rPr>
        <w:t>sportista parauga</w:t>
      </w:r>
      <w:r>
        <w:rPr>
          <w:rFonts w:ascii="Times New Roman" w:hAnsi="Times New Roman"/>
          <w:sz w:val="24"/>
        </w:rPr>
        <w:t xml:space="preserve"> steroīdu profilu. Pēc tam veic </w:t>
      </w:r>
      <w:r>
        <w:rPr>
          <w:rFonts w:ascii="Times New Roman" w:hAnsi="Times New Roman"/>
          <w:sz w:val="24"/>
          <w:u w:val="single" w:color="000000"/>
        </w:rPr>
        <w:t>apstiprināšanas procedūru</w:t>
      </w:r>
      <w:r>
        <w:rPr>
          <w:rFonts w:ascii="Times New Roman" w:hAnsi="Times New Roman"/>
          <w:sz w:val="24"/>
        </w:rPr>
        <w:t xml:space="preserve">, ja aprēķinātais steroīdu profils ir 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, kas noteikts, izmantojot </w:t>
      </w:r>
      <w:r>
        <w:rPr>
          <w:rFonts w:ascii="Times New Roman" w:hAnsi="Times New Roman"/>
          <w:sz w:val="24"/>
          <w:u w:val="single" w:color="000000"/>
        </w:rPr>
        <w:t>adaptīvo modeli</w:t>
      </w:r>
      <w:r>
        <w:rPr>
          <w:rFonts w:ascii="Times New Roman" w:hAnsi="Times New Roman"/>
          <w:sz w:val="24"/>
        </w:rPr>
        <w:t>, vai ir “aizdomīgs steroīdu profila” (</w:t>
      </w:r>
      <w:r>
        <w:rPr>
          <w:rFonts w:ascii="Times New Roman" w:hAnsi="Times New Roman"/>
          <w:i/>
          <w:iCs/>
          <w:sz w:val="24"/>
        </w:rPr>
        <w:t>SSP</w:t>
      </w:r>
      <w:r>
        <w:rPr>
          <w:rFonts w:ascii="Times New Roman" w:hAnsi="Times New Roman"/>
          <w:sz w:val="24"/>
        </w:rPr>
        <w:t xml:space="preserve">) rezultāts vai ja to pieprasa </w:t>
      </w:r>
      <w:r>
        <w:rPr>
          <w:rFonts w:ascii="Times New Roman" w:hAnsi="Times New Roman"/>
          <w:sz w:val="24"/>
          <w:u w:val="single" w:color="000000"/>
        </w:rPr>
        <w:t>sportista [bioloģiskās] pases pārvaldības struktūrvienība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),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>.</w:t>
      </w:r>
    </w:p>
    <w:p w14:paraId="2B198D02" w14:textId="77777777" w:rsidR="00E66A09" w:rsidRPr="00173AD7" w:rsidRDefault="00E66A0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AE91BD8" w14:textId="7777777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Apstiprināšanas procedūra</w:t>
      </w:r>
      <w:r>
        <w:rPr>
          <w:rFonts w:ascii="Times New Roman" w:hAnsi="Times New Roman"/>
          <w:sz w:val="24"/>
        </w:rPr>
        <w:t xml:space="preserve"> ietver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kvantitatīvu noteikšanu, kā izklāstīts šajā </w:t>
      </w:r>
      <w:r>
        <w:rPr>
          <w:rFonts w:ascii="Times New Roman" w:hAnsi="Times New Roman"/>
          <w:i/>
          <w:iCs/>
          <w:sz w:val="24"/>
        </w:rPr>
        <w:t>TD</w:t>
      </w:r>
      <w:r>
        <w:rPr>
          <w:rFonts w:ascii="Times New Roman" w:hAnsi="Times New Roman"/>
          <w:sz w:val="24"/>
        </w:rPr>
        <w:t>, kā arī tajā ietilpst gāzu hromatogrāfijas – degšanas – izotopu attiecības masspektrometrijas (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) analīze, kas aplūkota atsevišķā </w:t>
      </w:r>
      <w:r>
        <w:rPr>
          <w:rFonts w:ascii="Times New Roman" w:hAnsi="Times New Roman"/>
          <w:i/>
          <w:iCs/>
          <w:sz w:val="24"/>
        </w:rPr>
        <w:t>TD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TD IRMS</w:t>
      </w:r>
      <w:r>
        <w:rPr>
          <w:rFonts w:ascii="Times New Roman" w:hAnsi="Times New Roman"/>
          <w:sz w:val="24"/>
        </w:rPr>
        <w:t>) [1].</w:t>
      </w:r>
    </w:p>
    <w:p w14:paraId="25B9F365" w14:textId="547DE378" w:rsidR="00F729B6" w:rsidRDefault="00F729B6">
      <w:pPr>
        <w:rPr>
          <w:rFonts w:ascii="Times New Roman" w:hAnsi="Times New Roman"/>
          <w:noProof/>
          <w:sz w:val="24"/>
        </w:rPr>
      </w:pPr>
      <w:r>
        <w:br w:type="page"/>
      </w:r>
    </w:p>
    <w:p w14:paraId="070645D3" w14:textId="77777777" w:rsidR="00E66A09" w:rsidRPr="00173AD7" w:rsidRDefault="00E66A09" w:rsidP="00173AD7">
      <w:pPr>
        <w:jc w:val="both"/>
        <w:rPr>
          <w:rFonts w:ascii="Times New Roman" w:hAnsi="Times New Roman"/>
          <w:noProof/>
          <w:sz w:val="24"/>
        </w:rPr>
      </w:pPr>
    </w:p>
    <w:p w14:paraId="6058BF2D" w14:textId="07E200EE" w:rsidR="002167DE" w:rsidRPr="00173AD7" w:rsidRDefault="00F729B6" w:rsidP="00F729B6">
      <w:pPr>
        <w:pStyle w:val="Heading2"/>
        <w:tabs>
          <w:tab w:val="left" w:pos="598"/>
        </w:tabs>
        <w:spacing w:before="0"/>
        <w:ind w:left="0"/>
        <w:jc w:val="both"/>
        <w:rPr>
          <w:rFonts w:eastAsia="Verdana" w:cs="Verdana"/>
          <w:noProof/>
        </w:rPr>
      </w:pPr>
      <w:r>
        <w:t>1.1. Steroīdu profils</w:t>
      </w:r>
    </w:p>
    <w:p w14:paraId="0A8F1AF8" w14:textId="77777777" w:rsidR="00F729B6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7AB0ED1" w14:textId="2F0A636D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Katru urīna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analizē, lai noteiktu tā steroīdu profilu.</w:t>
      </w:r>
    </w:p>
    <w:p w14:paraId="3C952371" w14:textId="77777777" w:rsidR="00F729B6" w:rsidRPr="00173AD7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864503B" w14:textId="407D6D88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Šajā </w:t>
      </w:r>
      <w:r>
        <w:rPr>
          <w:rFonts w:ascii="Times New Roman" w:hAnsi="Times New Roman"/>
          <w:i/>
          <w:iCs/>
          <w:sz w:val="24"/>
        </w:rPr>
        <w:t>TD</w:t>
      </w:r>
      <w:r>
        <w:rPr>
          <w:rFonts w:ascii="Times New Roman" w:hAnsi="Times New Roman"/>
          <w:sz w:val="24"/>
        </w:rPr>
        <w:t xml:space="preserve"> pieņem, ka steroīdu profils ir veidots no šādiem </w:t>
      </w:r>
      <w:r>
        <w:rPr>
          <w:rFonts w:ascii="Times New Roman" w:hAnsi="Times New Roman"/>
          <w:i/>
          <w:iCs/>
          <w:sz w:val="24"/>
        </w:rPr>
        <w:t>marķieriem</w:t>
      </w:r>
      <w:r>
        <w:rPr>
          <w:rFonts w:ascii="Times New Roman" w:hAnsi="Times New Roman"/>
          <w:sz w:val="24"/>
        </w:rPr>
        <w:t xml:space="preserve"> (kā brīvo steroīdu saturs, kas iegūts no brīvā steroīda daļas, kā arī no tiem, kas atbrīvoti no konjugētas </w:t>
      </w:r>
      <w:r>
        <w:rPr>
          <w:rFonts w:ascii="Times New Roman" w:hAnsi="Times New Roman"/>
          <w:i/>
          <w:sz w:val="24"/>
        </w:rPr>
        <w:t>E. coli</w:t>
      </w:r>
      <w:r>
        <w:rPr>
          <w:rFonts w:ascii="Times New Roman" w:hAnsi="Times New Roman"/>
          <w:sz w:val="24"/>
        </w:rPr>
        <w:t xml:space="preserve"> daļas pēc hidrolīzes ar β-glukuronidāzi):</w:t>
      </w:r>
    </w:p>
    <w:p w14:paraId="26DFDF30" w14:textId="77777777" w:rsidR="00F729B6" w:rsidRPr="00173AD7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B6694EB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androsterona (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);</w:t>
      </w:r>
    </w:p>
    <w:p w14:paraId="796BB8A9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etioholanolona (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>);</w:t>
      </w:r>
    </w:p>
    <w:p w14:paraId="34981B90" w14:textId="3A64AC8C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eastAsia="Symbol" w:hAnsi="Times New Roman" w:cs="Symbol"/>
          <w:noProof/>
          <w:sz w:val="24"/>
        </w:rPr>
      </w:pPr>
      <w:r>
        <w:rPr>
          <w:rFonts w:ascii="Times New Roman" w:hAnsi="Times New Roman"/>
          <w:sz w:val="24"/>
        </w:rPr>
        <w:t>5α-androstān-3α,17β-diola (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);</w:t>
      </w:r>
    </w:p>
    <w:p w14:paraId="4A663A01" w14:textId="375D2C2A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5β-androstān-3α,17β-diola (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);</w:t>
      </w:r>
    </w:p>
    <w:p w14:paraId="4ECC1845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testosterona (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);</w:t>
      </w:r>
    </w:p>
    <w:p w14:paraId="06CBFC17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epitestosterona (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);</w:t>
      </w:r>
    </w:p>
    <w:p w14:paraId="5A92BCD8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</w:rPr>
      </w:pPr>
    </w:p>
    <w:p w14:paraId="4A63970A" w14:textId="4EA37CA6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un šādām proporcijām:</w:t>
      </w:r>
    </w:p>
    <w:p w14:paraId="70F1CB89" w14:textId="77777777" w:rsidR="00F729B6" w:rsidRPr="00173AD7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69A63C0A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;</w:t>
      </w:r>
    </w:p>
    <w:p w14:paraId="295A2A92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;</w:t>
      </w:r>
    </w:p>
    <w:p w14:paraId="031FDBD7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>;</w:t>
      </w:r>
    </w:p>
    <w:p w14:paraId="78416E71" w14:textId="182234DD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>,</w:t>
      </w:r>
    </w:p>
    <w:p w14:paraId="0136CCC2" w14:textId="24AF9429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.</w:t>
      </w:r>
    </w:p>
    <w:p w14:paraId="7B4CDC11" w14:textId="77777777" w:rsidR="00F729B6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E59E1A7" w14:textId="7ED3BEE9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Ievadot </w:t>
      </w: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, var izmainīt vienu vai vairākus urīna steroīdu profila </w:t>
      </w:r>
      <w:r>
        <w:rPr>
          <w:rFonts w:ascii="Times New Roman" w:hAnsi="Times New Roman"/>
          <w:i/>
          <w:iCs/>
          <w:sz w:val="24"/>
        </w:rPr>
        <w:t>marķierus</w:t>
      </w:r>
      <w:r>
        <w:rPr>
          <w:rFonts w:ascii="Times New Roman" w:hAnsi="Times New Roman"/>
          <w:sz w:val="24"/>
        </w:rPr>
        <w:t xml:space="preserve"> un/vai tā proporcijas, tādējādi palielinot vai samazinot konkrētu steroīdu </w:t>
      </w:r>
      <w:r>
        <w:rPr>
          <w:rFonts w:ascii="Times New Roman" w:hAnsi="Times New Roman"/>
          <w:i/>
          <w:iCs/>
          <w:sz w:val="24"/>
        </w:rPr>
        <w:t>metabolītu</w:t>
      </w:r>
      <w:r>
        <w:rPr>
          <w:rFonts w:ascii="Times New Roman" w:hAnsi="Times New Roman"/>
          <w:sz w:val="24"/>
        </w:rPr>
        <w:t xml:space="preserve"> pāru koncentrāciju un/vai proporcijas [2–4].</w:t>
      </w:r>
    </w:p>
    <w:p w14:paraId="1C4FF592" w14:textId="77777777" w:rsidR="00F729B6" w:rsidRPr="00173AD7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9329FD5" w14:textId="428C9E82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Turklāt urīna steroīdu profila izmaiņas var notikt vairāku iemeslu dēļ, cita starpā tās var izraisīt arī šādi maldinoši faktori:</w:t>
      </w:r>
    </w:p>
    <w:p w14:paraId="27A9AB1C" w14:textId="77777777" w:rsidR="00F729B6" w:rsidRPr="00173AD7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62A7D64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citu anabolisko steroīdu ievadīšana (</w:t>
      </w:r>
      <w:r>
        <w:rPr>
          <w:rFonts w:ascii="Times New Roman" w:hAnsi="Times New Roman"/>
          <w:i/>
          <w:iCs/>
          <w:sz w:val="24"/>
        </w:rPr>
        <w:t>piemēram</w:t>
      </w:r>
      <w:r>
        <w:rPr>
          <w:rFonts w:ascii="Times New Roman" w:hAnsi="Times New Roman"/>
          <w:sz w:val="24"/>
        </w:rPr>
        <w:t>, stanozolols);</w:t>
      </w:r>
    </w:p>
    <w:p w14:paraId="171940BE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cilvēka horionu gonadotropīna (</w:t>
      </w:r>
      <w:r>
        <w:rPr>
          <w:rFonts w:ascii="Times New Roman" w:hAnsi="Times New Roman"/>
          <w:i/>
          <w:iCs/>
          <w:sz w:val="24"/>
        </w:rPr>
        <w:t>hCG</w:t>
      </w:r>
      <w:r>
        <w:rPr>
          <w:rFonts w:ascii="Times New Roman" w:hAnsi="Times New Roman"/>
          <w:sz w:val="24"/>
        </w:rPr>
        <w:t>) ievadīšana vīriešiem;</w:t>
      </w:r>
    </w:p>
    <w:p w14:paraId="3ED58394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aromatāzes inhibitoru un antiestrogēnu ievadīšana;</w:t>
      </w:r>
    </w:p>
    <w:p w14:paraId="20259457" w14:textId="0E264956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5α-reduktāzes inhibitoru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finasterīda) ievadīšana;</w:t>
      </w:r>
    </w:p>
    <w:p w14:paraId="5CB8A3B2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alkohola lietošana (etanols);</w:t>
      </w:r>
    </w:p>
    <w:p w14:paraId="326CD88E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ketokonazola vai citu līdzīgu savienojumu ievadīšana;</w:t>
      </w:r>
    </w:p>
    <w:p w14:paraId="14BC80DA" w14:textId="77777777" w:rsidR="002167DE" w:rsidRPr="00173AD7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maskējošo līdzekļu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probenecīda) un diurētisko līdzekļu lietošana vai</w:t>
      </w:r>
    </w:p>
    <w:p w14:paraId="1EA7E6B1" w14:textId="33160865" w:rsidR="002167DE" w:rsidRDefault="002167DE" w:rsidP="00F729B6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mikroorganismu augšana.</w:t>
      </w:r>
    </w:p>
    <w:p w14:paraId="6F4CDF82" w14:textId="6DD82562" w:rsidR="00F729B6" w:rsidRDefault="00F729B6">
      <w:pPr>
        <w:rPr>
          <w:rFonts w:ascii="Times New Roman" w:eastAsia="Verdana" w:hAnsi="Times New Roman"/>
          <w:noProof/>
          <w:sz w:val="24"/>
        </w:rPr>
      </w:pPr>
      <w:r>
        <w:br w:type="page"/>
      </w:r>
    </w:p>
    <w:p w14:paraId="7230767D" w14:textId="77777777" w:rsidR="00F729B6" w:rsidRPr="00173AD7" w:rsidRDefault="00F729B6" w:rsidP="00F729B6">
      <w:pPr>
        <w:pStyle w:val="BodyText"/>
        <w:tabs>
          <w:tab w:val="left" w:pos="845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23AF27C" w14:textId="17C1FE3C" w:rsidR="002167DE" w:rsidRPr="00173AD7" w:rsidRDefault="002167DE" w:rsidP="00173AD7">
      <w:pPr>
        <w:pStyle w:val="Heading1"/>
        <w:ind w:left="0"/>
        <w:jc w:val="both"/>
        <w:rPr>
          <w:rFonts w:ascii="Times New Roman" w:hAnsi="Times New Roman"/>
          <w:b w:val="0"/>
          <w:bCs w:val="0"/>
          <w:noProof/>
        </w:rPr>
      </w:pPr>
      <w:r>
        <w:rPr>
          <w:rFonts w:ascii="Times New Roman" w:hAnsi="Times New Roman"/>
        </w:rPr>
        <w:t xml:space="preserve">2.0. </w:t>
      </w:r>
      <w:r>
        <w:rPr>
          <w:rFonts w:ascii="Times New Roman" w:hAnsi="Times New Roman"/>
          <w:u w:val="thick" w:color="000000"/>
        </w:rPr>
        <w:t>Sākotnējās pārbaudes procedūra</w:t>
      </w:r>
    </w:p>
    <w:p w14:paraId="7163ABC8" w14:textId="77777777" w:rsidR="00F729B6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6A7561BA" w14:textId="7042D770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izmanto validētu </w:t>
      </w:r>
      <w:r>
        <w:rPr>
          <w:rFonts w:ascii="Times New Roman" w:hAnsi="Times New Roman"/>
          <w:sz w:val="24"/>
          <w:u w:val="single" w:color="000000"/>
        </w:rPr>
        <w:t>sākotnējās pārbaudes procedūru</w:t>
      </w:r>
      <w:r>
        <w:rPr>
          <w:rFonts w:ascii="Times New Roman" w:hAnsi="Times New Roman"/>
          <w:sz w:val="24"/>
        </w:rPr>
        <w:t xml:space="preserve">, kas ir </w:t>
      </w:r>
      <w:r>
        <w:rPr>
          <w:rFonts w:ascii="Times New Roman" w:hAnsi="Times New Roman"/>
          <w:sz w:val="24"/>
          <w:u w:val="single" w:color="000000"/>
        </w:rPr>
        <w:t>nolūkam atbilstīga</w:t>
      </w:r>
      <w:r>
        <w:rPr>
          <w:rFonts w:ascii="Times New Roman" w:hAnsi="Times New Roman"/>
          <w:sz w:val="24"/>
        </w:rPr>
        <w:t xml:space="preserve">, lai noteiktu urīna steroīdu profila </w:t>
      </w:r>
      <w:r>
        <w:rPr>
          <w:rFonts w:ascii="Times New Roman" w:hAnsi="Times New Roman"/>
          <w:i/>
          <w:sz w:val="24"/>
        </w:rPr>
        <w:t>marķierus</w:t>
      </w:r>
      <w:r>
        <w:rPr>
          <w:rFonts w:ascii="Times New Roman" w:hAnsi="Times New Roman"/>
          <w:sz w:val="24"/>
        </w:rPr>
        <w:t xml:space="preserve"> attiecīgajā vīriešiem un sievietēm noteiktajā vērtību diapazonā.</w:t>
      </w:r>
    </w:p>
    <w:p w14:paraId="0FEC1DE0" w14:textId="77777777" w:rsidR="00F729B6" w:rsidRPr="00173AD7" w:rsidRDefault="00F729B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432FEE1" w14:textId="7777777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Sākotnējās pārbaudes procedūru</w:t>
      </w:r>
      <w:r>
        <w:rPr>
          <w:rFonts w:ascii="Times New Roman" w:hAnsi="Times New Roman"/>
          <w:sz w:val="24"/>
        </w:rPr>
        <w:t xml:space="preserve"> veic vienai </w:t>
      </w:r>
      <w:r>
        <w:rPr>
          <w:rFonts w:ascii="Times New Roman" w:hAnsi="Times New Roman"/>
          <w:sz w:val="24"/>
          <w:u w:val="single" w:color="000000"/>
        </w:rPr>
        <w:t>alikvotai</w:t>
      </w:r>
      <w:r>
        <w:rPr>
          <w:rFonts w:ascii="Times New Roman" w:hAnsi="Times New Roman"/>
          <w:sz w:val="24"/>
        </w:rPr>
        <w:t>.</w:t>
      </w:r>
    </w:p>
    <w:p w14:paraId="2368BD34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18"/>
        </w:rPr>
      </w:pPr>
    </w:p>
    <w:p w14:paraId="042F47F7" w14:textId="66D0764C" w:rsidR="002167DE" w:rsidRPr="00173AD7" w:rsidRDefault="002167DE" w:rsidP="00173AD7">
      <w:pPr>
        <w:pStyle w:val="Heading2"/>
        <w:tabs>
          <w:tab w:val="left" w:pos="839"/>
        </w:tabs>
        <w:spacing w:before="0"/>
        <w:ind w:left="0"/>
        <w:jc w:val="both"/>
        <w:rPr>
          <w:rFonts w:eastAsia="Verdana"/>
          <w:noProof/>
        </w:rPr>
      </w:pPr>
      <w:r>
        <w:t>2.1. Metodes raksturlielumi</w:t>
      </w:r>
    </w:p>
    <w:p w14:paraId="396B3DEE" w14:textId="77777777" w:rsidR="00F729B6" w:rsidRDefault="00F729B6" w:rsidP="00F729B6">
      <w:pPr>
        <w:pStyle w:val="BodyText"/>
        <w:tabs>
          <w:tab w:val="left" w:pos="833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4E87A91" w14:textId="66572D21" w:rsidR="002167DE" w:rsidRPr="00173AD7" w:rsidRDefault="002167DE" w:rsidP="00B919D3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Ir jāizmanto gāzu hromatogrāfija apvienojumā ar </w:t>
      </w:r>
      <w:r>
        <w:rPr>
          <w:rFonts w:ascii="Times New Roman" w:hAnsi="Times New Roman"/>
          <w:i/>
          <w:iCs/>
          <w:sz w:val="24"/>
        </w:rPr>
        <w:t>TMS</w:t>
      </w:r>
      <w:r>
        <w:rPr>
          <w:rFonts w:ascii="Times New Roman" w:hAnsi="Times New Roman"/>
          <w:sz w:val="24"/>
        </w:rPr>
        <w:t xml:space="preserve"> (keto un hidroksila grupu) atvasinājumu masspektrometriju (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GC-MS/MS</w:t>
      </w:r>
      <w:r>
        <w:rPr>
          <w:rFonts w:ascii="Times New Roman" w:hAnsi="Times New Roman"/>
          <w:sz w:val="24"/>
        </w:rPr>
        <w:t>).</w:t>
      </w:r>
    </w:p>
    <w:p w14:paraId="05B2CA1F" w14:textId="77777777" w:rsidR="002167DE" w:rsidRPr="00173AD7" w:rsidRDefault="002167DE" w:rsidP="00B919D3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Katrā analīzes virknē ir jāiekļauj kalibrēšanas standarts(-i) vai kalibrēšanas līkne.</w:t>
      </w:r>
    </w:p>
    <w:p w14:paraId="3700B8A4" w14:textId="77777777" w:rsidR="002167DE" w:rsidRPr="00173AD7" w:rsidRDefault="002167DE" w:rsidP="00B919D3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Katrā analīzes virknē ir jāiekļauj vismaz divi urīna kvalitātes kontroles (</w:t>
      </w:r>
      <w:r>
        <w:rPr>
          <w:rFonts w:ascii="Times New Roman" w:hAnsi="Times New Roman"/>
          <w:i/>
          <w:iCs/>
          <w:sz w:val="24"/>
        </w:rPr>
        <w:t>QC</w:t>
      </w:r>
      <w:r>
        <w:rPr>
          <w:rFonts w:ascii="Times New Roman" w:hAnsi="Times New Roman"/>
          <w:sz w:val="24"/>
        </w:rPr>
        <w:t xml:space="preserve">) paraugi, kuros ir mainīga un reprezentatīva steroīdu profila </w:t>
      </w:r>
      <w:r>
        <w:rPr>
          <w:rFonts w:ascii="Times New Roman" w:hAnsi="Times New Roman"/>
          <w:i/>
          <w:iCs/>
          <w:sz w:val="24"/>
        </w:rPr>
        <w:t>marķieru</w:t>
      </w:r>
      <w:r>
        <w:rPr>
          <w:rFonts w:ascii="Times New Roman" w:hAnsi="Times New Roman"/>
          <w:sz w:val="24"/>
        </w:rPr>
        <w:t xml:space="preserve"> koncentrācija.</w:t>
      </w:r>
    </w:p>
    <w:p w14:paraId="31B839F4" w14:textId="77777777" w:rsidR="002167DE" w:rsidRPr="00173AD7" w:rsidRDefault="002167DE" w:rsidP="00B919D3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Izmantojot no </w:t>
      </w:r>
      <w:r>
        <w:rPr>
          <w:rFonts w:ascii="Times New Roman" w:hAnsi="Times New Roman"/>
          <w:i/>
          <w:sz w:val="24"/>
        </w:rPr>
        <w:t>E. coli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H. pomatia</w:t>
      </w:r>
      <w:r>
        <w:rPr>
          <w:rFonts w:ascii="Times New Roman" w:hAnsi="Times New Roman"/>
          <w:sz w:val="24"/>
        </w:rPr>
        <w:t xml:space="preserve"> maisījumi nav pieņemami) iegūtu attīrītu β-glukuronidāzi, veic enzimātisko hidrolīzi.</w:t>
      </w:r>
    </w:p>
    <w:p w14:paraId="03941F55" w14:textId="77777777" w:rsidR="002167DE" w:rsidRPr="00173AD7" w:rsidRDefault="002167DE" w:rsidP="00B919D3">
      <w:pPr>
        <w:pStyle w:val="BodyText"/>
        <w:numPr>
          <w:ilvl w:val="2"/>
          <w:numId w:val="1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Glikurokonjugēto urīnā esošo steroīdu hidrolīzes pilnīgumu kontrolē, izmantojot ar izotopu marķētu A-glikuronīdu (vai līdzvērtīgu zinātniski atzītu alternatīvu).</w:t>
      </w:r>
    </w:p>
    <w:p w14:paraId="6482C39D" w14:textId="77777777" w:rsidR="002167DE" w:rsidRPr="00173AD7" w:rsidRDefault="002167DE" w:rsidP="00B919D3">
      <w:pPr>
        <w:pStyle w:val="BodyText"/>
        <w:numPr>
          <w:ilvl w:val="0"/>
          <w:numId w:val="18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Atvasināšanas pilnīgumu kontrolē, uzraugot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mono-O-TMS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di-O-TMS</w:t>
      </w:r>
      <w:r>
        <w:rPr>
          <w:rFonts w:ascii="Times New Roman" w:hAnsi="Times New Roman"/>
          <w:sz w:val="24"/>
        </w:rPr>
        <w:t xml:space="preserve"> atvasinājumus.</w:t>
      </w:r>
    </w:p>
    <w:p w14:paraId="07973FAC" w14:textId="6B13EFD2" w:rsidR="002167DE" w:rsidRPr="00173AD7" w:rsidRDefault="002167DE" w:rsidP="00B919D3">
      <w:pPr>
        <w:pStyle w:val="BodyText"/>
        <w:numPr>
          <w:ilvl w:val="0"/>
          <w:numId w:val="17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Nepieciešamības gadījumā</w:t>
      </w:r>
      <w:r w:rsidR="00B919D3"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alikvotas</w:t>
      </w:r>
      <w:r>
        <w:rPr>
          <w:rFonts w:ascii="Times New Roman" w:hAnsi="Times New Roman"/>
          <w:sz w:val="24"/>
        </w:rPr>
        <w:t xml:space="preserve"> daudzumu var pielīdzināt kā tās īpatnējā svara (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 xml:space="preserve">) un </w:t>
      </w:r>
      <w:r>
        <w:rPr>
          <w:rFonts w:ascii="Times New Roman" w:hAnsi="Times New Roman"/>
          <w:i/>
          <w:iCs/>
          <w:sz w:val="24"/>
        </w:rPr>
        <w:t>sportista</w:t>
      </w:r>
      <w:r>
        <w:rPr>
          <w:rFonts w:ascii="Times New Roman" w:hAnsi="Times New Roman"/>
          <w:sz w:val="24"/>
        </w:rPr>
        <w:t xml:space="preserve"> dzimuma funkciju.</w:t>
      </w:r>
    </w:p>
    <w:p w14:paraId="3C304231" w14:textId="7D5B2BC2" w:rsidR="00B919D3" w:rsidRPr="00B919D3" w:rsidRDefault="002167DE" w:rsidP="00B919D3">
      <w:pPr>
        <w:pStyle w:val="BodyText"/>
        <w:numPr>
          <w:ilvl w:val="0"/>
          <w:numId w:val="17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proporcijas nosaka, ņemot vērā koriģēto hromatogrāfiskās smailes laukumu vai smailes augstumu proporcijas.</w:t>
      </w:r>
      <w:r w:rsidR="00B919D3">
        <w:rPr>
          <w:rStyle w:val="FootnoteReference"/>
          <w:rFonts w:ascii="Times New Roman" w:hAnsi="Times New Roman"/>
          <w:noProof/>
          <w:sz w:val="24"/>
        </w:rPr>
        <w:footnoteReference w:id="2"/>
      </w:r>
    </w:p>
    <w:p w14:paraId="4A3DC3C4" w14:textId="27AB898F" w:rsidR="002167DE" w:rsidRPr="00173AD7" w:rsidRDefault="002167DE" w:rsidP="00B919D3">
      <w:pPr>
        <w:pStyle w:val="BodyText"/>
        <w:numPr>
          <w:ilvl w:val="1"/>
          <w:numId w:val="16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Metodes linearitāte, kas noteikta, veicot metodes validāciju, aptver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koncentrācijas diapazonu, kas parasti ir atrodams vīriešiem un sievietēm –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kvantifikācijas robeža (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) nedrīkst būt augstāka par 2 ng/ml.</w:t>
      </w:r>
      <w:r w:rsidR="00B92996">
        <w:rPr>
          <w:rStyle w:val="FootnoteReference"/>
          <w:rFonts w:ascii="Times New Roman" w:hAnsi="Times New Roman"/>
          <w:noProof/>
          <w:sz w:val="24"/>
        </w:rPr>
        <w:footnoteReference w:id="3"/>
      </w:r>
    </w:p>
    <w:p w14:paraId="3E8C15BD" w14:textId="2169BCF0" w:rsidR="002167DE" w:rsidRDefault="002167DE" w:rsidP="00B919D3">
      <w:pPr>
        <w:pStyle w:val="BodyText"/>
        <w:numPr>
          <w:ilvl w:val="1"/>
          <w:numId w:val="16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noteikšanai nepieciešamā relatīvā kombinētā </w:t>
      </w:r>
      <w:r>
        <w:rPr>
          <w:rFonts w:ascii="Times New Roman" w:hAnsi="Times New Roman"/>
          <w:sz w:val="24"/>
          <w:u w:val="single" w:color="000000"/>
        </w:rPr>
        <w:t>mērījuma standartnenoteiktība</w:t>
      </w:r>
      <w:r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i/>
          <w:sz w:val="24"/>
        </w:rPr>
        <w:t>uc</w:t>
      </w:r>
      <w:r>
        <w:rPr>
          <w:rFonts w:ascii="Times New Roman" w:hAnsi="Times New Roman"/>
          <w:sz w:val="24"/>
        </w:rPr>
        <w:t xml:space="preserve"> (%)], kas noteikta, veicot </w:t>
      </w:r>
      <w:r>
        <w:rPr>
          <w:rFonts w:ascii="Times New Roman" w:hAnsi="Times New Roman"/>
          <w:sz w:val="24"/>
          <w:u w:val="single" w:color="000000"/>
        </w:rPr>
        <w:t>sākotnējās pārbaudes procedūras</w:t>
      </w:r>
      <w:r>
        <w:rPr>
          <w:rFonts w:ascii="Times New Roman" w:hAnsi="Times New Roman"/>
          <w:sz w:val="24"/>
        </w:rPr>
        <w:t xml:space="preserve"> metodes validāciju:</w:t>
      </w:r>
    </w:p>
    <w:p w14:paraId="11DD7E90" w14:textId="77777777" w:rsidR="00B919D3" w:rsidRPr="00173AD7" w:rsidRDefault="00B919D3" w:rsidP="00B919D3">
      <w:pPr>
        <w:pStyle w:val="BodyText"/>
        <w:tabs>
          <w:tab w:val="left" w:pos="833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F2ABDD7" w14:textId="77777777" w:rsidR="002167DE" w:rsidRPr="00173AD7" w:rsidRDefault="002167DE" w:rsidP="00B92996">
      <w:pPr>
        <w:pStyle w:val="BodyText"/>
        <w:numPr>
          <w:ilvl w:val="2"/>
          <w:numId w:val="16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nedrīkst būt lielāka par 30 % attiecīgajā 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;</w:t>
      </w:r>
    </w:p>
    <w:p w14:paraId="332AF33A" w14:textId="23D6061D" w:rsidR="002167DE" w:rsidRPr="00B92996" w:rsidRDefault="002167DE" w:rsidP="00B92996">
      <w:pPr>
        <w:pStyle w:val="BodyText"/>
        <w:numPr>
          <w:ilvl w:val="2"/>
          <w:numId w:val="16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nedrīkst būt lielāka par 20 % (attiecībā uz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) vai 25 % (attiecībā uz adioliem) pieckārtīgā (5) 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;</w:t>
      </w:r>
    </w:p>
    <w:p w14:paraId="11C1C4BA" w14:textId="25020F50" w:rsidR="002167DE" w:rsidRDefault="002167DE" w:rsidP="00B92996">
      <w:pPr>
        <w:pStyle w:val="BodyText"/>
        <w:numPr>
          <w:ilvl w:val="2"/>
          <w:numId w:val="16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nedrīkst būt lielāka par 20 % (attiecībā uz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), ja koncentrācija ir lielāka par 5 ng/ml.</w:t>
      </w:r>
    </w:p>
    <w:p w14:paraId="5B1236F1" w14:textId="77777777" w:rsidR="00B92996" w:rsidRPr="00173AD7" w:rsidRDefault="00B92996" w:rsidP="00B92996">
      <w:pPr>
        <w:pStyle w:val="BodyText"/>
        <w:tabs>
          <w:tab w:val="left" w:pos="1201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1A4C014" w14:textId="79930ED6" w:rsidR="002167DE" w:rsidRDefault="002167DE" w:rsidP="00B92996">
      <w:pPr>
        <w:pStyle w:val="BodyText"/>
        <w:numPr>
          <w:ilvl w:val="1"/>
          <w:numId w:val="16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(%), ko piemēro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noteikšanai un ko aprēķina no koriģētās hromatogrāfiskās smailes laukumiem vai augstumiem:</w:t>
      </w:r>
    </w:p>
    <w:p w14:paraId="19AD1E35" w14:textId="77777777" w:rsidR="00B92996" w:rsidRPr="00173AD7" w:rsidRDefault="00B92996" w:rsidP="00B92996">
      <w:pPr>
        <w:pStyle w:val="BodyText"/>
        <w:tabs>
          <w:tab w:val="left" w:pos="834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869950F" w14:textId="77777777" w:rsidR="002167DE" w:rsidRPr="00173AD7" w:rsidRDefault="002167DE" w:rsidP="00B92996">
      <w:pPr>
        <w:pStyle w:val="BodyText"/>
        <w:numPr>
          <w:ilvl w:val="2"/>
          <w:numId w:val="16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nedrīkst būt lielāka par 15 %, ja gan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augstāka (&gt;) par 5 ng/ml;</w:t>
      </w:r>
    </w:p>
    <w:p w14:paraId="45883977" w14:textId="01BCB29A" w:rsidR="002167DE" w:rsidRDefault="002167DE" w:rsidP="00B92996">
      <w:pPr>
        <w:pStyle w:val="BodyText"/>
        <w:numPr>
          <w:ilvl w:val="2"/>
          <w:numId w:val="16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nedrīkst būt lielāka par 30 %, ja gan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(≤) 5 ng/ml vai zemāka.</w:t>
      </w:r>
    </w:p>
    <w:p w14:paraId="541F6CA4" w14:textId="77777777" w:rsidR="00B92996" w:rsidRPr="00173AD7" w:rsidRDefault="00B92996" w:rsidP="00B92996">
      <w:pPr>
        <w:pStyle w:val="BodyText"/>
        <w:tabs>
          <w:tab w:val="left" w:pos="1201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6115BFB" w14:textId="7BB4CDA8" w:rsidR="002167DE" w:rsidRPr="00173AD7" w:rsidRDefault="002167DE" w:rsidP="00B92996">
      <w:pPr>
        <w:pStyle w:val="BodyText"/>
        <w:numPr>
          <w:ilvl w:val="1"/>
          <w:numId w:val="16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uzrauga mikrobiālās degradācijas pierādījumus [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3α-hidroksisteroīda dehidrogenāzes (</w:t>
      </w:r>
      <w:r>
        <w:rPr>
          <w:rFonts w:ascii="Times New Roman" w:hAnsi="Times New Roman"/>
          <w:i/>
          <w:iCs/>
          <w:sz w:val="24"/>
        </w:rPr>
        <w:t>HSD</w:t>
      </w:r>
      <w:r>
        <w:rPr>
          <w:rFonts w:ascii="Times New Roman" w:hAnsi="Times New Roman"/>
          <w:sz w:val="24"/>
        </w:rPr>
        <w:t>) aktivitātes rādītāju klātbūtni] un 5α-reduktāzes inhibitoru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finasterīda), etanola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un ketokonazola (un līdzīgu vielu) klātbūtni.</w:t>
      </w:r>
      <w:r w:rsidR="00B92996">
        <w:rPr>
          <w:rStyle w:val="FootnoteReference"/>
          <w:rFonts w:ascii="Times New Roman" w:hAnsi="Times New Roman"/>
          <w:noProof/>
          <w:sz w:val="24"/>
          <w:u w:val="single" w:color="000000"/>
        </w:rPr>
        <w:footnoteReference w:id="4"/>
      </w:r>
    </w:p>
    <w:p w14:paraId="132F638B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0563DED2" w14:textId="0F7FFAE2" w:rsidR="002167DE" w:rsidRPr="00173AD7" w:rsidRDefault="00B92996" w:rsidP="00B92996">
      <w:pPr>
        <w:tabs>
          <w:tab w:val="left" w:pos="684"/>
        </w:tabs>
        <w:jc w:val="both"/>
        <w:rPr>
          <w:rFonts w:ascii="Times New Roman" w:eastAsia="Verdana" w:hAnsi="Times New Roman" w:cs="Verdana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2.2. Ziņošana par steroīdu profilu pēc </w:t>
      </w:r>
      <w:r>
        <w:rPr>
          <w:rFonts w:ascii="Times New Roman" w:hAnsi="Times New Roman"/>
          <w:sz w:val="24"/>
          <w:u w:val="single" w:color="000000"/>
        </w:rPr>
        <w:t>sākotnējās pārbaudes procedūras</w:t>
      </w:r>
    </w:p>
    <w:p w14:paraId="194E88FF" w14:textId="77777777" w:rsidR="00B92996" w:rsidRDefault="00B9299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6367E0E6" w14:textId="697B01B1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Pēc </w:t>
      </w:r>
      <w:r>
        <w:rPr>
          <w:rFonts w:ascii="Times New Roman" w:hAnsi="Times New Roman"/>
          <w:sz w:val="24"/>
          <w:u w:val="single" w:color="000000"/>
        </w:rPr>
        <w:t>sākotnējās pārbaudes procedūras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ziņo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par katra analizētā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</w:t>
      </w:r>
      <w:r w:rsidR="00B92996">
        <w:rPr>
          <w:rStyle w:val="FootnoteReference"/>
          <w:rFonts w:ascii="Times New Roman" w:hAnsi="Times New Roman"/>
          <w:noProof/>
          <w:sz w:val="24"/>
        </w:rPr>
        <w:footnoteReference w:id="5"/>
      </w:r>
      <w:r>
        <w:rPr>
          <w:rFonts w:ascii="Times New Roman" w:hAnsi="Times New Roman"/>
          <w:sz w:val="24"/>
          <w:vertAlign w:val="superscript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B92996">
        <w:rPr>
          <w:rStyle w:val="FootnoteReference"/>
          <w:rFonts w:ascii="Times New Roman" w:hAnsi="Times New Roman"/>
          <w:noProof/>
          <w:sz w:val="24"/>
          <w:szCs w:val="14"/>
        </w:rPr>
        <w:footnoteReference w:id="6"/>
      </w:r>
      <w:r>
        <w:rPr>
          <w:rFonts w:ascii="Times New Roman" w:hAnsi="Times New Roman"/>
          <w:sz w:val="24"/>
        </w:rPr>
        <w:t>, norādot:</w:t>
      </w:r>
    </w:p>
    <w:p w14:paraId="5BCA5ACD" w14:textId="77777777" w:rsidR="00B92996" w:rsidRPr="00173AD7" w:rsidRDefault="00B92996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32BC3C1" w14:textId="5A04114F" w:rsidR="002167DE" w:rsidRPr="00173AD7" w:rsidRDefault="002167DE" w:rsidP="00B92996">
      <w:pPr>
        <w:numPr>
          <w:ilvl w:val="2"/>
          <w:numId w:val="15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>;</w:t>
      </w:r>
      <w:r w:rsidR="00B92996">
        <w:rPr>
          <w:rStyle w:val="FootnoteReference"/>
          <w:rFonts w:ascii="Times New Roman" w:hAnsi="Times New Roman"/>
          <w:noProof/>
          <w:sz w:val="24"/>
        </w:rPr>
        <w:footnoteReference w:id="7"/>
      </w:r>
    </w:p>
    <w:p w14:paraId="42E65C40" w14:textId="0EE1B3C4" w:rsidR="002167DE" w:rsidRPr="00783C10" w:rsidRDefault="002167DE" w:rsidP="00173AD7">
      <w:pPr>
        <w:pStyle w:val="BodyText"/>
        <w:numPr>
          <w:ilvl w:val="2"/>
          <w:numId w:val="1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koncentrāciju;</w:t>
      </w:r>
      <w:r w:rsidR="00B92996">
        <w:rPr>
          <w:rStyle w:val="FootnoteReference"/>
          <w:rFonts w:ascii="Times New Roman" w:hAnsi="Times New Roman"/>
          <w:noProof/>
          <w:sz w:val="24"/>
        </w:rPr>
        <w:footnoteReference w:id="8"/>
      </w:r>
      <w:r>
        <w:rPr>
          <w:rFonts w:ascii="Times New Roman" w:hAnsi="Times New Roman"/>
          <w:sz w:val="24"/>
          <w:vertAlign w:val="superscript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783C10">
        <w:rPr>
          <w:rStyle w:val="FootnoteReference"/>
          <w:rFonts w:ascii="Times New Roman" w:hAnsi="Times New Roman"/>
          <w:noProof/>
          <w:sz w:val="24"/>
          <w:szCs w:val="14"/>
        </w:rPr>
        <w:footnoteReference w:id="9"/>
      </w:r>
      <w:r>
        <w:rPr>
          <w:rFonts w:ascii="Times New Roman" w:hAnsi="Times New Roman"/>
          <w:sz w:val="24"/>
          <w:vertAlign w:val="superscript"/>
        </w:rPr>
        <w:t>,</w:t>
      </w:r>
      <w:r w:rsidR="00783C10">
        <w:rPr>
          <w:rStyle w:val="FootnoteReference"/>
          <w:rFonts w:ascii="Times New Roman" w:hAnsi="Times New Roman"/>
          <w:noProof/>
          <w:sz w:val="24"/>
          <w:szCs w:val="14"/>
        </w:rPr>
        <w:footnoteReference w:id="10"/>
      </w:r>
    </w:p>
    <w:p w14:paraId="751BD70D" w14:textId="1BCBCF77" w:rsidR="002167DE" w:rsidRPr="00173AD7" w:rsidRDefault="002167DE" w:rsidP="00D82B82">
      <w:pPr>
        <w:numPr>
          <w:ilvl w:val="1"/>
          <w:numId w:val="14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proporciju;</w:t>
      </w:r>
      <w:r>
        <w:rPr>
          <w:rFonts w:ascii="Times New Roman" w:hAnsi="Times New Roman"/>
          <w:sz w:val="24"/>
          <w:vertAlign w:val="superscript"/>
        </w:rPr>
        <w:t>2,</w:t>
      </w:r>
      <w:r w:rsidR="00783C10">
        <w:rPr>
          <w:rStyle w:val="FootnoteReference"/>
          <w:rFonts w:ascii="Times New Roman" w:hAnsi="Times New Roman"/>
          <w:noProof/>
          <w:sz w:val="24"/>
        </w:rPr>
        <w:footnoteReference w:id="11"/>
      </w:r>
    </w:p>
    <w:p w14:paraId="48160CA7" w14:textId="7770F8F9" w:rsidR="002167DE" w:rsidRPr="00173AD7" w:rsidRDefault="002167DE" w:rsidP="00D82B82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mikrobiālās aktivitātes pazīmes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>, 5α-androstenediona (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 xml:space="preserve">) un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 proporciju un 5β-androstenediona (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 xml:space="preserve">) un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 proporciju;</w:t>
      </w:r>
      <w:r w:rsidR="00D82B82">
        <w:rPr>
          <w:rStyle w:val="FootnoteReference"/>
          <w:rFonts w:ascii="Times New Roman" w:hAnsi="Times New Roman"/>
          <w:noProof/>
          <w:sz w:val="24"/>
        </w:rPr>
        <w:footnoteReference w:id="12"/>
      </w:r>
    </w:p>
    <w:p w14:paraId="10F0311F" w14:textId="16C511DD" w:rsidR="002167DE" w:rsidRPr="00173AD7" w:rsidRDefault="002167DE" w:rsidP="00D82B82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tādas(-u) vielas(-u) klātbūtni vai neesību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>, kura(-as) varētu izmainīt steroīdu profilu.</w:t>
      </w:r>
      <w:r>
        <w:rPr>
          <w:rFonts w:ascii="Times New Roman" w:hAnsi="Times New Roman"/>
          <w:sz w:val="24"/>
          <w:vertAlign w:val="superscript"/>
        </w:rPr>
        <w:t>12</w:t>
      </w:r>
    </w:p>
    <w:p w14:paraId="3EA2B0F4" w14:textId="77777777" w:rsidR="00D82B82" w:rsidRDefault="00D82B82" w:rsidP="00D82B82">
      <w:pPr>
        <w:pStyle w:val="BodyText"/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</w:p>
    <w:p w14:paraId="69992C8E" w14:textId="2B043DFF" w:rsidR="002167DE" w:rsidRDefault="002167DE" w:rsidP="00D82B82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neatbilst cilvēka urīnam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 xml:space="preserve"> ≤ 1,001, kreatinīns ≤ 5 mg/dl [5], fizioloģiskai izcelsmei neatbilstīga sāls koncentrācija, pārmērīgas pH vērtības, endogēno steroīdu, kortikosteroīdu, proteīnu neesība vai neraksturīgi zems to līmenis),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>:</w:t>
      </w:r>
    </w:p>
    <w:p w14:paraId="6B4734AE" w14:textId="77777777" w:rsidR="00D82B82" w:rsidRPr="00173AD7" w:rsidRDefault="00D82B82" w:rsidP="00D82B82">
      <w:pPr>
        <w:pStyle w:val="BodyText"/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</w:p>
    <w:p w14:paraId="344F2990" w14:textId="77777777" w:rsidR="002167DE" w:rsidRPr="00173AD7" w:rsidRDefault="002167DE" w:rsidP="00D82B82">
      <w:pPr>
        <w:numPr>
          <w:ilvl w:val="1"/>
          <w:numId w:val="14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ziņo par rezultātu kā par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falsifikāciju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mēģinājumu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Aizliegto vielu un metožu saraksta</w:t>
      </w:r>
      <w:r>
        <w:rPr>
          <w:rFonts w:ascii="Times New Roman" w:hAnsi="Times New Roman"/>
          <w:sz w:val="24"/>
        </w:rPr>
        <w:t xml:space="preserve"> M2.1. punkts), 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spēj nepārprotami identificēt šķidruma veidu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ūdens, sārms, mākslīgais urīns), kas iesniegts kā viltots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>, vai</w:t>
      </w:r>
    </w:p>
    <w:p w14:paraId="5BFA5B51" w14:textId="77777777" w:rsidR="002167DE" w:rsidRPr="00173AD7" w:rsidRDefault="002167DE" w:rsidP="00D82B82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ziņo par rezultātu kā par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falsifikāciju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mēģinājumu</w:t>
      </w:r>
      <w:r>
        <w:rPr>
          <w:rFonts w:ascii="Times New Roman" w:hAnsi="Times New Roman"/>
          <w:sz w:val="24"/>
        </w:rPr>
        <w:t xml:space="preserve">, ja </w:t>
      </w:r>
      <w:r>
        <w:rPr>
          <w:rFonts w:ascii="Times New Roman" w:hAnsi="Times New Roman"/>
          <w:sz w:val="24"/>
          <w:u w:val="single" w:color="000000"/>
        </w:rPr>
        <w:t>laboratorijai</w:t>
      </w:r>
      <w:r>
        <w:rPr>
          <w:rFonts w:ascii="Times New Roman" w:hAnsi="Times New Roman"/>
          <w:sz w:val="24"/>
        </w:rPr>
        <w:t xml:space="preserve"> ir iemesls uzskatīt, ka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varētu būt jebkādā veidā pārveidots, ar to ir veiktas nepareizas darbības vai tas varētu būt izmantots, veicot jebkādu krāpšanu, kas varētu izmainīt </w:t>
      </w:r>
      <w:r>
        <w:rPr>
          <w:rFonts w:ascii="Times New Roman" w:hAnsi="Times New Roman"/>
          <w:sz w:val="24"/>
          <w:u w:val="single" w:color="000000"/>
        </w:rPr>
        <w:t>analītiskās pārbaudes</w:t>
      </w:r>
      <w:r>
        <w:rPr>
          <w:rFonts w:ascii="Times New Roman" w:hAnsi="Times New Roman"/>
          <w:sz w:val="24"/>
        </w:rPr>
        <w:t xml:space="preserve"> rezultātus, vai</w:t>
      </w:r>
    </w:p>
    <w:p w14:paraId="2E8E22BF" w14:textId="77777777" w:rsidR="002167DE" w:rsidRPr="00173AD7" w:rsidRDefault="002167DE" w:rsidP="00D82B82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ziņo </w:t>
      </w:r>
      <w:r>
        <w:rPr>
          <w:rFonts w:ascii="Times New Roman" w:hAnsi="Times New Roman"/>
          <w:sz w:val="24"/>
          <w:u w:val="single" w:color="000000"/>
        </w:rPr>
        <w:t>pārbaudes iestādei</w:t>
      </w:r>
      <w:r>
        <w:rPr>
          <w:rFonts w:ascii="Times New Roman" w:hAnsi="Times New Roman"/>
          <w:sz w:val="24"/>
        </w:rPr>
        <w:t xml:space="preserve"> par aizdomīgu atradi un lūdz papildu informāciju, ko varētu sniegt papildus, ziņojot par šo atradi kā par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falsifikāciju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mēģinājumu</w:t>
      </w:r>
      <w:r>
        <w:rPr>
          <w:rFonts w:ascii="Times New Roman" w:hAnsi="Times New Roman"/>
          <w:sz w:val="24"/>
        </w:rPr>
        <w:t xml:space="preserve"> (piemēram,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“steroīdu garenprofila” datus), vai</w:t>
      </w:r>
    </w:p>
    <w:p w14:paraId="4FB3C7C6" w14:textId="5034DB12" w:rsidR="002167DE" w:rsidRPr="00D82B82" w:rsidRDefault="002167DE" w:rsidP="00D82B82">
      <w:pPr>
        <w:numPr>
          <w:ilvl w:val="1"/>
          <w:numId w:val="14"/>
        </w:numPr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ziņo par atradi kā par </w:t>
      </w:r>
      <w:r>
        <w:rPr>
          <w:rFonts w:ascii="Times New Roman" w:hAnsi="Times New Roman"/>
          <w:i/>
          <w:sz w:val="24"/>
        </w:rPr>
        <w:t>ATF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falsifikāciju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falsifikācijas mēģinājumu</w:t>
      </w:r>
      <w:r>
        <w:rPr>
          <w:rFonts w:ascii="Times New Roman" w:hAnsi="Times New Roman"/>
          <w:sz w:val="24"/>
        </w:rPr>
        <w:t xml:space="preserve"> un pievieno piezīmi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, kurā iesaka </w:t>
      </w:r>
      <w:r>
        <w:rPr>
          <w:rFonts w:ascii="Times New Roman" w:hAnsi="Times New Roman"/>
          <w:sz w:val="24"/>
          <w:u w:val="single" w:color="000000"/>
        </w:rPr>
        <w:t>pārbaudes iestādei</w:t>
      </w:r>
      <w:r>
        <w:rPr>
          <w:rFonts w:ascii="Times New Roman" w:hAnsi="Times New Roman"/>
          <w:sz w:val="24"/>
        </w:rPr>
        <w:t xml:space="preserve"> veikt papildu izmeklēšanu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papildu analīzes,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mērķpārbaudi</w:t>
      </w:r>
      <w:r>
        <w:rPr>
          <w:rFonts w:ascii="Times New Roman" w:hAnsi="Times New Roman"/>
          <w:sz w:val="24"/>
        </w:rPr>
        <w:t xml:space="preserve">), lai noteiktu, vai ir notikusi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falsifikācija</w:t>
      </w:r>
      <w:r>
        <w:rPr>
          <w:rFonts w:ascii="Times New Roman" w:hAnsi="Times New Roman"/>
          <w:sz w:val="24"/>
        </w:rPr>
        <w:t xml:space="preserve"> un atrade būtu jāuzskata par antidopinga noteikumu pārkāpumu.</w:t>
      </w:r>
    </w:p>
    <w:p w14:paraId="3F03D591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124DEF7" w14:textId="5CCB365D" w:rsidR="002167DE" w:rsidRPr="00173AD7" w:rsidRDefault="002167DE" w:rsidP="00173AD7">
      <w:pPr>
        <w:pStyle w:val="Heading2"/>
        <w:spacing w:before="0"/>
        <w:ind w:left="0"/>
        <w:jc w:val="both"/>
        <w:rPr>
          <w:rFonts w:eastAsia="Verdana" w:cs="Verdana"/>
          <w:noProof/>
        </w:rPr>
      </w:pPr>
      <w:r>
        <w:t xml:space="preserve">2.2.1. </w:t>
      </w:r>
      <w:r>
        <w:rPr>
          <w:i/>
          <w:iCs/>
        </w:rPr>
        <w:t>Parauga</w:t>
      </w:r>
      <w:r>
        <w:t xml:space="preserve"> (steroīdu profila) derīgums</w:t>
      </w:r>
    </w:p>
    <w:p w14:paraId="1E6F953D" w14:textId="77777777" w:rsidR="00D82B82" w:rsidRDefault="00D82B82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E8A618D" w14:textId="39BD1A81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derīgums pēc steroīdu profila paziņošanas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tiks noteikts automātiski saskaņā ar turpmāk izklāstītajiem nosacījumiem.</w:t>
      </w:r>
    </w:p>
    <w:p w14:paraId="26AE9C6F" w14:textId="77777777" w:rsidR="00D82B82" w:rsidRPr="00173AD7" w:rsidRDefault="00D82B82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DCD446D" w14:textId="61A91192" w:rsidR="002167DE" w:rsidRDefault="00D82B82" w:rsidP="00D82B82">
      <w:pPr>
        <w:tabs>
          <w:tab w:val="left" w:pos="555"/>
          <w:tab w:val="left" w:pos="1987"/>
          <w:tab w:val="left" w:pos="3587"/>
          <w:tab w:val="left" w:pos="7130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a) </w:t>
      </w:r>
      <w:r>
        <w:rPr>
          <w:rFonts w:ascii="Times New Roman" w:hAnsi="Times New Roman"/>
          <w:b/>
          <w:sz w:val="24"/>
        </w:rPr>
        <w:t>“Nederīgs”</w:t>
      </w:r>
      <w:r>
        <w:rPr>
          <w:rFonts w:ascii="Times New Roman" w:hAnsi="Times New Roman"/>
          <w:sz w:val="24"/>
        </w:rPr>
        <w:t xml:space="preserve"> – </w:t>
      </w:r>
      <w:r>
        <w:rPr>
          <w:rFonts w:ascii="Times New Roman" w:hAnsi="Times New Roman"/>
          <w:b/>
          <w:sz w:val="24"/>
        </w:rPr>
        <w:t xml:space="preserve">tikai tad, ja </w:t>
      </w:r>
      <w:r>
        <w:rPr>
          <w:rFonts w:ascii="Times New Roman" w:hAnsi="Times New Roman"/>
          <w:b/>
          <w:i/>
          <w:sz w:val="24"/>
        </w:rPr>
        <w:t>paraugā</w:t>
      </w:r>
      <w:r>
        <w:rPr>
          <w:rFonts w:ascii="Times New Roman" w:hAnsi="Times New Roman"/>
          <w:b/>
          <w:sz w:val="24"/>
        </w:rPr>
        <w:t xml:space="preserve"> novēro pārmērīgas degradācijas pazīmes</w:t>
      </w:r>
      <w:r w:rsidR="000C79F9">
        <w:rPr>
          <w:rStyle w:val="FootnoteReference"/>
          <w:rFonts w:ascii="Times New Roman" w:eastAsia="Verdana" w:hAnsi="Times New Roman" w:cs="Verdana"/>
          <w:b/>
          <w:bCs/>
          <w:noProof/>
          <w:sz w:val="24"/>
        </w:rPr>
        <w:footnoteReference w:id="13"/>
      </w:r>
      <w:r>
        <w:rPr>
          <w:rFonts w:ascii="Times New Roman" w:hAnsi="Times New Roman"/>
          <w:sz w:val="24"/>
        </w:rPr>
        <w:t>, ko nosaka pēc šādiem parametriem:</w:t>
      </w:r>
    </w:p>
    <w:p w14:paraId="0DC70343" w14:textId="77777777" w:rsidR="00D82B82" w:rsidRPr="00173AD7" w:rsidRDefault="00D82B82" w:rsidP="00D82B82">
      <w:pPr>
        <w:tabs>
          <w:tab w:val="left" w:pos="555"/>
          <w:tab w:val="left" w:pos="1987"/>
          <w:tab w:val="left" w:pos="3587"/>
          <w:tab w:val="left" w:pos="7130"/>
        </w:tabs>
        <w:jc w:val="both"/>
        <w:rPr>
          <w:rFonts w:ascii="Times New Roman" w:eastAsia="Verdana" w:hAnsi="Times New Roman" w:cs="Verdana"/>
          <w:noProof/>
          <w:sz w:val="24"/>
        </w:rPr>
      </w:pPr>
    </w:p>
    <w:p w14:paraId="36C6DA25" w14:textId="4C31F2E8" w:rsidR="002167DE" w:rsidRPr="00173AD7" w:rsidRDefault="002167DE" w:rsidP="00D82B82">
      <w:pPr>
        <w:pStyle w:val="BodyText"/>
        <w:numPr>
          <w:ilvl w:val="1"/>
          <w:numId w:val="13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5αAND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 ≥ 0,1 un/vai</w:t>
      </w:r>
    </w:p>
    <w:p w14:paraId="05ABA166" w14:textId="77777777" w:rsidR="002167DE" w:rsidRPr="00173AD7" w:rsidRDefault="002167DE" w:rsidP="00D82B82">
      <w:pPr>
        <w:pStyle w:val="BodyText"/>
        <w:numPr>
          <w:ilvl w:val="1"/>
          <w:numId w:val="13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> ≥ 0,1.</w:t>
      </w:r>
    </w:p>
    <w:p w14:paraId="245B855F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661853A5" w14:textId="76CD04DC" w:rsidR="002167DE" w:rsidRPr="00173AD7" w:rsidRDefault="000C79F9" w:rsidP="000C79F9">
      <w:pPr>
        <w:tabs>
          <w:tab w:val="left" w:pos="435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>a) “</w:t>
      </w:r>
      <w:r>
        <w:rPr>
          <w:rFonts w:ascii="Times New Roman" w:hAnsi="Times New Roman"/>
          <w:b/>
          <w:sz w:val="24"/>
        </w:rPr>
        <w:t>Derīgs”</w:t>
      </w:r>
      <w:r>
        <w:rPr>
          <w:rFonts w:ascii="Times New Roman" w:hAnsi="Times New Roman"/>
          <w:sz w:val="24"/>
        </w:rPr>
        <w:t xml:space="preserve"> – </w:t>
      </w:r>
      <w:r>
        <w:rPr>
          <w:rFonts w:ascii="Times New Roman" w:hAnsi="Times New Roman"/>
          <w:b/>
          <w:sz w:val="24"/>
        </w:rPr>
        <w:t>visos pārējos gadījumos</w:t>
      </w:r>
      <w:r>
        <w:rPr>
          <w:rFonts w:ascii="Times New Roman" w:hAnsi="Times New Roman"/>
          <w:sz w:val="24"/>
        </w:rPr>
        <w:t>, tostarp tālāk uzskaitītajos gadījumos:</w:t>
      </w:r>
    </w:p>
    <w:p w14:paraId="39FDC583" w14:textId="77777777" w:rsidR="000C79F9" w:rsidRDefault="000C79F9" w:rsidP="000C79F9">
      <w:pPr>
        <w:tabs>
          <w:tab w:val="left" w:pos="833"/>
        </w:tabs>
        <w:jc w:val="both"/>
        <w:rPr>
          <w:rFonts w:ascii="Times New Roman" w:eastAsia="Verdana" w:hAnsi="Times New Roman" w:cs="Verdana"/>
          <w:noProof/>
          <w:sz w:val="24"/>
        </w:rPr>
      </w:pPr>
    </w:p>
    <w:p w14:paraId="4E4DBB61" w14:textId="47BADE09" w:rsidR="002167DE" w:rsidRPr="00173AD7" w:rsidRDefault="002167DE" w:rsidP="000C79F9">
      <w:pPr>
        <w:numPr>
          <w:ilvl w:val="0"/>
          <w:numId w:val="12"/>
        </w:numPr>
        <w:tabs>
          <w:tab w:val="left" w:pos="833"/>
        </w:tabs>
        <w:ind w:left="426" w:hanging="426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 ≤ [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] &lt; 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.</w:t>
      </w:r>
    </w:p>
    <w:p w14:paraId="171A5B4C" w14:textId="77777777" w:rsidR="002167DE" w:rsidRPr="00173AD7" w:rsidRDefault="002167DE" w:rsidP="000C79F9">
      <w:pPr>
        <w:pStyle w:val="BodyText"/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analizētajā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alikvotā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koncentrācijas daudzumu nevar noteikt, bet tā hromatogrāfiskās smailes signāls vēl ir nosakāms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S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N</w:t>
      </w:r>
      <w:r>
        <w:rPr>
          <w:rFonts w:ascii="Times New Roman" w:hAnsi="Times New Roman"/>
          <w:sz w:val="24"/>
        </w:rPr>
        <w:t xml:space="preserve"> &gt; 3) un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var noteikt no koriģētajiem hromatogrāfiskās smailes laukumiem vai smailes augstumiem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proporcijas aprēķināto vērtību ziņo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, ziņojot, ka attiecīgi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“-1” (1. tabula);</w:t>
      </w:r>
      <w:r>
        <w:rPr>
          <w:rFonts w:ascii="Times New Roman" w:hAnsi="Times New Roman"/>
          <w:sz w:val="24"/>
          <w:vertAlign w:val="superscript"/>
        </w:rPr>
        <w:t>9</w:t>
      </w:r>
    </w:p>
    <w:p w14:paraId="692D2B07" w14:textId="77777777" w:rsidR="002167DE" w:rsidRPr="00173AD7" w:rsidRDefault="002167DE" w:rsidP="000C79F9">
      <w:pPr>
        <w:pStyle w:val="BodyText"/>
        <w:numPr>
          <w:ilvl w:val="0"/>
          <w:numId w:val="12"/>
        </w:numPr>
        <w:tabs>
          <w:tab w:val="left" w:pos="840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[T] &lt; 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.</w:t>
      </w:r>
    </w:p>
    <w:p w14:paraId="04D8A322" w14:textId="578F11F9" w:rsidR="002167DE" w:rsidRDefault="002167DE" w:rsidP="000C79F9">
      <w:pPr>
        <w:pStyle w:val="BodyText"/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hromatogrāfiskās smailes signālu nav iespējams noteikt, ziņo,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koncentrācija ir “-2” un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vērtība ir “-1” (1. tabula)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>, un:</w:t>
      </w:r>
    </w:p>
    <w:p w14:paraId="26B16011" w14:textId="77777777" w:rsidR="000C79F9" w:rsidRPr="00173AD7" w:rsidRDefault="000C79F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5F6FEEF" w14:textId="60224E22" w:rsidR="002167DE" w:rsidRPr="00173AD7" w:rsidRDefault="000C79F9" w:rsidP="000C79F9">
      <w:pPr>
        <w:pStyle w:val="BodyText"/>
        <w:tabs>
          <w:tab w:val="left" w:pos="1380"/>
        </w:tabs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i) ja [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] ≥ 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pievieno piezīmi, kurā norāda,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nebija iespējams izmērīt, jo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koncentrācija bija zemāka par pārbaudes metodes noteikšanas spēju, vai</w:t>
      </w:r>
    </w:p>
    <w:p w14:paraId="08EA6161" w14:textId="4045432E" w:rsidR="002167DE" w:rsidRDefault="000C79F9" w:rsidP="000C79F9">
      <w:pPr>
        <w:pStyle w:val="BodyText"/>
        <w:tabs>
          <w:tab w:val="left" w:pos="1381"/>
        </w:tabs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ii) ja 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 ≤ [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] &lt; 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 xml:space="preserve">, ziņo, ka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“-1”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, un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pievieno piezīmi, kurā norāda,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nebija iespējams izmērīt, jo nebija iespējams izmērīt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koncentrāciju;</w:t>
      </w:r>
    </w:p>
    <w:p w14:paraId="7DC281ED" w14:textId="77777777" w:rsidR="000C79F9" w:rsidRPr="000C79F9" w:rsidRDefault="000C79F9" w:rsidP="000C79F9">
      <w:pPr>
        <w:pStyle w:val="BodyText"/>
        <w:tabs>
          <w:tab w:val="left" w:pos="1381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2A685A1" w14:textId="77777777" w:rsidR="002167DE" w:rsidRPr="00173AD7" w:rsidRDefault="002167DE" w:rsidP="000C79F9">
      <w:pPr>
        <w:pStyle w:val="BodyText"/>
        <w:numPr>
          <w:ilvl w:val="1"/>
          <w:numId w:val="14"/>
        </w:numPr>
        <w:tabs>
          <w:tab w:val="left" w:pos="820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] &lt; 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.</w:t>
      </w:r>
    </w:p>
    <w:p w14:paraId="72EACFF5" w14:textId="5F75D35A" w:rsidR="000C79F9" w:rsidRDefault="002167DE" w:rsidP="000C79F9">
      <w:pPr>
        <w:pStyle w:val="BodyText"/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hromatogrāfiskās smailes signālu nav iespējams noteikt, ziņo, ka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“-2”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(1. tabula), un:</w:t>
      </w:r>
    </w:p>
    <w:p w14:paraId="463A12BD" w14:textId="77777777" w:rsidR="000C79F9" w:rsidRPr="00173AD7" w:rsidRDefault="000C79F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2AAFD2C" w14:textId="26AE09FB" w:rsidR="002167DE" w:rsidRPr="00173AD7" w:rsidRDefault="000C79F9" w:rsidP="000C79F9">
      <w:pPr>
        <w:pStyle w:val="BodyText"/>
        <w:tabs>
          <w:tab w:val="left" w:pos="1360"/>
        </w:tabs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i) ja [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] ≥ 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aprēķina, pamatojoties uz </w:t>
      </w: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 noteikto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 xml:space="preserve"> vērtību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ja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koncentrācija ir 3 ng/ml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nevar konstatēt un ja </w:t>
      </w: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 noteiktā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 xml:space="preserve"> ir 0,5 ng/ml, ziņo,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ir 6,0) (1. tabula).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pievieno piezīmi, kurā norāda,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nebija iespējams precīzi izmērīt, jo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bija zemāka par pārbaudes metodes noteikšanas spēju, vai</w:t>
      </w:r>
    </w:p>
    <w:p w14:paraId="04BF646B" w14:textId="708D85C9" w:rsidR="002167DE" w:rsidRDefault="000C79F9" w:rsidP="000C79F9">
      <w:pPr>
        <w:pStyle w:val="BodyText"/>
        <w:tabs>
          <w:tab w:val="left" w:pos="1360"/>
        </w:tabs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ii) ja 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 ≤ [T] &lt; 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 xml:space="preserve">, ziņo,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 un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koncentrācija ir “-1”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, un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pievieno piezīmi, kurā norāda,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nebija iespējams precīzi izmērīt, jo nebija iespējams izmērīt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koncentrāciju (1. tabula);</w:t>
      </w:r>
    </w:p>
    <w:p w14:paraId="5862C07E" w14:textId="77777777" w:rsidR="000C79F9" w:rsidRPr="00173AD7" w:rsidRDefault="000C79F9" w:rsidP="000C79F9">
      <w:pPr>
        <w:pStyle w:val="BodyText"/>
        <w:tabs>
          <w:tab w:val="left" w:pos="1360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D7C11C5" w14:textId="77777777" w:rsidR="002167DE" w:rsidRPr="00173AD7" w:rsidRDefault="002167DE" w:rsidP="000C79F9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abi [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>] &lt; 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.</w:t>
      </w:r>
    </w:p>
    <w:p w14:paraId="5BC2958C" w14:textId="77777777" w:rsidR="002167DE" w:rsidRPr="00173AD7" w:rsidRDefault="002167DE" w:rsidP="000C79F9">
      <w:pPr>
        <w:pStyle w:val="BodyText"/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gan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hromatogrāfiskās smailes signālu nav iespējams noteikt, ziņo,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“-2” un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vērtība ir “-2” (1. tabula).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pievieno piezīmi, kurā norāda, ka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nebija iespējams izmērīt, jo gan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gan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bija zemāka par pārbaudes metodes noteikšanas spēju;</w:t>
      </w:r>
    </w:p>
    <w:p w14:paraId="52EFF3AD" w14:textId="005268BC" w:rsidR="002167DE" w:rsidRDefault="002167DE" w:rsidP="000C79F9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precīzi nav iespējams izmērīt citu(-us) steroīdu profila </w:t>
      </w:r>
      <w:r>
        <w:rPr>
          <w:rFonts w:ascii="Times New Roman" w:hAnsi="Times New Roman"/>
          <w:i/>
          <w:sz w:val="24"/>
        </w:rPr>
        <w:t>marķieri(-us)</w:t>
      </w:r>
      <w:r>
        <w:rPr>
          <w:rFonts w:ascii="Times New Roman" w:hAnsi="Times New Roman"/>
          <w:sz w:val="24"/>
        </w:rPr>
        <w:t>, rīkojas šādi:</w:t>
      </w:r>
    </w:p>
    <w:p w14:paraId="74889962" w14:textId="77777777" w:rsidR="000C79F9" w:rsidRPr="00173AD7" w:rsidRDefault="000C79F9" w:rsidP="000C79F9">
      <w:pPr>
        <w:pStyle w:val="BodyText"/>
        <w:tabs>
          <w:tab w:val="left" w:pos="813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A640931" w14:textId="75528690" w:rsidR="002167DE" w:rsidRPr="00173AD7" w:rsidRDefault="002167DE" w:rsidP="000C79F9">
      <w:pPr>
        <w:numPr>
          <w:ilvl w:val="2"/>
          <w:numId w:val="14"/>
        </w:numPr>
        <w:tabs>
          <w:tab w:val="left" w:pos="1094"/>
        </w:tabs>
        <w:ind w:left="709" w:hanging="283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 ≤ [</w:t>
      </w:r>
      <w:r>
        <w:rPr>
          <w:rFonts w:ascii="Times New Roman" w:hAnsi="Times New Roman"/>
          <w:i/>
          <w:sz w:val="24"/>
        </w:rPr>
        <w:t>marķieris</w:t>
      </w:r>
      <w:r>
        <w:rPr>
          <w:rFonts w:ascii="Times New Roman" w:hAnsi="Times New Roman"/>
          <w:sz w:val="24"/>
        </w:rPr>
        <w:t>] &lt; 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.</w:t>
      </w:r>
    </w:p>
    <w:p w14:paraId="4AC1725E" w14:textId="77777777" w:rsidR="002167DE" w:rsidRPr="00173AD7" w:rsidRDefault="002167DE" w:rsidP="000C79F9">
      <w:pPr>
        <w:pStyle w:val="BodyText"/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i/>
          <w:sz w:val="24"/>
        </w:rPr>
        <w:t>marķiera</w:t>
      </w:r>
      <w:r>
        <w:rPr>
          <w:rFonts w:ascii="Times New Roman" w:hAnsi="Times New Roman"/>
          <w:sz w:val="24"/>
        </w:rPr>
        <w:t xml:space="preserve"> koncentrācija </w:t>
      </w:r>
      <w:r>
        <w:rPr>
          <w:rFonts w:ascii="Times New Roman" w:hAnsi="Times New Roman"/>
          <w:sz w:val="24"/>
          <w:u w:val="single" w:color="000000"/>
        </w:rPr>
        <w:t>alikvotā</w:t>
      </w:r>
      <w:r>
        <w:rPr>
          <w:rFonts w:ascii="Times New Roman" w:hAnsi="Times New Roman"/>
          <w:sz w:val="24"/>
        </w:rPr>
        <w:t xml:space="preserve"> ir zemāka par pārbaudes metodes 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, bet tā hromatogrāfiskās smailes signāls vēl ir nosakāms (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virs pārbaudes metodes 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 xml:space="preserve">), ziņo, ka </w:t>
      </w:r>
      <w:r>
        <w:rPr>
          <w:rFonts w:ascii="Times New Roman" w:hAnsi="Times New Roman"/>
          <w:i/>
          <w:sz w:val="24"/>
        </w:rPr>
        <w:t>marķiera</w:t>
      </w:r>
      <w:r>
        <w:rPr>
          <w:rFonts w:ascii="Times New Roman" w:hAnsi="Times New Roman"/>
          <w:sz w:val="24"/>
        </w:rPr>
        <w:t xml:space="preserve"> koncentrācija ir “-1”;</w:t>
      </w:r>
      <w:r>
        <w:rPr>
          <w:rFonts w:ascii="Times New Roman" w:hAnsi="Times New Roman"/>
          <w:sz w:val="24"/>
          <w:vertAlign w:val="superscript"/>
        </w:rPr>
        <w:t>9</w:t>
      </w:r>
    </w:p>
    <w:p w14:paraId="7A4D6A9E" w14:textId="77777777" w:rsidR="002167DE" w:rsidRPr="00173AD7" w:rsidRDefault="002167DE" w:rsidP="000C79F9">
      <w:pPr>
        <w:numPr>
          <w:ilvl w:val="2"/>
          <w:numId w:val="14"/>
        </w:numPr>
        <w:tabs>
          <w:tab w:val="left" w:pos="1094"/>
        </w:tabs>
        <w:ind w:left="709" w:hanging="283"/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i/>
          <w:sz w:val="24"/>
        </w:rPr>
        <w:t>marķieris</w:t>
      </w:r>
      <w:r>
        <w:rPr>
          <w:rFonts w:ascii="Times New Roman" w:hAnsi="Times New Roman"/>
          <w:sz w:val="24"/>
        </w:rPr>
        <w:t>] &lt; 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.</w:t>
      </w:r>
    </w:p>
    <w:p w14:paraId="070033E0" w14:textId="77777777" w:rsidR="002167DE" w:rsidRPr="00173AD7" w:rsidRDefault="002167DE" w:rsidP="000C79F9">
      <w:pPr>
        <w:pStyle w:val="BodyText"/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Ja marķiera hromatogrāfiskās smailes signālu nav iespējams noteikt (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tas ir zemāks par pārbaudes metodes </w:t>
      </w:r>
      <w:r>
        <w:rPr>
          <w:rFonts w:ascii="Times New Roman" w:hAnsi="Times New Roman"/>
          <w:i/>
          <w:iCs/>
          <w:sz w:val="24"/>
        </w:rPr>
        <w:t>LOD</w:t>
      </w:r>
      <w:r>
        <w:rPr>
          <w:rFonts w:ascii="Times New Roman" w:hAnsi="Times New Roman"/>
          <w:sz w:val="24"/>
        </w:rPr>
        <w:t>), ziņo, ka koncentrācija ir “-2”</w:t>
      </w:r>
      <w:r>
        <w:rPr>
          <w:rFonts w:ascii="Times New Roman" w:hAnsi="Times New Roman"/>
          <w:sz w:val="24"/>
          <w:vertAlign w:val="superscript"/>
        </w:rPr>
        <w:t>9</w:t>
      </w:r>
      <w:r>
        <w:rPr>
          <w:rFonts w:ascii="Times New Roman" w:hAnsi="Times New Roman"/>
          <w:sz w:val="24"/>
        </w:rPr>
        <w:t>;</w:t>
      </w:r>
    </w:p>
    <w:p w14:paraId="19CF5C42" w14:textId="77777777" w:rsidR="00173AD7" w:rsidRPr="00173AD7" w:rsidRDefault="00173AD7" w:rsidP="00173AD7">
      <w:pPr>
        <w:jc w:val="both"/>
        <w:rPr>
          <w:rFonts w:ascii="Times New Roman" w:hAnsi="Times New Roman"/>
          <w:noProof/>
          <w:sz w:val="24"/>
        </w:rPr>
      </w:pPr>
    </w:p>
    <w:p w14:paraId="2717195E" w14:textId="77777777" w:rsidR="002167DE" w:rsidRPr="00173AD7" w:rsidRDefault="002167DE" w:rsidP="000C79F9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konstatēts ne tik pārmērīgs mikrobioloģiskais piesārņojums, par ko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  <w:vertAlign w:val="superscript"/>
        </w:rPr>
        <w:t>12</w:t>
      </w:r>
      <w:r>
        <w:rPr>
          <w:rFonts w:ascii="Times New Roman" w:hAnsi="Times New Roman"/>
          <w:sz w:val="24"/>
        </w:rPr>
        <w:t xml:space="preserve"> ir jāziņo kā par:</w:t>
      </w:r>
    </w:p>
    <w:p w14:paraId="19ACFE61" w14:textId="77777777" w:rsidR="000C79F9" w:rsidRDefault="000C79F9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C34E345" w14:textId="3A8400AB" w:rsidR="002167DE" w:rsidRPr="00173AD7" w:rsidRDefault="002167DE" w:rsidP="000C79F9">
      <w:pPr>
        <w:pStyle w:val="BodyText"/>
        <w:spacing w:before="0"/>
        <w:ind w:left="709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5αAND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 proporciju un/vai 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 proporciju diapazonā no 0,05 līdz 0,1;</w:t>
      </w:r>
    </w:p>
    <w:p w14:paraId="53FFA9C7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1"/>
        </w:rPr>
      </w:pPr>
    </w:p>
    <w:p w14:paraId="12211DB9" w14:textId="77777777" w:rsidR="002167DE" w:rsidRPr="00173AD7" w:rsidRDefault="002167DE" w:rsidP="000C79F9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ziņo par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ATF</w:t>
      </w:r>
      <w:r>
        <w:rPr>
          <w:rFonts w:ascii="Times New Roman" w:hAnsi="Times New Roman"/>
          <w:sz w:val="24"/>
        </w:rPr>
        <w:t xml:space="preserve"> saistībā ar </w:t>
      </w:r>
      <w:r>
        <w:rPr>
          <w:rFonts w:ascii="Times New Roman" w:hAnsi="Times New Roman"/>
          <w:i/>
          <w:sz w:val="24"/>
        </w:rPr>
        <w:t>aizliegto vielu</w:t>
      </w:r>
      <w:r>
        <w:rPr>
          <w:rFonts w:ascii="Times New Roman" w:hAnsi="Times New Roman"/>
          <w:sz w:val="24"/>
        </w:rPr>
        <w:t>, kas varētu izmainīt steroīdu profilu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anaboliskais steroīds, </w:t>
      </w:r>
      <w:r>
        <w:rPr>
          <w:rFonts w:ascii="Times New Roman" w:hAnsi="Times New Roman"/>
          <w:i/>
          <w:iCs/>
          <w:sz w:val="24"/>
        </w:rPr>
        <w:t>hCG</w:t>
      </w:r>
      <w:r>
        <w:rPr>
          <w:rFonts w:ascii="Times New Roman" w:hAnsi="Times New Roman"/>
          <w:sz w:val="24"/>
        </w:rPr>
        <w:t xml:space="preserve"> vīriešiem, diurētiskais līdzeklis vai maskējošais līdzeklis);</w:t>
      </w:r>
      <w:r>
        <w:rPr>
          <w:rFonts w:ascii="Times New Roman" w:hAnsi="Times New Roman"/>
          <w:sz w:val="24"/>
          <w:vertAlign w:val="superscript"/>
        </w:rPr>
        <w:t>12</w:t>
      </w:r>
    </w:p>
    <w:p w14:paraId="1B7E014D" w14:textId="1AE0497B" w:rsidR="002167DE" w:rsidRPr="00173AD7" w:rsidRDefault="002167DE" w:rsidP="000C79F9">
      <w:pPr>
        <w:pStyle w:val="BodyText"/>
        <w:numPr>
          <w:ilvl w:val="1"/>
          <w:numId w:val="1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 konstatē citas vielas, kas varētu izraisīt steroīdu profila izmaiņas, un ziņo par tām (skat. 1.1. punktu).</w:t>
      </w:r>
      <w:r>
        <w:rPr>
          <w:rFonts w:ascii="Times New Roman" w:hAnsi="Times New Roman"/>
          <w:sz w:val="24"/>
          <w:vertAlign w:val="superscript"/>
        </w:rPr>
        <w:t>12,</w:t>
      </w:r>
      <w:r w:rsidR="000C79F9">
        <w:rPr>
          <w:rStyle w:val="FootnoteReference"/>
          <w:rFonts w:ascii="Times New Roman" w:hAnsi="Times New Roman"/>
          <w:noProof/>
          <w:sz w:val="24"/>
          <w:szCs w:val="14"/>
        </w:rPr>
        <w:footnoteReference w:id="14"/>
      </w:r>
    </w:p>
    <w:p w14:paraId="4C049833" w14:textId="23AFECD7" w:rsidR="000C79F9" w:rsidRDefault="000C79F9">
      <w:pPr>
        <w:rPr>
          <w:rFonts w:ascii="Times New Roman" w:eastAsia="Verdana" w:hAnsi="Times New Roman" w:cs="Verdana"/>
          <w:noProof/>
          <w:sz w:val="24"/>
          <w:szCs w:val="20"/>
        </w:rPr>
      </w:pPr>
      <w:r>
        <w:br w:type="page"/>
      </w:r>
    </w:p>
    <w:p w14:paraId="37DB143B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2414AC83" w14:textId="77777777" w:rsidR="002167DE" w:rsidRPr="00173AD7" w:rsidRDefault="002167DE" w:rsidP="0062026E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sz w:val="24"/>
        </w:rPr>
        <w:t>1. tabula</w:t>
      </w:r>
      <w:r>
        <w:rPr>
          <w:rFonts w:ascii="Times New Roman" w:hAnsi="Times New Roman"/>
          <w:sz w:val="24"/>
        </w:rPr>
        <w:t xml:space="preserve">. Nosacījumi attiecībā uz ziņošanu par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koncentrāciju un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</w:t>
      </w:r>
    </w:p>
    <w:p w14:paraId="482AE1D9" w14:textId="77777777" w:rsidR="002167DE" w:rsidRPr="00173AD7" w:rsidRDefault="002167DE" w:rsidP="00173AD7">
      <w:pPr>
        <w:jc w:val="both"/>
        <w:rPr>
          <w:rFonts w:ascii="Times New Roman" w:hAnsi="Times New Roman"/>
          <w:noProof/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4"/>
        <w:gridCol w:w="3012"/>
        <w:gridCol w:w="3952"/>
      </w:tblGrid>
      <w:tr w:rsidR="002167DE" w:rsidRPr="0062026E" w14:paraId="54C3473B" w14:textId="77777777" w:rsidTr="0062026E">
        <w:tc>
          <w:tcPr>
            <w:tcW w:w="1185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30272DE1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 xml:space="preserve"> koncentrācija</w:t>
            </w:r>
          </w:p>
        </w:tc>
        <w:tc>
          <w:tcPr>
            <w:tcW w:w="1650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6A17E7B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koncentrācija</w:t>
            </w:r>
          </w:p>
        </w:tc>
        <w:tc>
          <w:tcPr>
            <w:tcW w:w="2165" w:type="pct"/>
            <w:tcBorders>
              <w:top w:val="single" w:sz="1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3221C65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proporcija</w:t>
            </w:r>
          </w:p>
        </w:tc>
      </w:tr>
      <w:tr w:rsidR="002167DE" w:rsidRPr="0062026E" w14:paraId="29490A96" w14:textId="77777777" w:rsidTr="0062026E">
        <w:tc>
          <w:tcPr>
            <w:tcW w:w="1185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090AAD5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Izmērītais 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atbilst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 xml:space="preserve"> vai ir augstāks.</w:t>
            </w:r>
          </w:p>
          <w:p w14:paraId="48F66C8B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30AEEF0F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] ≥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4215DA3B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5B61E3B9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 xml:space="preserve"> ir izmērīts</w:t>
            </w:r>
          </w:p>
        </w:tc>
        <w:tc>
          <w:tcPr>
            <w:tcW w:w="1650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6A0553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Izmērītais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atbilst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 xml:space="preserve"> vai ir augstāks.</w:t>
            </w:r>
          </w:p>
          <w:p w14:paraId="5F5B282D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47213D2F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≥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6135110F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izmērīts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165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84A8B6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noteikts</w:t>
            </w:r>
            <w:r>
              <w:rPr>
                <w:rFonts w:ascii="Times New Roman" w:hAnsi="Times New Roman"/>
                <w:sz w:val="20"/>
              </w:rPr>
              <w:t xml:space="preserve"> no koriģēta smailes augstuma/laukuma</w:t>
            </w:r>
          </w:p>
        </w:tc>
      </w:tr>
      <w:tr w:rsidR="002167DE" w:rsidRPr="0062026E" w14:paraId="21B16D39" w14:textId="77777777" w:rsidTr="0062026E">
        <w:tc>
          <w:tcPr>
            <w:tcW w:w="1185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227E65E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DA81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ir noteikts, taču tas ir zemāks par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29E69BF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0EFA9805" w14:textId="364FD500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  <w:r>
              <w:rPr>
                <w:rFonts w:ascii="Times New Roman" w:hAnsi="Times New Roman"/>
                <w:sz w:val="20"/>
              </w:rPr>
              <w:t> ≤ 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3EA6B54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21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47CB8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167DE" w:rsidRPr="0062026E" w14:paraId="3CD5F563" w14:textId="77777777" w:rsidTr="0062026E">
        <w:tc>
          <w:tcPr>
            <w:tcW w:w="1185" w:type="pct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2EB7D709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5DC13801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nav noteikts.</w:t>
            </w:r>
          </w:p>
          <w:p w14:paraId="588E5FFE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6905871C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141D3655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“-2”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2165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3FBA29B4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b/>
                <w:sz w:val="20"/>
                <w:vertAlign w:val="subscript"/>
              </w:rPr>
              <w:t>(E)</w:t>
            </w:r>
          </w:p>
          <w:p w14:paraId="63DEBB86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Piezīme ADAMS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72CCFB6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proporciju nebija iespējams precīzi izmērīt, jo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koncentrācija bija zemāka par pārbaudes metodes noteikšanas spēju.”</w:t>
            </w:r>
          </w:p>
        </w:tc>
      </w:tr>
      <w:tr w:rsidR="002167DE" w:rsidRPr="0062026E" w14:paraId="7257A073" w14:textId="77777777" w:rsidTr="0062026E">
        <w:tc>
          <w:tcPr>
            <w:tcW w:w="1185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7C74D0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ir noteikts, taču tas ir zemāks par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43E20F6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5274EB48" w14:textId="2C240A6E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  <w:r>
              <w:rPr>
                <w:rFonts w:ascii="Times New Roman" w:hAnsi="Times New Roman"/>
                <w:sz w:val="20"/>
              </w:rPr>
              <w:t> ≤ [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] &lt;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6A730A56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5A6075A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1650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DB360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Izmērītais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atbilst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 xml:space="preserve"> vai ir augstāks.</w:t>
            </w:r>
          </w:p>
          <w:p w14:paraId="74273673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1F60CC0C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≥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5F809BFC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izmērīts</w:t>
            </w:r>
          </w:p>
        </w:tc>
        <w:tc>
          <w:tcPr>
            <w:tcW w:w="2165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1DE7F0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izmērīts</w:t>
            </w:r>
            <w:r>
              <w:rPr>
                <w:rFonts w:ascii="Times New Roman" w:hAnsi="Times New Roman"/>
                <w:sz w:val="20"/>
              </w:rPr>
              <w:t xml:space="preserve"> no koriģēta smailes augstuma/laukuma</w:t>
            </w:r>
          </w:p>
        </w:tc>
      </w:tr>
      <w:tr w:rsidR="002167DE" w:rsidRPr="0062026E" w14:paraId="1AECB518" w14:textId="77777777" w:rsidTr="0062026E">
        <w:tc>
          <w:tcPr>
            <w:tcW w:w="1185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6B359CF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921C1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ir noteikts, taču tas ir zemāks par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2CE0D4DD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4852DD67" w14:textId="7FA9BDBC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  <w:r>
              <w:rPr>
                <w:rFonts w:ascii="Times New Roman" w:hAnsi="Times New Roman"/>
                <w:sz w:val="20"/>
              </w:rPr>
              <w:t> ≤ 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2E049E5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216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A8AD5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2167DE" w:rsidRPr="0062026E" w14:paraId="1CE3805D" w14:textId="77777777" w:rsidTr="0062026E">
        <w:tc>
          <w:tcPr>
            <w:tcW w:w="1185" w:type="pct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05EC178A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4D4FCDFE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nav noteikts.</w:t>
            </w:r>
          </w:p>
          <w:p w14:paraId="099E605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1BE2C5FF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65D279B0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“-2”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2165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56933BA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</w:p>
          <w:p w14:paraId="6964C3B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Piezīme ADAMS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59B55750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proporciju nebija iespējams precīzi izmērīt, jo 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un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koncentrāciju nebija iespējams izmērīt.”</w:t>
            </w:r>
          </w:p>
        </w:tc>
      </w:tr>
      <w:tr w:rsidR="002167DE" w:rsidRPr="0062026E" w14:paraId="4CC06152" w14:textId="77777777" w:rsidTr="0062026E">
        <w:tc>
          <w:tcPr>
            <w:tcW w:w="1185" w:type="pct"/>
            <w:vMerge w:val="restart"/>
            <w:tcBorders>
              <w:top w:val="single" w:sz="18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AC7CCE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nav noteikts.</w:t>
            </w:r>
          </w:p>
          <w:p w14:paraId="563CB59D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72102C83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T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71888DAE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1EB0423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 xml:space="preserve"> ir “-2”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1650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E961D7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Izmērītais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atbilst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 xml:space="preserve"> vai ir augstāks.</w:t>
            </w:r>
          </w:p>
          <w:p w14:paraId="165B6CD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4C6B582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≥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4D20FCFF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izmērīts</w:t>
            </w:r>
          </w:p>
        </w:tc>
        <w:tc>
          <w:tcPr>
            <w:tcW w:w="2165" w:type="pct"/>
            <w:tcBorders>
              <w:top w:val="single" w:sz="1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6AB04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</w:p>
          <w:p w14:paraId="002B6CE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Piezīme ADAMS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1CFDB974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proporciju nebija iespējams izmērīt, jo 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koncentrācija bija zemāka par pārbaudes metodes noteikšanas spēju.”</w:t>
            </w:r>
          </w:p>
        </w:tc>
      </w:tr>
      <w:tr w:rsidR="002167DE" w:rsidRPr="0062026E" w14:paraId="67BA4142" w14:textId="77777777" w:rsidTr="0062026E">
        <w:tc>
          <w:tcPr>
            <w:tcW w:w="1185" w:type="pct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B626846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704F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ir noteikts, taču tas ir zemāks par 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496792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6BB1DB6D" w14:textId="25A7CF55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  <w:r>
              <w:rPr>
                <w:rFonts w:ascii="Times New Roman" w:hAnsi="Times New Roman"/>
                <w:sz w:val="20"/>
              </w:rPr>
              <w:t> ≤ 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LOQ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213BC8C7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21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924E97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“-1”</w:t>
            </w:r>
          </w:p>
          <w:p w14:paraId="40DDB79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Piezīme ADAMS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14D919AA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proporciju nebija iespējams izmērīt, jo 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 un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koncentrāciju nebija iespējams izmērīt.”</w:t>
            </w:r>
          </w:p>
        </w:tc>
      </w:tr>
      <w:tr w:rsidR="002167DE" w:rsidRPr="0062026E" w14:paraId="7E1B39FE" w14:textId="77777777" w:rsidTr="0062026E">
        <w:tc>
          <w:tcPr>
            <w:tcW w:w="1185" w:type="pct"/>
            <w:vMerge/>
            <w:tcBorders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6F666B26" w14:textId="77777777" w:rsidR="002167DE" w:rsidRPr="0062026E" w:rsidRDefault="002167DE" w:rsidP="0062026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650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47297968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hromatogrāfiskās smailes signāls nav noteikts.</w:t>
            </w:r>
          </w:p>
          <w:p w14:paraId="1D235423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Verdana" w:hAnsi="Times New Roman" w:cs="Times New Roman"/>
                <w:noProof/>
                <w:sz w:val="20"/>
                <w:szCs w:val="20"/>
              </w:rPr>
            </w:pPr>
          </w:p>
          <w:p w14:paraId="6F5F95E2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] &lt; </w:t>
            </w:r>
            <w:r>
              <w:rPr>
                <w:rFonts w:ascii="Times New Roman" w:hAnsi="Times New Roman"/>
                <w:i/>
                <w:iCs/>
                <w:sz w:val="20"/>
              </w:rPr>
              <w:t>LOD</w:t>
            </w:r>
            <w:r>
              <w:rPr>
                <w:rFonts w:ascii="Times New Roman" w:hAnsi="Times New Roman"/>
                <w:sz w:val="20"/>
                <w:vertAlign w:val="subscript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vertAlign w:val="subscript"/>
              </w:rPr>
              <w:t>E</w:t>
            </w:r>
            <w:r>
              <w:rPr>
                <w:rFonts w:ascii="Times New Roman" w:hAnsi="Times New Roman"/>
                <w:sz w:val="20"/>
                <w:vertAlign w:val="subscript"/>
              </w:rPr>
              <w:t>)</w:t>
            </w:r>
          </w:p>
          <w:p w14:paraId="4105F0C5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“-2”</w:t>
            </w:r>
            <w:r>
              <w:rPr>
                <w:rFonts w:ascii="Times New Roman" w:hAnsi="Times New Roman"/>
                <w:sz w:val="20"/>
                <w:vertAlign w:val="superscript"/>
              </w:rPr>
              <w:t>9</w:t>
            </w:r>
          </w:p>
        </w:tc>
        <w:tc>
          <w:tcPr>
            <w:tcW w:w="2165" w:type="pct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  <w:vAlign w:val="center"/>
          </w:tcPr>
          <w:p w14:paraId="1BF27E2D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Ziņo, ka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 xml:space="preserve"> ir “-2”</w:t>
            </w:r>
          </w:p>
          <w:p w14:paraId="40DF3833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Piezīme ADAMS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4E7BCAAD" w14:textId="77777777" w:rsidR="002167DE" w:rsidRPr="0062026E" w:rsidRDefault="002167DE" w:rsidP="0062026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“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>/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proporciju nebija iespējams izmērīt, jo gan </w:t>
            </w:r>
            <w:r>
              <w:rPr>
                <w:rFonts w:ascii="Times New Roman" w:hAnsi="Times New Roman"/>
                <w:i/>
                <w:iCs/>
                <w:sz w:val="20"/>
              </w:rPr>
              <w:t>T</w:t>
            </w:r>
            <w:r>
              <w:rPr>
                <w:rFonts w:ascii="Times New Roman" w:hAnsi="Times New Roman"/>
                <w:sz w:val="20"/>
              </w:rPr>
              <w:t xml:space="preserve">, gan </w:t>
            </w:r>
            <w:r>
              <w:rPr>
                <w:rFonts w:ascii="Times New Roman" w:hAnsi="Times New Roman"/>
                <w:i/>
                <w:iCs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 xml:space="preserve"> koncentrācija bija zemāka par pārbaudes metodes noteikšanas spēju.”</w:t>
            </w:r>
          </w:p>
        </w:tc>
      </w:tr>
    </w:tbl>
    <w:p w14:paraId="41606F0B" w14:textId="121F0F8D" w:rsidR="0062026E" w:rsidRDefault="0062026E">
      <w:pPr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br w:type="page"/>
      </w:r>
    </w:p>
    <w:p w14:paraId="0777986C" w14:textId="77777777" w:rsidR="0062026E" w:rsidRPr="00173AD7" w:rsidRDefault="0062026E" w:rsidP="00173AD7">
      <w:pPr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</w:p>
    <w:p w14:paraId="6720DC9F" w14:textId="38B18B03" w:rsidR="002167DE" w:rsidRPr="00173AD7" w:rsidRDefault="002167DE" w:rsidP="00173AD7">
      <w:pPr>
        <w:pStyle w:val="Heading1"/>
        <w:ind w:left="0"/>
        <w:jc w:val="both"/>
        <w:rPr>
          <w:rFonts w:ascii="Times New Roman" w:hAnsi="Times New Roman"/>
          <w:b w:val="0"/>
          <w:bCs w:val="0"/>
          <w:noProof/>
        </w:rPr>
      </w:pPr>
      <w:r>
        <w:rPr>
          <w:rFonts w:ascii="Times New Roman" w:hAnsi="Times New Roman"/>
        </w:rPr>
        <w:t xml:space="preserve">3.0. </w:t>
      </w:r>
      <w:r>
        <w:rPr>
          <w:rFonts w:ascii="Times New Roman" w:hAnsi="Times New Roman"/>
          <w:u w:val="thick" w:color="000000"/>
        </w:rPr>
        <w:t>Apstiprināšanas procedūras</w:t>
      </w:r>
    </w:p>
    <w:p w14:paraId="34E7B469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  <w:u w:val="single" w:color="000000"/>
        </w:rPr>
      </w:pPr>
    </w:p>
    <w:p w14:paraId="72BCB745" w14:textId="48E479EE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EAAS</w:t>
      </w:r>
      <w:r>
        <w:rPr>
          <w:rFonts w:ascii="Times New Roman" w:hAnsi="Times New Roman"/>
          <w:sz w:val="24"/>
        </w:rPr>
        <w:t xml:space="preserve"> eksogēnas ievadīšanas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ietver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GC-MS/MS</w:t>
      </w:r>
      <w:r>
        <w:rPr>
          <w:rFonts w:ascii="Times New Roman" w:hAnsi="Times New Roman"/>
          <w:sz w:val="24"/>
        </w:rPr>
        <w:t xml:space="preserve"> kvantitatīvu noteikšanu</w:t>
      </w:r>
      <w:r w:rsidR="0062026E">
        <w:rPr>
          <w:rStyle w:val="FootnoteReference"/>
          <w:rFonts w:ascii="Times New Roman" w:hAnsi="Times New Roman"/>
          <w:noProof/>
          <w:sz w:val="24"/>
        </w:rPr>
        <w:footnoteReference w:id="15"/>
      </w:r>
      <w:r>
        <w:rPr>
          <w:rFonts w:ascii="Times New Roman" w:hAnsi="Times New Roman"/>
          <w:sz w:val="24"/>
        </w:rPr>
        <w:t xml:space="preserve"> un steroīdu profila </w:t>
      </w:r>
      <w:r>
        <w:rPr>
          <w:rFonts w:ascii="Times New Roman" w:hAnsi="Times New Roman"/>
          <w:i/>
          <w:sz w:val="24"/>
        </w:rPr>
        <w:t>marķiera(-u)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analīzi.</w:t>
      </w:r>
    </w:p>
    <w:p w14:paraId="151371CC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CCFC767" w14:textId="58299F2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Turklāt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attiecīgi apstiprina maldinošu faktoru esību vai neesību steroīdu profilā, kā aprakstīts 1.1. punktā, 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konjugēto(-os) etanola </w:t>
      </w:r>
      <w:r>
        <w:rPr>
          <w:rFonts w:ascii="Times New Roman" w:hAnsi="Times New Roman"/>
          <w:i/>
          <w:sz w:val="24"/>
        </w:rPr>
        <w:t>metabolītu(-us)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EtG</w:t>
      </w:r>
      <w:r>
        <w:rPr>
          <w:rFonts w:ascii="Times New Roman" w:hAnsi="Times New Roman"/>
          <w:sz w:val="24"/>
        </w:rPr>
        <w:t>), 5α-reduktāzes inhibitorus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finasterīdu), ketokonazolu, kā arī mikrobiālās degradācijas pazīmes, cita starpā, piemēram,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 xml:space="preserve"> brīvo formu klātbūtni.</w:t>
      </w:r>
    </w:p>
    <w:p w14:paraId="5A21A5A4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19"/>
        </w:rPr>
      </w:pPr>
    </w:p>
    <w:p w14:paraId="57DC5BA5" w14:textId="69542643" w:rsidR="002167DE" w:rsidRPr="00173AD7" w:rsidRDefault="0062026E" w:rsidP="0062026E">
      <w:pPr>
        <w:tabs>
          <w:tab w:val="left" w:pos="620"/>
        </w:tabs>
        <w:jc w:val="both"/>
        <w:rPr>
          <w:rFonts w:ascii="Times New Roman" w:eastAsia="Verdana" w:hAnsi="Times New Roman" w:cs="Verdana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3.1. “</w:t>
      </w:r>
      <w:r>
        <w:rPr>
          <w:rFonts w:ascii="Times New Roman" w:hAnsi="Times New Roman"/>
          <w:i/>
          <w:sz w:val="24"/>
        </w:rPr>
        <w:t>Netipisku [bioloģiskās] pases parametru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>) pieprasījums”</w:t>
      </w:r>
    </w:p>
    <w:p w14:paraId="79E7B416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BB4A554" w14:textId="48F4AD32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Pēc tam, kad laboratorija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 ir paziņojusi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ierakstu salīdzina ar dopinga kontroles anketu (</w:t>
      </w:r>
      <w:r>
        <w:rPr>
          <w:rFonts w:ascii="Times New Roman" w:hAnsi="Times New Roman"/>
          <w:i/>
          <w:iCs/>
          <w:sz w:val="24"/>
        </w:rPr>
        <w:t>DCF</w:t>
      </w:r>
      <w:r>
        <w:rPr>
          <w:rFonts w:ascii="Times New Roman" w:hAnsi="Times New Roman"/>
          <w:sz w:val="24"/>
        </w:rPr>
        <w:t xml:space="preserve">), lai pēc tam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 varētu iekļaut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steroīdu </w:t>
      </w:r>
      <w:r>
        <w:rPr>
          <w:rFonts w:ascii="Times New Roman" w:hAnsi="Times New Roman"/>
          <w:sz w:val="24"/>
          <w:u w:val="single" w:color="000000"/>
        </w:rPr>
        <w:t>pasē</w:t>
      </w:r>
      <w:r>
        <w:rPr>
          <w:rFonts w:ascii="Times New Roman" w:hAnsi="Times New Roman"/>
          <w:sz w:val="24"/>
        </w:rPr>
        <w:t>.</w:t>
      </w:r>
    </w:p>
    <w:p w14:paraId="6DA54515" w14:textId="77777777" w:rsidR="0062026E" w:rsidRPr="00173AD7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C375FEF" w14:textId="7858225F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Adaptīvais modelis</w:t>
      </w:r>
      <w:r>
        <w:rPr>
          <w:rFonts w:ascii="Times New Roman" w:hAnsi="Times New Roman"/>
          <w:sz w:val="24"/>
        </w:rPr>
        <w:t xml:space="preserve"> ģenerēs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 xml:space="preserve">” paziņojumu, ja, piemērojot </w:t>
      </w:r>
      <w:r>
        <w:rPr>
          <w:rFonts w:ascii="Times New Roman" w:hAnsi="Times New Roman"/>
          <w:sz w:val="24"/>
          <w:u w:val="single" w:color="000000"/>
        </w:rPr>
        <w:t>adaptīvo modeli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 būs pārmērīgi augsta, salīdzinot ar iepriekšējām </w:t>
      </w:r>
      <w:r>
        <w:rPr>
          <w:rFonts w:ascii="Times New Roman" w:hAnsi="Times New Roman"/>
          <w:i/>
          <w:iCs/>
          <w:sz w:val="24"/>
        </w:rPr>
        <w:t>sportista</w:t>
      </w:r>
      <w:r>
        <w:rPr>
          <w:rFonts w:ascii="Times New Roman" w:hAnsi="Times New Roman"/>
          <w:sz w:val="24"/>
        </w:rPr>
        <w:t xml:space="preserve"> garengriezuma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vērtībām.</w:t>
      </w:r>
    </w:p>
    <w:p w14:paraId="682B9E81" w14:textId="77777777" w:rsidR="0062026E" w:rsidRPr="00173AD7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3681431" w14:textId="6C6CAEC6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Saņemot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 xml:space="preserve">” paziņojumu,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veic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>, izņemot tālāk uzskaitītajos gadījumos.</w:t>
      </w:r>
    </w:p>
    <w:p w14:paraId="2079E20F" w14:textId="77777777" w:rsidR="0062026E" w:rsidRPr="00173AD7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ADB5067" w14:textId="7EE2244D" w:rsidR="002167DE" w:rsidRDefault="002167DE" w:rsidP="0062026E">
      <w:pPr>
        <w:pStyle w:val="BodyText"/>
        <w:numPr>
          <w:ilvl w:val="2"/>
          <w:numId w:val="9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, minot attaisnojošu(-us) iemeslu(-us), rakstveidā iesaka </w:t>
      </w:r>
      <w:r>
        <w:rPr>
          <w:rFonts w:ascii="Times New Roman" w:hAnsi="Times New Roman"/>
          <w:sz w:val="24"/>
          <w:u w:val="single" w:color="000000"/>
        </w:rPr>
        <w:t>laboratorijai</w:t>
      </w:r>
      <w:r>
        <w:rPr>
          <w:rFonts w:ascii="Times New Roman" w:hAnsi="Times New Roman"/>
          <w:sz w:val="24"/>
        </w:rPr>
        <w:t xml:space="preserve"> neapstiprināt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profilu. Pamatojumā neveikt 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procedūru</w:t>
      </w:r>
      <w:r>
        <w:rPr>
          <w:rFonts w:ascii="Times New Roman" w:hAnsi="Times New Roman"/>
          <w:sz w:val="24"/>
        </w:rPr>
        <w:t xml:space="preserve"> var iekļaut šādus elementus:</w:t>
      </w:r>
    </w:p>
    <w:p w14:paraId="4497896B" w14:textId="77777777" w:rsidR="0062026E" w:rsidRPr="00173AD7" w:rsidRDefault="0062026E" w:rsidP="0062026E">
      <w:pPr>
        <w:pStyle w:val="BodyText"/>
        <w:tabs>
          <w:tab w:val="left" w:pos="841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6AA84686" w14:textId="77777777" w:rsidR="002167DE" w:rsidRPr="00173AD7" w:rsidRDefault="002167DE" w:rsidP="0062026E">
      <w:pPr>
        <w:pStyle w:val="BodyText"/>
        <w:numPr>
          <w:ilvl w:val="3"/>
          <w:numId w:val="9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EtG</w:t>
      </w:r>
      <w:r>
        <w:rPr>
          <w:rFonts w:ascii="Times New Roman" w:hAnsi="Times New Roman"/>
          <w:sz w:val="24"/>
        </w:rPr>
        <w:t xml:space="preserve"> klātbūtni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, kura rezultāti ir līdzīgi iepriekšējiem rezultātiem viņa </w:t>
      </w:r>
      <w:r>
        <w:rPr>
          <w:rFonts w:ascii="Times New Roman" w:hAnsi="Times New Roman"/>
          <w:sz w:val="24"/>
          <w:u w:val="single" w:color="000000"/>
        </w:rPr>
        <w:t>pasē</w:t>
      </w:r>
      <w:r>
        <w:rPr>
          <w:rFonts w:ascii="Times New Roman" w:hAnsi="Times New Roman"/>
          <w:sz w:val="24"/>
        </w:rPr>
        <w:t xml:space="preserve">, kurā ir negatīvi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rezultāti (kas norāda uz alkohola pārmērīgu lietošanu), vai</w:t>
      </w:r>
    </w:p>
    <w:p w14:paraId="54A66AFB" w14:textId="77777777" w:rsidR="002167DE" w:rsidRPr="00173AD7" w:rsidRDefault="002167DE" w:rsidP="0062026E">
      <w:pPr>
        <w:pStyle w:val="BodyText"/>
        <w:numPr>
          <w:ilvl w:val="3"/>
          <w:numId w:val="9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par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ir ziņoti vēl citi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>, kuru dēļ, visticamāk, būs jāpiemēro maksimālais sods.</w:t>
      </w:r>
    </w:p>
    <w:p w14:paraId="7A5DE0EF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B69AE67" w14:textId="0D972472" w:rsidR="002167DE" w:rsidRPr="00173AD7" w:rsidRDefault="002167DE" w:rsidP="0062026E">
      <w:pPr>
        <w:pStyle w:val="BodyText"/>
        <w:spacing w:before="0"/>
        <w:ind w:left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Šādā gadījumā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atjaunina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ziņojumu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, pievienojot piezīmi, kurā norāda, ka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 ir pieprasījusi neveikt </w:t>
      </w:r>
      <w:r>
        <w:rPr>
          <w:rFonts w:ascii="Times New Roman" w:hAnsi="Times New Roman"/>
          <w:sz w:val="24"/>
          <w:u w:val="single" w:color="000000"/>
        </w:rPr>
        <w:t>apstiprināšanas procedūru(-as)</w:t>
      </w:r>
      <w:r>
        <w:rPr>
          <w:rFonts w:ascii="Times New Roman" w:hAnsi="Times New Roman"/>
          <w:sz w:val="24"/>
        </w:rPr>
        <w:t xml:space="preserve">. Arī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 atjaunina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  <w:u w:val="single" w:color="000000"/>
        </w:rPr>
        <w:t xml:space="preserve"> ziņojumu</w:t>
      </w:r>
      <w:r>
        <w:rPr>
          <w:rFonts w:ascii="Times New Roman" w:hAnsi="Times New Roman"/>
          <w:sz w:val="24"/>
        </w:rPr>
        <w:t xml:space="preserve">, paskaidrojot, kāpēc </w:t>
      </w:r>
      <w:r>
        <w:rPr>
          <w:rFonts w:ascii="Times New Roman" w:hAnsi="Times New Roman"/>
          <w:sz w:val="24"/>
          <w:u w:val="single" w:color="000000"/>
        </w:rPr>
        <w:t>apstiprināšanas procedūru(-as)</w:t>
      </w:r>
      <w:r>
        <w:rPr>
          <w:rFonts w:ascii="Times New Roman" w:hAnsi="Times New Roman"/>
          <w:sz w:val="24"/>
        </w:rPr>
        <w:t xml:space="preserve"> nebija nepieciešama(-as).</w:t>
      </w:r>
    </w:p>
    <w:p w14:paraId="60547BBC" w14:textId="77777777" w:rsidR="002167DE" w:rsidRPr="00173AD7" w:rsidRDefault="002167DE" w:rsidP="0062026E">
      <w:pPr>
        <w:pStyle w:val="BodyText"/>
        <w:numPr>
          <w:ilvl w:val="0"/>
          <w:numId w:val="1"/>
        </w:numPr>
        <w:tabs>
          <w:tab w:val="left" w:pos="841"/>
        </w:tabs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Turklāt saistībā ar 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</w:t>
      </w:r>
      <w:r>
        <w:rPr>
          <w:rFonts w:ascii="Times New Roman" w:hAnsi="Times New Roman"/>
          <w:sz w:val="24"/>
        </w:rPr>
        <w:t xml:space="preserve"> nav obligāta, ja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GC-MS/MS</w:t>
      </w:r>
      <w:r>
        <w:rPr>
          <w:rFonts w:ascii="Times New Roman" w:hAnsi="Times New Roman"/>
          <w:sz w:val="24"/>
        </w:rPr>
        <w:t xml:space="preserve"> kvantitatīvajā analīzē </w:t>
      </w:r>
      <w:r>
        <w:rPr>
          <w:rFonts w:ascii="Times New Roman" w:hAnsi="Times New Roman"/>
          <w:i/>
          <w:sz w:val="24"/>
        </w:rPr>
        <w:t>paraugā</w:t>
      </w:r>
      <w:r>
        <w:rPr>
          <w:rFonts w:ascii="Times New Roman" w:hAnsi="Times New Roman"/>
          <w:sz w:val="24"/>
        </w:rPr>
        <w:t xml:space="preserve"> nav apstiprināta pārmērīgi augsta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 (skat. 3.5. punktu tālāk). Šādos gadījumus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ziņo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apstiprinātās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vērtības (skat. 3.6. punktu tālāk), pievienojot piezīmi, kurā norāda,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netika veikta, jo pārmērīgi augsta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 netika apstiprināta.</w:t>
      </w:r>
    </w:p>
    <w:p w14:paraId="56DD7638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41BBEBB" w14:textId="7B94F7D0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Adaptīvais modelis</w:t>
      </w:r>
      <w:r>
        <w:rPr>
          <w:rFonts w:ascii="Times New Roman" w:hAnsi="Times New Roman"/>
          <w:sz w:val="24"/>
        </w:rPr>
        <w:t xml:space="preserve"> noteiks arī citu steroīdu profila proporciju pārmērīgās vērtības (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). Tomēr šādos gadījumos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ar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starpniecību nesaņems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 xml:space="preserve">” paziņojumu. Toties </w:t>
      </w:r>
      <w:r>
        <w:rPr>
          <w:rFonts w:ascii="Times New Roman" w:hAnsi="Times New Roman"/>
          <w:sz w:val="24"/>
          <w:u w:val="single" w:color="000000"/>
        </w:rPr>
        <w:t>sportista [bioloģiskās] pases pārvaldības struktūrvienība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) ieteiks </w:t>
      </w:r>
      <w:r>
        <w:rPr>
          <w:rFonts w:ascii="Times New Roman" w:hAnsi="Times New Roman"/>
          <w:sz w:val="24"/>
          <w:u w:val="single" w:color="000000"/>
        </w:rPr>
        <w:t>pārbaudes iestādei</w:t>
      </w:r>
      <w:r>
        <w:rPr>
          <w:rFonts w:ascii="Times New Roman" w:hAnsi="Times New Roman"/>
          <w:sz w:val="24"/>
        </w:rPr>
        <w:t xml:space="preserve">, vai </w:t>
      </w:r>
      <w:r>
        <w:rPr>
          <w:rFonts w:ascii="Times New Roman" w:hAnsi="Times New Roman"/>
          <w:i/>
          <w:sz w:val="24"/>
        </w:rPr>
        <w:t>paraugam</w:t>
      </w:r>
      <w:r>
        <w:rPr>
          <w:rFonts w:ascii="Times New Roman" w:hAnsi="Times New Roman"/>
          <w:sz w:val="24"/>
        </w:rPr>
        <w:t xml:space="preserve"> ir jāveic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. Tāpēc šajos gadījumos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pārbaudes iestādes</w:t>
      </w:r>
      <w:r>
        <w:rPr>
          <w:rFonts w:ascii="Times New Roman" w:hAnsi="Times New Roman"/>
          <w:sz w:val="24"/>
        </w:rPr>
        <w:t xml:space="preserve"> pieprasījumu saņems pirms </w:t>
      </w:r>
      <w:r>
        <w:rPr>
          <w:rFonts w:ascii="Times New Roman" w:hAnsi="Times New Roman"/>
          <w:sz w:val="24"/>
          <w:u w:val="single" w:color="000000"/>
        </w:rPr>
        <w:t>apstiprināšanas procedūras(-u)</w:t>
      </w:r>
      <w:r>
        <w:rPr>
          <w:rFonts w:ascii="Times New Roman" w:hAnsi="Times New Roman"/>
          <w:sz w:val="24"/>
        </w:rPr>
        <w:t xml:space="preserve"> izpildes sākuma.</w:t>
      </w:r>
      <w:r w:rsidR="00BB6381">
        <w:rPr>
          <w:rStyle w:val="FootnoteReference"/>
          <w:rFonts w:ascii="Times New Roman" w:hAnsi="Times New Roman"/>
          <w:noProof/>
          <w:sz w:val="24"/>
        </w:rPr>
        <w:footnoteReference w:id="16"/>
      </w:r>
    </w:p>
    <w:p w14:paraId="5770C0D5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15"/>
        </w:rPr>
      </w:pPr>
    </w:p>
    <w:p w14:paraId="1BA28E5D" w14:textId="6F1F9486" w:rsidR="002167DE" w:rsidRPr="00173AD7" w:rsidRDefault="0062026E" w:rsidP="0062026E">
      <w:pPr>
        <w:pStyle w:val="Heading2"/>
        <w:tabs>
          <w:tab w:val="left" w:pos="632"/>
        </w:tabs>
        <w:spacing w:before="0"/>
        <w:ind w:left="0"/>
        <w:jc w:val="both"/>
        <w:rPr>
          <w:rFonts w:eastAsia="Verdana" w:cs="Verdana"/>
          <w:noProof/>
        </w:rPr>
      </w:pPr>
      <w:r>
        <w:t xml:space="preserve">3.2. “Aizdomīga steroīdu profila </w:t>
      </w:r>
      <w:r>
        <w:rPr>
          <w:u w:val="single" w:color="000000"/>
        </w:rPr>
        <w:t>apstiprināšanas procedūras</w:t>
      </w:r>
      <w:r>
        <w:t xml:space="preserve"> (</w:t>
      </w:r>
      <w:r>
        <w:rPr>
          <w:i/>
          <w:iCs/>
        </w:rPr>
        <w:t>SSP</w:t>
      </w:r>
      <w:r>
        <w:t>-</w:t>
      </w:r>
      <w:r>
        <w:rPr>
          <w:i/>
          <w:iCs/>
        </w:rPr>
        <w:t>CPR</w:t>
      </w:r>
      <w:r>
        <w:t>) pieprasījums”</w:t>
      </w:r>
    </w:p>
    <w:p w14:paraId="5FB1341B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63C373D" w14:textId="50015F48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ar </w:t>
      </w:r>
      <w:r>
        <w:rPr>
          <w:rFonts w:ascii="Times New Roman" w:hAnsi="Times New Roman"/>
          <w:i/>
          <w:iCs/>
          <w:sz w:val="24"/>
        </w:rPr>
        <w:t>ADAMS</w:t>
      </w:r>
      <w:r>
        <w:rPr>
          <w:rFonts w:ascii="Times New Roman" w:hAnsi="Times New Roman"/>
          <w:sz w:val="24"/>
        </w:rPr>
        <w:t xml:space="preserve"> starpniecību saņems “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>” paziņojumu šādos gadījumos:</w:t>
      </w:r>
    </w:p>
    <w:p w14:paraId="3719D0F5" w14:textId="77777777" w:rsidR="0062026E" w:rsidRDefault="0062026E" w:rsidP="0062026E">
      <w:pPr>
        <w:tabs>
          <w:tab w:val="left" w:pos="478"/>
        </w:tabs>
        <w:jc w:val="both"/>
        <w:rPr>
          <w:rFonts w:ascii="Times New Roman" w:eastAsia="Verdana" w:hAnsi="Times New Roman" w:cs="Verdana"/>
          <w:noProof/>
          <w:sz w:val="24"/>
        </w:rPr>
      </w:pPr>
    </w:p>
    <w:p w14:paraId="0F1FF482" w14:textId="4B3A0FDB" w:rsidR="002167DE" w:rsidRPr="00173AD7" w:rsidRDefault="0062026E" w:rsidP="0062026E">
      <w:pPr>
        <w:tabs>
          <w:tab w:val="left" w:pos="478"/>
        </w:tabs>
        <w:jc w:val="both"/>
        <w:rPr>
          <w:rFonts w:ascii="Times New Roman" w:eastAsia="Verdana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atbilst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ievietotajai </w:t>
      </w:r>
      <w:r>
        <w:rPr>
          <w:rFonts w:ascii="Times New Roman" w:hAnsi="Times New Roman"/>
          <w:i/>
          <w:iCs/>
          <w:sz w:val="24"/>
        </w:rPr>
        <w:t>DCF</w:t>
      </w:r>
      <w:r>
        <w:rPr>
          <w:rFonts w:ascii="Times New Roman" w:hAnsi="Times New Roman"/>
          <w:sz w:val="24"/>
        </w:rPr>
        <w:t xml:space="preserve">, taču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nav </w:t>
      </w:r>
      <w:r>
        <w:rPr>
          <w:rFonts w:ascii="Times New Roman" w:hAnsi="Times New Roman"/>
          <w:i/>
          <w:iCs/>
          <w:sz w:val="24"/>
        </w:rPr>
        <w:t>sportista</w:t>
      </w:r>
      <w:r>
        <w:rPr>
          <w:rFonts w:ascii="Times New Roman" w:hAnsi="Times New Roman"/>
          <w:sz w:val="24"/>
        </w:rPr>
        <w:t xml:space="preserve"> steroīdu </w:t>
      </w:r>
      <w:r>
        <w:rPr>
          <w:rFonts w:ascii="Times New Roman" w:hAnsi="Times New Roman"/>
          <w:sz w:val="24"/>
          <w:u w:val="single" w:color="000000"/>
        </w:rPr>
        <w:t>pases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tas ir pirmais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steroīdu </w:t>
      </w:r>
      <w:r>
        <w:rPr>
          <w:rFonts w:ascii="Times New Roman" w:hAnsi="Times New Roman"/>
          <w:sz w:val="24"/>
          <w:u w:val="single" w:color="000000"/>
        </w:rPr>
        <w:t>pasē</w:t>
      </w:r>
      <w:r>
        <w:rPr>
          <w:rFonts w:ascii="Times New Roman" w:hAnsi="Times New Roman"/>
          <w:sz w:val="24"/>
        </w:rPr>
        <w:t>), vai</w:t>
      </w:r>
    </w:p>
    <w:p w14:paraId="78ECD9CD" w14:textId="77777777" w:rsidR="0062026E" w:rsidRDefault="0062026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7F3CE6E" w14:textId="0BEF5DC4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četrpadsmit (14) kalendārajās dienās pēc dienas, kad </w:t>
      </w:r>
      <w:r>
        <w:rPr>
          <w:rFonts w:ascii="Times New Roman" w:hAnsi="Times New Roman"/>
          <w:i/>
          <w:iCs/>
          <w:sz w:val="24"/>
        </w:rPr>
        <w:t>paraugs</w:t>
      </w:r>
      <w:r>
        <w:rPr>
          <w:rFonts w:ascii="Times New Roman" w:hAnsi="Times New Roman"/>
          <w:sz w:val="24"/>
        </w:rPr>
        <w:t xml:space="preserve"> saņemts </w:t>
      </w:r>
      <w:r>
        <w:rPr>
          <w:rFonts w:ascii="Times New Roman" w:hAnsi="Times New Roman"/>
          <w:sz w:val="24"/>
          <w:u w:val="single" w:color="000000"/>
        </w:rPr>
        <w:t>laboratorijā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nevar atrast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atbilstību </w:t>
      </w:r>
      <w:r>
        <w:rPr>
          <w:rFonts w:ascii="Times New Roman" w:hAnsi="Times New Roman"/>
          <w:i/>
          <w:iCs/>
          <w:sz w:val="24"/>
        </w:rPr>
        <w:t>DCF</w:t>
      </w:r>
      <w:r>
        <w:rPr>
          <w:rFonts w:ascii="Times New Roman" w:hAnsi="Times New Roman"/>
          <w:sz w:val="24"/>
        </w:rPr>
        <w:t xml:space="preserve">, un tāpēc nevar apstrādāt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profilu, izmantojot </w:t>
      </w:r>
      <w:r>
        <w:rPr>
          <w:rFonts w:ascii="Times New Roman" w:hAnsi="Times New Roman"/>
          <w:sz w:val="24"/>
          <w:u w:val="single"/>
        </w:rPr>
        <w:t>adaptīvo modeli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ADAMS</w:t>
      </w:r>
      <w:r>
        <w:rPr>
          <w:rFonts w:ascii="Times New Roman" w:hAnsi="Times New Roman"/>
          <w:sz w:val="24"/>
        </w:rPr>
        <w:t>,</w:t>
      </w:r>
    </w:p>
    <w:p w14:paraId="584CB6DC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F433C6F" w14:textId="39A05E41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un</w:t>
      </w:r>
    </w:p>
    <w:p w14:paraId="68EB1D8E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6EBFFD97" w14:textId="17BF737E" w:rsidR="002167DE" w:rsidRDefault="00BB6381" w:rsidP="00BB6381">
      <w:pPr>
        <w:pStyle w:val="BodyText"/>
        <w:tabs>
          <w:tab w:val="left" w:pos="437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steroīdu profils atbilst </w:t>
      </w:r>
      <w:r>
        <w:rPr>
          <w:rFonts w:ascii="Times New Roman" w:hAnsi="Times New Roman"/>
          <w:b/>
          <w:sz w:val="24"/>
        </w:rPr>
        <w:t>jebkuram</w:t>
      </w:r>
      <w:r>
        <w:rPr>
          <w:rFonts w:ascii="Times New Roman" w:hAnsi="Times New Roman"/>
          <w:sz w:val="24"/>
        </w:rPr>
        <w:t xml:space="preserve"> no šiem kritērijiem:</w:t>
      </w:r>
    </w:p>
    <w:p w14:paraId="26BE78B9" w14:textId="77777777" w:rsidR="00BB6381" w:rsidRPr="00173AD7" w:rsidRDefault="00BB6381" w:rsidP="00BB6381">
      <w:pPr>
        <w:pStyle w:val="BodyText"/>
        <w:tabs>
          <w:tab w:val="left" w:pos="437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6708569" w14:textId="77777777" w:rsidR="002167DE" w:rsidRPr="00173AD7" w:rsidRDefault="002167DE" w:rsidP="00BB6381">
      <w:pPr>
        <w:pStyle w:val="BodyText"/>
        <w:numPr>
          <w:ilvl w:val="1"/>
          <w:numId w:val="8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 (kas aprēķināta no koriģētiem hromatogrāfiskās smailes laukumiem vai augstumiem) ir lielāka par 4,0;</w:t>
      </w:r>
    </w:p>
    <w:p w14:paraId="35BAFB37" w14:textId="77777777" w:rsidR="002167DE" w:rsidRPr="00173AD7" w:rsidRDefault="002167DE" w:rsidP="00BB6381">
      <w:pPr>
        <w:pStyle w:val="BodyText"/>
        <w:numPr>
          <w:ilvl w:val="1"/>
          <w:numId w:val="8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proporcija ir mazāka par 20;</w:t>
      </w:r>
    </w:p>
    <w:p w14:paraId="6144404D" w14:textId="717FA77B" w:rsidR="002167DE" w:rsidRPr="00173AD7" w:rsidRDefault="002167DE" w:rsidP="00BB6381">
      <w:pPr>
        <w:pStyle w:val="BodyText"/>
        <w:numPr>
          <w:ilvl w:val="1"/>
          <w:numId w:val="8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proporcija ir lielāka par 2,4;</w:t>
      </w:r>
    </w:p>
    <w:p w14:paraId="1263A337" w14:textId="54999C7A" w:rsidR="002167DE" w:rsidRPr="00173AD7" w:rsidRDefault="002167DE" w:rsidP="00BB6381">
      <w:pPr>
        <w:pStyle w:val="BodyText"/>
        <w:numPr>
          <w:ilvl w:val="1"/>
          <w:numId w:val="8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(pielīdzināta atbilstīgi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  <w:vertAlign w:val="superscript"/>
        </w:rPr>
        <w:t>7,</w:t>
      </w:r>
      <w:r>
        <w:rPr>
          <w:rFonts w:ascii="Times New Roman" w:hAnsi="Times New Roman"/>
          <w:sz w:val="24"/>
        </w:rPr>
        <w:t xml:space="preserve"> </w:t>
      </w:r>
      <w:r w:rsidR="00BB6381">
        <w:rPr>
          <w:rStyle w:val="FootnoteReference"/>
          <w:rFonts w:ascii="Times New Roman" w:hAnsi="Times New Roman"/>
          <w:noProof/>
          <w:sz w:val="24"/>
        </w:rPr>
        <w:footnoteReference w:id="17"/>
      </w:r>
      <w:r>
        <w:rPr>
          <w:rFonts w:ascii="Times New Roman" w:hAnsi="Times New Roman"/>
          <w:sz w:val="24"/>
        </w:rPr>
        <w:t>) ir augstāka par 200 ng/ml vīriešiem vai augstāka par 50 ng/ml sievietēm;</w:t>
      </w:r>
    </w:p>
    <w:p w14:paraId="13793546" w14:textId="77777777" w:rsidR="002167DE" w:rsidRPr="00173AD7" w:rsidRDefault="002167DE" w:rsidP="00BB6381">
      <w:pPr>
        <w:pStyle w:val="BodyText"/>
        <w:numPr>
          <w:ilvl w:val="1"/>
          <w:numId w:val="8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 koncentrācija (pielīdzināta atbilstīgi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  <w:vertAlign w:val="superscript"/>
        </w:rPr>
        <w:t>7,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17</w:t>
      </w:r>
      <w:r>
        <w:rPr>
          <w:rFonts w:ascii="Times New Roman" w:hAnsi="Times New Roman"/>
          <w:sz w:val="24"/>
        </w:rPr>
        <w:t>) ir augstāka par 10 000 ng/ml;</w:t>
      </w:r>
    </w:p>
    <w:p w14:paraId="2BFD6C10" w14:textId="33B83C08" w:rsidR="002167DE" w:rsidRDefault="002167DE" w:rsidP="00BB6381">
      <w:pPr>
        <w:pStyle w:val="BodyText"/>
        <w:numPr>
          <w:ilvl w:val="1"/>
          <w:numId w:val="8"/>
        </w:numPr>
        <w:spacing w:before="0"/>
        <w:ind w:left="709" w:hanging="283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koncentrācija (pielīdzināta atbilstīgi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  <w:vertAlign w:val="superscript"/>
        </w:rPr>
        <w:t>7,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17</w:t>
      </w:r>
      <w:r>
        <w:rPr>
          <w:rFonts w:ascii="Times New Roman" w:hAnsi="Times New Roman"/>
          <w:sz w:val="24"/>
        </w:rPr>
        <w:t xml:space="preserve">) ir augstāka par 250 ng/ml vīriešiem vai augstāka par 150 ng/ml sievietēm, un to apvieno ar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proporciju, kas abiem dzimumiem ir lielāka par 10.</w:t>
      </w:r>
    </w:p>
    <w:p w14:paraId="0FAB6994" w14:textId="77777777" w:rsidR="00BB6381" w:rsidRPr="00173AD7" w:rsidRDefault="00BB6381" w:rsidP="00BB6381">
      <w:pPr>
        <w:pStyle w:val="BodyText"/>
        <w:tabs>
          <w:tab w:val="left" w:pos="1287"/>
        </w:tabs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34276D0B" w14:textId="77777777" w:rsidR="002167DE" w:rsidRPr="00173AD7" w:rsidRDefault="002167DE" w:rsidP="00BB6381">
      <w:pPr>
        <w:pStyle w:val="BodyText"/>
        <w:numPr>
          <w:ilvl w:val="0"/>
          <w:numId w:val="6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Pēc “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 xml:space="preserve">” paziņojuma saņemšanas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veic </w:t>
      </w:r>
      <w:r>
        <w:rPr>
          <w:rFonts w:ascii="Times New Roman" w:hAnsi="Times New Roman"/>
          <w:sz w:val="24"/>
          <w:u w:val="single" w:color="000000"/>
        </w:rPr>
        <w:t>apstiprināšanas procedūru(-as)</w:t>
      </w:r>
      <w:r>
        <w:rPr>
          <w:rFonts w:ascii="Times New Roman" w:hAnsi="Times New Roman"/>
          <w:sz w:val="24"/>
        </w:rPr>
        <w:t xml:space="preserve">, izņemot gadījumus, kad pēc sazināšanās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 septiņās (7) kalendārajās dienās var pamatot, ka </w:t>
      </w:r>
      <w:r>
        <w:rPr>
          <w:rFonts w:ascii="Times New Roman" w:hAnsi="Times New Roman"/>
          <w:sz w:val="24"/>
          <w:u w:val="single" w:color="000000"/>
        </w:rPr>
        <w:t>apstiprināšanas procedūra(-as)</w:t>
      </w:r>
      <w:r>
        <w:rPr>
          <w:rFonts w:ascii="Times New Roman" w:hAnsi="Times New Roman"/>
          <w:sz w:val="24"/>
        </w:rPr>
        <w:t xml:space="preserve"> nav nepieciešama(-as). Pamatojumā neveikt </w:t>
      </w:r>
      <w:r>
        <w:rPr>
          <w:rFonts w:ascii="Times New Roman" w:hAnsi="Times New Roman"/>
          <w:sz w:val="24"/>
          <w:u w:val="single" w:color="000000"/>
        </w:rPr>
        <w:t>apstiprināšanas procedūru</w:t>
      </w:r>
      <w:r>
        <w:rPr>
          <w:rFonts w:ascii="Times New Roman" w:hAnsi="Times New Roman"/>
          <w:sz w:val="24"/>
        </w:rPr>
        <w:t xml:space="preserve"> var iekļaut, piemēram, dabiski paaugstinātu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proporciju, kas apstiprināta iepriekšējā </w:t>
      </w:r>
      <w:r>
        <w:rPr>
          <w:rFonts w:ascii="Times New Roman" w:hAnsi="Times New Roman"/>
          <w:sz w:val="24"/>
          <w:u w:val="single" w:color="000000"/>
        </w:rPr>
        <w:t>analītiskajā pārbaudē</w:t>
      </w:r>
      <w:r>
        <w:rPr>
          <w:rFonts w:ascii="Times New Roman" w:hAnsi="Times New Roman"/>
          <w:sz w:val="24"/>
        </w:rPr>
        <w:t xml:space="preserve">, vai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proporciju diapazonā no 4,0 līdz 6,0, kas iegūta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pirmajā pārbaudē, vai gadījumu, kad attiecībā uz </w:t>
      </w:r>
      <w:r>
        <w:rPr>
          <w:rFonts w:ascii="Times New Roman" w:hAnsi="Times New Roman"/>
          <w:i/>
          <w:iCs/>
          <w:sz w:val="24"/>
        </w:rPr>
        <w:t>paraugu</w:t>
      </w:r>
      <w:r>
        <w:rPr>
          <w:rFonts w:ascii="Times New Roman" w:hAnsi="Times New Roman"/>
          <w:sz w:val="24"/>
        </w:rPr>
        <w:t xml:space="preserve"> ir ziņots par vēl citiem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>, kuru dēļ, visticamāk, būs jāpiemēro maksimālais sods.</w:t>
      </w:r>
    </w:p>
    <w:p w14:paraId="678F008E" w14:textId="77777777" w:rsidR="002167DE" w:rsidRPr="00173AD7" w:rsidRDefault="002167DE" w:rsidP="00BB6381">
      <w:pPr>
        <w:pStyle w:val="BodyText"/>
        <w:numPr>
          <w:ilvl w:val="0"/>
          <w:numId w:val="6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 pamato, ka apstiprināšana nav nepieciešama,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atjaunina ziņojumu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, pievienojot piezīmi, kurā norāda, ka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 ir konstatējusi, ka </w:t>
      </w:r>
      <w:r>
        <w:rPr>
          <w:rFonts w:ascii="Times New Roman" w:hAnsi="Times New Roman"/>
          <w:sz w:val="24"/>
          <w:u w:val="single" w:color="000000"/>
        </w:rPr>
        <w:t>apstiprināšanas procedūra(-as)</w:t>
      </w:r>
      <w:r>
        <w:rPr>
          <w:rFonts w:ascii="Times New Roman" w:hAnsi="Times New Roman"/>
          <w:sz w:val="24"/>
        </w:rPr>
        <w:t xml:space="preserve"> nav nepieciešama(-as), un izklāsta </w:t>
      </w:r>
      <w:r>
        <w:rPr>
          <w:rFonts w:ascii="Times New Roman" w:hAnsi="Times New Roman"/>
          <w:sz w:val="24"/>
          <w:u w:val="single" w:color="000000"/>
        </w:rPr>
        <w:t>pārbaudes iestādes</w:t>
      </w:r>
      <w:r>
        <w:rPr>
          <w:rFonts w:ascii="Times New Roman" w:hAnsi="Times New Roman"/>
          <w:sz w:val="24"/>
        </w:rPr>
        <w:t xml:space="preserve"> sniegto paskaidrojumu. Ja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 nepamato, ka apstiprināšana nav nepieciešama,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veic apstiprināšanas analīzes.</w:t>
      </w:r>
    </w:p>
    <w:p w14:paraId="7157FBCC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19FD4A20" w14:textId="36427940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saņem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>” vai “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 xml:space="preserve">” par diviem (2) vai vairākiem </w:t>
      </w:r>
      <w:r>
        <w:rPr>
          <w:rFonts w:ascii="Times New Roman" w:hAnsi="Times New Roman"/>
          <w:i/>
          <w:sz w:val="24"/>
        </w:rPr>
        <w:t>paraugiem</w:t>
      </w:r>
      <w:r>
        <w:rPr>
          <w:rFonts w:ascii="Times New Roman" w:hAnsi="Times New Roman"/>
          <w:sz w:val="24"/>
        </w:rPr>
        <w:t xml:space="preserve">, kas vienā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 savākšanas procesā ir savākti no viena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, apspriežoties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 xml:space="preserve">, par prioritāti nosaka tā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apstiprināšanu, kurā ir visaugstākais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koncentrācijas līmenis.</w:t>
      </w:r>
    </w:p>
    <w:p w14:paraId="2F3268CA" w14:textId="77777777" w:rsidR="00BB6381" w:rsidRPr="00173AD7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5115A5C" w14:textId="7777777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saņem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>” vai “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 xml:space="preserve">” attiecībā uz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, par kuru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 ir ziņoti saistībā ar citu(-ām) </w:t>
      </w:r>
      <w:r>
        <w:rPr>
          <w:rFonts w:ascii="Times New Roman" w:hAnsi="Times New Roman"/>
          <w:i/>
          <w:sz w:val="24"/>
        </w:rPr>
        <w:t>aizliegto(-ajām) vielu(-ām)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metodi(-ēm)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laboratorijai</w:t>
      </w:r>
      <w:r>
        <w:rPr>
          <w:rFonts w:ascii="Times New Roman" w:hAnsi="Times New Roman"/>
          <w:sz w:val="24"/>
        </w:rPr>
        <w:t xml:space="preserve"> ir jāapspriežas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 xml:space="preserve"> par iespēju veikt steroīdu profila </w:t>
      </w:r>
      <w:r>
        <w:rPr>
          <w:rFonts w:ascii="Times New Roman" w:hAnsi="Times New Roman"/>
          <w:i/>
          <w:iCs/>
          <w:sz w:val="24"/>
        </w:rPr>
        <w:t>marķieru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>.</w:t>
      </w:r>
    </w:p>
    <w:p w14:paraId="25C43FC2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74CEC220" w14:textId="7B00C4ED" w:rsidR="002167DE" w:rsidRPr="00173AD7" w:rsidRDefault="00BB6381" w:rsidP="00BB6381">
      <w:pPr>
        <w:pStyle w:val="Heading2"/>
        <w:tabs>
          <w:tab w:val="left" w:pos="689"/>
        </w:tabs>
        <w:spacing w:before="0"/>
        <w:ind w:left="0"/>
        <w:jc w:val="both"/>
        <w:rPr>
          <w:rFonts w:eastAsia="Verdana" w:cs="Verdana"/>
          <w:noProof/>
        </w:rPr>
      </w:pPr>
      <w:r>
        <w:t xml:space="preserve">3.3. </w:t>
      </w:r>
      <w:r>
        <w:rPr>
          <w:u w:val="single" w:color="000000"/>
        </w:rPr>
        <w:t>Apstiprināšanas procedūras</w:t>
      </w:r>
      <w:r>
        <w:t xml:space="preserve"> pieprasījums no </w:t>
      </w:r>
      <w:r>
        <w:rPr>
          <w:i/>
          <w:iCs/>
          <w:u w:val="single" w:color="000000"/>
        </w:rPr>
        <w:t>APMU</w:t>
      </w:r>
      <w:r>
        <w:t xml:space="preserve">, </w:t>
      </w:r>
      <w:r>
        <w:rPr>
          <w:u w:val="single" w:color="000000"/>
        </w:rPr>
        <w:t>pārbaudes iestādes</w:t>
      </w:r>
      <w:r>
        <w:t xml:space="preserve"> vai </w:t>
      </w:r>
      <w:r>
        <w:rPr>
          <w:i/>
        </w:rPr>
        <w:t>WADA</w:t>
      </w:r>
    </w:p>
    <w:p w14:paraId="606829F1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  <w:u w:val="single" w:color="000000"/>
        </w:rPr>
      </w:pPr>
    </w:p>
    <w:p w14:paraId="2D4A53DE" w14:textId="0FB44176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Steroīdu profila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paraugiem</w:t>
      </w:r>
      <w:r>
        <w:rPr>
          <w:rFonts w:ascii="Times New Roman" w:hAnsi="Times New Roman"/>
          <w:sz w:val="24"/>
        </w:rPr>
        <w:t xml:space="preserve"> var veikt arī pēc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u w:val="single" w:color="000000"/>
        </w:rPr>
        <w:t>pārbaudes iestādes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 xml:space="preserve"> pieprasījuma.</w:t>
      </w:r>
    </w:p>
    <w:p w14:paraId="11400AE3" w14:textId="77777777" w:rsidR="00BB6381" w:rsidRPr="00173AD7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7802C3D" w14:textId="7777777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sz w:val="24"/>
        </w:rPr>
        <w:t xml:space="preserve">Turklāt </w:t>
      </w:r>
      <w:r>
        <w:rPr>
          <w:rFonts w:ascii="Times New Roman" w:hAnsi="Times New Roman"/>
          <w:sz w:val="24"/>
          <w:u w:val="single" w:color="000000"/>
        </w:rPr>
        <w:t>laboratorijai</w:t>
      </w:r>
      <w:r>
        <w:rPr>
          <w:rFonts w:ascii="Times New Roman" w:hAnsi="Times New Roman"/>
          <w:sz w:val="24"/>
        </w:rPr>
        <w:t xml:space="preserve"> var būt noslēgta līgumiska vienošanās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 xml:space="preserve"> par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veikšanu gadījumos, kad </w:t>
      </w:r>
      <w:r>
        <w:rPr>
          <w:rFonts w:ascii="Times New Roman" w:hAnsi="Times New Roman"/>
          <w:i/>
          <w:sz w:val="24"/>
        </w:rPr>
        <w:t>paraugs</w:t>
      </w:r>
      <w:r>
        <w:rPr>
          <w:rFonts w:ascii="Times New Roman" w:hAnsi="Times New Roman"/>
          <w:sz w:val="24"/>
        </w:rPr>
        <w:t xml:space="preserve"> atbilst jebkuram no “aizdomīga steroīdu profila” analītiskajiem kritērijiem vai kad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ir pieņēmusi lēmumu, pamatojoties uz savu kompetenci. Šādos apstākļos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“aizdomīga steroīdu profila” apstiprināšanu var sākt nekavējoties, negaidot līdz “</w:t>
      </w: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>” vai “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 xml:space="preserve">” saņemšanai ar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starpniecību.</w:t>
      </w:r>
    </w:p>
    <w:p w14:paraId="2B2DE9AB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i/>
          <w:noProof/>
          <w:sz w:val="24"/>
          <w:szCs w:val="20"/>
        </w:rPr>
      </w:pPr>
    </w:p>
    <w:p w14:paraId="1B69FFDE" w14:textId="48743911" w:rsidR="002167DE" w:rsidRPr="00173AD7" w:rsidRDefault="00BB6381" w:rsidP="00BB6381">
      <w:pPr>
        <w:pStyle w:val="Heading2"/>
        <w:tabs>
          <w:tab w:val="left" w:pos="598"/>
        </w:tabs>
        <w:spacing w:before="0"/>
        <w:ind w:left="0"/>
        <w:jc w:val="both"/>
        <w:rPr>
          <w:rFonts w:eastAsia="Verdana" w:cs="Verdana"/>
          <w:noProof/>
        </w:rPr>
      </w:pPr>
      <w:r>
        <w:t xml:space="preserve">3.4. </w:t>
      </w:r>
      <w:r>
        <w:rPr>
          <w:i/>
          <w:iCs/>
        </w:rPr>
        <w:t>GC-MS</w:t>
      </w:r>
      <w:r>
        <w:t xml:space="preserve"> vai </w:t>
      </w:r>
      <w:r>
        <w:rPr>
          <w:i/>
          <w:iCs/>
        </w:rPr>
        <w:t>GC-MS/MS</w:t>
      </w:r>
      <w:r>
        <w:t xml:space="preserve"> kvantitatīvās noteikšanas </w:t>
      </w:r>
      <w:r>
        <w:rPr>
          <w:u w:val="single" w:color="000000"/>
        </w:rPr>
        <w:t>apstiprināšanas procedūra</w:t>
      </w:r>
    </w:p>
    <w:p w14:paraId="680A61B9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C89AAB5" w14:textId="7153D271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identificē (atbilstīgi izklāstam </w:t>
      </w:r>
      <w:r>
        <w:rPr>
          <w:rFonts w:ascii="Times New Roman" w:hAnsi="Times New Roman"/>
          <w:i/>
          <w:iCs/>
          <w:sz w:val="24"/>
        </w:rPr>
        <w:t>TD IDCR</w:t>
      </w:r>
      <w:r>
        <w:rPr>
          <w:rFonts w:ascii="Times New Roman" w:hAnsi="Times New Roman"/>
          <w:sz w:val="24"/>
        </w:rPr>
        <w:t xml:space="preserve"> [6]) un kvantitatīvi nosaka visus steroīdu profila </w:t>
      </w:r>
      <w:r>
        <w:rPr>
          <w:rFonts w:ascii="Times New Roman" w:hAnsi="Times New Roman"/>
          <w:i/>
          <w:sz w:val="24"/>
        </w:rPr>
        <w:t>marķierus</w:t>
      </w:r>
      <w:r>
        <w:rPr>
          <w:rFonts w:ascii="Times New Roman" w:hAnsi="Times New Roman"/>
          <w:sz w:val="24"/>
        </w:rPr>
        <w:t xml:space="preserve"> vienā papildu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alikvotā</w:t>
      </w:r>
      <w:r>
        <w:rPr>
          <w:rFonts w:ascii="Times New Roman" w:hAnsi="Times New Roman"/>
          <w:sz w:val="24"/>
        </w:rPr>
        <w:t xml:space="preserve">, izmantojot validētu </w:t>
      </w:r>
      <w:r>
        <w:rPr>
          <w:rFonts w:ascii="Times New Roman" w:hAnsi="Times New Roman"/>
          <w:sz w:val="24"/>
          <w:u w:val="single" w:color="000000"/>
        </w:rPr>
        <w:t>nolūkam atbilstīgu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GC-MS/MS</w:t>
      </w:r>
      <w:r>
        <w:rPr>
          <w:rFonts w:ascii="Times New Roman" w:hAnsi="Times New Roman"/>
          <w:sz w:val="24"/>
        </w:rPr>
        <w:t xml:space="preserve"> kvantifikācijas metodi.</w:t>
      </w:r>
    </w:p>
    <w:p w14:paraId="37BD29E5" w14:textId="77777777" w:rsidR="00BB6381" w:rsidRPr="00173AD7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866D165" w14:textId="7777777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Pirms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 uzsākšanas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kvantitatīvi apstiprina visus steroīdu profila </w:t>
      </w:r>
      <w:r>
        <w:rPr>
          <w:rFonts w:ascii="Times New Roman" w:hAnsi="Times New Roman"/>
          <w:i/>
          <w:sz w:val="24"/>
        </w:rPr>
        <w:t>marķierus</w:t>
      </w:r>
      <w:r>
        <w:rPr>
          <w:rFonts w:ascii="Times New Roman" w:hAnsi="Times New Roman"/>
          <w:sz w:val="24"/>
        </w:rPr>
        <w:t>.</w:t>
      </w:r>
    </w:p>
    <w:p w14:paraId="7B7C0241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5F6F6D66" w14:textId="685E53F1" w:rsidR="002167DE" w:rsidRPr="00173AD7" w:rsidRDefault="00BB6381" w:rsidP="00BB6381">
      <w:pPr>
        <w:tabs>
          <w:tab w:val="left" w:pos="1097"/>
        </w:tabs>
        <w:jc w:val="both"/>
        <w:rPr>
          <w:rFonts w:ascii="Times New Roman" w:eastAsia="Verdana" w:hAnsi="Times New Roman" w:cs="Verdana"/>
          <w:noProof/>
          <w:sz w:val="24"/>
          <w:szCs w:val="23"/>
        </w:rPr>
      </w:pPr>
      <w:r>
        <w:rPr>
          <w:rFonts w:ascii="Times New Roman" w:hAnsi="Times New Roman"/>
          <w:sz w:val="24"/>
        </w:rPr>
        <w:t xml:space="preserve">3.4.1.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GC-MS/MS</w:t>
      </w:r>
      <w:r>
        <w:rPr>
          <w:rFonts w:ascii="Times New Roman" w:hAnsi="Times New Roman"/>
          <w:sz w:val="24"/>
        </w:rPr>
        <w:t xml:space="preserve"> kvantitatīvās noteikšanas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metodes raksturlielumi</w:t>
      </w:r>
    </w:p>
    <w:p w14:paraId="47A2BD6D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0C4D093" w14:textId="67D00FFF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Piemēro tās pašas analītiskās prasības, kas izklāstītas 2.1. punktā, piemērojot šādas izmaiņas:</w:t>
      </w:r>
    </w:p>
    <w:p w14:paraId="34029C21" w14:textId="77777777" w:rsidR="00BB6381" w:rsidRPr="00173AD7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4723594F" w14:textId="377D9529" w:rsidR="00173AD7" w:rsidRPr="00BB6381" w:rsidRDefault="002167DE" w:rsidP="00BB6381">
      <w:pPr>
        <w:pStyle w:val="BodyText"/>
        <w:numPr>
          <w:ilvl w:val="3"/>
          <w:numId w:val="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cietās fāzes ekstrakciju (</w:t>
      </w:r>
      <w:r>
        <w:rPr>
          <w:rFonts w:ascii="Times New Roman" w:hAnsi="Times New Roman"/>
          <w:i/>
          <w:iCs/>
          <w:sz w:val="24"/>
        </w:rPr>
        <w:t>SPE</w:t>
      </w:r>
      <w:r>
        <w:rPr>
          <w:rFonts w:ascii="Times New Roman" w:hAnsi="Times New Roman"/>
          <w:sz w:val="24"/>
        </w:rPr>
        <w:t xml:space="preserve">) veic pirms </w:t>
      </w:r>
      <w:r>
        <w:rPr>
          <w:rFonts w:ascii="Times New Roman" w:hAnsi="Times New Roman"/>
          <w:i/>
          <w:iCs/>
          <w:sz w:val="24"/>
        </w:rPr>
        <w:t>parauga</w:t>
      </w:r>
      <w:r>
        <w:rPr>
          <w:rFonts w:ascii="Times New Roman" w:hAnsi="Times New Roman"/>
          <w:sz w:val="24"/>
        </w:rPr>
        <w:t xml:space="preserve"> enzimātiskās hidrolīzes;</w:t>
      </w:r>
    </w:p>
    <w:p w14:paraId="526C99DD" w14:textId="77777777" w:rsidR="002167DE" w:rsidRPr="00173AD7" w:rsidRDefault="002167DE" w:rsidP="00BB6381">
      <w:pPr>
        <w:pStyle w:val="BodyText"/>
        <w:numPr>
          <w:ilvl w:val="3"/>
          <w:numId w:val="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iekļauj kalibrēšanas standartus un urīna </w:t>
      </w:r>
      <w:r>
        <w:rPr>
          <w:rFonts w:ascii="Times New Roman" w:hAnsi="Times New Roman"/>
          <w:i/>
          <w:iCs/>
          <w:sz w:val="24"/>
        </w:rPr>
        <w:t>QC</w:t>
      </w:r>
      <w:r>
        <w:rPr>
          <w:rFonts w:ascii="Times New Roman" w:hAnsi="Times New Roman"/>
          <w:sz w:val="24"/>
        </w:rPr>
        <w:t xml:space="preserve"> paraugus, kas satur reprezentatīvus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līmeņus;</w:t>
      </w:r>
    </w:p>
    <w:p w14:paraId="2B578808" w14:textId="7EF1F1F9" w:rsidR="002167DE" w:rsidRPr="00173AD7" w:rsidRDefault="002167DE" w:rsidP="00BB6381">
      <w:pPr>
        <w:pStyle w:val="BodyText"/>
        <w:numPr>
          <w:ilvl w:val="3"/>
          <w:numId w:val="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(%) 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5αAdiol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5βAdiol</w:t>
      </w:r>
      <w:r>
        <w:rPr>
          <w:rFonts w:ascii="Times New Roman" w:hAnsi="Times New Roman"/>
          <w:sz w:val="24"/>
        </w:rPr>
        <w:t xml:space="preserve"> noteikšanai nedrīkst būt lielāka par 15 % koncentrācijā, kas atbilst pieckārtīgai attiecīgajai </w:t>
      </w:r>
      <w:r>
        <w:rPr>
          <w:rFonts w:ascii="Times New Roman" w:hAnsi="Times New Roman"/>
          <w:i/>
          <w:iCs/>
          <w:sz w:val="24"/>
        </w:rPr>
        <w:t>LOQ</w:t>
      </w:r>
      <w:r>
        <w:rPr>
          <w:rFonts w:ascii="Times New Roman" w:hAnsi="Times New Roman"/>
          <w:sz w:val="24"/>
        </w:rPr>
        <w:t>;</w:t>
      </w:r>
    </w:p>
    <w:p w14:paraId="580A6D7A" w14:textId="0C99B390" w:rsidR="002167DE" w:rsidRPr="00173AD7" w:rsidRDefault="002167DE" w:rsidP="00BB6381">
      <w:pPr>
        <w:pStyle w:val="BodyText"/>
        <w:numPr>
          <w:ilvl w:val="3"/>
          <w:numId w:val="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lai noteiktu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proporcijas,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 xml:space="preserve">c </w:t>
      </w:r>
      <w:r>
        <w:rPr>
          <w:rFonts w:ascii="Times New Roman" w:hAnsi="Times New Roman"/>
          <w:sz w:val="24"/>
        </w:rPr>
        <w:t xml:space="preserve">(%) nedrīkst būt lielāka par 15 %, ja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 xml:space="preserve"> un 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koncentrācija ir augstāka par 5 ng/ml.</w:t>
      </w:r>
    </w:p>
    <w:p w14:paraId="2316C19B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3B0E1A72" w14:textId="10B1B54E" w:rsidR="002167DE" w:rsidRPr="00173AD7" w:rsidRDefault="00BB6381" w:rsidP="00BB6381">
      <w:pPr>
        <w:pStyle w:val="Heading2"/>
        <w:tabs>
          <w:tab w:val="left" w:pos="746"/>
        </w:tabs>
        <w:spacing w:before="0"/>
        <w:ind w:left="0"/>
        <w:jc w:val="both"/>
        <w:rPr>
          <w:rFonts w:eastAsia="Verdana" w:cs="Verdana"/>
          <w:noProof/>
        </w:rPr>
      </w:pPr>
      <w:r>
        <w:t xml:space="preserve">3.5. </w:t>
      </w:r>
      <w:r>
        <w:rPr>
          <w:i/>
          <w:iCs/>
        </w:rPr>
        <w:t>GC/C/IRMS</w:t>
      </w:r>
      <w:r>
        <w:t xml:space="preserve"> </w:t>
      </w:r>
      <w:r>
        <w:rPr>
          <w:u w:val="single" w:color="000000"/>
        </w:rPr>
        <w:t>apstiprināšanas procedūra</w:t>
      </w:r>
    </w:p>
    <w:p w14:paraId="6A7D62CD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71957AA" w14:textId="674448B5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tehniskās prasības un ziņošanas prasības ir izklāstītas </w:t>
      </w:r>
      <w:r>
        <w:rPr>
          <w:rFonts w:ascii="Times New Roman" w:hAnsi="Times New Roman"/>
          <w:i/>
          <w:iCs/>
          <w:sz w:val="24"/>
        </w:rPr>
        <w:t>TD IRMS</w:t>
      </w:r>
      <w:r>
        <w:rPr>
          <w:rFonts w:ascii="Times New Roman" w:hAnsi="Times New Roman"/>
          <w:sz w:val="24"/>
        </w:rPr>
        <w:t xml:space="preserve"> [1].</w:t>
      </w:r>
    </w:p>
    <w:p w14:paraId="41A639B8" w14:textId="77777777" w:rsidR="00BB6381" w:rsidRPr="00173AD7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1244DCD8" w14:textId="77777777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i/>
          <w:sz w:val="24"/>
        </w:rPr>
        <w:t>ATPF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iCs/>
          <w:sz w:val="24"/>
        </w:rPr>
        <w:t>CPR</w:t>
      </w:r>
      <w:r>
        <w:rPr>
          <w:rFonts w:ascii="Times New Roman" w:hAnsi="Times New Roman"/>
          <w:sz w:val="24"/>
        </w:rPr>
        <w:t xml:space="preserve"> gadījumā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nav obligāta, ja apstiprinātā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vērtība ir zemāka par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apstiprināšanas robežu, kas aprēķināta, izmantojot </w:t>
      </w:r>
      <w:r>
        <w:rPr>
          <w:rFonts w:ascii="Times New Roman" w:hAnsi="Times New Roman"/>
          <w:sz w:val="24"/>
          <w:u w:val="single" w:color="000000"/>
        </w:rPr>
        <w:t>adaptīvo modeli</w:t>
      </w:r>
      <w:r>
        <w:rPr>
          <w:rFonts w:ascii="Times New Roman" w:hAnsi="Times New Roman"/>
          <w:sz w:val="24"/>
        </w:rPr>
        <w:t xml:space="preserve">, un ir norādīta </w:t>
      </w:r>
      <w:r>
        <w:rPr>
          <w:rFonts w:ascii="Times New Roman" w:hAnsi="Times New Roman"/>
          <w:i/>
          <w:sz w:val="24"/>
        </w:rPr>
        <w:t>ATPF-CPR</w:t>
      </w:r>
      <w:r>
        <w:rPr>
          <w:rFonts w:ascii="Times New Roman" w:hAnsi="Times New Roman"/>
          <w:sz w:val="24"/>
        </w:rPr>
        <w:t xml:space="preserve"> paziņojumā, kas saņemts no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>.</w:t>
      </w:r>
    </w:p>
    <w:p w14:paraId="76D8F3E7" w14:textId="77777777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Citu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 pieprasījumu gadījumā (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SSP-CPR</w:t>
      </w:r>
      <w:r>
        <w:rPr>
          <w:rFonts w:ascii="Times New Roman" w:hAnsi="Times New Roman"/>
          <w:sz w:val="24"/>
        </w:rPr>
        <w:t xml:space="preserve"> vai pēc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  <w:u w:val="single" w:color="000000"/>
        </w:rPr>
        <w:t>pārbaudes iestādes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 xml:space="preserve">pieprasījuma), ja kvantitatīvā </w:t>
      </w:r>
      <w:r>
        <w:rPr>
          <w:rFonts w:ascii="Times New Roman" w:hAnsi="Times New Roman"/>
          <w:i/>
          <w:iCs/>
          <w:sz w:val="24"/>
        </w:rPr>
        <w:t>GC-MS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iCs/>
          <w:sz w:val="24"/>
        </w:rPr>
        <w:t>GC-MS/MS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</w:t>
      </w:r>
      <w:r>
        <w:rPr>
          <w:rFonts w:ascii="Times New Roman" w:hAnsi="Times New Roman"/>
          <w:sz w:val="24"/>
        </w:rPr>
        <w:t xml:space="preserve"> neapstiprina vērtības, kas paziņotas pēc </w:t>
      </w:r>
      <w:r>
        <w:rPr>
          <w:rFonts w:ascii="Times New Roman" w:hAnsi="Times New Roman"/>
          <w:sz w:val="24"/>
          <w:u w:val="single" w:color="000000"/>
        </w:rPr>
        <w:t>sākotnējās pārbaudes procedūras</w:t>
      </w:r>
      <w:r>
        <w:rPr>
          <w:rFonts w:ascii="Times New Roman" w:hAnsi="Times New Roman"/>
          <w:sz w:val="24"/>
        </w:rPr>
        <w:t xml:space="preserve"> (ņemot vērā mērījuma paplašināto nenoteiktību),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apspriežas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 xml:space="preserve">, lai noteiktu, vai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ir nepieciešama. Šādos gadījumos </w:t>
      </w:r>
      <w:r>
        <w:rPr>
          <w:rFonts w:ascii="Times New Roman" w:hAnsi="Times New Roman"/>
          <w:sz w:val="24"/>
          <w:u w:val="single" w:color="000000"/>
        </w:rPr>
        <w:t>pārbaudes iestāde</w:t>
      </w:r>
      <w:r>
        <w:rPr>
          <w:rFonts w:ascii="Times New Roman" w:hAnsi="Times New Roman"/>
          <w:sz w:val="24"/>
        </w:rPr>
        <w:t xml:space="preserve"> apspriežas ar </w:t>
      </w:r>
      <w:r>
        <w:rPr>
          <w:rFonts w:ascii="Times New Roman" w:hAnsi="Times New Roman"/>
          <w:sz w:val="24"/>
          <w:u w:val="single" w:color="000000"/>
        </w:rPr>
        <w:t>organizācijas, kas atbild par pasi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, lai novērtētu, vai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joprojām ir nepieciešama. Ja uzskata,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nav nepieciešama,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atjaunina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ziņojumu par </w:t>
      </w:r>
      <w:r>
        <w:rPr>
          <w:rFonts w:ascii="Times New Roman" w:hAnsi="Times New Roman"/>
          <w:i/>
          <w:sz w:val="24"/>
        </w:rPr>
        <w:t>paraugu</w:t>
      </w:r>
      <w:r>
        <w:rPr>
          <w:rFonts w:ascii="Times New Roman" w:hAnsi="Times New Roman"/>
          <w:sz w:val="24"/>
        </w:rPr>
        <w:t xml:space="preserve">, ievadot jaunās apstiprinātās steroīdu profila vērtības, un pievieno piezīmi, kurā norāda, ka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 nebija nepieciešama.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</w:rPr>
        <w:t xml:space="preserve"> atjaunina arī </w:t>
      </w:r>
      <w:r>
        <w:rPr>
          <w:rFonts w:ascii="Times New Roman" w:hAnsi="Times New Roman"/>
          <w:i/>
          <w:iCs/>
          <w:sz w:val="24"/>
          <w:u w:val="single" w:color="000000"/>
        </w:rPr>
        <w:t>APMU</w:t>
      </w:r>
      <w:r>
        <w:rPr>
          <w:rFonts w:ascii="Times New Roman" w:hAnsi="Times New Roman"/>
          <w:sz w:val="24"/>
          <w:u w:val="single" w:color="000000"/>
        </w:rPr>
        <w:t xml:space="preserve"> ziņojumu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, paskaidrojot, kāpēc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</w:t>
      </w:r>
      <w:r>
        <w:rPr>
          <w:rFonts w:ascii="Times New Roman" w:hAnsi="Times New Roman"/>
          <w:sz w:val="24"/>
        </w:rPr>
        <w:t xml:space="preserve"> nebija nepieciešama.</w:t>
      </w:r>
    </w:p>
    <w:p w14:paraId="3226187F" w14:textId="77777777" w:rsidR="00173AD7" w:rsidRPr="00173AD7" w:rsidRDefault="00173AD7" w:rsidP="00173AD7">
      <w:pPr>
        <w:jc w:val="both"/>
        <w:rPr>
          <w:rFonts w:ascii="Times New Roman" w:hAnsi="Times New Roman"/>
          <w:noProof/>
          <w:sz w:val="24"/>
        </w:rPr>
      </w:pPr>
    </w:p>
    <w:p w14:paraId="7402C003" w14:textId="12D81B2D" w:rsidR="002167DE" w:rsidRPr="00173AD7" w:rsidRDefault="00BB6381" w:rsidP="00BB6381">
      <w:pPr>
        <w:pStyle w:val="Heading2"/>
        <w:tabs>
          <w:tab w:val="left" w:pos="660"/>
        </w:tabs>
        <w:spacing w:before="0"/>
        <w:ind w:left="0"/>
        <w:jc w:val="both"/>
        <w:rPr>
          <w:rFonts w:eastAsia="Verdana" w:cs="Verdana"/>
          <w:noProof/>
        </w:rPr>
      </w:pPr>
      <w:r>
        <w:t xml:space="preserve">3.6. Ziņošana par </w:t>
      </w:r>
      <w:r>
        <w:rPr>
          <w:u w:val="single" w:color="000000"/>
        </w:rPr>
        <w:t>apstiprināšanas procedūras</w:t>
      </w:r>
      <w:r>
        <w:t xml:space="preserve"> rezultātiem</w:t>
      </w:r>
    </w:p>
    <w:p w14:paraId="3BA454E7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88D1FD0" w14:textId="36A2461E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Pēc “A” vai “B”</w:t>
      </w:r>
      <w:r>
        <w:rPr>
          <w:rFonts w:ascii="Times New Roman" w:hAnsi="Times New Roman"/>
          <w:i/>
          <w:sz w:val="24"/>
        </w:rPr>
        <w:t xml:space="preserve"> parauga</w:t>
      </w:r>
      <w:r w:rsidR="00BB6381">
        <w:rPr>
          <w:rStyle w:val="FootnoteReference"/>
          <w:rFonts w:ascii="Times New Roman" w:hAnsi="Times New Roman" w:cs="Verdana"/>
          <w:i/>
          <w:noProof/>
          <w:sz w:val="24"/>
        </w:rPr>
        <w:footnoteReference w:id="18"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procedūras(-u)</w:t>
      </w:r>
      <w:r>
        <w:rPr>
          <w:rFonts w:ascii="Times New Roman" w:hAnsi="Times New Roman"/>
          <w:sz w:val="24"/>
        </w:rPr>
        <w:t xml:space="preserve"> izpildes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paziņo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>:</w:t>
      </w:r>
    </w:p>
    <w:p w14:paraId="563C3441" w14:textId="77777777" w:rsidR="00BB6381" w:rsidRPr="00173AD7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8048610" w14:textId="534C854D" w:rsidR="002167DE" w:rsidRPr="00BB6381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 w:cs="Verdana"/>
          <w:noProof/>
          <w:sz w:val="24"/>
        </w:rPr>
      </w:pP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  <w:vertAlign w:val="superscript"/>
        </w:rPr>
        <w:t>7</w:t>
      </w:r>
      <w:r>
        <w:rPr>
          <w:rFonts w:ascii="Times New Roman" w:hAnsi="Times New Roman"/>
          <w:sz w:val="24"/>
        </w:rPr>
        <w:t xml:space="preserve"> (kas noteikts attiecīgi “A” vai “B”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jaunajai </w:t>
      </w:r>
      <w:r>
        <w:rPr>
          <w:rFonts w:ascii="Times New Roman" w:hAnsi="Times New Roman"/>
          <w:sz w:val="24"/>
          <w:u w:val="single" w:color="000000"/>
        </w:rPr>
        <w:t>alikvotai</w:t>
      </w:r>
      <w:r>
        <w:rPr>
          <w:rFonts w:ascii="Times New Roman" w:hAnsi="Times New Roman"/>
          <w:sz w:val="24"/>
        </w:rPr>
        <w:t>);</w:t>
      </w:r>
    </w:p>
    <w:p w14:paraId="5097C93C" w14:textId="77777777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apstiprinātās steroīdu profila </w:t>
      </w:r>
      <w:r>
        <w:rPr>
          <w:rFonts w:ascii="Times New Roman" w:hAnsi="Times New Roman"/>
          <w:i/>
          <w:sz w:val="24"/>
        </w:rPr>
        <w:t>marķieru</w:t>
      </w:r>
      <w:r>
        <w:rPr>
          <w:rFonts w:ascii="Times New Roman" w:hAnsi="Times New Roman"/>
          <w:sz w:val="24"/>
        </w:rPr>
        <w:t xml:space="preserve"> vērtības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koncentrācijas vērtības,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</w:t>
      </w:r>
      <w:r>
        <w:rPr>
          <w:rFonts w:ascii="Times New Roman" w:hAnsi="Times New Roman"/>
          <w:sz w:val="24"/>
        </w:rPr>
        <w:t xml:space="preserve"> proporcija), neveicot pielīdzināšanu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SG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  <w:vertAlign w:val="superscript"/>
        </w:rPr>
        <w:t>8, 9, 11</w:t>
      </w:r>
    </w:p>
    <w:p w14:paraId="6A0FF031" w14:textId="77777777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saistīto </w:t>
      </w:r>
      <w:r>
        <w:rPr>
          <w:rFonts w:ascii="Times New Roman" w:hAnsi="Times New Roman"/>
          <w:i/>
          <w:sz w:val="24"/>
        </w:rPr>
        <w:t>u</w:t>
      </w:r>
      <w:r>
        <w:rPr>
          <w:rFonts w:ascii="Times New Roman" w:hAnsi="Times New Roman"/>
          <w:i/>
          <w:sz w:val="24"/>
          <w:vertAlign w:val="subscript"/>
        </w:rPr>
        <w:t>c</w:t>
      </w:r>
      <w:r>
        <w:rPr>
          <w:rFonts w:ascii="Times New Roman" w:hAnsi="Times New Roman"/>
          <w:sz w:val="24"/>
        </w:rPr>
        <w:t>, kas izteikta mērvienībās;</w:t>
      </w:r>
    </w:p>
    <w:p w14:paraId="007E6923" w14:textId="77777777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apstiprināšanas rezultātus, ja tie ir noteikti (skat. 3.5. punktu un </w:t>
      </w:r>
      <w:r>
        <w:rPr>
          <w:rFonts w:ascii="Times New Roman" w:hAnsi="Times New Roman"/>
          <w:i/>
          <w:iCs/>
          <w:sz w:val="24"/>
        </w:rPr>
        <w:t>TD IRMS</w:t>
      </w:r>
      <w:r>
        <w:rPr>
          <w:rFonts w:ascii="Times New Roman" w:hAnsi="Times New Roman"/>
          <w:sz w:val="24"/>
        </w:rPr>
        <w:t xml:space="preserve"> [1]);</w:t>
      </w:r>
    </w:p>
    <w:p w14:paraId="0C941552" w14:textId="592990E8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apstiprinātos mikrobioloģiskā piesārņojuma pazīmju rezultātus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5αAND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A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5βAND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Etio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i/>
          <w:iCs/>
          <w:sz w:val="24"/>
          <w:vertAlign w:val="subscript"/>
        </w:rPr>
        <w:t>free</w:t>
      </w:r>
      <w:r>
        <w:rPr>
          <w:rFonts w:ascii="Times New Roman" w:hAnsi="Times New Roman"/>
          <w:sz w:val="24"/>
        </w:rPr>
        <w:t xml:space="preserve"> / </w:t>
      </w:r>
      <w:r>
        <w:rPr>
          <w:rFonts w:ascii="Times New Roman" w:hAnsi="Times New Roman"/>
          <w:i/>
          <w:iCs/>
          <w:sz w:val="24"/>
        </w:rPr>
        <w:t>T</w:t>
      </w:r>
      <w:r>
        <w:rPr>
          <w:rFonts w:ascii="Times New Roman" w:hAnsi="Times New Roman"/>
          <w:i/>
          <w:iCs/>
          <w:sz w:val="24"/>
          <w:vertAlign w:val="subscript"/>
        </w:rPr>
        <w:t>total</w:t>
      </w:r>
      <w:r w:rsidR="00BB6381">
        <w:rPr>
          <w:rStyle w:val="FootnoteReference"/>
          <w:rFonts w:ascii="Times New Roman" w:hAnsi="Times New Roman"/>
          <w:noProof/>
          <w:sz w:val="24"/>
          <w:szCs w:val="14"/>
        </w:rPr>
        <w:footnoteReference w:id="19"/>
      </w:r>
      <w:r>
        <w:rPr>
          <w:rFonts w:ascii="Times New Roman" w:hAnsi="Times New Roman"/>
          <w:sz w:val="24"/>
        </w:rPr>
        <w:t>);</w:t>
      </w:r>
    </w:p>
    <w:p w14:paraId="2802A7B5" w14:textId="19C20BA6" w:rsidR="002167DE" w:rsidRPr="00173AD7" w:rsidRDefault="002167DE" w:rsidP="00BB6381">
      <w:pPr>
        <w:pStyle w:val="BodyText"/>
        <w:numPr>
          <w:ilvl w:val="2"/>
          <w:numId w:val="4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apstiprinātu etanola, 5α-reduktāzes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finasterīda) inhibitoru, ketokonazola konjugētā(-o)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vai citu vielu esību vai neesību, kas attiecīgi varētu būt mainījušas steroīdu profilu.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ziņo par apstiprinātajiem aprēķinātajiem līmeņiem, ja tie pārsniedz 5 μg/ml (nepaziņojot šā noteiktā rezultāta </w:t>
      </w:r>
      <w:r>
        <w:rPr>
          <w:rFonts w:ascii="Times New Roman" w:hAnsi="Times New Roman"/>
          <w:sz w:val="24"/>
          <w:u w:val="single" w:color="000000"/>
        </w:rPr>
        <w:t>mērījuma nenoteiktību</w:t>
      </w:r>
      <w:r>
        <w:rPr>
          <w:rFonts w:ascii="Times New Roman" w:hAnsi="Times New Roman"/>
          <w:sz w:val="24"/>
        </w:rPr>
        <w:t>).</w:t>
      </w:r>
    </w:p>
    <w:p w14:paraId="4334827B" w14:textId="77777777" w:rsidR="00BB6381" w:rsidRDefault="00BB6381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08E8A396" w14:textId="5EAD8E2F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Pēc steroīdu profila apstiprināšanas </w:t>
      </w: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atjaunina </w:t>
      </w:r>
      <w:r>
        <w:rPr>
          <w:rFonts w:ascii="Times New Roman" w:hAnsi="Times New Roman"/>
          <w:i/>
          <w:sz w:val="24"/>
        </w:rPr>
        <w:t>ADAMS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pārbaudes rezultāta ierakstu (kā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ATF</w:t>
      </w:r>
      <w:r>
        <w:rPr>
          <w:rFonts w:ascii="Times New Roman" w:hAnsi="Times New Roman"/>
          <w:sz w:val="24"/>
        </w:rPr>
        <w:t xml:space="preserve"> vai “Negatīvs”), pamatojoties uz rezultātiem, kas saskaņā ar </w:t>
      </w:r>
      <w:r>
        <w:rPr>
          <w:rFonts w:ascii="Times New Roman" w:hAnsi="Times New Roman"/>
          <w:i/>
          <w:iCs/>
          <w:sz w:val="24"/>
        </w:rPr>
        <w:t>TD IRMS</w:t>
      </w:r>
      <w:r>
        <w:rPr>
          <w:rFonts w:ascii="Times New Roman" w:hAnsi="Times New Roman"/>
          <w:sz w:val="24"/>
        </w:rPr>
        <w:t xml:space="preserve"> [1] iegūti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>apstiprināšanas procedūrā</w:t>
      </w:r>
      <w:r>
        <w:rPr>
          <w:rFonts w:ascii="Times New Roman" w:hAnsi="Times New Roman"/>
          <w:sz w:val="24"/>
        </w:rPr>
        <w:t>, ja tā ir veikta).</w:t>
      </w:r>
    </w:p>
    <w:p w14:paraId="2010F7CC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</w:p>
    <w:p w14:paraId="72608A29" w14:textId="209947DC" w:rsidR="002167DE" w:rsidRDefault="00EC186F" w:rsidP="00EC186F">
      <w:pPr>
        <w:tabs>
          <w:tab w:val="left" w:pos="840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3.7. Papildu analīzes: steroīdu esteris(-i) un DNS</w:t>
      </w:r>
    </w:p>
    <w:p w14:paraId="33667AF8" w14:textId="77777777" w:rsidR="00EC186F" w:rsidRPr="00173AD7" w:rsidRDefault="00EC186F" w:rsidP="00EC186F">
      <w:pPr>
        <w:tabs>
          <w:tab w:val="left" w:pos="840"/>
        </w:tabs>
        <w:jc w:val="both"/>
        <w:rPr>
          <w:rFonts w:ascii="Times New Roman" w:hAnsi="Times New Roman"/>
          <w:noProof/>
          <w:sz w:val="24"/>
        </w:rPr>
      </w:pPr>
    </w:p>
    <w:p w14:paraId="7CA14598" w14:textId="7D8850D6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vienādi asins </w:t>
      </w:r>
      <w:r>
        <w:rPr>
          <w:rFonts w:ascii="Times New Roman" w:hAnsi="Times New Roman"/>
          <w:i/>
          <w:sz w:val="24"/>
        </w:rPr>
        <w:t>paraugi</w:t>
      </w:r>
      <w:r>
        <w:rPr>
          <w:rFonts w:ascii="Times New Roman" w:hAnsi="Times New Roman"/>
          <w:sz w:val="24"/>
        </w:rPr>
        <w:t xml:space="preserve"> ir savākti tajā pašā </w:t>
      </w:r>
      <w:r>
        <w:rPr>
          <w:rFonts w:ascii="Times New Roman" w:hAnsi="Times New Roman"/>
          <w:sz w:val="24"/>
          <w:u w:val="single" w:color="000000"/>
        </w:rPr>
        <w:t>paraugu savākšanas procesā</w:t>
      </w:r>
      <w:r>
        <w:rPr>
          <w:rFonts w:ascii="Times New Roman" w:hAnsi="Times New Roman"/>
          <w:sz w:val="24"/>
        </w:rPr>
        <w:t xml:space="preserve">, kad savākti urīna </w:t>
      </w:r>
      <w:r>
        <w:rPr>
          <w:rFonts w:ascii="Times New Roman" w:hAnsi="Times New Roman"/>
          <w:i/>
          <w:iCs/>
          <w:sz w:val="24"/>
        </w:rPr>
        <w:t>paraugi</w:t>
      </w:r>
      <w:r>
        <w:rPr>
          <w:rFonts w:ascii="Times New Roman" w:hAnsi="Times New Roman"/>
          <w:sz w:val="24"/>
        </w:rPr>
        <w:t xml:space="preserve">, kuros identificēts netipisks vai aizdomīgs steroīdu profils, </w:t>
      </w:r>
      <w:r>
        <w:rPr>
          <w:rFonts w:ascii="Times New Roman" w:hAnsi="Times New Roman"/>
          <w:sz w:val="24"/>
          <w:u w:val="single" w:color="000000"/>
        </w:rPr>
        <w:t>laboratorijām</w:t>
      </w:r>
      <w:r>
        <w:rPr>
          <w:rFonts w:ascii="Times New Roman" w:hAnsi="Times New Roman"/>
          <w:sz w:val="24"/>
        </w:rPr>
        <w:t xml:space="preserve">, apspriežoties ar </w:t>
      </w:r>
      <w:r>
        <w:rPr>
          <w:rFonts w:ascii="Times New Roman" w:hAnsi="Times New Roman"/>
          <w:sz w:val="24"/>
          <w:u w:val="single" w:color="000000"/>
        </w:rPr>
        <w:t>pārbaudes iestādi</w:t>
      </w:r>
      <w:r>
        <w:rPr>
          <w:rFonts w:ascii="Times New Roman" w:hAnsi="Times New Roman"/>
          <w:sz w:val="24"/>
        </w:rPr>
        <w:t>, jāapsver iespēja veikt analīzi, lai saistītajā serumā/plazmā noteiktu steroīdu estera(-u) klātbūtni.</w:t>
      </w:r>
    </w:p>
    <w:p w14:paraId="71920C4A" w14:textId="77777777" w:rsidR="00EC186F" w:rsidRPr="00173AD7" w:rsidRDefault="00EC186F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51F7DE6A" w14:textId="0AEE581D" w:rsidR="002167DE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Analīzes steroīdu estera(-u) klātbūtnes apstiprināšanai serumā/plazmā ir ieteicams veikt pirms urīna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analīzes. Steroīdu estera(-u) klātbūtnes noteikšana serumā/plazmā arī ir uzskatāma par nepārprotamu steroīda(-u) eksogēnas izcelsmes pierādījumu. Turpretim nosakāma steroīdu estera(-u) neesība serumā/plazmā neatceļ </w:t>
      </w:r>
      <w:r>
        <w:rPr>
          <w:rFonts w:ascii="Times New Roman" w:hAnsi="Times New Roman"/>
          <w:i/>
          <w:sz w:val="24"/>
        </w:rPr>
        <w:t>AAF</w:t>
      </w:r>
      <w:r>
        <w:rPr>
          <w:rFonts w:ascii="Times New Roman" w:hAnsi="Times New Roman"/>
          <w:sz w:val="24"/>
        </w:rPr>
        <w:t xml:space="preserve">, kas iegūts, veicot urīna </w:t>
      </w:r>
      <w:r>
        <w:rPr>
          <w:rFonts w:ascii="Times New Roman" w:hAnsi="Times New Roman"/>
          <w:i/>
          <w:iCs/>
          <w:sz w:val="24"/>
        </w:rPr>
        <w:t>GC/C/IRMS</w:t>
      </w:r>
      <w:r>
        <w:rPr>
          <w:rFonts w:ascii="Times New Roman" w:hAnsi="Times New Roman"/>
          <w:sz w:val="24"/>
        </w:rPr>
        <w:t xml:space="preserve"> analīzi.</w:t>
      </w:r>
    </w:p>
    <w:p w14:paraId="74B7134B" w14:textId="77777777" w:rsidR="00EC186F" w:rsidRPr="00173AD7" w:rsidRDefault="00EC186F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</w:p>
    <w:p w14:paraId="2D1C6EA3" w14:textId="77777777" w:rsidR="002167DE" w:rsidRPr="00173AD7" w:rsidRDefault="002167DE" w:rsidP="00173AD7">
      <w:pPr>
        <w:pStyle w:val="BodyText"/>
        <w:spacing w:before="0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Var apsvērt arī iespēju veikt DNS analīzi, lai saistībā ar </w:t>
      </w:r>
      <w:r>
        <w:rPr>
          <w:rFonts w:ascii="Times New Roman" w:hAnsi="Times New Roman"/>
          <w:i/>
          <w:sz w:val="24"/>
        </w:rPr>
        <w:t>sportista</w:t>
      </w:r>
      <w:r>
        <w:rPr>
          <w:rFonts w:ascii="Times New Roman" w:hAnsi="Times New Roman"/>
          <w:sz w:val="24"/>
        </w:rPr>
        <w:t xml:space="preserve"> “steroīdu garenprofilu” noteiktu </w:t>
      </w:r>
      <w:r>
        <w:rPr>
          <w:rFonts w:ascii="Times New Roman" w:hAnsi="Times New Roman"/>
          <w:i/>
          <w:sz w:val="24"/>
        </w:rPr>
        <w:t>parauga(-u)</w:t>
      </w:r>
      <w:r>
        <w:rPr>
          <w:rFonts w:ascii="Times New Roman" w:hAnsi="Times New Roman"/>
          <w:sz w:val="24"/>
        </w:rPr>
        <w:t xml:space="preserve"> izcelsmi.</w:t>
      </w:r>
    </w:p>
    <w:p w14:paraId="783C4FD2" w14:textId="77777777" w:rsidR="002167DE" w:rsidRPr="00173AD7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30"/>
        </w:rPr>
      </w:pPr>
    </w:p>
    <w:p w14:paraId="3CCF1098" w14:textId="2E6C1E61" w:rsidR="002167DE" w:rsidRPr="00173AD7" w:rsidRDefault="002167DE" w:rsidP="00173AD7">
      <w:pPr>
        <w:pStyle w:val="Heading1"/>
        <w:ind w:left="0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4.0. Atsauces</w:t>
      </w:r>
    </w:p>
    <w:p w14:paraId="2C3150C4" w14:textId="77777777" w:rsidR="00EC186F" w:rsidRDefault="00EC186F" w:rsidP="00EC186F">
      <w:pPr>
        <w:tabs>
          <w:tab w:val="left" w:pos="382"/>
        </w:tabs>
        <w:jc w:val="both"/>
        <w:rPr>
          <w:rFonts w:ascii="Times New Roman" w:hAnsi="Times New Roman"/>
          <w:i/>
          <w:noProof/>
          <w:sz w:val="24"/>
        </w:rPr>
      </w:pPr>
    </w:p>
    <w:p w14:paraId="6EBC60DF" w14:textId="2892513C" w:rsidR="002167DE" w:rsidRPr="00EC186F" w:rsidRDefault="00EC186F" w:rsidP="00EC186F">
      <w:pPr>
        <w:tabs>
          <w:tab w:val="left" w:pos="38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Document TD IRMS (current version): Detection of synthetic forms of Endogenous Anabolic Androgenic Steroids by GC/C/IRMS.</w:t>
      </w:r>
    </w:p>
    <w:p w14:paraId="4BDD3A0E" w14:textId="3F45469D" w:rsidR="002167DE" w:rsidRPr="00EC186F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18"/>
          <w:u w:val="single"/>
        </w:rPr>
      </w:pPr>
      <w:r>
        <w:rPr>
          <w:rFonts w:ascii="Times New Roman" w:hAnsi="Times New Roman"/>
          <w:sz w:val="24"/>
          <w:u w:val="single"/>
        </w:rPr>
        <w:t>https://www.wada-ama.org/en/resources/search?f[0]=field_resource_collections%3A30</w:t>
      </w:r>
    </w:p>
    <w:p w14:paraId="06DCD11B" w14:textId="77777777" w:rsidR="00EC186F" w:rsidRPr="00EC186F" w:rsidRDefault="00EC186F" w:rsidP="00EC186F">
      <w:pPr>
        <w:tabs>
          <w:tab w:val="left" w:pos="404"/>
        </w:tabs>
        <w:jc w:val="both"/>
        <w:rPr>
          <w:rFonts w:ascii="Times New Roman" w:hAnsi="Times New Roman"/>
          <w:noProof/>
          <w:sz w:val="24"/>
        </w:rPr>
      </w:pPr>
    </w:p>
    <w:p w14:paraId="01090C6C" w14:textId="6D67CAB8" w:rsidR="002167DE" w:rsidRPr="00EC186F" w:rsidRDefault="00EC186F" w:rsidP="00EC186F">
      <w:pPr>
        <w:tabs>
          <w:tab w:val="left" w:pos="404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2. Mareck U, Geyer H, Opfermann G, Thevis M, Schänzer W. Factors influencing the steroid profile in doping control analysis. </w:t>
      </w:r>
      <w:r>
        <w:rPr>
          <w:rFonts w:ascii="Times New Roman" w:hAnsi="Times New Roman"/>
          <w:i/>
          <w:sz w:val="24"/>
        </w:rPr>
        <w:t>J Mass Spectrom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43</w:t>
      </w:r>
      <w:r>
        <w:rPr>
          <w:rFonts w:ascii="Times New Roman" w:hAnsi="Times New Roman"/>
          <w:sz w:val="24"/>
        </w:rPr>
        <w:t>(7):877-91, 2008.</w:t>
      </w:r>
    </w:p>
    <w:p w14:paraId="44FAC0C7" w14:textId="77777777" w:rsidR="00EC186F" w:rsidRPr="00EC186F" w:rsidRDefault="00EC186F" w:rsidP="00EC186F">
      <w:pPr>
        <w:tabs>
          <w:tab w:val="left" w:pos="382"/>
        </w:tabs>
        <w:jc w:val="both"/>
        <w:rPr>
          <w:rFonts w:ascii="Times New Roman" w:hAnsi="Times New Roman"/>
          <w:noProof/>
          <w:sz w:val="24"/>
        </w:rPr>
      </w:pPr>
    </w:p>
    <w:p w14:paraId="532E3CD6" w14:textId="2AB287A2" w:rsidR="002167DE" w:rsidRPr="00EC186F" w:rsidRDefault="00EC186F" w:rsidP="00EC186F">
      <w:pPr>
        <w:tabs>
          <w:tab w:val="left" w:pos="382"/>
        </w:tabs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3. Ayotte C. Detecting the administration of endogenous anabolic androgenic steroids.</w:t>
      </w:r>
    </w:p>
    <w:p w14:paraId="2FE0C106" w14:textId="77777777" w:rsidR="002167DE" w:rsidRPr="00EC186F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i/>
          <w:sz w:val="24"/>
        </w:rPr>
        <w:t xml:space="preserve">Handb Exp Pharmacol. </w:t>
      </w:r>
      <w:r>
        <w:rPr>
          <w:rFonts w:ascii="Times New Roman" w:hAnsi="Times New Roman"/>
          <w:b/>
          <w:sz w:val="24"/>
        </w:rPr>
        <w:t>195</w:t>
      </w:r>
      <w:r>
        <w:rPr>
          <w:rFonts w:ascii="Times New Roman" w:hAnsi="Times New Roman"/>
          <w:sz w:val="24"/>
        </w:rPr>
        <w:t>:77-98, 2010.</w:t>
      </w:r>
    </w:p>
    <w:p w14:paraId="58845CF8" w14:textId="77777777" w:rsidR="00EC186F" w:rsidRPr="00EC186F" w:rsidRDefault="00EC186F" w:rsidP="00EC186F">
      <w:pPr>
        <w:tabs>
          <w:tab w:val="left" w:pos="390"/>
        </w:tabs>
        <w:jc w:val="both"/>
        <w:rPr>
          <w:rFonts w:ascii="Times New Roman" w:hAnsi="Times New Roman"/>
          <w:noProof/>
          <w:sz w:val="24"/>
        </w:rPr>
      </w:pPr>
    </w:p>
    <w:p w14:paraId="5C59DBF8" w14:textId="0A6AAD27" w:rsidR="002167DE" w:rsidRPr="00EC186F" w:rsidRDefault="00EC186F" w:rsidP="00EC186F">
      <w:pPr>
        <w:tabs>
          <w:tab w:val="left" w:pos="390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4. Kuuranne T, Saugy M, Baume N. Confounding factors and genetic polymorphism in the evaluation of individual steroid profiling. </w:t>
      </w:r>
      <w:r>
        <w:rPr>
          <w:rFonts w:ascii="Times New Roman" w:hAnsi="Times New Roman"/>
          <w:i/>
          <w:sz w:val="24"/>
        </w:rPr>
        <w:t>Br J Sports Med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48</w:t>
      </w:r>
      <w:r>
        <w:rPr>
          <w:rFonts w:ascii="Times New Roman" w:hAnsi="Times New Roman"/>
          <w:sz w:val="24"/>
        </w:rPr>
        <w:t>(10):848-55, 2014.</w:t>
      </w:r>
    </w:p>
    <w:p w14:paraId="4757D675" w14:textId="77777777" w:rsidR="00EC186F" w:rsidRPr="00EC186F" w:rsidRDefault="00EC186F" w:rsidP="00EC186F">
      <w:pPr>
        <w:tabs>
          <w:tab w:val="left" w:pos="382"/>
        </w:tabs>
        <w:jc w:val="both"/>
        <w:rPr>
          <w:rFonts w:ascii="Times New Roman" w:hAnsi="Times New Roman"/>
          <w:noProof/>
          <w:sz w:val="24"/>
        </w:rPr>
      </w:pPr>
    </w:p>
    <w:p w14:paraId="7E589C4C" w14:textId="558E1C95" w:rsidR="002167DE" w:rsidRPr="00EC186F" w:rsidRDefault="00EC186F" w:rsidP="00EC186F">
      <w:pPr>
        <w:tabs>
          <w:tab w:val="left" w:pos="382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5. J D Cook, Caplan YH, LoDico CP un Bush DM. The Characterization of Human Urine for Specimen Validity Determination in Workplace Drug Testing: A Review. </w:t>
      </w:r>
      <w:r>
        <w:rPr>
          <w:rFonts w:ascii="Times New Roman" w:hAnsi="Times New Roman"/>
          <w:i/>
          <w:sz w:val="24"/>
        </w:rPr>
        <w:t xml:space="preserve">J Anal Toxicol </w:t>
      </w:r>
      <w:r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sz w:val="24"/>
        </w:rPr>
        <w:t>: 579-588, 2000</w:t>
      </w:r>
    </w:p>
    <w:p w14:paraId="7FD553EE" w14:textId="77777777" w:rsidR="00EC186F" w:rsidRPr="00EC186F" w:rsidRDefault="00EC186F" w:rsidP="00EC186F">
      <w:pPr>
        <w:tabs>
          <w:tab w:val="left" w:pos="476"/>
        </w:tabs>
        <w:jc w:val="both"/>
        <w:rPr>
          <w:rFonts w:ascii="Times New Roman" w:hAnsi="Times New Roman"/>
          <w:i/>
          <w:noProof/>
          <w:sz w:val="24"/>
        </w:rPr>
      </w:pPr>
    </w:p>
    <w:p w14:paraId="2870FC55" w14:textId="614B13C1" w:rsidR="002167DE" w:rsidRPr="00EC186F" w:rsidRDefault="00EC186F" w:rsidP="00EC186F">
      <w:pPr>
        <w:tabs>
          <w:tab w:val="left" w:pos="476"/>
        </w:tabs>
        <w:jc w:val="both"/>
        <w:rPr>
          <w:rFonts w:ascii="Times New Roman" w:eastAsia="Verdana" w:hAnsi="Times New Roman" w:cs="Verdana"/>
          <w:noProof/>
          <w:sz w:val="24"/>
          <w:szCs w:val="20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i/>
          <w:sz w:val="24"/>
        </w:rPr>
        <w:t xml:space="preserve">WADA </w:t>
      </w:r>
      <w:r>
        <w:rPr>
          <w:rFonts w:ascii="Times New Roman" w:hAnsi="Times New Roman"/>
          <w:sz w:val="24"/>
        </w:rPr>
        <w:t>Technical Document TD IDCR (current version): Minimum Criteria for Chromatographic-Mass Spectrometric Confirmation of the Identity of Analytes for Doping Control Purposes.</w:t>
      </w:r>
    </w:p>
    <w:p w14:paraId="118D11F0" w14:textId="7DC367F6" w:rsidR="002167DE" w:rsidRPr="00EC186F" w:rsidRDefault="002167DE" w:rsidP="00173AD7">
      <w:pPr>
        <w:jc w:val="both"/>
        <w:rPr>
          <w:rFonts w:ascii="Times New Roman" w:eastAsia="Verdana" w:hAnsi="Times New Roman" w:cs="Verdana"/>
          <w:noProof/>
          <w:sz w:val="24"/>
          <w:szCs w:val="18"/>
          <w:u w:val="single"/>
        </w:rPr>
      </w:pPr>
      <w:r>
        <w:rPr>
          <w:rFonts w:ascii="Times New Roman" w:hAnsi="Times New Roman"/>
          <w:sz w:val="24"/>
          <w:u w:val="single"/>
        </w:rPr>
        <w:t>https://www.wada-ama.org/en/resources/search?f[0]=field_resource_collections%3A30</w:t>
      </w:r>
    </w:p>
    <w:sectPr w:rsidR="002167DE" w:rsidRPr="00EC186F" w:rsidSect="00173AD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51028" w14:textId="77777777" w:rsidR="00173AD7" w:rsidRPr="002167DE" w:rsidRDefault="00173AD7">
      <w:pPr>
        <w:rPr>
          <w:noProof/>
        </w:rPr>
      </w:pPr>
      <w:r w:rsidRPr="002167DE">
        <w:rPr>
          <w:noProof/>
        </w:rPr>
        <w:separator/>
      </w:r>
    </w:p>
  </w:endnote>
  <w:endnote w:type="continuationSeparator" w:id="0">
    <w:p w14:paraId="5588AA8C" w14:textId="77777777" w:rsidR="00173AD7" w:rsidRPr="002167DE" w:rsidRDefault="00173AD7">
      <w:pPr>
        <w:rPr>
          <w:noProof/>
        </w:rPr>
      </w:pPr>
      <w:r w:rsidRPr="002167DE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46937" w14:textId="77777777" w:rsidR="00DE65EF" w:rsidRPr="00DE65EF" w:rsidRDefault="00DE65EF" w:rsidP="00DE65EF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2CD5454A" w14:textId="7DF79083" w:rsidR="00DE65EF" w:rsidRPr="00DE65EF" w:rsidRDefault="00DE65EF" w:rsidP="00DE65EF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DE65EF">
      <w:rPr>
        <w:rStyle w:val="PageNumber"/>
        <w:rFonts w:ascii="Times New Roman" w:hAnsi="Times New Roman" w:cs="Times New Roman"/>
        <w:sz w:val="20"/>
        <w:szCs w:val="18"/>
      </w:rPr>
      <w:tab/>
    </w:r>
  </w:p>
  <w:p w14:paraId="0CCFE75A" w14:textId="77777777" w:rsidR="00DE65EF" w:rsidRPr="00DE65EF" w:rsidRDefault="00DE65EF" w:rsidP="00DE65EF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1EEB1567" w14:textId="77777777" w:rsidR="00DE65EF" w:rsidRPr="00DE65EF" w:rsidRDefault="00DE65EF" w:rsidP="00DE65EF">
    <w:pPr>
      <w:pStyle w:val="Footer"/>
      <w:tabs>
        <w:tab w:val="clear" w:pos="4513"/>
        <w:tab w:val="clear" w:pos="9026"/>
        <w:tab w:val="center" w:pos="9072"/>
      </w:tabs>
      <w:rPr>
        <w:rFonts w:ascii="Times New Roman" w:hAnsi="Times New Roman" w:cs="Times New Roman"/>
        <w:sz w:val="20"/>
        <w:szCs w:val="18"/>
      </w:rPr>
    </w:pPr>
    <w:r w:rsidRPr="00DE65EF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DE65EF">
      <w:rPr>
        <w:rFonts w:ascii="Times New Roman" w:hAnsi="Times New Roman" w:cs="Times New Roman"/>
        <w:noProof/>
        <w:sz w:val="20"/>
        <w:szCs w:val="18"/>
      </w:rPr>
      <w:fldChar w:fldCharType="begin"/>
    </w:r>
    <w:r w:rsidRPr="00DE65EF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DE65EF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DE65EF">
      <w:rPr>
        <w:rFonts w:ascii="Times New Roman" w:hAnsi="Times New Roman" w:cs="Times New Roman"/>
        <w:noProof/>
        <w:sz w:val="20"/>
        <w:szCs w:val="18"/>
      </w:rPr>
      <w:t>Ó</w:t>
    </w:r>
    <w:r w:rsidRPr="00DE65EF">
      <w:rPr>
        <w:rFonts w:ascii="Times New Roman" w:hAnsi="Times New Roman" w:cs="Times New Roman"/>
        <w:noProof/>
        <w:sz w:val="20"/>
        <w:szCs w:val="18"/>
      </w:rPr>
      <w:fldChar w:fldCharType="end"/>
    </w:r>
    <w:r w:rsidRPr="00DE65EF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DE65EF">
      <w:rPr>
        <w:rFonts w:ascii="Times New Roman" w:hAnsi="Times New Roman" w:cs="Times New Roman"/>
        <w:sz w:val="20"/>
        <w:szCs w:val="18"/>
      </w:rPr>
      <w:tab/>
    </w:r>
    <w:r w:rsidRPr="00DE65EF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DE65EF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DE65EF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DE65EF">
      <w:rPr>
        <w:rStyle w:val="PageNumber"/>
        <w:rFonts w:ascii="Times New Roman" w:hAnsi="Times New Roman" w:cs="Times New Roman"/>
        <w:sz w:val="20"/>
        <w:szCs w:val="18"/>
      </w:rPr>
      <w:t>2</w:t>
    </w:r>
    <w:r w:rsidRPr="00DE65EF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E647" w14:textId="77777777" w:rsidR="00DE65EF" w:rsidRPr="00DE65EF" w:rsidRDefault="00DE65EF" w:rsidP="00DE65EF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4E7D0A5C" w14:textId="5BBEED2D" w:rsidR="00DE65EF" w:rsidRPr="00DE65EF" w:rsidRDefault="00DE65EF" w:rsidP="00DE65EF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DE65EF">
      <w:rPr>
        <w:rStyle w:val="PageNumber"/>
        <w:rFonts w:ascii="Times New Roman" w:hAnsi="Times New Roman" w:cs="Times New Roman"/>
        <w:sz w:val="20"/>
        <w:szCs w:val="18"/>
      </w:rPr>
      <w:tab/>
    </w:r>
  </w:p>
  <w:p w14:paraId="2E0339B9" w14:textId="77777777" w:rsidR="00DE65EF" w:rsidRPr="00DE65EF" w:rsidRDefault="00DE65EF" w:rsidP="00DE65EF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4CCA40ED" w14:textId="77777777" w:rsidR="00DE65EF" w:rsidRPr="00DE65EF" w:rsidRDefault="00DE65EF" w:rsidP="00DE65EF">
    <w:pPr>
      <w:pStyle w:val="Footer"/>
      <w:rPr>
        <w:rFonts w:ascii="Times New Roman" w:hAnsi="Times New Roman" w:cs="Times New Roman"/>
        <w:sz w:val="20"/>
        <w:szCs w:val="18"/>
      </w:rPr>
    </w:pPr>
    <w:r w:rsidRPr="00DE65EF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DE65EF">
      <w:rPr>
        <w:rFonts w:ascii="Times New Roman" w:hAnsi="Times New Roman" w:cs="Times New Roman"/>
        <w:noProof/>
        <w:sz w:val="20"/>
        <w:szCs w:val="18"/>
      </w:rPr>
      <w:fldChar w:fldCharType="begin"/>
    </w:r>
    <w:r w:rsidRPr="00DE65EF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DE65EF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DE65EF">
      <w:rPr>
        <w:rFonts w:ascii="Times New Roman" w:hAnsi="Times New Roman" w:cs="Times New Roman"/>
        <w:noProof/>
        <w:sz w:val="20"/>
        <w:szCs w:val="18"/>
      </w:rPr>
      <w:t>Ó</w:t>
    </w:r>
    <w:r w:rsidRPr="00DE65EF">
      <w:rPr>
        <w:rFonts w:ascii="Times New Roman" w:hAnsi="Times New Roman" w:cs="Times New Roman"/>
        <w:noProof/>
        <w:sz w:val="20"/>
        <w:szCs w:val="18"/>
      </w:rPr>
      <w:fldChar w:fldCharType="end"/>
    </w:r>
    <w:r w:rsidRPr="00DE65EF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DE65EF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6E2B" w14:textId="77777777" w:rsidR="00173AD7" w:rsidRPr="002167DE" w:rsidRDefault="00173AD7">
      <w:pPr>
        <w:rPr>
          <w:noProof/>
        </w:rPr>
      </w:pPr>
      <w:r w:rsidRPr="002167DE">
        <w:rPr>
          <w:noProof/>
        </w:rPr>
        <w:separator/>
      </w:r>
    </w:p>
  </w:footnote>
  <w:footnote w:type="continuationSeparator" w:id="0">
    <w:p w14:paraId="67884C44" w14:textId="77777777" w:rsidR="00173AD7" w:rsidRPr="002167DE" w:rsidRDefault="00173AD7">
      <w:pPr>
        <w:rPr>
          <w:noProof/>
        </w:rPr>
      </w:pPr>
      <w:r w:rsidRPr="002167DE">
        <w:rPr>
          <w:noProof/>
        </w:rPr>
        <w:continuationSeparator/>
      </w:r>
    </w:p>
  </w:footnote>
  <w:footnote w:id="1">
    <w:p w14:paraId="76E44BB7" w14:textId="77B1B883" w:rsidR="00B919D3" w:rsidRPr="0062026E" w:rsidRDefault="00B919D3" w:rsidP="0062026E">
      <w:pPr>
        <w:pStyle w:val="Heading2"/>
        <w:tabs>
          <w:tab w:val="left" w:pos="291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</w:t>
      </w:r>
      <w:r>
        <w:rPr>
          <w:i/>
          <w:iCs/>
          <w:sz w:val="20"/>
        </w:rPr>
        <w:t>T</w:t>
      </w:r>
      <w:r>
        <w:rPr>
          <w:sz w:val="20"/>
        </w:rPr>
        <w:t xml:space="preserve"> un </w:t>
      </w:r>
      <w:r>
        <w:rPr>
          <w:i/>
          <w:iCs/>
          <w:sz w:val="20"/>
        </w:rPr>
        <w:t>E</w:t>
      </w:r>
      <w:r>
        <w:rPr>
          <w:sz w:val="20"/>
        </w:rPr>
        <w:t xml:space="preserve"> daudz mazākā koncentrācijā parasti ir sastopami sieviešu </w:t>
      </w:r>
      <w:r>
        <w:rPr>
          <w:i/>
          <w:sz w:val="20"/>
        </w:rPr>
        <w:t>paraugos</w:t>
      </w:r>
      <w:r>
        <w:rPr>
          <w:sz w:val="20"/>
        </w:rPr>
        <w:t xml:space="preserve"> un </w:t>
      </w:r>
      <w:r>
        <w:rPr>
          <w:i/>
          <w:sz w:val="20"/>
        </w:rPr>
        <w:t>paraugos</w:t>
      </w:r>
      <w:r>
        <w:rPr>
          <w:sz w:val="20"/>
        </w:rPr>
        <w:t xml:space="preserve">, kuru </w:t>
      </w:r>
      <w:r>
        <w:rPr>
          <w:i/>
          <w:iCs/>
          <w:sz w:val="20"/>
        </w:rPr>
        <w:t>SG</w:t>
      </w:r>
      <w:r>
        <w:rPr>
          <w:sz w:val="20"/>
        </w:rPr>
        <w:t xml:space="preserve"> ir zems; tāpēc, lai iegūtu precīzāku mērījumu, iespējams, vajadzēs lielāku </w:t>
      </w:r>
      <w:r>
        <w:rPr>
          <w:sz w:val="20"/>
          <w:u w:val="single" w:color="000000"/>
        </w:rPr>
        <w:t>alikvotas</w:t>
      </w:r>
      <w:r>
        <w:rPr>
          <w:sz w:val="20"/>
        </w:rPr>
        <w:t xml:space="preserve"> daudzumu.</w:t>
      </w:r>
    </w:p>
  </w:footnote>
  <w:footnote w:id="2">
    <w:p w14:paraId="58B03058" w14:textId="1A9B7902" w:rsidR="00B919D3" w:rsidRPr="0062026E" w:rsidRDefault="00B919D3" w:rsidP="0062026E">
      <w:pPr>
        <w:tabs>
          <w:tab w:val="left" w:pos="272"/>
        </w:tabs>
        <w:jc w:val="both"/>
        <w:rPr>
          <w:rFonts w:ascii="Times New Roman" w:hAnsi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iCs/>
          <w:sz w:val="20"/>
        </w:rPr>
        <w:t>T</w:t>
      </w:r>
      <w:r>
        <w:rPr>
          <w:rFonts w:ascii="Times New Roman" w:hAnsi="Times New Roman"/>
          <w:sz w:val="20"/>
        </w:rPr>
        <w:t xml:space="preserve"> un </w:t>
      </w:r>
      <w:r>
        <w:rPr>
          <w:rFonts w:ascii="Times New Roman" w:hAnsi="Times New Roman"/>
          <w:i/>
          <w:iCs/>
          <w:sz w:val="20"/>
        </w:rPr>
        <w:t>E</w:t>
      </w:r>
      <w:r>
        <w:rPr>
          <w:rFonts w:ascii="Times New Roman" w:hAnsi="Times New Roman"/>
          <w:sz w:val="20"/>
        </w:rPr>
        <w:t xml:space="preserve"> smailes augstumu vai smailes laukumus koriģē, salīdzinot ar kalibratoru vai kalibrēšanas līkni (abiem steroīdiem pārbaudē konstatēta vienāda masa vai vienāda jonu pāreja).</w:t>
      </w:r>
    </w:p>
  </w:footnote>
  <w:footnote w:id="3">
    <w:p w14:paraId="11053914" w14:textId="77777777" w:rsidR="00B92996" w:rsidRPr="0062026E" w:rsidRDefault="00B92996" w:rsidP="0062026E">
      <w:pPr>
        <w:pStyle w:val="Heading2"/>
        <w:tabs>
          <w:tab w:val="left" w:pos="358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Steroīdu profila </w:t>
      </w:r>
      <w:r>
        <w:rPr>
          <w:i/>
          <w:sz w:val="20"/>
        </w:rPr>
        <w:t>marķieru</w:t>
      </w:r>
      <w:r>
        <w:rPr>
          <w:sz w:val="20"/>
        </w:rPr>
        <w:t xml:space="preserve"> </w:t>
      </w:r>
      <w:r>
        <w:rPr>
          <w:i/>
          <w:iCs/>
          <w:sz w:val="20"/>
        </w:rPr>
        <w:t>LOQ</w:t>
      </w:r>
      <w:r>
        <w:rPr>
          <w:sz w:val="20"/>
        </w:rPr>
        <w:t xml:space="preserve"> nosaka kā zemāko koncentrāciju, ko var izmērīt 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c</w:t>
      </w:r>
      <w:r>
        <w:rPr>
          <w:i/>
          <w:sz w:val="20"/>
        </w:rPr>
        <w:t xml:space="preserve"> </w:t>
      </w:r>
      <w:r>
        <w:rPr>
          <w:sz w:val="20"/>
        </w:rPr>
        <w:t>(%) 30 % robežās.</w:t>
      </w:r>
    </w:p>
    <w:p w14:paraId="7AC8E872" w14:textId="791C346D" w:rsidR="00B92996" w:rsidRPr="0062026E" w:rsidRDefault="00B92996" w:rsidP="0062026E">
      <w:pPr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/>
          <w:i/>
          <w:iCs/>
          <w:sz w:val="20"/>
        </w:rPr>
        <w:t>LOQ</w:t>
      </w:r>
      <w:r>
        <w:rPr>
          <w:rFonts w:ascii="Times New Roman" w:hAnsi="Times New Roman"/>
          <w:sz w:val="20"/>
        </w:rPr>
        <w:t xml:space="preserve">, kas noteikta, veicot metodes validāciju attiecībā uz </w:t>
      </w:r>
      <w:r>
        <w:rPr>
          <w:rFonts w:ascii="Times New Roman" w:hAnsi="Times New Roman"/>
          <w:i/>
          <w:iCs/>
          <w:sz w:val="20"/>
        </w:rPr>
        <w:t>T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E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A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Etio</w:t>
      </w:r>
      <w:r>
        <w:rPr>
          <w:rFonts w:ascii="Times New Roman" w:hAnsi="Times New Roman"/>
          <w:sz w:val="20"/>
        </w:rPr>
        <w:t>, 5</w:t>
      </w:r>
      <w:r>
        <w:rPr>
          <w:rFonts w:ascii="Times New Roman" w:hAnsi="Times New Roman"/>
          <w:i/>
          <w:iCs/>
          <w:sz w:val="20"/>
        </w:rPr>
        <w:t>αAdiol</w:t>
      </w:r>
      <w:r>
        <w:rPr>
          <w:rFonts w:ascii="Times New Roman" w:hAnsi="Times New Roman"/>
          <w:sz w:val="20"/>
        </w:rPr>
        <w:t xml:space="preserve"> un </w:t>
      </w:r>
      <w:r>
        <w:rPr>
          <w:rFonts w:ascii="Times New Roman" w:hAnsi="Times New Roman"/>
          <w:i/>
          <w:iCs/>
          <w:sz w:val="20"/>
        </w:rPr>
        <w:t>5βAdiol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u w:val="single"/>
        </w:rPr>
        <w:t>laboratorija</w:t>
      </w:r>
      <w:r>
        <w:rPr>
          <w:rFonts w:ascii="Times New Roman" w:hAnsi="Times New Roman"/>
          <w:sz w:val="20"/>
        </w:rPr>
        <w:t xml:space="preserve"> reģistrē </w:t>
      </w:r>
      <w:r>
        <w:rPr>
          <w:rFonts w:ascii="Times New Roman" w:hAnsi="Times New Roman"/>
          <w:i/>
          <w:sz w:val="20"/>
        </w:rPr>
        <w:t>ADAMS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i/>
          <w:iCs/>
          <w:sz w:val="20"/>
        </w:rPr>
        <w:t>LOQ</w:t>
      </w:r>
      <w:r>
        <w:rPr>
          <w:rFonts w:ascii="Times New Roman" w:hAnsi="Times New Roman"/>
          <w:sz w:val="20"/>
        </w:rPr>
        <w:t xml:space="preserve"> vērtības </w:t>
      </w:r>
      <w:r>
        <w:rPr>
          <w:rFonts w:ascii="Times New Roman" w:hAnsi="Times New Roman"/>
          <w:i/>
          <w:sz w:val="20"/>
        </w:rPr>
        <w:t>ADAMS</w:t>
      </w:r>
      <w:r>
        <w:rPr>
          <w:rFonts w:ascii="Times New Roman" w:hAnsi="Times New Roman"/>
          <w:sz w:val="20"/>
        </w:rPr>
        <w:t xml:space="preserve"> atjaunina vienmēr, kad analītiskajai metodei ir veiktas būtiskas izmaiņas.</w:t>
      </w:r>
    </w:p>
  </w:footnote>
  <w:footnote w:id="4">
    <w:p w14:paraId="62428D81" w14:textId="32BA82CC" w:rsidR="00B92996" w:rsidRPr="0062026E" w:rsidRDefault="00B92996" w:rsidP="0062026E">
      <w:pPr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Urīna </w:t>
      </w:r>
      <w:r>
        <w:rPr>
          <w:rFonts w:ascii="Times New Roman" w:hAnsi="Times New Roman"/>
          <w:i/>
          <w:sz w:val="20"/>
        </w:rPr>
        <w:t>paraugu</w:t>
      </w:r>
      <w:r>
        <w:rPr>
          <w:rFonts w:ascii="Times New Roman" w:hAnsi="Times New Roman"/>
          <w:sz w:val="20"/>
        </w:rPr>
        <w:t xml:space="preserve"> tiešā enzimātiskā hidrolīze var palielināt mikrobioloģiskā piesārņojuma ietekmi.</w:t>
      </w:r>
    </w:p>
  </w:footnote>
  <w:footnote w:id="5">
    <w:p w14:paraId="40CD9C6A" w14:textId="66805AB3" w:rsidR="00B92996" w:rsidRPr="0062026E" w:rsidRDefault="00B92996" w:rsidP="0062026E">
      <w:pPr>
        <w:pStyle w:val="Heading2"/>
        <w:tabs>
          <w:tab w:val="left" w:pos="272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Tas attiecas arī uz gadījumiem, kad analizē vairāk nekā vienu (1) </w:t>
      </w:r>
      <w:r>
        <w:rPr>
          <w:i/>
          <w:sz w:val="20"/>
        </w:rPr>
        <w:t>paraugu</w:t>
      </w:r>
      <w:r>
        <w:rPr>
          <w:sz w:val="20"/>
        </w:rPr>
        <w:t xml:space="preserve">, kas iegūts no viena </w:t>
      </w:r>
      <w:r>
        <w:rPr>
          <w:i/>
          <w:sz w:val="20"/>
        </w:rPr>
        <w:t>sportista</w:t>
      </w:r>
      <w:r>
        <w:rPr>
          <w:sz w:val="20"/>
        </w:rPr>
        <w:t xml:space="preserve"> vienā </w:t>
      </w:r>
      <w:r>
        <w:rPr>
          <w:sz w:val="20"/>
          <w:u w:val="single" w:color="000000"/>
        </w:rPr>
        <w:t>paraugu savākšanas procesā</w:t>
      </w:r>
      <w:r>
        <w:rPr>
          <w:sz w:val="20"/>
        </w:rPr>
        <w:t>.</w:t>
      </w:r>
    </w:p>
  </w:footnote>
  <w:footnote w:id="6">
    <w:p w14:paraId="2EFCDA4A" w14:textId="243C49FE" w:rsidR="00B92996" w:rsidRPr="0062026E" w:rsidRDefault="00B92996" w:rsidP="0062026E">
      <w:pPr>
        <w:tabs>
          <w:tab w:val="left" w:pos="303"/>
        </w:tabs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>Laboratorija</w:t>
      </w:r>
      <w:r>
        <w:rPr>
          <w:rFonts w:ascii="Times New Roman" w:hAnsi="Times New Roman"/>
          <w:sz w:val="20"/>
        </w:rPr>
        <w:t xml:space="preserve"> ziņo </w:t>
      </w:r>
      <w:r>
        <w:rPr>
          <w:rFonts w:ascii="Times New Roman" w:hAnsi="Times New Roman"/>
          <w:i/>
          <w:sz w:val="20"/>
        </w:rPr>
        <w:t>ADAMS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steroīdu profilu, kas noteikts </w:t>
      </w:r>
      <w:r>
        <w:rPr>
          <w:rFonts w:ascii="Times New Roman" w:hAnsi="Times New Roman"/>
          <w:sz w:val="20"/>
          <w:u w:val="single" w:color="000000"/>
        </w:rPr>
        <w:t>sākotnējās pārbaudes procedūrā</w:t>
      </w:r>
      <w:r>
        <w:rPr>
          <w:rFonts w:ascii="Times New Roman" w:hAnsi="Times New Roman"/>
          <w:sz w:val="20"/>
        </w:rPr>
        <w:t xml:space="preserve">, ja </w:t>
      </w:r>
      <w:r>
        <w:rPr>
          <w:rFonts w:ascii="Times New Roman" w:hAnsi="Times New Roman"/>
          <w:i/>
          <w:sz w:val="20"/>
        </w:rPr>
        <w:t>paraugā</w:t>
      </w:r>
      <w:r>
        <w:rPr>
          <w:rFonts w:ascii="Times New Roman" w:hAnsi="Times New Roman"/>
          <w:sz w:val="20"/>
        </w:rPr>
        <w:t xml:space="preserve"> nav konstatēta </w:t>
      </w:r>
      <w:r>
        <w:rPr>
          <w:rFonts w:ascii="Times New Roman" w:hAnsi="Times New Roman"/>
          <w:i/>
          <w:sz w:val="20"/>
        </w:rPr>
        <w:t>aizliegtā viela</w:t>
      </w:r>
      <w:r>
        <w:rPr>
          <w:rFonts w:ascii="Times New Roman" w:hAnsi="Times New Roman"/>
          <w:sz w:val="20"/>
        </w:rPr>
        <w:t xml:space="preserve"> vai </w:t>
      </w:r>
      <w:r>
        <w:rPr>
          <w:rFonts w:ascii="Times New Roman" w:hAnsi="Times New Roman"/>
          <w:i/>
          <w:sz w:val="20"/>
        </w:rPr>
        <w:t>aizliegtā metode</w:t>
      </w:r>
      <w:r>
        <w:rPr>
          <w:rFonts w:ascii="Times New Roman" w:hAnsi="Times New Roman"/>
          <w:sz w:val="20"/>
        </w:rPr>
        <w:t xml:space="preserve"> [ziņojot, ka pārbaudes rezultāts ir negatīvs], kā arī gadījumos, kad </w:t>
      </w:r>
      <w:r>
        <w:rPr>
          <w:rFonts w:ascii="Times New Roman" w:hAnsi="Times New Roman"/>
          <w:sz w:val="20"/>
          <w:u w:val="single" w:color="000000"/>
        </w:rPr>
        <w:t>laboratorija</w:t>
      </w:r>
      <w:r>
        <w:rPr>
          <w:rFonts w:ascii="Times New Roman" w:hAnsi="Times New Roman"/>
          <w:sz w:val="20"/>
        </w:rPr>
        <w:t xml:space="preserve"> apstiprina </w:t>
      </w:r>
      <w:r>
        <w:rPr>
          <w:rFonts w:ascii="Times New Roman" w:hAnsi="Times New Roman"/>
          <w:i/>
          <w:sz w:val="20"/>
        </w:rPr>
        <w:t>aizliegtās vielas</w:t>
      </w:r>
      <w:r>
        <w:rPr>
          <w:rFonts w:ascii="Times New Roman" w:hAnsi="Times New Roman"/>
          <w:sz w:val="20"/>
        </w:rPr>
        <w:t xml:space="preserve"> vai </w:t>
      </w:r>
      <w:r>
        <w:rPr>
          <w:rFonts w:ascii="Times New Roman" w:hAnsi="Times New Roman"/>
          <w:i/>
          <w:sz w:val="20"/>
        </w:rPr>
        <w:t>aizliegtās metodes</w:t>
      </w:r>
      <w:r>
        <w:rPr>
          <w:rFonts w:ascii="Times New Roman" w:hAnsi="Times New Roman"/>
          <w:sz w:val="20"/>
        </w:rPr>
        <w:t xml:space="preserve"> klātbūtni [ziņojot, ka attiecībā uz noteikto </w:t>
      </w:r>
      <w:r>
        <w:rPr>
          <w:rFonts w:ascii="Times New Roman" w:hAnsi="Times New Roman"/>
          <w:i/>
          <w:sz w:val="20"/>
        </w:rPr>
        <w:t>aizliegto vielu</w:t>
      </w:r>
      <w:r>
        <w:rPr>
          <w:rFonts w:ascii="Times New Roman" w:hAnsi="Times New Roman"/>
          <w:sz w:val="20"/>
        </w:rPr>
        <w:t xml:space="preserve"> vai </w:t>
      </w:r>
      <w:r>
        <w:rPr>
          <w:rFonts w:ascii="Times New Roman" w:hAnsi="Times New Roman"/>
          <w:i/>
          <w:sz w:val="20"/>
        </w:rPr>
        <w:t>aizliegto metodi</w:t>
      </w:r>
      <w:r>
        <w:rPr>
          <w:rFonts w:ascii="Times New Roman" w:hAnsi="Times New Roman"/>
          <w:sz w:val="20"/>
        </w:rPr>
        <w:t xml:space="preserve"> rezultāts ir vai nu </w:t>
      </w:r>
      <w:r>
        <w:rPr>
          <w:rFonts w:ascii="Times New Roman" w:hAnsi="Times New Roman"/>
          <w:i/>
          <w:sz w:val="20"/>
        </w:rPr>
        <w:t>nelabvēlīgs analīžu rezultāts (AAF)</w:t>
      </w:r>
      <w:r>
        <w:rPr>
          <w:rFonts w:ascii="Times New Roman" w:hAnsi="Times New Roman"/>
          <w:sz w:val="20"/>
        </w:rPr>
        <w:t xml:space="preserve">, vai </w:t>
      </w:r>
      <w:r>
        <w:rPr>
          <w:rFonts w:ascii="Times New Roman" w:hAnsi="Times New Roman"/>
          <w:i/>
          <w:sz w:val="20"/>
        </w:rPr>
        <w:t>netipiska atrade (ATF)</w:t>
      </w:r>
      <w:r>
        <w:rPr>
          <w:rFonts w:ascii="Times New Roman" w:hAnsi="Times New Roman"/>
          <w:sz w:val="20"/>
        </w:rPr>
        <w:t>].</w:t>
      </w:r>
    </w:p>
  </w:footnote>
  <w:footnote w:id="7">
    <w:p w14:paraId="6918E1CF" w14:textId="129E51A3" w:rsidR="00B92996" w:rsidRPr="0062026E" w:rsidRDefault="00B92996" w:rsidP="0062026E">
      <w:pPr>
        <w:pStyle w:val="Heading2"/>
        <w:tabs>
          <w:tab w:val="left" w:pos="281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Ko </w:t>
      </w:r>
      <w:r>
        <w:rPr>
          <w:sz w:val="20"/>
          <w:u w:val="single" w:color="000000"/>
        </w:rPr>
        <w:t>laboratorija</w:t>
      </w:r>
      <w:r>
        <w:rPr>
          <w:sz w:val="20"/>
        </w:rPr>
        <w:t xml:space="preserve"> noteikusi, izmantojot, piemēram, refraktometru.</w:t>
      </w:r>
    </w:p>
  </w:footnote>
  <w:footnote w:id="8">
    <w:p w14:paraId="60142D1C" w14:textId="288C1955" w:rsidR="00B92996" w:rsidRPr="0062026E" w:rsidRDefault="00B92996" w:rsidP="0062026E">
      <w:pPr>
        <w:tabs>
          <w:tab w:val="left" w:pos="274"/>
        </w:tabs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Ziņojot par steroīdu profilu </w:t>
      </w:r>
      <w:r>
        <w:rPr>
          <w:rFonts w:ascii="Times New Roman" w:hAnsi="Times New Roman"/>
          <w:i/>
          <w:sz w:val="20"/>
        </w:rPr>
        <w:t>ADAMS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u w:val="single" w:color="000000"/>
        </w:rPr>
        <w:t>laboratorija</w:t>
      </w:r>
      <w:r>
        <w:rPr>
          <w:rFonts w:ascii="Times New Roman" w:hAnsi="Times New Roman"/>
          <w:sz w:val="20"/>
        </w:rPr>
        <w:t xml:space="preserve"> paziņo </w:t>
      </w:r>
      <w:r>
        <w:rPr>
          <w:rFonts w:ascii="Times New Roman" w:hAnsi="Times New Roman"/>
          <w:i/>
          <w:iCs/>
          <w:sz w:val="20"/>
        </w:rPr>
        <w:t>T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E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A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Etio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i/>
          <w:iCs/>
          <w:sz w:val="20"/>
        </w:rPr>
        <w:t>5αAdiol</w:t>
      </w:r>
      <w:r>
        <w:rPr>
          <w:rFonts w:ascii="Times New Roman" w:hAnsi="Times New Roman"/>
          <w:sz w:val="20"/>
        </w:rPr>
        <w:t xml:space="preserve"> un </w:t>
      </w:r>
      <w:r>
        <w:rPr>
          <w:rFonts w:ascii="Times New Roman" w:hAnsi="Times New Roman"/>
          <w:i/>
          <w:iCs/>
          <w:sz w:val="20"/>
        </w:rPr>
        <w:t>5βAdiol</w:t>
      </w:r>
      <w:r>
        <w:rPr>
          <w:rFonts w:ascii="Times New Roman" w:hAnsi="Times New Roman"/>
          <w:sz w:val="20"/>
        </w:rPr>
        <w:t xml:space="preserve"> koncentrāciju vērtības, kā arī </w:t>
      </w:r>
      <w:r>
        <w:rPr>
          <w:rFonts w:ascii="Times New Roman" w:hAnsi="Times New Roman"/>
          <w:i/>
          <w:iCs/>
          <w:sz w:val="20"/>
        </w:rPr>
        <w:t>T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i/>
          <w:iCs/>
          <w:sz w:val="20"/>
        </w:rPr>
        <w:t>E</w:t>
      </w:r>
      <w:r>
        <w:rPr>
          <w:rFonts w:ascii="Times New Roman" w:hAnsi="Times New Roman"/>
          <w:sz w:val="20"/>
        </w:rPr>
        <w:t xml:space="preserve"> proporciju (</w:t>
      </w:r>
      <w:r>
        <w:rPr>
          <w:rFonts w:ascii="Times New Roman" w:hAnsi="Times New Roman"/>
          <w:b/>
          <w:sz w:val="20"/>
        </w:rPr>
        <w:t xml:space="preserve">neveicot pielīdzināšanu atbilstīgi urīna </w:t>
      </w:r>
      <w:r>
        <w:rPr>
          <w:rFonts w:ascii="Times New Roman" w:hAnsi="Times New Roman"/>
          <w:b/>
          <w:i/>
          <w:iCs/>
          <w:sz w:val="20"/>
        </w:rPr>
        <w:t>SG</w:t>
      </w:r>
      <w:r>
        <w:rPr>
          <w:rFonts w:ascii="Times New Roman" w:hAnsi="Times New Roman"/>
          <w:b/>
          <w:sz w:val="20"/>
        </w:rPr>
        <w:t xml:space="preserve"> vai neveicot korekciju līdz noteiktam skaitam nozīmīgo skaitļu</w:t>
      </w:r>
      <w:r>
        <w:rPr>
          <w:rFonts w:ascii="Times New Roman" w:hAnsi="Times New Roman"/>
          <w:sz w:val="20"/>
        </w:rPr>
        <w:t xml:space="preserve">). Paziņoto vērtību automātiska korekcija līdz 2 nozīmīgajiem skaitļiem tiks veikta </w:t>
      </w:r>
      <w:r>
        <w:rPr>
          <w:rFonts w:ascii="Times New Roman" w:hAnsi="Times New Roman"/>
          <w:i/>
          <w:sz w:val="20"/>
        </w:rPr>
        <w:t>ADAMS</w:t>
      </w:r>
      <w:r>
        <w:rPr>
          <w:rFonts w:ascii="Times New Roman" w:hAnsi="Times New Roman"/>
          <w:sz w:val="20"/>
        </w:rPr>
        <w:t xml:space="preserve">, piemērojot </w:t>
      </w:r>
      <w:r>
        <w:rPr>
          <w:rFonts w:ascii="Times New Roman" w:hAnsi="Times New Roman"/>
          <w:i/>
          <w:sz w:val="20"/>
        </w:rPr>
        <w:t>ABP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>adaptīvo modeli</w:t>
      </w:r>
      <w:r>
        <w:rPr>
          <w:rFonts w:ascii="Times New Roman" w:hAnsi="Times New Roman"/>
          <w:sz w:val="20"/>
        </w:rPr>
        <w:t>.</w:t>
      </w:r>
    </w:p>
  </w:footnote>
  <w:footnote w:id="9">
    <w:p w14:paraId="351236DF" w14:textId="3CD50B2D" w:rsidR="00783C10" w:rsidRPr="0062026E" w:rsidRDefault="00783C10" w:rsidP="0062026E">
      <w:pPr>
        <w:pStyle w:val="Heading2"/>
        <w:tabs>
          <w:tab w:val="left" w:pos="300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Ja, piemēram, atšķaidījuma, neraksturīgu matricas traucējumu, enzimātiskās hidrolīzes inhibīcijas vai nepilnīgas atvasināšanas dēļ </w:t>
      </w:r>
      <w:r>
        <w:rPr>
          <w:sz w:val="20"/>
          <w:u w:val="single" w:color="000000"/>
        </w:rPr>
        <w:t>sākotnējās pārbaudes procedūrā</w:t>
      </w:r>
      <w:r>
        <w:rPr>
          <w:sz w:val="20"/>
        </w:rPr>
        <w:t xml:space="preserve"> steroīdu profila </w:t>
      </w:r>
      <w:r>
        <w:rPr>
          <w:i/>
          <w:sz w:val="20"/>
        </w:rPr>
        <w:t>marķieri</w:t>
      </w:r>
      <w:r>
        <w:rPr>
          <w:sz w:val="20"/>
        </w:rPr>
        <w:t xml:space="preserve"> nav iespējams izmērīt, </w:t>
      </w:r>
      <w:r>
        <w:rPr>
          <w:sz w:val="20"/>
          <w:u w:val="single" w:color="000000"/>
        </w:rPr>
        <w:t>laboratorijai</w:t>
      </w:r>
      <w:r>
        <w:rPr>
          <w:sz w:val="20"/>
        </w:rPr>
        <w:t xml:space="preserve"> ir jāatkārto analīze, izmantojot alternatīvu, validētu </w:t>
      </w:r>
      <w:r>
        <w:rPr>
          <w:i/>
          <w:sz w:val="20"/>
        </w:rPr>
        <w:t>parauga</w:t>
      </w:r>
      <w:r>
        <w:rPr>
          <w:sz w:val="20"/>
        </w:rPr>
        <w:t xml:space="preserve"> sagatavošanas procedūru (</w:t>
      </w:r>
      <w:r>
        <w:rPr>
          <w:i/>
          <w:sz w:val="20"/>
        </w:rPr>
        <w:t>piemēram</w:t>
      </w:r>
      <w:r>
        <w:rPr>
          <w:sz w:val="20"/>
        </w:rPr>
        <w:t xml:space="preserve">, veicot </w:t>
      </w:r>
      <w:r>
        <w:rPr>
          <w:i/>
          <w:sz w:val="20"/>
        </w:rPr>
        <w:t>parauga</w:t>
      </w:r>
      <w:r>
        <w:rPr>
          <w:sz w:val="20"/>
        </w:rPr>
        <w:t xml:space="preserve"> koncentrāciju vai izmantojot lielākus </w:t>
      </w:r>
      <w:r>
        <w:rPr>
          <w:sz w:val="20"/>
          <w:u w:val="single" w:color="000000"/>
        </w:rPr>
        <w:t>alikvotu</w:t>
      </w:r>
      <w:r>
        <w:rPr>
          <w:sz w:val="20"/>
        </w:rPr>
        <w:t xml:space="preserve"> tilpumus, veicot cietās fāzes ekstrakciju, ekstrakciju, izmantojot citu šķīdinātāju, vai piemērojot citu līdzvērtīgu procedūru). Tomēr, ja steroīdu profila </w:t>
      </w:r>
      <w:r>
        <w:rPr>
          <w:i/>
          <w:sz w:val="20"/>
        </w:rPr>
        <w:t>marķiera</w:t>
      </w:r>
      <w:r>
        <w:rPr>
          <w:sz w:val="20"/>
        </w:rPr>
        <w:t xml:space="preserve"> daudzumu nav iespējams noteikt, ziņo, ka </w:t>
      </w:r>
      <w:r>
        <w:rPr>
          <w:i/>
          <w:sz w:val="20"/>
        </w:rPr>
        <w:t>marķiera</w:t>
      </w:r>
      <w:r>
        <w:rPr>
          <w:sz w:val="20"/>
        </w:rPr>
        <w:t xml:space="preserve"> koncentrācija ir “-1”. Ja </w:t>
      </w:r>
      <w:r>
        <w:rPr>
          <w:i/>
          <w:sz w:val="20"/>
        </w:rPr>
        <w:t>marķiera</w:t>
      </w:r>
      <w:r>
        <w:rPr>
          <w:sz w:val="20"/>
        </w:rPr>
        <w:t xml:space="preserve"> hromatogrāfiskās smailes signālu nav iespējams noteikt (</w:t>
      </w:r>
      <w:r>
        <w:rPr>
          <w:i/>
          <w:sz w:val="20"/>
        </w:rPr>
        <w:t>t. i.</w:t>
      </w:r>
      <w:r>
        <w:rPr>
          <w:sz w:val="20"/>
        </w:rPr>
        <w:t xml:space="preserve">, tas ir zemāks par pārbaudes metodes noteikšanas spēju), ziņo, ka </w:t>
      </w:r>
      <w:r>
        <w:rPr>
          <w:i/>
          <w:sz w:val="20"/>
        </w:rPr>
        <w:t>marķiera</w:t>
      </w:r>
      <w:r>
        <w:rPr>
          <w:sz w:val="20"/>
        </w:rPr>
        <w:t xml:space="preserve"> koncentrācija ir “-2” (skat. 1. tabulu).</w:t>
      </w:r>
    </w:p>
  </w:footnote>
  <w:footnote w:id="10">
    <w:p w14:paraId="7F178233" w14:textId="3B12A453" w:rsidR="00783C10" w:rsidRPr="0062026E" w:rsidRDefault="00783C10" w:rsidP="0062026E">
      <w:pPr>
        <w:tabs>
          <w:tab w:val="left" w:pos="408"/>
        </w:tabs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 w:color="000000"/>
        </w:rPr>
        <w:t>Laboratorija</w:t>
      </w:r>
      <w:r>
        <w:rPr>
          <w:rFonts w:ascii="Times New Roman" w:hAnsi="Times New Roman"/>
          <w:sz w:val="20"/>
        </w:rPr>
        <w:t xml:space="preserve"> pēc </w:t>
      </w:r>
      <w:r>
        <w:rPr>
          <w:rFonts w:ascii="Times New Roman" w:hAnsi="Times New Roman"/>
          <w:sz w:val="20"/>
          <w:u w:val="single" w:color="000000"/>
        </w:rPr>
        <w:t>pārbaudes iestādes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u w:val="single" w:color="000000"/>
        </w:rPr>
        <w:t>rezultātu pārvaldības iestādes</w:t>
      </w:r>
      <w:r>
        <w:rPr>
          <w:rFonts w:ascii="Times New Roman" w:hAnsi="Times New Roman"/>
          <w:sz w:val="20"/>
        </w:rPr>
        <w:t xml:space="preserve"> vai </w:t>
      </w:r>
      <w:r>
        <w:rPr>
          <w:rFonts w:ascii="Times New Roman" w:hAnsi="Times New Roman"/>
          <w:i/>
          <w:iCs/>
          <w:sz w:val="20"/>
          <w:u w:val="single" w:color="000000"/>
        </w:rPr>
        <w:t>APMU</w:t>
      </w:r>
      <w:r>
        <w:rPr>
          <w:rFonts w:ascii="Times New Roman" w:hAnsi="Times New Roman"/>
          <w:sz w:val="20"/>
        </w:rPr>
        <w:t xml:space="preserve"> lūguma var sniegt arī informāciju par citiem steroīdu parametriem, piemēram, par dihidrotestosteronu (</w:t>
      </w:r>
      <w:r>
        <w:rPr>
          <w:rFonts w:ascii="Times New Roman" w:hAnsi="Times New Roman"/>
          <w:i/>
          <w:iCs/>
          <w:sz w:val="20"/>
        </w:rPr>
        <w:t>DHEA</w:t>
      </w:r>
      <w:r>
        <w:rPr>
          <w:rFonts w:ascii="Times New Roman" w:hAnsi="Times New Roman"/>
          <w:sz w:val="20"/>
        </w:rPr>
        <w:t>) un 6α-hidroksi-androstenedionu.</w:t>
      </w:r>
    </w:p>
  </w:footnote>
  <w:footnote w:id="11">
    <w:p w14:paraId="74E2C525" w14:textId="635A997C" w:rsidR="00783C10" w:rsidRPr="0062026E" w:rsidRDefault="00783C10" w:rsidP="0062026E">
      <w:pPr>
        <w:pStyle w:val="Heading2"/>
        <w:tabs>
          <w:tab w:val="left" w:pos="389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</w:t>
      </w:r>
      <w:r>
        <w:rPr>
          <w:i/>
          <w:iCs/>
          <w:sz w:val="20"/>
        </w:rPr>
        <w:t>A</w:t>
      </w:r>
      <w:r>
        <w:rPr>
          <w:sz w:val="20"/>
        </w:rPr>
        <w:t>/</w:t>
      </w:r>
      <w:r>
        <w:rPr>
          <w:i/>
          <w:iCs/>
          <w:sz w:val="20"/>
        </w:rPr>
        <w:t>T</w:t>
      </w:r>
      <w:r>
        <w:rPr>
          <w:sz w:val="20"/>
        </w:rPr>
        <w:t xml:space="preserve">, </w:t>
      </w:r>
      <w:r>
        <w:rPr>
          <w:i/>
          <w:iCs/>
          <w:sz w:val="20"/>
        </w:rPr>
        <w:t>A</w:t>
      </w:r>
      <w:r>
        <w:rPr>
          <w:sz w:val="20"/>
        </w:rPr>
        <w:t>/</w:t>
      </w:r>
      <w:r>
        <w:rPr>
          <w:i/>
          <w:iCs/>
          <w:sz w:val="20"/>
        </w:rPr>
        <w:t>Etio</w:t>
      </w:r>
      <w:r>
        <w:rPr>
          <w:sz w:val="20"/>
        </w:rPr>
        <w:t xml:space="preserve">, </w:t>
      </w:r>
      <w:r>
        <w:rPr>
          <w:i/>
          <w:iCs/>
          <w:sz w:val="20"/>
        </w:rPr>
        <w:t>5αAdiol</w:t>
      </w:r>
      <w:r>
        <w:rPr>
          <w:sz w:val="20"/>
        </w:rPr>
        <w:t>/</w:t>
      </w:r>
      <w:r>
        <w:rPr>
          <w:i/>
          <w:iCs/>
          <w:sz w:val="20"/>
        </w:rPr>
        <w:t>5βAdiol</w:t>
      </w:r>
      <w:r>
        <w:rPr>
          <w:sz w:val="20"/>
        </w:rPr>
        <w:t xml:space="preserve"> un </w:t>
      </w:r>
      <w:r>
        <w:rPr>
          <w:i/>
          <w:iCs/>
          <w:sz w:val="20"/>
        </w:rPr>
        <w:t>5αAdiol</w:t>
      </w:r>
      <w:r>
        <w:rPr>
          <w:sz w:val="20"/>
        </w:rPr>
        <w:t>/</w:t>
      </w:r>
      <w:r>
        <w:rPr>
          <w:i/>
          <w:iCs/>
          <w:sz w:val="20"/>
        </w:rPr>
        <w:t>E</w:t>
      </w:r>
      <w:r>
        <w:rPr>
          <w:sz w:val="20"/>
        </w:rPr>
        <w:t xml:space="preserve"> proporcijas tiek automātiski aprēķinātas </w:t>
      </w:r>
      <w:r>
        <w:rPr>
          <w:i/>
          <w:sz w:val="20"/>
        </w:rPr>
        <w:t>ADAMS</w:t>
      </w:r>
      <w:r>
        <w:rPr>
          <w:sz w:val="20"/>
        </w:rPr>
        <w:t xml:space="preserve"> pēc tam, kad </w:t>
      </w:r>
      <w:r>
        <w:rPr>
          <w:sz w:val="20"/>
          <w:u w:val="single" w:color="000000"/>
        </w:rPr>
        <w:t>laboratorija</w:t>
      </w:r>
      <w:r>
        <w:rPr>
          <w:sz w:val="20"/>
        </w:rPr>
        <w:t xml:space="preserve"> ir paziņojusi steroīdu profilu.</w:t>
      </w:r>
    </w:p>
  </w:footnote>
  <w:footnote w:id="12">
    <w:p w14:paraId="440C68F6" w14:textId="4113D3A7" w:rsidR="00D82B82" w:rsidRPr="0062026E" w:rsidRDefault="00D82B82" w:rsidP="0062026E">
      <w:pPr>
        <w:tabs>
          <w:tab w:val="left" w:pos="375"/>
        </w:tabs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Paraugs</w:t>
      </w:r>
      <w:r>
        <w:rPr>
          <w:rFonts w:ascii="Times New Roman" w:hAnsi="Times New Roman"/>
          <w:sz w:val="20"/>
        </w:rPr>
        <w:t xml:space="preserve">, kuram ir konstatētas mikrobiālās degradācijas pazīmes vai kurā ir kāda no vielām, kas var izraisīt steroīdu profila izmaiņas (skat. 1.1. punktu), nevar būt piemērots iekļaušanai “steroīdu garenprofilā”. Šos rezultātus izvērtē </w:t>
      </w:r>
      <w:r>
        <w:rPr>
          <w:rFonts w:ascii="Times New Roman" w:hAnsi="Times New Roman"/>
          <w:i/>
          <w:iCs/>
          <w:sz w:val="20"/>
          <w:u w:val="single" w:color="000000"/>
        </w:rPr>
        <w:t>APMU</w:t>
      </w:r>
      <w:r>
        <w:rPr>
          <w:rFonts w:ascii="Times New Roman" w:hAnsi="Times New Roman"/>
          <w:sz w:val="20"/>
        </w:rPr>
        <w:t xml:space="preserve"> rezultātu pārvaldības procesā, izvērtējot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analītiskos datus un novērtējot iespējamos patoloģiskos vai maldinošos apstākļus, kas varēja ietekmēt </w:t>
      </w:r>
      <w:r>
        <w:rPr>
          <w:rFonts w:ascii="Times New Roman" w:hAnsi="Times New Roman"/>
          <w:i/>
          <w:sz w:val="20"/>
        </w:rPr>
        <w:t>parauga</w:t>
      </w:r>
      <w:r>
        <w:rPr>
          <w:rFonts w:ascii="Times New Roman" w:hAnsi="Times New Roman"/>
          <w:sz w:val="20"/>
        </w:rPr>
        <w:t xml:space="preserve"> steroīdu profilu.</w:t>
      </w:r>
    </w:p>
  </w:footnote>
  <w:footnote w:id="13">
    <w:p w14:paraId="2E13F8D0" w14:textId="3DFE0CD2" w:rsidR="000C79F9" w:rsidRPr="0062026E" w:rsidRDefault="000C79F9" w:rsidP="0062026E">
      <w:pPr>
        <w:pStyle w:val="Heading2"/>
        <w:tabs>
          <w:tab w:val="left" w:pos="360"/>
        </w:tabs>
        <w:spacing w:before="0"/>
        <w:ind w:left="0"/>
        <w:jc w:val="both"/>
        <w:rPr>
          <w:rFonts w:cs="Times New Roman"/>
          <w:noProof/>
          <w:sz w:val="20"/>
          <w:szCs w:val="20"/>
        </w:rPr>
      </w:pPr>
      <w:r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</w:rPr>
        <w:t xml:space="preserve"> Turklāt pēc tam, kad </w:t>
      </w:r>
      <w:r>
        <w:rPr>
          <w:sz w:val="20"/>
          <w:u w:val="single" w:color="000000"/>
        </w:rPr>
        <w:t>laboratorija</w:t>
      </w:r>
      <w:r>
        <w:rPr>
          <w:sz w:val="20"/>
        </w:rPr>
        <w:t xml:space="preserve"> steroīdu profilu ir paziņojusi </w:t>
      </w:r>
      <w:r>
        <w:rPr>
          <w:i/>
          <w:sz w:val="20"/>
        </w:rPr>
        <w:t>ADAMS</w:t>
      </w:r>
      <w:r>
        <w:rPr>
          <w:sz w:val="20"/>
        </w:rPr>
        <w:t xml:space="preserve">, </w:t>
      </w:r>
      <w:r>
        <w:rPr>
          <w:i/>
          <w:iCs/>
          <w:sz w:val="20"/>
          <w:u w:val="single" w:color="000000"/>
        </w:rPr>
        <w:t>APMU</w:t>
      </w:r>
      <w:r>
        <w:rPr>
          <w:sz w:val="20"/>
        </w:rPr>
        <w:t xml:space="preserve"> pēc steroīdu profila datu izvērtēšanas var novērtēt </w:t>
      </w:r>
      <w:r>
        <w:rPr>
          <w:i/>
          <w:sz w:val="20"/>
        </w:rPr>
        <w:t>paraugu</w:t>
      </w:r>
      <w:r>
        <w:rPr>
          <w:sz w:val="20"/>
        </w:rPr>
        <w:t xml:space="preserve"> kā “nederīgu”, piemēram, ņemot vērā tādu vielu klātbūtni, kuras var izmainīt </w:t>
      </w:r>
      <w:r>
        <w:rPr>
          <w:i/>
          <w:sz w:val="20"/>
        </w:rPr>
        <w:t>parauga</w:t>
      </w:r>
      <w:r>
        <w:rPr>
          <w:sz w:val="20"/>
        </w:rPr>
        <w:t xml:space="preserve"> steroīdu profilu.</w:t>
      </w:r>
    </w:p>
  </w:footnote>
  <w:footnote w:id="14">
    <w:p w14:paraId="296FC116" w14:textId="61D911C7" w:rsidR="000C79F9" w:rsidRPr="0062026E" w:rsidRDefault="000C79F9" w:rsidP="0062026E">
      <w:pPr>
        <w:pStyle w:val="Heading2"/>
        <w:tabs>
          <w:tab w:val="left" w:pos="413"/>
        </w:tabs>
        <w:spacing w:before="0"/>
        <w:ind w:left="0"/>
        <w:jc w:val="both"/>
        <w:rPr>
          <w:noProof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Laboratorijai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sākotnējās pārbaudes procedūrā</w:t>
      </w:r>
      <w:r>
        <w:rPr>
          <w:sz w:val="20"/>
        </w:rPr>
        <w:t xml:space="preserve"> obligāti ir jāpārbauda vismaz etanola konjugētā(-o) </w:t>
      </w:r>
      <w:r>
        <w:rPr>
          <w:i/>
          <w:sz w:val="20"/>
        </w:rPr>
        <w:t>metabolīta(-u)</w:t>
      </w:r>
      <w:r>
        <w:rPr>
          <w:sz w:val="20"/>
        </w:rPr>
        <w:t xml:space="preserve"> [</w:t>
      </w:r>
      <w:r>
        <w:rPr>
          <w:i/>
          <w:sz w:val="20"/>
        </w:rPr>
        <w:t>piemēram</w:t>
      </w:r>
      <w:r>
        <w:rPr>
          <w:sz w:val="20"/>
        </w:rPr>
        <w:t>, etanola glikuronīda (</w:t>
      </w:r>
      <w:r>
        <w:rPr>
          <w:i/>
          <w:iCs/>
          <w:sz w:val="20"/>
        </w:rPr>
        <w:t>EtG</w:t>
      </w:r>
      <w:r>
        <w:rPr>
          <w:sz w:val="20"/>
        </w:rPr>
        <w:t xml:space="preserve">)], 5α-reduktāzes un ketokonazola inhibitoru klātbūtne un jāziņo, ja aprēķinātā </w:t>
      </w:r>
      <w:r>
        <w:rPr>
          <w:i/>
          <w:iCs/>
          <w:sz w:val="20"/>
        </w:rPr>
        <w:t>EtG</w:t>
      </w:r>
      <w:r>
        <w:rPr>
          <w:sz w:val="20"/>
        </w:rPr>
        <w:t xml:space="preserve"> ir augstāka par 5 μg/ml (par </w:t>
      </w:r>
      <w:r>
        <w:rPr>
          <w:sz w:val="20"/>
          <w:u w:val="single" w:color="000000"/>
        </w:rPr>
        <w:t>mērījuma nenoteiktību</w:t>
      </w:r>
      <w:r>
        <w:rPr>
          <w:sz w:val="20"/>
        </w:rPr>
        <w:t xml:space="preserve"> nav jāziņo).</w:t>
      </w:r>
    </w:p>
  </w:footnote>
  <w:footnote w:id="15">
    <w:p w14:paraId="00268298" w14:textId="07BCA0B3" w:rsidR="0062026E" w:rsidRPr="0062026E" w:rsidRDefault="0062026E" w:rsidP="0062026E">
      <w:pPr>
        <w:pStyle w:val="Heading2"/>
        <w:spacing w:before="0"/>
        <w:ind w:left="0"/>
        <w:jc w:val="both"/>
        <w:rPr>
          <w:noProof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</w:rPr>
        <w:t xml:space="preserve"> Attiecībā uz </w:t>
      </w:r>
      <w:r>
        <w:rPr>
          <w:i/>
          <w:iCs/>
          <w:sz w:val="20"/>
        </w:rPr>
        <w:t>T</w:t>
      </w:r>
      <w:r>
        <w:rPr>
          <w:sz w:val="20"/>
        </w:rPr>
        <w:t>/</w:t>
      </w:r>
      <w:r>
        <w:rPr>
          <w:i/>
          <w:iCs/>
          <w:sz w:val="20"/>
        </w:rPr>
        <w:t>E</w:t>
      </w:r>
      <w:r>
        <w:rPr>
          <w:sz w:val="20"/>
        </w:rPr>
        <w:t xml:space="preserve"> vērtībām ir jāapstiprina tikai </w:t>
      </w:r>
      <w:r>
        <w:rPr>
          <w:i/>
          <w:iCs/>
          <w:sz w:val="20"/>
        </w:rPr>
        <w:t>T</w:t>
      </w:r>
      <w:r>
        <w:rPr>
          <w:sz w:val="20"/>
        </w:rPr>
        <w:t xml:space="preserve">, ja </w:t>
      </w:r>
      <w:r>
        <w:rPr>
          <w:i/>
          <w:iCs/>
          <w:sz w:val="20"/>
        </w:rPr>
        <w:t>E</w:t>
      </w:r>
      <w:r>
        <w:rPr>
          <w:sz w:val="20"/>
        </w:rPr>
        <w:t xml:space="preserve"> koncentrācijas līmeņi vai </w:t>
      </w:r>
      <w:r>
        <w:rPr>
          <w:i/>
          <w:sz w:val="20"/>
        </w:rPr>
        <w:t>parauga</w:t>
      </w:r>
      <w:r>
        <w:rPr>
          <w:sz w:val="20"/>
        </w:rPr>
        <w:t xml:space="preserve"> tilpums nav pietiekami.</w:t>
      </w:r>
    </w:p>
  </w:footnote>
  <w:footnote w:id="16">
    <w:p w14:paraId="1CF3D16A" w14:textId="04A67F6E" w:rsidR="00BB6381" w:rsidRPr="00BB6381" w:rsidRDefault="00BB6381" w:rsidP="00BB6381">
      <w:pPr>
        <w:pStyle w:val="Heading2"/>
        <w:tabs>
          <w:tab w:val="left" w:pos="358"/>
        </w:tabs>
        <w:spacing w:before="0"/>
        <w:ind w:left="0"/>
        <w:jc w:val="both"/>
        <w:rPr>
          <w:noProof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</w:rPr>
        <w:t xml:space="preserve"> Ja to paredz </w:t>
      </w:r>
      <w:r>
        <w:rPr>
          <w:sz w:val="20"/>
          <w:u w:val="single" w:color="000000"/>
        </w:rPr>
        <w:t>laboratorijas</w:t>
      </w:r>
      <w:r>
        <w:rPr>
          <w:sz w:val="20"/>
        </w:rPr>
        <w:t xml:space="preserve"> un </w:t>
      </w:r>
      <w:r>
        <w:rPr>
          <w:sz w:val="20"/>
          <w:u w:val="single" w:color="000000"/>
        </w:rPr>
        <w:t>pārbaudes iestādes</w:t>
      </w:r>
      <w:r>
        <w:rPr>
          <w:sz w:val="20"/>
        </w:rPr>
        <w:t xml:space="preserve"> vienošanās.</w:t>
      </w:r>
    </w:p>
  </w:footnote>
  <w:footnote w:id="17">
    <w:p w14:paraId="53521C4D" w14:textId="77777777" w:rsidR="00BB6381" w:rsidRPr="00BB6381" w:rsidRDefault="00BB6381" w:rsidP="00BB6381">
      <w:pPr>
        <w:pStyle w:val="Heading2"/>
        <w:tabs>
          <w:tab w:val="left" w:pos="356"/>
        </w:tabs>
        <w:spacing w:before="0"/>
        <w:ind w:left="0"/>
        <w:jc w:val="both"/>
        <w:rPr>
          <w:noProof/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</w:rPr>
        <w:t xml:space="preserve"> Koncentrācijas vērtības pielīdzina atbilstīgi urīna </w:t>
      </w:r>
      <w:r>
        <w:rPr>
          <w:i/>
          <w:iCs/>
          <w:sz w:val="20"/>
        </w:rPr>
        <w:t>SG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 1,020, izmantojot šādu vienādojumu (brīvie un hidrolizētie glikurokonjugētie steroīdi):</w:t>
      </w:r>
    </w:p>
    <w:p w14:paraId="2414E683" w14:textId="22016C73" w:rsidR="00BB6381" w:rsidRPr="00BB6381" w:rsidRDefault="00BB6381" w:rsidP="00BB6381">
      <w:pPr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i/>
          <w:iCs/>
          <w:sz w:val="20"/>
        </w:rPr>
        <w:t>Conc</w:t>
      </w:r>
      <w:r>
        <w:rPr>
          <w:rFonts w:ascii="Times New Roman" w:hAnsi="Times New Roman"/>
          <w:b/>
          <w:i/>
          <w:iCs/>
          <w:sz w:val="20"/>
          <w:vertAlign w:val="subscript"/>
        </w:rPr>
        <w:t>corr</w:t>
      </w:r>
      <w:r>
        <w:rPr>
          <w:rFonts w:ascii="Times New Roman" w:hAnsi="Times New Roman"/>
          <w:b/>
          <w:sz w:val="20"/>
        </w:rPr>
        <w:t xml:space="preserve"> = </w:t>
      </w:r>
      <w:r>
        <w:rPr>
          <w:rFonts w:ascii="Times New Roman" w:hAnsi="Times New Roman"/>
          <w:b/>
          <w:i/>
          <w:iCs/>
          <w:sz w:val="20"/>
        </w:rPr>
        <w:t>Conc</w:t>
      </w:r>
      <w:r>
        <w:rPr>
          <w:rFonts w:ascii="Times New Roman" w:hAnsi="Times New Roman"/>
          <w:b/>
          <w:i/>
          <w:iCs/>
          <w:sz w:val="20"/>
          <w:vertAlign w:val="subscript"/>
        </w:rPr>
        <w:t>measured</w:t>
      </w:r>
      <w:r>
        <w:rPr>
          <w:rFonts w:ascii="Times New Roman" w:hAnsi="Times New Roman"/>
          <w:b/>
          <w:sz w:val="20"/>
        </w:rPr>
        <w:t xml:space="preserve"> * (1,020 – 1)/(</w:t>
      </w:r>
      <w:r>
        <w:rPr>
          <w:rFonts w:ascii="Times New Roman" w:hAnsi="Times New Roman"/>
          <w:b/>
          <w:i/>
          <w:iCs/>
          <w:sz w:val="20"/>
        </w:rPr>
        <w:t>SG</w:t>
      </w:r>
      <w:r>
        <w:rPr>
          <w:rFonts w:ascii="Times New Roman" w:hAnsi="Times New Roman"/>
          <w:b/>
          <w:sz w:val="20"/>
        </w:rPr>
        <w:t> – 1)</w:t>
      </w:r>
    </w:p>
  </w:footnote>
  <w:footnote w:id="18">
    <w:p w14:paraId="0A68B129" w14:textId="59698AF8" w:rsidR="00BB6381" w:rsidRPr="00BB6381" w:rsidRDefault="00BB6381" w:rsidP="00BB6381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Ja, pamatojoties uz “A”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analīzes rezultātiem, attiecībā uz steroīdu profila </w:t>
      </w:r>
      <w:r>
        <w:rPr>
          <w:rFonts w:ascii="Times New Roman" w:hAnsi="Times New Roman"/>
          <w:i/>
        </w:rPr>
        <w:t>marķieri(-iem)</w:t>
      </w:r>
      <w:r>
        <w:rPr>
          <w:rFonts w:ascii="Times New Roman" w:hAnsi="Times New Roman"/>
        </w:rPr>
        <w:t xml:space="preserve"> ir ziņots par </w:t>
      </w:r>
      <w:r>
        <w:rPr>
          <w:rFonts w:ascii="Times New Roman" w:hAnsi="Times New Roman"/>
          <w:i/>
        </w:rPr>
        <w:t>AAF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analīzi atkārto tikai “B”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 w:color="000000"/>
        </w:rPr>
        <w:t>apstiprināšanas procedūrā</w:t>
      </w:r>
      <w:r>
        <w:rPr>
          <w:rFonts w:ascii="Times New Roman" w:hAnsi="Times New Roman"/>
        </w:rPr>
        <w:t xml:space="preserve">, ja tādu piemēro. Skat. </w:t>
      </w:r>
      <w:r>
        <w:rPr>
          <w:rFonts w:ascii="Times New Roman" w:hAnsi="Times New Roman"/>
          <w:i/>
          <w:iCs/>
        </w:rPr>
        <w:t>TD IRMS</w:t>
      </w:r>
      <w:r>
        <w:rPr>
          <w:rFonts w:ascii="Times New Roman" w:hAnsi="Times New Roman"/>
        </w:rPr>
        <w:t xml:space="preserve"> [1].</w:t>
      </w:r>
    </w:p>
  </w:footnote>
  <w:footnote w:id="19">
    <w:p w14:paraId="2AA8ECB3" w14:textId="29C3D572" w:rsidR="00BB6381" w:rsidRPr="00BB6381" w:rsidRDefault="00BB6381" w:rsidP="00BB6381">
      <w:pPr>
        <w:tabs>
          <w:tab w:val="left" w:pos="387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/>
          <w:sz w:val="20"/>
        </w:rPr>
        <w:t xml:space="preserve"> Papildus </w:t>
      </w:r>
      <w:r>
        <w:rPr>
          <w:rFonts w:ascii="Times New Roman" w:hAnsi="Times New Roman"/>
          <w:i/>
          <w:iCs/>
          <w:sz w:val="20"/>
        </w:rPr>
        <w:t>5αAND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i/>
          <w:iCs/>
          <w:sz w:val="20"/>
        </w:rPr>
        <w:t>A</w:t>
      </w:r>
      <w:r>
        <w:rPr>
          <w:rFonts w:ascii="Times New Roman" w:hAnsi="Times New Roman"/>
          <w:sz w:val="20"/>
        </w:rPr>
        <w:t xml:space="preserve"> un </w:t>
      </w:r>
      <w:r>
        <w:rPr>
          <w:rFonts w:ascii="Times New Roman" w:hAnsi="Times New Roman"/>
          <w:i/>
          <w:iCs/>
          <w:sz w:val="20"/>
        </w:rPr>
        <w:t>5βAND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i/>
          <w:iCs/>
          <w:sz w:val="20"/>
        </w:rPr>
        <w:t>Etio</w:t>
      </w:r>
      <w:r>
        <w:rPr>
          <w:rFonts w:ascii="Times New Roman" w:hAnsi="Times New Roman"/>
          <w:sz w:val="20"/>
        </w:rPr>
        <w:t xml:space="preserve"> proporciju noteikšanai, kas apliecina mikrobioloģisko piesārņojumu, kā aprakstīts 2.2.1. punktā par </w:t>
      </w:r>
      <w:r>
        <w:rPr>
          <w:rFonts w:ascii="Times New Roman" w:hAnsi="Times New Roman"/>
          <w:sz w:val="20"/>
          <w:u w:val="single" w:color="000000"/>
        </w:rPr>
        <w:t>sākotnējās pārbaudes procedūru</w:t>
      </w:r>
      <w:r>
        <w:rPr>
          <w:rFonts w:ascii="Times New Roman" w:hAnsi="Times New Roman"/>
          <w:sz w:val="20"/>
        </w:rPr>
        <w:t xml:space="preserve">, </w:t>
      </w:r>
      <w:r>
        <w:rPr>
          <w:rFonts w:ascii="Times New Roman" w:hAnsi="Times New Roman"/>
          <w:sz w:val="20"/>
          <w:u w:val="single" w:color="000000"/>
        </w:rPr>
        <w:t>apstiprināšanas procedūrā</w:t>
      </w:r>
      <w:r>
        <w:rPr>
          <w:rFonts w:ascii="Times New Roman" w:hAnsi="Times New Roman"/>
          <w:sz w:val="20"/>
        </w:rPr>
        <w:t xml:space="preserve"> noteikta paaugstināta brīvā testosterona attiecība pret kopējo testosterona daudzumu (</w:t>
      </w:r>
      <w:r>
        <w:rPr>
          <w:rFonts w:ascii="Times New Roman" w:hAnsi="Times New Roman"/>
          <w:i/>
          <w:iCs/>
          <w:sz w:val="20"/>
        </w:rPr>
        <w:t>Tfree</w:t>
      </w:r>
      <w:r>
        <w:rPr>
          <w:rFonts w:ascii="Times New Roman" w:hAnsi="Times New Roman"/>
          <w:sz w:val="20"/>
        </w:rPr>
        <w:t xml:space="preserve"> / </w:t>
      </w:r>
      <w:r>
        <w:rPr>
          <w:rFonts w:ascii="Times New Roman" w:hAnsi="Times New Roman"/>
          <w:i/>
          <w:iCs/>
          <w:sz w:val="20"/>
        </w:rPr>
        <w:t>Ttotal</w:t>
      </w:r>
      <w:r>
        <w:rPr>
          <w:rFonts w:ascii="Times New Roman" w:hAnsi="Times New Roman"/>
          <w:sz w:val="20"/>
        </w:rPr>
        <w:t xml:space="preserve"> &gt; 0,05) arī padarīs nederīgu </w:t>
      </w:r>
      <w:r>
        <w:rPr>
          <w:rFonts w:ascii="Times New Roman" w:hAnsi="Times New Roman"/>
          <w:i/>
          <w:iCs/>
          <w:sz w:val="20"/>
        </w:rPr>
        <w:t>paraugu</w:t>
      </w:r>
      <w:r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i/>
          <w:iCs/>
          <w:sz w:val="20"/>
        </w:rPr>
        <w:t>parauga</w:t>
      </w:r>
      <w:r>
        <w:rPr>
          <w:rFonts w:ascii="Times New Roman" w:hAnsi="Times New Roman"/>
          <w:sz w:val="20"/>
        </w:rPr>
        <w:t xml:space="preserve"> steroīdu profilu).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2DD55" w14:textId="77777777" w:rsidR="00DE65EF" w:rsidRPr="00DE65EF" w:rsidRDefault="00DE65EF" w:rsidP="00DE65EF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0F11FE97" w14:textId="5C71FC04" w:rsidR="00DE65EF" w:rsidRPr="00DE65EF" w:rsidRDefault="00DE65EF" w:rsidP="00DE65EF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DE65EF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4060B24F" w14:textId="77777777" w:rsidR="00DE65EF" w:rsidRPr="00DE65EF" w:rsidRDefault="00DE65EF" w:rsidP="00DE65E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BA68" w14:textId="77777777" w:rsidR="00DE65EF" w:rsidRPr="00DE65EF" w:rsidRDefault="00DE65EF" w:rsidP="00DE65EF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3E61FA0E" w14:textId="77777777" w:rsidR="00DE65EF" w:rsidRPr="00DE65EF" w:rsidRDefault="00DE65EF" w:rsidP="00DE65EF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3099"/>
    <w:multiLevelType w:val="hybridMultilevel"/>
    <w:tmpl w:val="454E3AFA"/>
    <w:lvl w:ilvl="0" w:tplc="F39C4CDC">
      <w:start w:val="1"/>
      <w:numFmt w:val="bullet"/>
      <w:lvlText w:val=""/>
      <w:lvlJc w:val="left"/>
      <w:pPr>
        <w:ind w:left="832" w:hanging="356"/>
      </w:pPr>
      <w:rPr>
        <w:rFonts w:ascii="Symbol" w:eastAsia="Symbol" w:hAnsi="Symbol" w:hint="default"/>
        <w:sz w:val="24"/>
        <w:szCs w:val="24"/>
      </w:rPr>
    </w:lvl>
    <w:lvl w:ilvl="1" w:tplc="0D442D14">
      <w:start w:val="1"/>
      <w:numFmt w:val="bullet"/>
      <w:lvlText w:val="•"/>
      <w:lvlJc w:val="left"/>
      <w:pPr>
        <w:ind w:left="1641" w:hanging="356"/>
      </w:pPr>
      <w:rPr>
        <w:rFonts w:hint="default"/>
      </w:rPr>
    </w:lvl>
    <w:lvl w:ilvl="2" w:tplc="E850DAEE">
      <w:start w:val="1"/>
      <w:numFmt w:val="bullet"/>
      <w:lvlText w:val="•"/>
      <w:lvlJc w:val="left"/>
      <w:pPr>
        <w:ind w:left="2450" w:hanging="356"/>
      </w:pPr>
      <w:rPr>
        <w:rFonts w:hint="default"/>
      </w:rPr>
    </w:lvl>
    <w:lvl w:ilvl="3" w:tplc="782A625E">
      <w:start w:val="1"/>
      <w:numFmt w:val="bullet"/>
      <w:lvlText w:val="•"/>
      <w:lvlJc w:val="left"/>
      <w:pPr>
        <w:ind w:left="3258" w:hanging="356"/>
      </w:pPr>
      <w:rPr>
        <w:rFonts w:hint="default"/>
      </w:rPr>
    </w:lvl>
    <w:lvl w:ilvl="4" w:tplc="0510B91E">
      <w:start w:val="1"/>
      <w:numFmt w:val="bullet"/>
      <w:lvlText w:val="•"/>
      <w:lvlJc w:val="left"/>
      <w:pPr>
        <w:ind w:left="4067" w:hanging="356"/>
      </w:pPr>
      <w:rPr>
        <w:rFonts w:hint="default"/>
      </w:rPr>
    </w:lvl>
    <w:lvl w:ilvl="5" w:tplc="6C44CED8">
      <w:start w:val="1"/>
      <w:numFmt w:val="bullet"/>
      <w:lvlText w:val="•"/>
      <w:lvlJc w:val="left"/>
      <w:pPr>
        <w:ind w:left="4876" w:hanging="356"/>
      </w:pPr>
      <w:rPr>
        <w:rFonts w:hint="default"/>
      </w:rPr>
    </w:lvl>
    <w:lvl w:ilvl="6" w:tplc="D172AAAA">
      <w:start w:val="1"/>
      <w:numFmt w:val="bullet"/>
      <w:lvlText w:val="•"/>
      <w:lvlJc w:val="left"/>
      <w:pPr>
        <w:ind w:left="5685" w:hanging="356"/>
      </w:pPr>
      <w:rPr>
        <w:rFonts w:hint="default"/>
      </w:rPr>
    </w:lvl>
    <w:lvl w:ilvl="7" w:tplc="B608CEDC">
      <w:start w:val="1"/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742084A0">
      <w:start w:val="1"/>
      <w:numFmt w:val="bullet"/>
      <w:lvlText w:val="•"/>
      <w:lvlJc w:val="left"/>
      <w:pPr>
        <w:ind w:left="7302" w:hanging="356"/>
      </w:pPr>
      <w:rPr>
        <w:rFonts w:hint="default"/>
      </w:rPr>
    </w:lvl>
  </w:abstractNum>
  <w:abstractNum w:abstractNumId="1" w15:restartNumberingAfterBreak="0">
    <w:nsid w:val="1A5322FA"/>
    <w:multiLevelType w:val="hybridMultilevel"/>
    <w:tmpl w:val="037292D8"/>
    <w:lvl w:ilvl="0" w:tplc="DC8A36C8">
      <w:start w:val="1"/>
      <w:numFmt w:val="decimal"/>
      <w:lvlText w:val="%1)"/>
      <w:lvlJc w:val="left"/>
      <w:pPr>
        <w:ind w:left="479" w:hanging="358"/>
      </w:pPr>
      <w:rPr>
        <w:rFonts w:ascii="Verdana" w:eastAsia="Verdana" w:hAnsi="Verdana" w:hint="default"/>
        <w:spacing w:val="-2"/>
        <w:sz w:val="22"/>
        <w:szCs w:val="22"/>
      </w:rPr>
    </w:lvl>
    <w:lvl w:ilvl="1" w:tplc="1D62B296">
      <w:start w:val="1"/>
      <w:numFmt w:val="bullet"/>
      <w:lvlText w:val="o"/>
      <w:lvlJc w:val="left"/>
      <w:pPr>
        <w:ind w:left="1286" w:hanging="361"/>
      </w:pPr>
      <w:rPr>
        <w:rFonts w:ascii="Courier New" w:eastAsia="Courier New" w:hAnsi="Courier New" w:hint="default"/>
        <w:sz w:val="22"/>
        <w:szCs w:val="22"/>
      </w:rPr>
    </w:lvl>
    <w:lvl w:ilvl="2" w:tplc="990CCA0E">
      <w:start w:val="1"/>
      <w:numFmt w:val="bullet"/>
      <w:lvlText w:val="•"/>
      <w:lvlJc w:val="left"/>
      <w:pPr>
        <w:ind w:left="2134" w:hanging="361"/>
      </w:pPr>
      <w:rPr>
        <w:rFonts w:hint="default"/>
      </w:rPr>
    </w:lvl>
    <w:lvl w:ilvl="3" w:tplc="2D520ABC">
      <w:start w:val="1"/>
      <w:numFmt w:val="bullet"/>
      <w:lvlText w:val="•"/>
      <w:lvlJc w:val="left"/>
      <w:pPr>
        <w:ind w:left="2983" w:hanging="361"/>
      </w:pPr>
      <w:rPr>
        <w:rFonts w:hint="default"/>
      </w:rPr>
    </w:lvl>
    <w:lvl w:ilvl="4" w:tplc="366AF11A">
      <w:start w:val="1"/>
      <w:numFmt w:val="bullet"/>
      <w:lvlText w:val="•"/>
      <w:lvlJc w:val="left"/>
      <w:pPr>
        <w:ind w:left="3831" w:hanging="361"/>
      </w:pPr>
      <w:rPr>
        <w:rFonts w:hint="default"/>
      </w:rPr>
    </w:lvl>
    <w:lvl w:ilvl="5" w:tplc="2CE00EF8">
      <w:start w:val="1"/>
      <w:numFmt w:val="bullet"/>
      <w:lvlText w:val="•"/>
      <w:lvlJc w:val="left"/>
      <w:pPr>
        <w:ind w:left="4679" w:hanging="361"/>
      </w:pPr>
      <w:rPr>
        <w:rFonts w:hint="default"/>
      </w:rPr>
    </w:lvl>
    <w:lvl w:ilvl="6" w:tplc="C3620FD6">
      <w:start w:val="1"/>
      <w:numFmt w:val="bullet"/>
      <w:lvlText w:val="•"/>
      <w:lvlJc w:val="left"/>
      <w:pPr>
        <w:ind w:left="5527" w:hanging="361"/>
      </w:pPr>
      <w:rPr>
        <w:rFonts w:hint="default"/>
      </w:rPr>
    </w:lvl>
    <w:lvl w:ilvl="7" w:tplc="0A2A5DD6">
      <w:start w:val="1"/>
      <w:numFmt w:val="bullet"/>
      <w:lvlText w:val="•"/>
      <w:lvlJc w:val="left"/>
      <w:pPr>
        <w:ind w:left="6375" w:hanging="361"/>
      </w:pPr>
      <w:rPr>
        <w:rFonts w:hint="default"/>
      </w:rPr>
    </w:lvl>
    <w:lvl w:ilvl="8" w:tplc="68723F08">
      <w:start w:val="1"/>
      <w:numFmt w:val="bullet"/>
      <w:lvlText w:val="•"/>
      <w:lvlJc w:val="left"/>
      <w:pPr>
        <w:ind w:left="7223" w:hanging="361"/>
      </w:pPr>
      <w:rPr>
        <w:rFonts w:hint="default"/>
      </w:rPr>
    </w:lvl>
  </w:abstractNum>
  <w:abstractNum w:abstractNumId="2" w15:restartNumberingAfterBreak="0">
    <w:nsid w:val="1AC64CC3"/>
    <w:multiLevelType w:val="hybridMultilevel"/>
    <w:tmpl w:val="22C2AF4C"/>
    <w:lvl w:ilvl="0" w:tplc="9F4E1220">
      <w:start w:val="1"/>
      <w:numFmt w:val="lowerRoman"/>
      <w:lvlText w:val="%1."/>
      <w:lvlJc w:val="left"/>
      <w:pPr>
        <w:ind w:left="1380" w:hanging="322"/>
      </w:pPr>
      <w:rPr>
        <w:rFonts w:ascii="Verdana" w:eastAsia="Verdana" w:hAnsi="Verdana" w:hint="default"/>
        <w:spacing w:val="-1"/>
        <w:sz w:val="22"/>
        <w:szCs w:val="22"/>
      </w:rPr>
    </w:lvl>
    <w:lvl w:ilvl="1" w:tplc="9DA4159E">
      <w:start w:val="1"/>
      <w:numFmt w:val="bullet"/>
      <w:lvlText w:val="•"/>
      <w:lvlJc w:val="left"/>
      <w:pPr>
        <w:ind w:left="2134" w:hanging="322"/>
      </w:pPr>
      <w:rPr>
        <w:rFonts w:hint="default"/>
      </w:rPr>
    </w:lvl>
    <w:lvl w:ilvl="2" w:tplc="D31C7070">
      <w:start w:val="1"/>
      <w:numFmt w:val="bullet"/>
      <w:lvlText w:val="•"/>
      <w:lvlJc w:val="left"/>
      <w:pPr>
        <w:ind w:left="2888" w:hanging="322"/>
      </w:pPr>
      <w:rPr>
        <w:rFonts w:hint="default"/>
      </w:rPr>
    </w:lvl>
    <w:lvl w:ilvl="3" w:tplc="EF02C62A">
      <w:start w:val="1"/>
      <w:numFmt w:val="bullet"/>
      <w:lvlText w:val="•"/>
      <w:lvlJc w:val="left"/>
      <w:pPr>
        <w:ind w:left="3642" w:hanging="322"/>
      </w:pPr>
      <w:rPr>
        <w:rFonts w:hint="default"/>
      </w:rPr>
    </w:lvl>
    <w:lvl w:ilvl="4" w:tplc="E4AC27D8">
      <w:start w:val="1"/>
      <w:numFmt w:val="bullet"/>
      <w:lvlText w:val="•"/>
      <w:lvlJc w:val="left"/>
      <w:pPr>
        <w:ind w:left="4396" w:hanging="322"/>
      </w:pPr>
      <w:rPr>
        <w:rFonts w:hint="default"/>
      </w:rPr>
    </w:lvl>
    <w:lvl w:ilvl="5" w:tplc="011ABB70">
      <w:start w:val="1"/>
      <w:numFmt w:val="bullet"/>
      <w:lvlText w:val="•"/>
      <w:lvlJc w:val="left"/>
      <w:pPr>
        <w:ind w:left="5150" w:hanging="322"/>
      </w:pPr>
      <w:rPr>
        <w:rFonts w:hint="default"/>
      </w:rPr>
    </w:lvl>
    <w:lvl w:ilvl="6" w:tplc="376235E2">
      <w:start w:val="1"/>
      <w:numFmt w:val="bullet"/>
      <w:lvlText w:val="•"/>
      <w:lvlJc w:val="left"/>
      <w:pPr>
        <w:ind w:left="5904" w:hanging="322"/>
      </w:pPr>
      <w:rPr>
        <w:rFonts w:hint="default"/>
      </w:rPr>
    </w:lvl>
    <w:lvl w:ilvl="7" w:tplc="AAC836A0">
      <w:start w:val="1"/>
      <w:numFmt w:val="bullet"/>
      <w:lvlText w:val="•"/>
      <w:lvlJc w:val="left"/>
      <w:pPr>
        <w:ind w:left="6658" w:hanging="322"/>
      </w:pPr>
      <w:rPr>
        <w:rFonts w:hint="default"/>
      </w:rPr>
    </w:lvl>
    <w:lvl w:ilvl="8" w:tplc="10760544">
      <w:start w:val="1"/>
      <w:numFmt w:val="bullet"/>
      <w:lvlText w:val="•"/>
      <w:lvlJc w:val="left"/>
      <w:pPr>
        <w:ind w:left="7412" w:hanging="322"/>
      </w:pPr>
      <w:rPr>
        <w:rFonts w:hint="default"/>
      </w:rPr>
    </w:lvl>
  </w:abstractNum>
  <w:abstractNum w:abstractNumId="3" w15:restartNumberingAfterBreak="0">
    <w:nsid w:val="1F23446A"/>
    <w:multiLevelType w:val="hybridMultilevel"/>
    <w:tmpl w:val="CFA0ABAC"/>
    <w:lvl w:ilvl="0" w:tplc="85C45522">
      <w:start w:val="1"/>
      <w:numFmt w:val="lowerLetter"/>
      <w:lvlText w:val="%1)"/>
      <w:lvlJc w:val="left"/>
      <w:pPr>
        <w:ind w:left="119" w:hanging="435"/>
      </w:pPr>
      <w:rPr>
        <w:rFonts w:ascii="Verdana" w:eastAsia="Verdana" w:hAnsi="Verdana" w:hint="default"/>
        <w:spacing w:val="-1"/>
        <w:sz w:val="22"/>
        <w:szCs w:val="22"/>
      </w:rPr>
    </w:lvl>
    <w:lvl w:ilvl="1" w:tplc="5ED0BD94">
      <w:start w:val="1"/>
      <w:numFmt w:val="bullet"/>
      <w:lvlText w:val="o"/>
      <w:lvlJc w:val="left"/>
      <w:pPr>
        <w:ind w:left="1113" w:hanging="274"/>
      </w:pPr>
      <w:rPr>
        <w:rFonts w:ascii="Courier New" w:eastAsia="Courier New" w:hAnsi="Courier New" w:hint="default"/>
        <w:sz w:val="22"/>
        <w:szCs w:val="22"/>
      </w:rPr>
    </w:lvl>
    <w:lvl w:ilvl="2" w:tplc="8CB23344">
      <w:start w:val="1"/>
      <w:numFmt w:val="bullet"/>
      <w:lvlText w:val="•"/>
      <w:lvlJc w:val="left"/>
      <w:pPr>
        <w:ind w:left="1980" w:hanging="274"/>
      </w:pPr>
      <w:rPr>
        <w:rFonts w:hint="default"/>
      </w:rPr>
    </w:lvl>
    <w:lvl w:ilvl="3" w:tplc="0180FB54">
      <w:start w:val="1"/>
      <w:numFmt w:val="bullet"/>
      <w:lvlText w:val="•"/>
      <w:lvlJc w:val="left"/>
      <w:pPr>
        <w:ind w:left="2848" w:hanging="274"/>
      </w:pPr>
      <w:rPr>
        <w:rFonts w:hint="default"/>
      </w:rPr>
    </w:lvl>
    <w:lvl w:ilvl="4" w:tplc="88000D60">
      <w:start w:val="1"/>
      <w:numFmt w:val="bullet"/>
      <w:lvlText w:val="•"/>
      <w:lvlJc w:val="left"/>
      <w:pPr>
        <w:ind w:left="3715" w:hanging="274"/>
      </w:pPr>
      <w:rPr>
        <w:rFonts w:hint="default"/>
      </w:rPr>
    </w:lvl>
    <w:lvl w:ilvl="5" w:tplc="64CAFC9C">
      <w:start w:val="1"/>
      <w:numFmt w:val="bullet"/>
      <w:lvlText w:val="•"/>
      <w:lvlJc w:val="left"/>
      <w:pPr>
        <w:ind w:left="4583" w:hanging="274"/>
      </w:pPr>
      <w:rPr>
        <w:rFonts w:hint="default"/>
      </w:rPr>
    </w:lvl>
    <w:lvl w:ilvl="6" w:tplc="AB04242E">
      <w:start w:val="1"/>
      <w:numFmt w:val="bullet"/>
      <w:lvlText w:val="•"/>
      <w:lvlJc w:val="left"/>
      <w:pPr>
        <w:ind w:left="5450" w:hanging="274"/>
      </w:pPr>
      <w:rPr>
        <w:rFonts w:hint="default"/>
      </w:rPr>
    </w:lvl>
    <w:lvl w:ilvl="7" w:tplc="73D64E62">
      <w:start w:val="1"/>
      <w:numFmt w:val="bullet"/>
      <w:lvlText w:val="•"/>
      <w:lvlJc w:val="left"/>
      <w:pPr>
        <w:ind w:left="6317" w:hanging="274"/>
      </w:pPr>
      <w:rPr>
        <w:rFonts w:hint="default"/>
      </w:rPr>
    </w:lvl>
    <w:lvl w:ilvl="8" w:tplc="6CCAF026">
      <w:start w:val="1"/>
      <w:numFmt w:val="bullet"/>
      <w:lvlText w:val="•"/>
      <w:lvlJc w:val="left"/>
      <w:pPr>
        <w:ind w:left="7185" w:hanging="274"/>
      </w:pPr>
      <w:rPr>
        <w:rFonts w:hint="default"/>
      </w:rPr>
    </w:lvl>
  </w:abstractNum>
  <w:abstractNum w:abstractNumId="4" w15:restartNumberingAfterBreak="0">
    <w:nsid w:val="229E3D78"/>
    <w:multiLevelType w:val="hybridMultilevel"/>
    <w:tmpl w:val="CC66F4CC"/>
    <w:lvl w:ilvl="0" w:tplc="EA986E84">
      <w:start w:val="18"/>
      <w:numFmt w:val="decimal"/>
      <w:lvlText w:val="%1"/>
      <w:lvlJc w:val="left"/>
      <w:pPr>
        <w:ind w:left="120" w:hanging="245"/>
      </w:pPr>
      <w:rPr>
        <w:rFonts w:ascii="Times New Roman" w:eastAsia="Times New Roman" w:hAnsi="Times New Roman" w:hint="default"/>
        <w:spacing w:val="1"/>
        <w:position w:val="10"/>
        <w:sz w:val="18"/>
        <w:szCs w:val="18"/>
      </w:rPr>
    </w:lvl>
    <w:lvl w:ilvl="1" w:tplc="4562522A">
      <w:start w:val="1"/>
      <w:numFmt w:val="bullet"/>
      <w:lvlText w:val="•"/>
      <w:lvlJc w:val="left"/>
      <w:pPr>
        <w:ind w:left="1000" w:hanging="245"/>
      </w:pPr>
      <w:rPr>
        <w:rFonts w:hint="default"/>
      </w:rPr>
    </w:lvl>
    <w:lvl w:ilvl="2" w:tplc="93C8FFBC">
      <w:start w:val="1"/>
      <w:numFmt w:val="bullet"/>
      <w:lvlText w:val="•"/>
      <w:lvlJc w:val="left"/>
      <w:pPr>
        <w:ind w:left="1880" w:hanging="245"/>
      </w:pPr>
      <w:rPr>
        <w:rFonts w:hint="default"/>
      </w:rPr>
    </w:lvl>
    <w:lvl w:ilvl="3" w:tplc="52482116">
      <w:start w:val="1"/>
      <w:numFmt w:val="bullet"/>
      <w:lvlText w:val="•"/>
      <w:lvlJc w:val="left"/>
      <w:pPr>
        <w:ind w:left="2760" w:hanging="245"/>
      </w:pPr>
      <w:rPr>
        <w:rFonts w:hint="default"/>
      </w:rPr>
    </w:lvl>
    <w:lvl w:ilvl="4" w:tplc="B03094A4">
      <w:start w:val="1"/>
      <w:numFmt w:val="bullet"/>
      <w:lvlText w:val="•"/>
      <w:lvlJc w:val="left"/>
      <w:pPr>
        <w:ind w:left="3640" w:hanging="245"/>
      </w:pPr>
      <w:rPr>
        <w:rFonts w:hint="default"/>
      </w:rPr>
    </w:lvl>
    <w:lvl w:ilvl="5" w:tplc="C40C8D2E">
      <w:start w:val="1"/>
      <w:numFmt w:val="bullet"/>
      <w:lvlText w:val="•"/>
      <w:lvlJc w:val="left"/>
      <w:pPr>
        <w:ind w:left="4520" w:hanging="245"/>
      </w:pPr>
      <w:rPr>
        <w:rFonts w:hint="default"/>
      </w:rPr>
    </w:lvl>
    <w:lvl w:ilvl="6" w:tplc="93EA043E">
      <w:start w:val="1"/>
      <w:numFmt w:val="bullet"/>
      <w:lvlText w:val="•"/>
      <w:lvlJc w:val="left"/>
      <w:pPr>
        <w:ind w:left="5400" w:hanging="245"/>
      </w:pPr>
      <w:rPr>
        <w:rFonts w:hint="default"/>
      </w:rPr>
    </w:lvl>
    <w:lvl w:ilvl="7" w:tplc="42007EA4">
      <w:start w:val="1"/>
      <w:numFmt w:val="bullet"/>
      <w:lvlText w:val="•"/>
      <w:lvlJc w:val="left"/>
      <w:pPr>
        <w:ind w:left="6280" w:hanging="245"/>
      </w:pPr>
      <w:rPr>
        <w:rFonts w:hint="default"/>
      </w:rPr>
    </w:lvl>
    <w:lvl w:ilvl="8" w:tplc="FFF05644">
      <w:start w:val="1"/>
      <w:numFmt w:val="bullet"/>
      <w:lvlText w:val="•"/>
      <w:lvlJc w:val="left"/>
      <w:pPr>
        <w:ind w:left="7160" w:hanging="245"/>
      </w:pPr>
      <w:rPr>
        <w:rFonts w:hint="default"/>
      </w:rPr>
    </w:lvl>
  </w:abstractNum>
  <w:abstractNum w:abstractNumId="5" w15:restartNumberingAfterBreak="0">
    <w:nsid w:val="317921EE"/>
    <w:multiLevelType w:val="hybridMultilevel"/>
    <w:tmpl w:val="D7242136"/>
    <w:lvl w:ilvl="0" w:tplc="98D6D3D2">
      <w:start w:val="1"/>
      <w:numFmt w:val="lowerRoman"/>
      <w:lvlText w:val="%1."/>
      <w:lvlJc w:val="left"/>
      <w:pPr>
        <w:ind w:left="1359" w:hanging="411"/>
        <w:jc w:val="right"/>
      </w:pPr>
      <w:rPr>
        <w:rFonts w:ascii="Verdana" w:eastAsia="Verdana" w:hAnsi="Verdana" w:hint="default"/>
        <w:spacing w:val="-1"/>
        <w:sz w:val="22"/>
        <w:szCs w:val="22"/>
      </w:rPr>
    </w:lvl>
    <w:lvl w:ilvl="1" w:tplc="A1D62826">
      <w:start w:val="1"/>
      <w:numFmt w:val="bullet"/>
      <w:lvlText w:val="•"/>
      <w:lvlJc w:val="left"/>
      <w:pPr>
        <w:ind w:left="2113" w:hanging="411"/>
      </w:pPr>
      <w:rPr>
        <w:rFonts w:hint="default"/>
      </w:rPr>
    </w:lvl>
    <w:lvl w:ilvl="2" w:tplc="AA92290E">
      <w:start w:val="1"/>
      <w:numFmt w:val="bullet"/>
      <w:lvlText w:val="•"/>
      <w:lvlJc w:val="left"/>
      <w:pPr>
        <w:ind w:left="2867" w:hanging="411"/>
      </w:pPr>
      <w:rPr>
        <w:rFonts w:hint="default"/>
      </w:rPr>
    </w:lvl>
    <w:lvl w:ilvl="3" w:tplc="4C745984">
      <w:start w:val="1"/>
      <w:numFmt w:val="bullet"/>
      <w:lvlText w:val="•"/>
      <w:lvlJc w:val="left"/>
      <w:pPr>
        <w:ind w:left="3621" w:hanging="411"/>
      </w:pPr>
      <w:rPr>
        <w:rFonts w:hint="default"/>
      </w:rPr>
    </w:lvl>
    <w:lvl w:ilvl="4" w:tplc="7FC418D6">
      <w:start w:val="1"/>
      <w:numFmt w:val="bullet"/>
      <w:lvlText w:val="•"/>
      <w:lvlJc w:val="left"/>
      <w:pPr>
        <w:ind w:left="4375" w:hanging="411"/>
      </w:pPr>
      <w:rPr>
        <w:rFonts w:hint="default"/>
      </w:rPr>
    </w:lvl>
    <w:lvl w:ilvl="5" w:tplc="51F0C01A">
      <w:start w:val="1"/>
      <w:numFmt w:val="bullet"/>
      <w:lvlText w:val="•"/>
      <w:lvlJc w:val="left"/>
      <w:pPr>
        <w:ind w:left="5129" w:hanging="411"/>
      </w:pPr>
      <w:rPr>
        <w:rFonts w:hint="default"/>
      </w:rPr>
    </w:lvl>
    <w:lvl w:ilvl="6" w:tplc="3BB4C56A">
      <w:start w:val="1"/>
      <w:numFmt w:val="bullet"/>
      <w:lvlText w:val="•"/>
      <w:lvlJc w:val="left"/>
      <w:pPr>
        <w:ind w:left="5883" w:hanging="411"/>
      </w:pPr>
      <w:rPr>
        <w:rFonts w:hint="default"/>
      </w:rPr>
    </w:lvl>
    <w:lvl w:ilvl="7" w:tplc="04AA3968">
      <w:start w:val="1"/>
      <w:numFmt w:val="bullet"/>
      <w:lvlText w:val="•"/>
      <w:lvlJc w:val="left"/>
      <w:pPr>
        <w:ind w:left="6637" w:hanging="411"/>
      </w:pPr>
      <w:rPr>
        <w:rFonts w:hint="default"/>
      </w:rPr>
    </w:lvl>
    <w:lvl w:ilvl="8" w:tplc="9FC6F192">
      <w:start w:val="1"/>
      <w:numFmt w:val="bullet"/>
      <w:lvlText w:val="•"/>
      <w:lvlJc w:val="left"/>
      <w:pPr>
        <w:ind w:left="7391" w:hanging="411"/>
      </w:pPr>
      <w:rPr>
        <w:rFonts w:hint="default"/>
      </w:rPr>
    </w:lvl>
  </w:abstractNum>
  <w:abstractNum w:abstractNumId="6" w15:restartNumberingAfterBreak="0">
    <w:nsid w:val="3C217D30"/>
    <w:multiLevelType w:val="hybridMultilevel"/>
    <w:tmpl w:val="DB4C904E"/>
    <w:lvl w:ilvl="0" w:tplc="A1B04CC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AC163F06">
      <w:start w:val="1"/>
      <w:numFmt w:val="bullet"/>
      <w:lvlText w:val="•"/>
      <w:lvlJc w:val="left"/>
      <w:pPr>
        <w:ind w:left="1648" w:hanging="361"/>
      </w:pPr>
      <w:rPr>
        <w:rFonts w:hint="default"/>
      </w:rPr>
    </w:lvl>
    <w:lvl w:ilvl="2" w:tplc="451466A2">
      <w:start w:val="1"/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DEF03240">
      <w:start w:val="1"/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462208A4">
      <w:start w:val="1"/>
      <w:numFmt w:val="bullet"/>
      <w:lvlText w:val="•"/>
      <w:lvlJc w:val="left"/>
      <w:pPr>
        <w:ind w:left="4072" w:hanging="361"/>
      </w:pPr>
      <w:rPr>
        <w:rFonts w:hint="default"/>
      </w:rPr>
    </w:lvl>
    <w:lvl w:ilvl="5" w:tplc="D522FEC4">
      <w:start w:val="1"/>
      <w:numFmt w:val="bullet"/>
      <w:lvlText w:val="•"/>
      <w:lvlJc w:val="left"/>
      <w:pPr>
        <w:ind w:left="4880" w:hanging="361"/>
      </w:pPr>
      <w:rPr>
        <w:rFonts w:hint="default"/>
      </w:rPr>
    </w:lvl>
    <w:lvl w:ilvl="6" w:tplc="4F4A2C0A">
      <w:start w:val="1"/>
      <w:numFmt w:val="bullet"/>
      <w:lvlText w:val="•"/>
      <w:lvlJc w:val="left"/>
      <w:pPr>
        <w:ind w:left="5688" w:hanging="361"/>
      </w:pPr>
      <w:rPr>
        <w:rFonts w:hint="default"/>
      </w:rPr>
    </w:lvl>
    <w:lvl w:ilvl="7" w:tplc="D7C07FF4">
      <w:start w:val="1"/>
      <w:numFmt w:val="bullet"/>
      <w:lvlText w:val="•"/>
      <w:lvlJc w:val="left"/>
      <w:pPr>
        <w:ind w:left="6496" w:hanging="361"/>
      </w:pPr>
      <w:rPr>
        <w:rFonts w:hint="default"/>
      </w:rPr>
    </w:lvl>
    <w:lvl w:ilvl="8" w:tplc="1DEEAC9E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</w:abstractNum>
  <w:abstractNum w:abstractNumId="7" w15:restartNumberingAfterBreak="0">
    <w:nsid w:val="3D397EC8"/>
    <w:multiLevelType w:val="hybridMultilevel"/>
    <w:tmpl w:val="2E12C27A"/>
    <w:lvl w:ilvl="0" w:tplc="5C98A078">
      <w:start w:val="5"/>
      <w:numFmt w:val="decimal"/>
      <w:lvlText w:val="%1"/>
      <w:lvlJc w:val="left"/>
      <w:pPr>
        <w:ind w:left="120" w:hanging="152"/>
      </w:pPr>
      <w:rPr>
        <w:rFonts w:ascii="Times New Roman" w:eastAsia="Times New Roman" w:hAnsi="Times New Roman" w:hint="default"/>
        <w:position w:val="10"/>
        <w:sz w:val="18"/>
        <w:szCs w:val="18"/>
      </w:rPr>
    </w:lvl>
    <w:lvl w:ilvl="1" w:tplc="8DF09C80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2" w:tplc="6666D9F6">
      <w:start w:val="1"/>
      <w:numFmt w:val="bullet"/>
      <w:lvlText w:val="o"/>
      <w:lvlJc w:val="left"/>
      <w:pPr>
        <w:ind w:left="1093" w:hanging="274"/>
      </w:pPr>
      <w:rPr>
        <w:rFonts w:ascii="Courier New" w:eastAsia="Courier New" w:hAnsi="Courier New" w:hint="default"/>
        <w:sz w:val="22"/>
        <w:szCs w:val="22"/>
      </w:rPr>
    </w:lvl>
    <w:lvl w:ilvl="3" w:tplc="657845BA">
      <w:start w:val="1"/>
      <w:numFmt w:val="bullet"/>
      <w:lvlText w:val="•"/>
      <w:lvlJc w:val="left"/>
      <w:pPr>
        <w:ind w:left="1093" w:hanging="274"/>
      </w:pPr>
      <w:rPr>
        <w:rFonts w:hint="default"/>
      </w:rPr>
    </w:lvl>
    <w:lvl w:ilvl="4" w:tplc="66BA6CF4">
      <w:start w:val="1"/>
      <w:numFmt w:val="bullet"/>
      <w:lvlText w:val="•"/>
      <w:lvlJc w:val="left"/>
      <w:pPr>
        <w:ind w:left="2208" w:hanging="274"/>
      </w:pPr>
      <w:rPr>
        <w:rFonts w:hint="default"/>
      </w:rPr>
    </w:lvl>
    <w:lvl w:ilvl="5" w:tplc="34E489DE">
      <w:start w:val="1"/>
      <w:numFmt w:val="bullet"/>
      <w:lvlText w:val="•"/>
      <w:lvlJc w:val="left"/>
      <w:pPr>
        <w:ind w:left="3323" w:hanging="274"/>
      </w:pPr>
      <w:rPr>
        <w:rFonts w:hint="default"/>
      </w:rPr>
    </w:lvl>
    <w:lvl w:ilvl="6" w:tplc="7B0E5244">
      <w:start w:val="1"/>
      <w:numFmt w:val="bullet"/>
      <w:lvlText w:val="•"/>
      <w:lvlJc w:val="left"/>
      <w:pPr>
        <w:ind w:left="4439" w:hanging="274"/>
      </w:pPr>
      <w:rPr>
        <w:rFonts w:hint="default"/>
      </w:rPr>
    </w:lvl>
    <w:lvl w:ilvl="7" w:tplc="95C2B0F0">
      <w:start w:val="1"/>
      <w:numFmt w:val="bullet"/>
      <w:lvlText w:val="•"/>
      <w:lvlJc w:val="left"/>
      <w:pPr>
        <w:ind w:left="5554" w:hanging="274"/>
      </w:pPr>
      <w:rPr>
        <w:rFonts w:hint="default"/>
      </w:rPr>
    </w:lvl>
    <w:lvl w:ilvl="8" w:tplc="6F7439BE">
      <w:start w:val="1"/>
      <w:numFmt w:val="bullet"/>
      <w:lvlText w:val="•"/>
      <w:lvlJc w:val="left"/>
      <w:pPr>
        <w:ind w:left="6669" w:hanging="274"/>
      </w:pPr>
      <w:rPr>
        <w:rFonts w:hint="default"/>
      </w:rPr>
    </w:lvl>
  </w:abstractNum>
  <w:abstractNum w:abstractNumId="8" w15:restartNumberingAfterBreak="0">
    <w:nsid w:val="3FD51F65"/>
    <w:multiLevelType w:val="hybridMultilevel"/>
    <w:tmpl w:val="16E012AE"/>
    <w:lvl w:ilvl="0" w:tplc="E4A4F8C2">
      <w:start w:val="3"/>
      <w:numFmt w:val="decimal"/>
      <w:lvlText w:val="%1"/>
      <w:lvlJc w:val="left"/>
      <w:pPr>
        <w:ind w:left="643" w:hanging="500"/>
      </w:pPr>
      <w:rPr>
        <w:rFonts w:hint="default"/>
      </w:rPr>
    </w:lvl>
    <w:lvl w:ilvl="1" w:tplc="BB3436A6">
      <w:start w:val="1"/>
      <w:numFmt w:val="decimal"/>
      <w:lvlText w:val="%1.%2"/>
      <w:lvlJc w:val="left"/>
      <w:pPr>
        <w:ind w:left="643" w:hanging="500"/>
      </w:pPr>
      <w:rPr>
        <w:rFonts w:ascii="Verdana" w:eastAsia="Verdana" w:hAnsi="Verdana" w:hint="default"/>
        <w:sz w:val="24"/>
        <w:szCs w:val="24"/>
      </w:rPr>
    </w:lvl>
    <w:lvl w:ilvl="2" w:tplc="FF6EA394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3" w:tplc="D38631E4">
      <w:start w:val="1"/>
      <w:numFmt w:val="bullet"/>
      <w:lvlText w:val="o"/>
      <w:lvlJc w:val="left"/>
      <w:pPr>
        <w:ind w:left="1560" w:hanging="361"/>
      </w:pPr>
      <w:rPr>
        <w:rFonts w:ascii="Courier New" w:eastAsia="Courier New" w:hAnsi="Courier New" w:hint="default"/>
        <w:sz w:val="22"/>
        <w:szCs w:val="22"/>
      </w:rPr>
    </w:lvl>
    <w:lvl w:ilvl="4" w:tplc="547CA3C2">
      <w:start w:val="1"/>
      <w:numFmt w:val="bullet"/>
      <w:lvlText w:val="•"/>
      <w:lvlJc w:val="left"/>
      <w:pPr>
        <w:ind w:left="3400" w:hanging="361"/>
      </w:pPr>
      <w:rPr>
        <w:rFonts w:hint="default"/>
      </w:rPr>
    </w:lvl>
    <w:lvl w:ilvl="5" w:tplc="C65AF670">
      <w:start w:val="1"/>
      <w:numFmt w:val="bullet"/>
      <w:lvlText w:val="•"/>
      <w:lvlJc w:val="left"/>
      <w:pPr>
        <w:ind w:left="4320" w:hanging="361"/>
      </w:pPr>
      <w:rPr>
        <w:rFonts w:hint="default"/>
      </w:rPr>
    </w:lvl>
    <w:lvl w:ilvl="6" w:tplc="DAF481FC">
      <w:start w:val="1"/>
      <w:numFmt w:val="bullet"/>
      <w:lvlText w:val="•"/>
      <w:lvlJc w:val="left"/>
      <w:pPr>
        <w:ind w:left="5240" w:hanging="361"/>
      </w:pPr>
      <w:rPr>
        <w:rFonts w:hint="default"/>
      </w:rPr>
    </w:lvl>
    <w:lvl w:ilvl="7" w:tplc="1DCC73F4">
      <w:start w:val="1"/>
      <w:numFmt w:val="bullet"/>
      <w:lvlText w:val="•"/>
      <w:lvlJc w:val="left"/>
      <w:pPr>
        <w:ind w:left="6160" w:hanging="361"/>
      </w:pPr>
      <w:rPr>
        <w:rFonts w:hint="default"/>
      </w:rPr>
    </w:lvl>
    <w:lvl w:ilvl="8" w:tplc="C2D27860">
      <w:start w:val="1"/>
      <w:numFmt w:val="bullet"/>
      <w:lvlText w:val="•"/>
      <w:lvlJc w:val="left"/>
      <w:pPr>
        <w:ind w:left="7080" w:hanging="361"/>
      </w:pPr>
      <w:rPr>
        <w:rFonts w:hint="default"/>
      </w:rPr>
    </w:lvl>
  </w:abstractNum>
  <w:abstractNum w:abstractNumId="9" w15:restartNumberingAfterBreak="0">
    <w:nsid w:val="40141224"/>
    <w:multiLevelType w:val="hybridMultilevel"/>
    <w:tmpl w:val="3D3209F8"/>
    <w:lvl w:ilvl="0" w:tplc="D66C8218">
      <w:start w:val="1"/>
      <w:numFmt w:val="bullet"/>
      <w:lvlText w:val=""/>
      <w:lvlJc w:val="left"/>
      <w:pPr>
        <w:ind w:left="832" w:hanging="356"/>
      </w:pPr>
      <w:rPr>
        <w:rFonts w:ascii="Symbol" w:eastAsia="Symbol" w:hAnsi="Symbol" w:hint="default"/>
        <w:sz w:val="16"/>
        <w:szCs w:val="16"/>
      </w:rPr>
    </w:lvl>
    <w:lvl w:ilvl="1" w:tplc="545CCBC8">
      <w:start w:val="1"/>
      <w:numFmt w:val="bullet"/>
      <w:lvlText w:val="•"/>
      <w:lvlJc w:val="left"/>
      <w:pPr>
        <w:ind w:left="1641" w:hanging="356"/>
      </w:pPr>
      <w:rPr>
        <w:rFonts w:hint="default"/>
      </w:rPr>
    </w:lvl>
    <w:lvl w:ilvl="2" w:tplc="2E18AFC4">
      <w:start w:val="1"/>
      <w:numFmt w:val="bullet"/>
      <w:lvlText w:val="•"/>
      <w:lvlJc w:val="left"/>
      <w:pPr>
        <w:ind w:left="2450" w:hanging="356"/>
      </w:pPr>
      <w:rPr>
        <w:rFonts w:hint="default"/>
      </w:rPr>
    </w:lvl>
    <w:lvl w:ilvl="3" w:tplc="8DF804F2">
      <w:start w:val="1"/>
      <w:numFmt w:val="bullet"/>
      <w:lvlText w:val="•"/>
      <w:lvlJc w:val="left"/>
      <w:pPr>
        <w:ind w:left="3258" w:hanging="356"/>
      </w:pPr>
      <w:rPr>
        <w:rFonts w:hint="default"/>
      </w:rPr>
    </w:lvl>
    <w:lvl w:ilvl="4" w:tplc="2C4CDB78">
      <w:start w:val="1"/>
      <w:numFmt w:val="bullet"/>
      <w:lvlText w:val="•"/>
      <w:lvlJc w:val="left"/>
      <w:pPr>
        <w:ind w:left="4067" w:hanging="356"/>
      </w:pPr>
      <w:rPr>
        <w:rFonts w:hint="default"/>
      </w:rPr>
    </w:lvl>
    <w:lvl w:ilvl="5" w:tplc="199A921A">
      <w:start w:val="1"/>
      <w:numFmt w:val="bullet"/>
      <w:lvlText w:val="•"/>
      <w:lvlJc w:val="left"/>
      <w:pPr>
        <w:ind w:left="4876" w:hanging="356"/>
      </w:pPr>
      <w:rPr>
        <w:rFonts w:hint="default"/>
      </w:rPr>
    </w:lvl>
    <w:lvl w:ilvl="6" w:tplc="6018F51E">
      <w:start w:val="1"/>
      <w:numFmt w:val="bullet"/>
      <w:lvlText w:val="•"/>
      <w:lvlJc w:val="left"/>
      <w:pPr>
        <w:ind w:left="5685" w:hanging="356"/>
      </w:pPr>
      <w:rPr>
        <w:rFonts w:hint="default"/>
      </w:rPr>
    </w:lvl>
    <w:lvl w:ilvl="7" w:tplc="065E7E04">
      <w:start w:val="1"/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C2C21C0C">
      <w:start w:val="1"/>
      <w:numFmt w:val="bullet"/>
      <w:lvlText w:val="•"/>
      <w:lvlJc w:val="left"/>
      <w:pPr>
        <w:ind w:left="7302" w:hanging="356"/>
      </w:pPr>
      <w:rPr>
        <w:rFonts w:hint="default"/>
      </w:rPr>
    </w:lvl>
  </w:abstractNum>
  <w:abstractNum w:abstractNumId="10" w15:restartNumberingAfterBreak="0">
    <w:nsid w:val="48A071BB"/>
    <w:multiLevelType w:val="hybridMultilevel"/>
    <w:tmpl w:val="A76EA9B8"/>
    <w:lvl w:ilvl="0" w:tplc="8DD4933A">
      <w:start w:val="1"/>
      <w:numFmt w:val="decimal"/>
      <w:lvlText w:val="%1"/>
      <w:lvlJc w:val="left"/>
      <w:pPr>
        <w:ind w:left="597" w:hanging="478"/>
      </w:pPr>
      <w:rPr>
        <w:rFonts w:hint="default"/>
      </w:rPr>
    </w:lvl>
    <w:lvl w:ilvl="1" w:tplc="AAD2D12C">
      <w:start w:val="1"/>
      <w:numFmt w:val="decimal"/>
      <w:lvlText w:val="%1.%2"/>
      <w:lvlJc w:val="left"/>
      <w:pPr>
        <w:ind w:left="597" w:hanging="478"/>
      </w:pPr>
      <w:rPr>
        <w:rFonts w:ascii="Verdana" w:eastAsia="Verdana" w:hAnsi="Verdana" w:hint="default"/>
        <w:sz w:val="24"/>
        <w:szCs w:val="24"/>
      </w:rPr>
    </w:lvl>
    <w:lvl w:ilvl="2" w:tplc="2CCAD1A0">
      <w:start w:val="1"/>
      <w:numFmt w:val="bullet"/>
      <w:lvlText w:val=""/>
      <w:lvlJc w:val="left"/>
      <w:pPr>
        <w:ind w:left="833" w:hanging="356"/>
      </w:pPr>
      <w:rPr>
        <w:rFonts w:ascii="Symbol" w:eastAsia="Symbol" w:hAnsi="Symbol" w:hint="default"/>
        <w:sz w:val="22"/>
        <w:szCs w:val="22"/>
      </w:rPr>
    </w:lvl>
    <w:lvl w:ilvl="3" w:tplc="5C745CF6">
      <w:start w:val="1"/>
      <w:numFmt w:val="bullet"/>
      <w:lvlText w:val="•"/>
      <w:lvlJc w:val="left"/>
      <w:pPr>
        <w:ind w:left="2630" w:hanging="356"/>
      </w:pPr>
      <w:rPr>
        <w:rFonts w:hint="default"/>
      </w:rPr>
    </w:lvl>
    <w:lvl w:ilvl="4" w:tplc="E04675E8">
      <w:start w:val="1"/>
      <w:numFmt w:val="bullet"/>
      <w:lvlText w:val="•"/>
      <w:lvlJc w:val="left"/>
      <w:pPr>
        <w:ind w:left="3528" w:hanging="356"/>
      </w:pPr>
      <w:rPr>
        <w:rFonts w:hint="default"/>
      </w:rPr>
    </w:lvl>
    <w:lvl w:ilvl="5" w:tplc="9F32C9B0">
      <w:start w:val="1"/>
      <w:numFmt w:val="bullet"/>
      <w:lvlText w:val="•"/>
      <w:lvlJc w:val="left"/>
      <w:pPr>
        <w:ind w:left="4427" w:hanging="356"/>
      </w:pPr>
      <w:rPr>
        <w:rFonts w:hint="default"/>
      </w:rPr>
    </w:lvl>
    <w:lvl w:ilvl="6" w:tplc="FE78D7A0">
      <w:start w:val="1"/>
      <w:numFmt w:val="bullet"/>
      <w:lvlText w:val="•"/>
      <w:lvlJc w:val="left"/>
      <w:pPr>
        <w:ind w:left="5325" w:hanging="356"/>
      </w:pPr>
      <w:rPr>
        <w:rFonts w:hint="default"/>
      </w:rPr>
    </w:lvl>
    <w:lvl w:ilvl="7" w:tplc="950ED640">
      <w:start w:val="1"/>
      <w:numFmt w:val="bullet"/>
      <w:lvlText w:val="•"/>
      <w:lvlJc w:val="left"/>
      <w:pPr>
        <w:ind w:left="6224" w:hanging="356"/>
      </w:pPr>
      <w:rPr>
        <w:rFonts w:hint="default"/>
      </w:rPr>
    </w:lvl>
    <w:lvl w:ilvl="8" w:tplc="0ACEF798">
      <w:start w:val="1"/>
      <w:numFmt w:val="bullet"/>
      <w:lvlText w:val="•"/>
      <w:lvlJc w:val="left"/>
      <w:pPr>
        <w:ind w:left="7122" w:hanging="356"/>
      </w:pPr>
      <w:rPr>
        <w:rFonts w:hint="default"/>
      </w:rPr>
    </w:lvl>
  </w:abstractNum>
  <w:abstractNum w:abstractNumId="11" w15:restartNumberingAfterBreak="0">
    <w:nsid w:val="4C1D31B7"/>
    <w:multiLevelType w:val="hybridMultilevel"/>
    <w:tmpl w:val="0BFE6178"/>
    <w:lvl w:ilvl="0" w:tplc="D480D380">
      <w:start w:val="2"/>
      <w:numFmt w:val="decimal"/>
      <w:lvlText w:val="%1"/>
      <w:lvlJc w:val="left"/>
      <w:pPr>
        <w:ind w:left="684" w:hanging="564"/>
      </w:pPr>
      <w:rPr>
        <w:rFonts w:hint="default"/>
      </w:rPr>
    </w:lvl>
    <w:lvl w:ilvl="1" w:tplc="62E8FC52">
      <w:start w:val="2"/>
      <w:numFmt w:val="decimal"/>
      <w:lvlText w:val="%1.%2."/>
      <w:lvlJc w:val="left"/>
      <w:pPr>
        <w:ind w:left="684" w:hanging="564"/>
      </w:pPr>
      <w:rPr>
        <w:rFonts w:ascii="Verdana" w:eastAsia="Verdana" w:hAnsi="Verdana" w:hint="default"/>
        <w:sz w:val="24"/>
        <w:szCs w:val="24"/>
      </w:rPr>
    </w:lvl>
    <w:lvl w:ilvl="2" w:tplc="7772C402">
      <w:start w:val="1"/>
      <w:numFmt w:val="bullet"/>
      <w:lvlText w:val=""/>
      <w:lvlJc w:val="left"/>
      <w:pPr>
        <w:ind w:left="839" w:hanging="361"/>
      </w:pPr>
      <w:rPr>
        <w:rFonts w:ascii="Symbol" w:eastAsia="Symbol" w:hAnsi="Symbol" w:hint="default"/>
        <w:sz w:val="22"/>
        <w:szCs w:val="22"/>
      </w:rPr>
    </w:lvl>
    <w:lvl w:ilvl="3" w:tplc="1CA0A9FE">
      <w:start w:val="1"/>
      <w:numFmt w:val="bullet"/>
      <w:lvlText w:val="•"/>
      <w:lvlJc w:val="left"/>
      <w:pPr>
        <w:ind w:left="2635" w:hanging="361"/>
      </w:pPr>
      <w:rPr>
        <w:rFonts w:hint="default"/>
      </w:rPr>
    </w:lvl>
    <w:lvl w:ilvl="4" w:tplc="E6667E84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5" w:tplc="EDB82D6C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 w:tplc="CC4ABC1E">
      <w:start w:val="1"/>
      <w:numFmt w:val="bullet"/>
      <w:lvlText w:val="•"/>
      <w:lvlJc w:val="left"/>
      <w:pPr>
        <w:ind w:left="5328" w:hanging="361"/>
      </w:pPr>
      <w:rPr>
        <w:rFonts w:hint="default"/>
      </w:rPr>
    </w:lvl>
    <w:lvl w:ilvl="7" w:tplc="7CE6EA54">
      <w:start w:val="1"/>
      <w:numFmt w:val="bullet"/>
      <w:lvlText w:val="•"/>
      <w:lvlJc w:val="left"/>
      <w:pPr>
        <w:ind w:left="6226" w:hanging="361"/>
      </w:pPr>
      <w:rPr>
        <w:rFonts w:hint="default"/>
      </w:rPr>
    </w:lvl>
    <w:lvl w:ilvl="8" w:tplc="2B4EA81A">
      <w:start w:val="1"/>
      <w:numFmt w:val="bullet"/>
      <w:lvlText w:val="•"/>
      <w:lvlJc w:val="left"/>
      <w:pPr>
        <w:ind w:left="7124" w:hanging="361"/>
      </w:pPr>
      <w:rPr>
        <w:rFonts w:hint="default"/>
      </w:rPr>
    </w:lvl>
  </w:abstractNum>
  <w:abstractNum w:abstractNumId="12" w15:restartNumberingAfterBreak="0">
    <w:nsid w:val="50191315"/>
    <w:multiLevelType w:val="hybridMultilevel"/>
    <w:tmpl w:val="807809DA"/>
    <w:lvl w:ilvl="0" w:tplc="6B32DABE">
      <w:start w:val="1"/>
      <w:numFmt w:val="decimal"/>
      <w:lvlText w:val="%1"/>
      <w:lvlJc w:val="left"/>
      <w:pPr>
        <w:ind w:left="120" w:hanging="171"/>
      </w:pPr>
      <w:rPr>
        <w:rFonts w:ascii="Times New Roman" w:eastAsia="Times New Roman" w:hAnsi="Times New Roman" w:hint="default"/>
        <w:position w:val="10"/>
        <w:sz w:val="18"/>
        <w:szCs w:val="18"/>
      </w:rPr>
    </w:lvl>
    <w:lvl w:ilvl="1" w:tplc="33C438E4">
      <w:start w:val="1"/>
      <w:numFmt w:val="bullet"/>
      <w:lvlText w:val=""/>
      <w:lvlJc w:val="left"/>
      <w:pPr>
        <w:ind w:left="832" w:hanging="356"/>
      </w:pPr>
      <w:rPr>
        <w:rFonts w:ascii="Symbol" w:eastAsia="Symbol" w:hAnsi="Symbol" w:hint="default"/>
        <w:sz w:val="22"/>
        <w:szCs w:val="22"/>
      </w:rPr>
    </w:lvl>
    <w:lvl w:ilvl="2" w:tplc="F3B62C98">
      <w:start w:val="1"/>
      <w:numFmt w:val="bullet"/>
      <w:lvlText w:val="o"/>
      <w:lvlJc w:val="left"/>
      <w:pPr>
        <w:ind w:left="1200" w:hanging="269"/>
      </w:pPr>
      <w:rPr>
        <w:rFonts w:ascii="Courier New" w:eastAsia="Courier New" w:hAnsi="Courier New" w:hint="default"/>
        <w:sz w:val="22"/>
        <w:szCs w:val="22"/>
      </w:rPr>
    </w:lvl>
    <w:lvl w:ilvl="3" w:tplc="44642F46">
      <w:start w:val="1"/>
      <w:numFmt w:val="bullet"/>
      <w:lvlText w:val="•"/>
      <w:lvlJc w:val="left"/>
      <w:pPr>
        <w:ind w:left="1200" w:hanging="269"/>
      </w:pPr>
      <w:rPr>
        <w:rFonts w:hint="default"/>
      </w:rPr>
    </w:lvl>
    <w:lvl w:ilvl="4" w:tplc="F7400BA6">
      <w:start w:val="1"/>
      <w:numFmt w:val="bullet"/>
      <w:lvlText w:val="•"/>
      <w:lvlJc w:val="left"/>
      <w:pPr>
        <w:ind w:left="1617" w:hanging="269"/>
      </w:pPr>
      <w:rPr>
        <w:rFonts w:hint="default"/>
      </w:rPr>
    </w:lvl>
    <w:lvl w:ilvl="5" w:tplc="56CC6182">
      <w:start w:val="1"/>
      <w:numFmt w:val="bullet"/>
      <w:lvlText w:val="•"/>
      <w:lvlJc w:val="left"/>
      <w:pPr>
        <w:ind w:left="2834" w:hanging="269"/>
      </w:pPr>
      <w:rPr>
        <w:rFonts w:hint="default"/>
      </w:rPr>
    </w:lvl>
    <w:lvl w:ilvl="6" w:tplc="39607992">
      <w:start w:val="1"/>
      <w:numFmt w:val="bullet"/>
      <w:lvlText w:val="•"/>
      <w:lvlJc w:val="left"/>
      <w:pPr>
        <w:ind w:left="4051" w:hanging="269"/>
      </w:pPr>
      <w:rPr>
        <w:rFonts w:hint="default"/>
      </w:rPr>
    </w:lvl>
    <w:lvl w:ilvl="7" w:tplc="7CFEBD68">
      <w:start w:val="1"/>
      <w:numFmt w:val="bullet"/>
      <w:lvlText w:val="•"/>
      <w:lvlJc w:val="left"/>
      <w:pPr>
        <w:ind w:left="5268" w:hanging="269"/>
      </w:pPr>
      <w:rPr>
        <w:rFonts w:hint="default"/>
      </w:rPr>
    </w:lvl>
    <w:lvl w:ilvl="8" w:tplc="F7809F3A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</w:abstractNum>
  <w:abstractNum w:abstractNumId="13" w15:restartNumberingAfterBreak="0">
    <w:nsid w:val="5AFF2744"/>
    <w:multiLevelType w:val="hybridMultilevel"/>
    <w:tmpl w:val="368633F6"/>
    <w:lvl w:ilvl="0" w:tplc="AF222FB4">
      <w:start w:val="3"/>
      <w:numFmt w:val="decimal"/>
      <w:lvlText w:val="%1"/>
      <w:lvlJc w:val="left"/>
      <w:pPr>
        <w:ind w:left="408" w:hanging="689"/>
      </w:pPr>
      <w:rPr>
        <w:rFonts w:hint="default"/>
      </w:rPr>
    </w:lvl>
    <w:lvl w:ilvl="1" w:tplc="834EED7E">
      <w:start w:val="4"/>
      <w:numFmt w:val="decimal"/>
      <w:lvlText w:val="%1.%2"/>
      <w:lvlJc w:val="left"/>
      <w:pPr>
        <w:ind w:left="408" w:hanging="689"/>
      </w:pPr>
      <w:rPr>
        <w:rFonts w:hint="default"/>
      </w:rPr>
    </w:lvl>
    <w:lvl w:ilvl="2" w:tplc="8F9CE272">
      <w:start w:val="1"/>
      <w:numFmt w:val="decimal"/>
      <w:lvlText w:val="%1.%2.%3"/>
      <w:lvlJc w:val="left"/>
      <w:pPr>
        <w:ind w:left="408" w:hanging="689"/>
      </w:pPr>
      <w:rPr>
        <w:rFonts w:ascii="Verdana" w:eastAsia="Verdana" w:hAnsi="Verdana" w:hint="default"/>
        <w:spacing w:val="-1"/>
        <w:sz w:val="23"/>
        <w:szCs w:val="23"/>
      </w:rPr>
    </w:lvl>
    <w:lvl w:ilvl="3" w:tplc="AE545CFC">
      <w:start w:val="1"/>
      <w:numFmt w:val="bullet"/>
      <w:lvlText w:val=""/>
      <w:lvlJc w:val="left"/>
      <w:pPr>
        <w:ind w:left="833" w:hanging="356"/>
      </w:pPr>
      <w:rPr>
        <w:rFonts w:ascii="Symbol" w:eastAsia="Symbol" w:hAnsi="Symbol" w:hint="default"/>
        <w:sz w:val="22"/>
        <w:szCs w:val="22"/>
      </w:rPr>
    </w:lvl>
    <w:lvl w:ilvl="4" w:tplc="C010A7F0">
      <w:start w:val="1"/>
      <w:numFmt w:val="bullet"/>
      <w:lvlText w:val="•"/>
      <w:lvlJc w:val="left"/>
      <w:pPr>
        <w:ind w:left="3528" w:hanging="356"/>
      </w:pPr>
      <w:rPr>
        <w:rFonts w:hint="default"/>
      </w:rPr>
    </w:lvl>
    <w:lvl w:ilvl="5" w:tplc="51CA32D6">
      <w:start w:val="1"/>
      <w:numFmt w:val="bullet"/>
      <w:lvlText w:val="•"/>
      <w:lvlJc w:val="left"/>
      <w:pPr>
        <w:ind w:left="4427" w:hanging="356"/>
      </w:pPr>
      <w:rPr>
        <w:rFonts w:hint="default"/>
      </w:rPr>
    </w:lvl>
    <w:lvl w:ilvl="6" w:tplc="A2A4DABC">
      <w:start w:val="1"/>
      <w:numFmt w:val="bullet"/>
      <w:lvlText w:val="•"/>
      <w:lvlJc w:val="left"/>
      <w:pPr>
        <w:ind w:left="5325" w:hanging="356"/>
      </w:pPr>
      <w:rPr>
        <w:rFonts w:hint="default"/>
      </w:rPr>
    </w:lvl>
    <w:lvl w:ilvl="7" w:tplc="DBF015A0">
      <w:start w:val="1"/>
      <w:numFmt w:val="bullet"/>
      <w:lvlText w:val="•"/>
      <w:lvlJc w:val="left"/>
      <w:pPr>
        <w:ind w:left="6224" w:hanging="356"/>
      </w:pPr>
      <w:rPr>
        <w:rFonts w:hint="default"/>
      </w:rPr>
    </w:lvl>
    <w:lvl w:ilvl="8" w:tplc="FA927CF0">
      <w:start w:val="1"/>
      <w:numFmt w:val="bullet"/>
      <w:lvlText w:val="•"/>
      <w:lvlJc w:val="left"/>
      <w:pPr>
        <w:ind w:left="7122" w:hanging="356"/>
      </w:pPr>
      <w:rPr>
        <w:rFonts w:hint="default"/>
      </w:rPr>
    </w:lvl>
  </w:abstractNum>
  <w:abstractNum w:abstractNumId="14" w15:restartNumberingAfterBreak="0">
    <w:nsid w:val="5DFE3521"/>
    <w:multiLevelType w:val="hybridMultilevel"/>
    <w:tmpl w:val="DE68BD52"/>
    <w:lvl w:ilvl="0" w:tplc="99524E44">
      <w:start w:val="16"/>
      <w:numFmt w:val="decimal"/>
      <w:lvlText w:val="%1"/>
      <w:lvlJc w:val="left"/>
      <w:pPr>
        <w:ind w:left="120" w:hanging="238"/>
      </w:pPr>
      <w:rPr>
        <w:rFonts w:ascii="Times New Roman" w:eastAsia="Times New Roman" w:hAnsi="Times New Roman" w:hint="default"/>
        <w:spacing w:val="1"/>
        <w:position w:val="10"/>
        <w:sz w:val="18"/>
        <w:szCs w:val="18"/>
      </w:rPr>
    </w:lvl>
    <w:lvl w:ilvl="1" w:tplc="E4F6641E">
      <w:start w:val="1"/>
      <w:numFmt w:val="bullet"/>
      <w:lvlText w:val="•"/>
      <w:lvlJc w:val="left"/>
      <w:pPr>
        <w:ind w:left="480" w:hanging="238"/>
      </w:pPr>
      <w:rPr>
        <w:rFonts w:hint="default"/>
      </w:rPr>
    </w:lvl>
    <w:lvl w:ilvl="2" w:tplc="51548E6C">
      <w:start w:val="1"/>
      <w:numFmt w:val="bullet"/>
      <w:lvlText w:val="•"/>
      <w:lvlJc w:val="left"/>
      <w:pPr>
        <w:ind w:left="1417" w:hanging="238"/>
      </w:pPr>
      <w:rPr>
        <w:rFonts w:hint="default"/>
      </w:rPr>
    </w:lvl>
    <w:lvl w:ilvl="3" w:tplc="437C4392">
      <w:start w:val="1"/>
      <w:numFmt w:val="bullet"/>
      <w:lvlText w:val="•"/>
      <w:lvlJc w:val="left"/>
      <w:pPr>
        <w:ind w:left="2355" w:hanging="238"/>
      </w:pPr>
      <w:rPr>
        <w:rFonts w:hint="default"/>
      </w:rPr>
    </w:lvl>
    <w:lvl w:ilvl="4" w:tplc="97E474C0">
      <w:start w:val="1"/>
      <w:numFmt w:val="bullet"/>
      <w:lvlText w:val="•"/>
      <w:lvlJc w:val="left"/>
      <w:pPr>
        <w:ind w:left="3293" w:hanging="238"/>
      </w:pPr>
      <w:rPr>
        <w:rFonts w:hint="default"/>
      </w:rPr>
    </w:lvl>
    <w:lvl w:ilvl="5" w:tplc="4F1435F6">
      <w:start w:val="1"/>
      <w:numFmt w:val="bullet"/>
      <w:lvlText w:val="•"/>
      <w:lvlJc w:val="left"/>
      <w:pPr>
        <w:ind w:left="4231" w:hanging="238"/>
      </w:pPr>
      <w:rPr>
        <w:rFonts w:hint="default"/>
      </w:rPr>
    </w:lvl>
    <w:lvl w:ilvl="6" w:tplc="9F502D4C">
      <w:start w:val="1"/>
      <w:numFmt w:val="bullet"/>
      <w:lvlText w:val="•"/>
      <w:lvlJc w:val="left"/>
      <w:pPr>
        <w:ind w:left="5168" w:hanging="238"/>
      </w:pPr>
      <w:rPr>
        <w:rFonts w:hint="default"/>
      </w:rPr>
    </w:lvl>
    <w:lvl w:ilvl="7" w:tplc="32F43924">
      <w:start w:val="1"/>
      <w:numFmt w:val="bullet"/>
      <w:lvlText w:val="•"/>
      <w:lvlJc w:val="left"/>
      <w:pPr>
        <w:ind w:left="6106" w:hanging="238"/>
      </w:pPr>
      <w:rPr>
        <w:rFonts w:hint="default"/>
      </w:rPr>
    </w:lvl>
    <w:lvl w:ilvl="8" w:tplc="6CEC1FD2">
      <w:start w:val="1"/>
      <w:numFmt w:val="bullet"/>
      <w:lvlText w:val="•"/>
      <w:lvlJc w:val="left"/>
      <w:pPr>
        <w:ind w:left="7044" w:hanging="238"/>
      </w:pPr>
      <w:rPr>
        <w:rFonts w:hint="default"/>
      </w:rPr>
    </w:lvl>
  </w:abstractNum>
  <w:abstractNum w:abstractNumId="15" w15:restartNumberingAfterBreak="0">
    <w:nsid w:val="73182971"/>
    <w:multiLevelType w:val="hybridMultilevel"/>
    <w:tmpl w:val="1E32BF34"/>
    <w:lvl w:ilvl="0" w:tplc="BC8A6902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DA0ED1BC">
      <w:start w:val="1"/>
      <w:numFmt w:val="bullet"/>
      <w:lvlText w:val="•"/>
      <w:lvlJc w:val="left"/>
      <w:pPr>
        <w:ind w:left="1648" w:hanging="361"/>
      </w:pPr>
      <w:rPr>
        <w:rFonts w:hint="default"/>
      </w:rPr>
    </w:lvl>
    <w:lvl w:ilvl="2" w:tplc="92AC63AA">
      <w:start w:val="1"/>
      <w:numFmt w:val="bullet"/>
      <w:lvlText w:val="•"/>
      <w:lvlJc w:val="left"/>
      <w:pPr>
        <w:ind w:left="2456" w:hanging="361"/>
      </w:pPr>
      <w:rPr>
        <w:rFonts w:hint="default"/>
      </w:rPr>
    </w:lvl>
    <w:lvl w:ilvl="3" w:tplc="F1862856">
      <w:start w:val="1"/>
      <w:numFmt w:val="bullet"/>
      <w:lvlText w:val="•"/>
      <w:lvlJc w:val="left"/>
      <w:pPr>
        <w:ind w:left="3264" w:hanging="361"/>
      </w:pPr>
      <w:rPr>
        <w:rFonts w:hint="default"/>
      </w:rPr>
    </w:lvl>
    <w:lvl w:ilvl="4" w:tplc="B1B85996">
      <w:start w:val="1"/>
      <w:numFmt w:val="bullet"/>
      <w:lvlText w:val="•"/>
      <w:lvlJc w:val="left"/>
      <w:pPr>
        <w:ind w:left="4072" w:hanging="361"/>
      </w:pPr>
      <w:rPr>
        <w:rFonts w:hint="default"/>
      </w:rPr>
    </w:lvl>
    <w:lvl w:ilvl="5" w:tplc="4B06824A">
      <w:start w:val="1"/>
      <w:numFmt w:val="bullet"/>
      <w:lvlText w:val="•"/>
      <w:lvlJc w:val="left"/>
      <w:pPr>
        <w:ind w:left="4880" w:hanging="361"/>
      </w:pPr>
      <w:rPr>
        <w:rFonts w:hint="default"/>
      </w:rPr>
    </w:lvl>
    <w:lvl w:ilvl="6" w:tplc="D8ACFB42">
      <w:start w:val="1"/>
      <w:numFmt w:val="bullet"/>
      <w:lvlText w:val="•"/>
      <w:lvlJc w:val="left"/>
      <w:pPr>
        <w:ind w:left="5688" w:hanging="361"/>
      </w:pPr>
      <w:rPr>
        <w:rFonts w:hint="default"/>
      </w:rPr>
    </w:lvl>
    <w:lvl w:ilvl="7" w:tplc="C200EE4E">
      <w:start w:val="1"/>
      <w:numFmt w:val="bullet"/>
      <w:lvlText w:val="•"/>
      <w:lvlJc w:val="left"/>
      <w:pPr>
        <w:ind w:left="6496" w:hanging="361"/>
      </w:pPr>
      <w:rPr>
        <w:rFonts w:hint="default"/>
      </w:rPr>
    </w:lvl>
    <w:lvl w:ilvl="8" w:tplc="E352533E">
      <w:start w:val="1"/>
      <w:numFmt w:val="bullet"/>
      <w:lvlText w:val="•"/>
      <w:lvlJc w:val="left"/>
      <w:pPr>
        <w:ind w:left="7304" w:hanging="361"/>
      </w:pPr>
      <w:rPr>
        <w:rFonts w:hint="default"/>
      </w:rPr>
    </w:lvl>
  </w:abstractNum>
  <w:abstractNum w:abstractNumId="16" w15:restartNumberingAfterBreak="0">
    <w:nsid w:val="747B6D20"/>
    <w:multiLevelType w:val="hybridMultilevel"/>
    <w:tmpl w:val="602A900A"/>
    <w:lvl w:ilvl="0" w:tplc="7B087064">
      <w:start w:val="1"/>
      <w:numFmt w:val="decimal"/>
      <w:lvlText w:val="%1."/>
      <w:lvlJc w:val="left"/>
      <w:pPr>
        <w:ind w:left="119" w:hanging="262"/>
      </w:pPr>
      <w:rPr>
        <w:rFonts w:ascii="Verdana" w:eastAsia="Verdana" w:hAnsi="Verdana" w:hint="default"/>
        <w:w w:val="99"/>
        <w:sz w:val="20"/>
        <w:szCs w:val="20"/>
      </w:rPr>
    </w:lvl>
    <w:lvl w:ilvl="1" w:tplc="3B1AE54E">
      <w:start w:val="1"/>
      <w:numFmt w:val="bullet"/>
      <w:lvlText w:val="•"/>
      <w:lvlJc w:val="left"/>
      <w:pPr>
        <w:ind w:left="999" w:hanging="262"/>
      </w:pPr>
      <w:rPr>
        <w:rFonts w:hint="default"/>
      </w:rPr>
    </w:lvl>
    <w:lvl w:ilvl="2" w:tplc="5C6E51B4">
      <w:start w:val="1"/>
      <w:numFmt w:val="bullet"/>
      <w:lvlText w:val="•"/>
      <w:lvlJc w:val="left"/>
      <w:pPr>
        <w:ind w:left="1879" w:hanging="262"/>
      </w:pPr>
      <w:rPr>
        <w:rFonts w:hint="default"/>
      </w:rPr>
    </w:lvl>
    <w:lvl w:ilvl="3" w:tplc="01266CC2">
      <w:start w:val="1"/>
      <w:numFmt w:val="bullet"/>
      <w:lvlText w:val="•"/>
      <w:lvlJc w:val="left"/>
      <w:pPr>
        <w:ind w:left="2759" w:hanging="262"/>
      </w:pPr>
      <w:rPr>
        <w:rFonts w:hint="default"/>
      </w:rPr>
    </w:lvl>
    <w:lvl w:ilvl="4" w:tplc="B3F666C8">
      <w:start w:val="1"/>
      <w:numFmt w:val="bullet"/>
      <w:lvlText w:val="•"/>
      <w:lvlJc w:val="left"/>
      <w:pPr>
        <w:ind w:left="3639" w:hanging="262"/>
      </w:pPr>
      <w:rPr>
        <w:rFonts w:hint="default"/>
      </w:rPr>
    </w:lvl>
    <w:lvl w:ilvl="5" w:tplc="954E787C">
      <w:start w:val="1"/>
      <w:numFmt w:val="bullet"/>
      <w:lvlText w:val="•"/>
      <w:lvlJc w:val="left"/>
      <w:pPr>
        <w:ind w:left="4519" w:hanging="262"/>
      </w:pPr>
      <w:rPr>
        <w:rFonts w:hint="default"/>
      </w:rPr>
    </w:lvl>
    <w:lvl w:ilvl="6" w:tplc="BA82BFA2">
      <w:start w:val="1"/>
      <w:numFmt w:val="bullet"/>
      <w:lvlText w:val="•"/>
      <w:lvlJc w:val="left"/>
      <w:pPr>
        <w:ind w:left="5399" w:hanging="262"/>
      </w:pPr>
      <w:rPr>
        <w:rFonts w:hint="default"/>
      </w:rPr>
    </w:lvl>
    <w:lvl w:ilvl="7" w:tplc="2BAA7328">
      <w:start w:val="1"/>
      <w:numFmt w:val="bullet"/>
      <w:lvlText w:val="•"/>
      <w:lvlJc w:val="left"/>
      <w:pPr>
        <w:ind w:left="6279" w:hanging="262"/>
      </w:pPr>
      <w:rPr>
        <w:rFonts w:hint="default"/>
      </w:rPr>
    </w:lvl>
    <w:lvl w:ilvl="8" w:tplc="55D2EE1C">
      <w:start w:val="1"/>
      <w:numFmt w:val="bullet"/>
      <w:lvlText w:val="•"/>
      <w:lvlJc w:val="left"/>
      <w:pPr>
        <w:ind w:left="7159" w:hanging="262"/>
      </w:pPr>
      <w:rPr>
        <w:rFonts w:hint="default"/>
      </w:rPr>
    </w:lvl>
  </w:abstractNum>
  <w:abstractNum w:abstractNumId="17" w15:restartNumberingAfterBreak="0">
    <w:nsid w:val="799C2F40"/>
    <w:multiLevelType w:val="hybridMultilevel"/>
    <w:tmpl w:val="D6228200"/>
    <w:lvl w:ilvl="0" w:tplc="99F8660C">
      <w:start w:val="3"/>
      <w:numFmt w:val="decimal"/>
      <w:lvlText w:val="%1"/>
      <w:lvlJc w:val="left"/>
      <w:pPr>
        <w:ind w:left="745" w:hanging="646"/>
      </w:pPr>
      <w:rPr>
        <w:rFonts w:hint="default"/>
      </w:rPr>
    </w:lvl>
    <w:lvl w:ilvl="1" w:tplc="342839D0">
      <w:start w:val="5"/>
      <w:numFmt w:val="decimal"/>
      <w:lvlText w:val="%1.%2"/>
      <w:lvlJc w:val="left"/>
      <w:pPr>
        <w:ind w:left="745" w:hanging="646"/>
      </w:pPr>
      <w:rPr>
        <w:rFonts w:ascii="Verdana" w:eastAsia="Verdana" w:hAnsi="Verdana" w:hint="default"/>
        <w:sz w:val="24"/>
        <w:szCs w:val="24"/>
      </w:rPr>
    </w:lvl>
    <w:lvl w:ilvl="2" w:tplc="40625F0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ECA2A20E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4" w:tplc="960844EE">
      <w:start w:val="1"/>
      <w:numFmt w:val="bullet"/>
      <w:lvlText w:val="•"/>
      <w:lvlJc w:val="left"/>
      <w:pPr>
        <w:ind w:left="2919" w:hanging="360"/>
      </w:pPr>
      <w:rPr>
        <w:rFonts w:hint="default"/>
      </w:rPr>
    </w:lvl>
    <w:lvl w:ilvl="5" w:tplc="DC265738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6" w:tplc="8AE2AC14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7" w:tplc="FC44519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960752C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</w:abstractNum>
  <w:abstractNum w:abstractNumId="18" w15:restartNumberingAfterBreak="0">
    <w:nsid w:val="7E5C6E6A"/>
    <w:multiLevelType w:val="hybridMultilevel"/>
    <w:tmpl w:val="68BA3100"/>
    <w:lvl w:ilvl="0" w:tplc="4E00AF88">
      <w:start w:val="1"/>
      <w:numFmt w:val="bullet"/>
      <w:lvlText w:val=""/>
      <w:lvlJc w:val="left"/>
      <w:pPr>
        <w:ind w:left="832" w:hanging="356"/>
      </w:pPr>
      <w:rPr>
        <w:rFonts w:ascii="Symbol" w:eastAsia="Symbol" w:hAnsi="Symbol" w:hint="default"/>
        <w:sz w:val="22"/>
        <w:szCs w:val="22"/>
      </w:rPr>
    </w:lvl>
    <w:lvl w:ilvl="1" w:tplc="900ED418">
      <w:start w:val="1"/>
      <w:numFmt w:val="bullet"/>
      <w:lvlText w:val="•"/>
      <w:lvlJc w:val="left"/>
      <w:pPr>
        <w:ind w:left="1641" w:hanging="356"/>
      </w:pPr>
      <w:rPr>
        <w:rFonts w:hint="default"/>
      </w:rPr>
    </w:lvl>
    <w:lvl w:ilvl="2" w:tplc="375C1A0C">
      <w:start w:val="1"/>
      <w:numFmt w:val="bullet"/>
      <w:lvlText w:val="•"/>
      <w:lvlJc w:val="left"/>
      <w:pPr>
        <w:ind w:left="2450" w:hanging="356"/>
      </w:pPr>
      <w:rPr>
        <w:rFonts w:hint="default"/>
      </w:rPr>
    </w:lvl>
    <w:lvl w:ilvl="3" w:tplc="836A06B4">
      <w:start w:val="1"/>
      <w:numFmt w:val="bullet"/>
      <w:lvlText w:val="•"/>
      <w:lvlJc w:val="left"/>
      <w:pPr>
        <w:ind w:left="3258" w:hanging="356"/>
      </w:pPr>
      <w:rPr>
        <w:rFonts w:hint="default"/>
      </w:rPr>
    </w:lvl>
    <w:lvl w:ilvl="4" w:tplc="A82C4C00">
      <w:start w:val="1"/>
      <w:numFmt w:val="bullet"/>
      <w:lvlText w:val="•"/>
      <w:lvlJc w:val="left"/>
      <w:pPr>
        <w:ind w:left="4067" w:hanging="356"/>
      </w:pPr>
      <w:rPr>
        <w:rFonts w:hint="default"/>
      </w:rPr>
    </w:lvl>
    <w:lvl w:ilvl="5" w:tplc="0F2C6AA4">
      <w:start w:val="1"/>
      <w:numFmt w:val="bullet"/>
      <w:lvlText w:val="•"/>
      <w:lvlJc w:val="left"/>
      <w:pPr>
        <w:ind w:left="4876" w:hanging="356"/>
      </w:pPr>
      <w:rPr>
        <w:rFonts w:hint="default"/>
      </w:rPr>
    </w:lvl>
    <w:lvl w:ilvl="6" w:tplc="9460A2AA">
      <w:start w:val="1"/>
      <w:numFmt w:val="bullet"/>
      <w:lvlText w:val="•"/>
      <w:lvlJc w:val="left"/>
      <w:pPr>
        <w:ind w:left="5685" w:hanging="356"/>
      </w:pPr>
      <w:rPr>
        <w:rFonts w:hint="default"/>
      </w:rPr>
    </w:lvl>
    <w:lvl w:ilvl="7" w:tplc="C5FABB22">
      <w:start w:val="1"/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94B0B03A">
      <w:start w:val="1"/>
      <w:numFmt w:val="bullet"/>
      <w:lvlText w:val="•"/>
      <w:lvlJc w:val="left"/>
      <w:pPr>
        <w:ind w:left="7302" w:hanging="356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17"/>
  </w:num>
  <w:num w:numId="5">
    <w:abstractNumId w:val="13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  <w:num w:numId="16">
    <w:abstractNumId w:val="12"/>
  </w:num>
  <w:num w:numId="17">
    <w:abstractNumId w:val="1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C1B"/>
    <w:rsid w:val="000C79F9"/>
    <w:rsid w:val="00173AD7"/>
    <w:rsid w:val="002167DE"/>
    <w:rsid w:val="0062026E"/>
    <w:rsid w:val="00783C10"/>
    <w:rsid w:val="00962DCA"/>
    <w:rsid w:val="00B87C1B"/>
    <w:rsid w:val="00B919D3"/>
    <w:rsid w:val="00B92996"/>
    <w:rsid w:val="00BB6381"/>
    <w:rsid w:val="00D82B82"/>
    <w:rsid w:val="00DE65EF"/>
    <w:rsid w:val="00E66A09"/>
    <w:rsid w:val="00EC186F"/>
    <w:rsid w:val="00F7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CD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2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20"/>
    </w:pPr>
    <w:rPr>
      <w:rFonts w:ascii="Verdana" w:eastAsia="Verdana" w:hAnsi="Verdan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167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7DE"/>
  </w:style>
  <w:style w:type="paragraph" w:styleId="Footer">
    <w:name w:val="footer"/>
    <w:basedOn w:val="Normal"/>
    <w:link w:val="FooterChar"/>
    <w:unhideWhenUsed/>
    <w:rsid w:val="002167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7DE"/>
  </w:style>
  <w:style w:type="paragraph" w:styleId="FootnoteText">
    <w:name w:val="footnote text"/>
    <w:basedOn w:val="Normal"/>
    <w:link w:val="FootnoteTextChar"/>
    <w:uiPriority w:val="99"/>
    <w:semiHidden/>
    <w:unhideWhenUsed/>
    <w:rsid w:val="00B919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9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19D3"/>
    <w:rPr>
      <w:vertAlign w:val="superscript"/>
    </w:rPr>
  </w:style>
  <w:style w:type="character" w:styleId="PageNumber">
    <w:name w:val="page number"/>
    <w:basedOn w:val="DefaultParagraphFont"/>
    <w:semiHidden/>
    <w:rsid w:val="00DE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A544-F183-4C34-9E3C-93720034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16367</Words>
  <Characters>9330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2020-10-12T07:09:00Z</dcterms:created>
  <dcterms:modified xsi:type="dcterms:W3CDTF">2020-11-20T14:34:00Z</dcterms:modified>
</cp:coreProperties>
</file>