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902D1F" w14:textId="6A5E24D8" w:rsidR="00CD0ADF" w:rsidRDefault="00CD0ADF" w:rsidP="00767ADB">
      <w:pPr>
        <w:widowControl w:val="0"/>
        <w:spacing w:after="0" w:line="240" w:lineRule="auto"/>
        <w:rPr>
          <w:rFonts w:ascii="Times New Roman" w:hAnsi="Times New Roman"/>
          <w:sz w:val="24"/>
        </w:rPr>
      </w:pPr>
    </w:p>
    <w:p w14:paraId="38B84F3B" w14:textId="1B26816B" w:rsidR="00767ADB" w:rsidRPr="00767ADB" w:rsidRDefault="00767ADB" w:rsidP="00903828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i/>
          <w:iCs/>
          <w:sz w:val="24"/>
        </w:rPr>
        <w:t>WADA</w:t>
      </w:r>
      <w:r>
        <w:rPr>
          <w:rFonts w:ascii="Times New Roman" w:hAnsi="Times New Roman"/>
          <w:b/>
          <w:sz w:val="24"/>
        </w:rPr>
        <w:t xml:space="preserve"> tehniskais dokuments – TD2009LCOC</w:t>
      </w:r>
    </w:p>
    <w:p w14:paraId="3589EBA3" w14:textId="2F3FA15E" w:rsidR="00767ADB" w:rsidRDefault="00767ADB" w:rsidP="00767ADB">
      <w:pPr>
        <w:widowControl w:val="0"/>
        <w:spacing w:after="0" w:line="240" w:lineRule="auto"/>
        <w:rPr>
          <w:rFonts w:ascii="Times New Roman" w:hAnsi="Times New Roman"/>
          <w:sz w:val="24"/>
        </w:rPr>
      </w:pPr>
    </w:p>
    <w:tbl>
      <w:tblPr>
        <w:tblStyle w:val="TableGrid"/>
        <w:tblW w:w="0" w:type="auto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838"/>
        <w:gridCol w:w="2692"/>
        <w:gridCol w:w="1844"/>
        <w:gridCol w:w="2687"/>
      </w:tblGrid>
      <w:tr w:rsidR="00767ADB" w:rsidRPr="00767ADB" w14:paraId="259925DF" w14:textId="77777777" w:rsidTr="00767ADB">
        <w:tc>
          <w:tcPr>
            <w:tcW w:w="1838" w:type="dxa"/>
          </w:tcPr>
          <w:p w14:paraId="55D8EE72" w14:textId="47C2F667" w:rsidR="00767ADB" w:rsidRPr="00767ADB" w:rsidRDefault="00767ADB" w:rsidP="00767ADB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Dokumenta numurs:</w:t>
            </w:r>
          </w:p>
        </w:tc>
        <w:tc>
          <w:tcPr>
            <w:tcW w:w="2692" w:type="dxa"/>
          </w:tcPr>
          <w:p w14:paraId="7E406E2B" w14:textId="4AB9ED44" w:rsidR="00767ADB" w:rsidRPr="00767ADB" w:rsidRDefault="00767ADB" w:rsidP="00767ADB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TD2009LCOC</w:t>
            </w:r>
          </w:p>
        </w:tc>
        <w:tc>
          <w:tcPr>
            <w:tcW w:w="1844" w:type="dxa"/>
          </w:tcPr>
          <w:p w14:paraId="08CF50E6" w14:textId="0AD97303" w:rsidR="00767ADB" w:rsidRPr="00767ADB" w:rsidRDefault="00767ADB" w:rsidP="00767ADB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Versijas numurs:</w:t>
            </w:r>
          </w:p>
        </w:tc>
        <w:tc>
          <w:tcPr>
            <w:tcW w:w="2687" w:type="dxa"/>
          </w:tcPr>
          <w:p w14:paraId="145F42FA" w14:textId="19154658" w:rsidR="00767ADB" w:rsidRPr="00767ADB" w:rsidRDefault="00767ADB" w:rsidP="00767ADB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1.0</w:t>
            </w:r>
          </w:p>
        </w:tc>
      </w:tr>
      <w:tr w:rsidR="00767ADB" w:rsidRPr="00767ADB" w14:paraId="6762B054" w14:textId="77777777" w:rsidTr="00767ADB">
        <w:tc>
          <w:tcPr>
            <w:tcW w:w="1838" w:type="dxa"/>
          </w:tcPr>
          <w:p w14:paraId="7F4EA690" w14:textId="10D8927F" w:rsidR="00767ADB" w:rsidRPr="00767ADB" w:rsidRDefault="00767ADB" w:rsidP="00767ADB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Sarakstījusi:</w:t>
            </w:r>
          </w:p>
        </w:tc>
        <w:tc>
          <w:tcPr>
            <w:tcW w:w="2692" w:type="dxa"/>
          </w:tcPr>
          <w:p w14:paraId="0758D841" w14:textId="26C7EDA0" w:rsidR="00767ADB" w:rsidRPr="00767ADB" w:rsidRDefault="00767ADB" w:rsidP="00767ADB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WADA</w:t>
            </w:r>
            <w:r>
              <w:rPr>
                <w:rFonts w:ascii="Times New Roman" w:hAnsi="Times New Roman"/>
                <w:sz w:val="20"/>
              </w:rPr>
              <w:t xml:space="preserve"> laboratorijas komiteja</w:t>
            </w:r>
          </w:p>
        </w:tc>
        <w:tc>
          <w:tcPr>
            <w:tcW w:w="1844" w:type="dxa"/>
          </w:tcPr>
          <w:p w14:paraId="766CE57D" w14:textId="2E164CEF" w:rsidR="00767ADB" w:rsidRPr="00767ADB" w:rsidRDefault="00767ADB" w:rsidP="00767ADB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Apstiprinājusi:</w:t>
            </w:r>
          </w:p>
        </w:tc>
        <w:tc>
          <w:tcPr>
            <w:tcW w:w="2687" w:type="dxa"/>
          </w:tcPr>
          <w:p w14:paraId="4AACEF3C" w14:textId="5D18921B" w:rsidR="00767ADB" w:rsidRPr="00767ADB" w:rsidRDefault="00767ADB" w:rsidP="00767ADB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WADA</w:t>
            </w:r>
            <w:r>
              <w:rPr>
                <w:rFonts w:ascii="Times New Roman" w:hAnsi="Times New Roman"/>
                <w:sz w:val="20"/>
              </w:rPr>
              <w:t xml:space="preserve"> izpildkomiteja</w:t>
            </w:r>
          </w:p>
        </w:tc>
      </w:tr>
      <w:tr w:rsidR="00767ADB" w:rsidRPr="00767ADB" w14:paraId="65297ECB" w14:textId="77777777" w:rsidTr="00767ADB">
        <w:tc>
          <w:tcPr>
            <w:tcW w:w="1838" w:type="dxa"/>
          </w:tcPr>
          <w:p w14:paraId="5013770F" w14:textId="50DBB5F4" w:rsidR="00767ADB" w:rsidRPr="00767ADB" w:rsidRDefault="00767ADB" w:rsidP="00767ADB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Datums:</w:t>
            </w:r>
          </w:p>
        </w:tc>
        <w:tc>
          <w:tcPr>
            <w:tcW w:w="2692" w:type="dxa"/>
          </w:tcPr>
          <w:p w14:paraId="15CB4D8C" w14:textId="47970672" w:rsidR="00767ADB" w:rsidRPr="00767ADB" w:rsidRDefault="00767ADB" w:rsidP="00767ADB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2008. gada 20. septembris</w:t>
            </w:r>
          </w:p>
        </w:tc>
        <w:tc>
          <w:tcPr>
            <w:tcW w:w="1844" w:type="dxa"/>
          </w:tcPr>
          <w:p w14:paraId="336AB832" w14:textId="6D5BA3DE" w:rsidR="00767ADB" w:rsidRPr="00767ADB" w:rsidRDefault="00767ADB" w:rsidP="00767ADB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Spēkā stāšanās diena:</w:t>
            </w:r>
          </w:p>
        </w:tc>
        <w:tc>
          <w:tcPr>
            <w:tcW w:w="2687" w:type="dxa"/>
          </w:tcPr>
          <w:p w14:paraId="202922D1" w14:textId="30D1D0AC" w:rsidR="00767ADB" w:rsidRPr="00767ADB" w:rsidRDefault="00767ADB" w:rsidP="00767ADB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2009. gada 1. janvāris</w:t>
            </w:r>
          </w:p>
        </w:tc>
      </w:tr>
    </w:tbl>
    <w:p w14:paraId="371E4F2B" w14:textId="20CFEB0E" w:rsidR="00767ADB" w:rsidRDefault="00767ADB" w:rsidP="00767ADB">
      <w:pPr>
        <w:widowControl w:val="0"/>
        <w:spacing w:after="0" w:line="240" w:lineRule="auto"/>
        <w:rPr>
          <w:rFonts w:ascii="Times New Roman" w:hAnsi="Times New Roman"/>
          <w:sz w:val="24"/>
        </w:rPr>
      </w:pPr>
    </w:p>
    <w:p w14:paraId="63794808" w14:textId="2B8DD033" w:rsidR="00767ADB" w:rsidRPr="00767ADB" w:rsidRDefault="00767ADB" w:rsidP="00767ADB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sz w:val="24"/>
        </w:rPr>
        <w:t>LABORATORIJAS IEKŠĒJĀ UZRAUDZĪBAS ĶĒDE</w:t>
      </w:r>
    </w:p>
    <w:p w14:paraId="315F3396" w14:textId="7A790D50" w:rsidR="00767ADB" w:rsidRDefault="00767ADB" w:rsidP="00767ADB">
      <w:pPr>
        <w:widowControl w:val="0"/>
        <w:spacing w:after="0" w:line="240" w:lineRule="auto"/>
        <w:rPr>
          <w:rFonts w:ascii="Times New Roman" w:hAnsi="Times New Roman"/>
          <w:sz w:val="24"/>
        </w:rPr>
      </w:pPr>
    </w:p>
    <w:p w14:paraId="1100BFA2" w14:textId="3CC3F7F4" w:rsidR="00767ADB" w:rsidRDefault="00767ADB" w:rsidP="009F2E98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Atsevišķa </w:t>
      </w:r>
      <w:r>
        <w:rPr>
          <w:rFonts w:ascii="Times New Roman" w:hAnsi="Times New Roman"/>
          <w:i/>
          <w:iCs/>
          <w:sz w:val="24"/>
        </w:rPr>
        <w:t>parauga</w:t>
      </w:r>
      <w:r>
        <w:rPr>
          <w:rFonts w:ascii="Times New Roman" w:hAnsi="Times New Roman"/>
          <w:sz w:val="24"/>
        </w:rPr>
        <w:t xml:space="preserve"> uzraudzības ķēdē ir iesaistītas divas daļas: ārējais reģistrs un </w:t>
      </w:r>
      <w:r>
        <w:rPr>
          <w:rFonts w:ascii="Times New Roman" w:hAnsi="Times New Roman"/>
          <w:sz w:val="24"/>
          <w:u w:val="single"/>
        </w:rPr>
        <w:t>laboratorijas iekšējā uzraudzības ķēde</w:t>
      </w:r>
      <w:r>
        <w:rPr>
          <w:rFonts w:ascii="Times New Roman" w:hAnsi="Times New Roman"/>
          <w:sz w:val="24"/>
        </w:rPr>
        <w:t xml:space="preserve">. Abus komponentus glabā </w:t>
      </w:r>
      <w:r>
        <w:rPr>
          <w:rFonts w:ascii="Times New Roman" w:hAnsi="Times New Roman"/>
          <w:sz w:val="24"/>
          <w:u w:val="single"/>
        </w:rPr>
        <w:t>laboratorijā</w:t>
      </w:r>
      <w:r>
        <w:rPr>
          <w:rFonts w:ascii="Times New Roman" w:hAnsi="Times New Roman"/>
          <w:sz w:val="24"/>
        </w:rPr>
        <w:t xml:space="preserve"> kā daļu no </w:t>
      </w:r>
      <w:r>
        <w:rPr>
          <w:rFonts w:ascii="Times New Roman" w:hAnsi="Times New Roman"/>
          <w:sz w:val="24"/>
          <w:u w:val="single"/>
        </w:rPr>
        <w:t>analītisko pārbaužu</w:t>
      </w:r>
      <w:r>
        <w:rPr>
          <w:rFonts w:ascii="Times New Roman" w:hAnsi="Times New Roman"/>
          <w:sz w:val="24"/>
        </w:rPr>
        <w:t xml:space="preserve"> ierakstiem. Ārējais reģistrs tiek uzsākts savākšanas vietā un nodrošina, ka </w:t>
      </w:r>
      <w:r>
        <w:rPr>
          <w:rFonts w:ascii="Times New Roman" w:hAnsi="Times New Roman"/>
          <w:sz w:val="24"/>
          <w:u w:val="single"/>
        </w:rPr>
        <w:t>laboratorijas</w:t>
      </w:r>
      <w:r>
        <w:rPr>
          <w:rFonts w:ascii="Times New Roman" w:hAnsi="Times New Roman"/>
          <w:sz w:val="24"/>
        </w:rPr>
        <w:t xml:space="preserve"> iegūtos </w:t>
      </w:r>
      <w:r>
        <w:rPr>
          <w:rFonts w:ascii="Times New Roman" w:hAnsi="Times New Roman"/>
          <w:i/>
          <w:iCs/>
          <w:sz w:val="24"/>
        </w:rPr>
        <w:t>paraugus</w:t>
      </w:r>
      <w:r>
        <w:rPr>
          <w:rFonts w:ascii="Times New Roman" w:hAnsi="Times New Roman"/>
          <w:sz w:val="24"/>
        </w:rPr>
        <w:t xml:space="preserve"> un rezultātus var nepārprotami saistīt ar </w:t>
      </w:r>
      <w:r>
        <w:rPr>
          <w:rFonts w:ascii="Times New Roman" w:hAnsi="Times New Roman"/>
          <w:i/>
          <w:iCs/>
          <w:sz w:val="24"/>
        </w:rPr>
        <w:t>sportistu</w:t>
      </w:r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  <w:u w:val="single"/>
        </w:rPr>
        <w:t>Laboratorijas iekšējās uzraudzības ķēdes</w:t>
      </w:r>
      <w:r>
        <w:rPr>
          <w:rFonts w:ascii="Times New Roman" w:hAnsi="Times New Roman"/>
          <w:sz w:val="24"/>
        </w:rPr>
        <w:t xml:space="preserve"> ieraksti tiek glabāti </w:t>
      </w:r>
      <w:r>
        <w:rPr>
          <w:rFonts w:ascii="Times New Roman" w:hAnsi="Times New Roman"/>
          <w:sz w:val="24"/>
          <w:u w:val="single"/>
        </w:rPr>
        <w:t>laboratorijā</w:t>
      </w:r>
      <w:r>
        <w:rPr>
          <w:rFonts w:ascii="Times New Roman" w:hAnsi="Times New Roman"/>
          <w:sz w:val="24"/>
        </w:rPr>
        <w:t xml:space="preserve">, lai reģistrētu </w:t>
      </w:r>
      <w:r>
        <w:rPr>
          <w:rFonts w:ascii="Times New Roman" w:hAnsi="Times New Roman"/>
          <w:sz w:val="24"/>
          <w:u w:val="single"/>
        </w:rPr>
        <w:t>analītisko pārbaužu</w:t>
      </w:r>
      <w:r>
        <w:rPr>
          <w:rFonts w:ascii="Times New Roman" w:hAnsi="Times New Roman"/>
          <w:sz w:val="24"/>
        </w:rPr>
        <w:t xml:space="preserve"> procesu un </w:t>
      </w:r>
      <w:r>
        <w:rPr>
          <w:rFonts w:ascii="Times New Roman" w:hAnsi="Times New Roman"/>
          <w:i/>
          <w:iCs/>
          <w:sz w:val="24"/>
        </w:rPr>
        <w:t>parauga</w:t>
      </w:r>
      <w:r>
        <w:rPr>
          <w:rFonts w:ascii="Times New Roman" w:hAnsi="Times New Roman"/>
          <w:sz w:val="24"/>
        </w:rPr>
        <w:t xml:space="preserve"> izsekojamību </w:t>
      </w:r>
      <w:r>
        <w:rPr>
          <w:rFonts w:ascii="Times New Roman" w:hAnsi="Times New Roman"/>
          <w:sz w:val="24"/>
          <w:u w:val="single"/>
        </w:rPr>
        <w:t>analītisko pārbaužu</w:t>
      </w:r>
      <w:r>
        <w:rPr>
          <w:rFonts w:ascii="Times New Roman" w:hAnsi="Times New Roman"/>
          <w:sz w:val="24"/>
        </w:rPr>
        <w:t xml:space="preserve"> laikā.</w:t>
      </w:r>
    </w:p>
    <w:p w14:paraId="450C2328" w14:textId="7DAD955C" w:rsidR="009F2E98" w:rsidRDefault="009F2E98" w:rsidP="009F2E98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</w:p>
    <w:p w14:paraId="0747F6D7" w14:textId="3E9183F0" w:rsidR="009F2E98" w:rsidRDefault="009F2E98" w:rsidP="009F2E98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</w:rPr>
        <w:t>Paraugi</w:t>
      </w:r>
      <w:r>
        <w:rPr>
          <w:rFonts w:ascii="Times New Roman" w:hAnsi="Times New Roman"/>
          <w:sz w:val="24"/>
        </w:rPr>
        <w:t xml:space="preserve"> tiek uzskatīti par uzraugāmiem, ja tie ir:</w:t>
      </w:r>
    </w:p>
    <w:p w14:paraId="6F7F6F71" w14:textId="7259E0E6" w:rsidR="009F2E98" w:rsidRPr="009F2E98" w:rsidRDefault="009F2E98" w:rsidP="009F2E98">
      <w:pPr>
        <w:pStyle w:val="ListParagraph"/>
        <w:widowControl w:val="0"/>
        <w:numPr>
          <w:ilvl w:val="0"/>
          <w:numId w:val="1"/>
        </w:numPr>
        <w:spacing w:after="0" w:line="240" w:lineRule="auto"/>
        <w:ind w:hanging="29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pilnvarota </w:t>
      </w:r>
      <w:r>
        <w:rPr>
          <w:rFonts w:ascii="Times New Roman" w:hAnsi="Times New Roman"/>
          <w:sz w:val="24"/>
          <w:u w:val="single"/>
        </w:rPr>
        <w:t>laboratorijas</w:t>
      </w:r>
      <w:r>
        <w:rPr>
          <w:rFonts w:ascii="Times New Roman" w:hAnsi="Times New Roman"/>
          <w:sz w:val="24"/>
        </w:rPr>
        <w:t xml:space="preserve"> personāla faktiskā valdījumā vai</w:t>
      </w:r>
    </w:p>
    <w:p w14:paraId="7D15C22D" w14:textId="68678B9F" w:rsidR="009F2E98" w:rsidRPr="009F2E98" w:rsidRDefault="009F2E98" w:rsidP="009F2E98">
      <w:pPr>
        <w:pStyle w:val="ListParagraph"/>
        <w:widowControl w:val="0"/>
        <w:numPr>
          <w:ilvl w:val="0"/>
          <w:numId w:val="1"/>
        </w:numPr>
        <w:spacing w:after="0" w:line="240" w:lineRule="auto"/>
        <w:ind w:hanging="29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pilnvarota </w:t>
      </w:r>
      <w:r>
        <w:rPr>
          <w:rFonts w:ascii="Times New Roman" w:hAnsi="Times New Roman"/>
          <w:sz w:val="24"/>
          <w:u w:val="single"/>
        </w:rPr>
        <w:t>laboratorijas</w:t>
      </w:r>
      <w:r>
        <w:rPr>
          <w:rFonts w:ascii="Times New Roman" w:hAnsi="Times New Roman"/>
          <w:sz w:val="24"/>
        </w:rPr>
        <w:t xml:space="preserve"> personāla redzeslokā pēc tam, kad tie bijuši viņa/viņas faktiskā valdījumā, vai</w:t>
      </w:r>
    </w:p>
    <w:p w14:paraId="676439DC" w14:textId="625D1D7B" w:rsidR="009F2E98" w:rsidRPr="009F2E98" w:rsidRDefault="009F2E98" w:rsidP="009F2E98">
      <w:pPr>
        <w:pStyle w:val="ListParagraph"/>
        <w:widowControl w:val="0"/>
        <w:numPr>
          <w:ilvl w:val="0"/>
          <w:numId w:val="1"/>
        </w:numPr>
        <w:spacing w:after="0" w:line="240" w:lineRule="auto"/>
        <w:ind w:hanging="29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glabāti drošā vietā.</w:t>
      </w:r>
    </w:p>
    <w:p w14:paraId="2940E754" w14:textId="39F74DB8" w:rsidR="009F2E98" w:rsidRDefault="009F2E98" w:rsidP="009F2E98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</w:p>
    <w:p w14:paraId="5F6D5B44" w14:textId="2D6DC05C" w:rsidR="009F2E98" w:rsidRDefault="009F2E98" w:rsidP="009F2E98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Alikvotas</w:t>
      </w:r>
      <w:r>
        <w:rPr>
          <w:rFonts w:ascii="Times New Roman" w:hAnsi="Times New Roman"/>
          <w:sz w:val="24"/>
        </w:rPr>
        <w:t xml:space="preserve"> tiek uzskatītas par uzraugāmām, ja tās:</w:t>
      </w:r>
    </w:p>
    <w:p w14:paraId="6679552C" w14:textId="2A67C135" w:rsidR="009F2E98" w:rsidRPr="009F2E98" w:rsidRDefault="009F2E98" w:rsidP="009F2E98">
      <w:pPr>
        <w:pStyle w:val="ListParagraph"/>
        <w:widowControl w:val="0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tiek turētas kontrolētā zonā ar ierobežotu piekļuvi tikai pilnvarotām personām.</w:t>
      </w:r>
    </w:p>
    <w:p w14:paraId="696BD608" w14:textId="68FEF18E" w:rsidR="009F2E98" w:rsidRDefault="009F2E98" w:rsidP="009F2E98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</w:p>
    <w:p w14:paraId="1785D012" w14:textId="63AF3616" w:rsidR="009F2E98" w:rsidRDefault="009F2E98" w:rsidP="009F2E98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Laboratorijas iekšējā uzraudzības ķēde</w:t>
      </w:r>
      <w:r>
        <w:rPr>
          <w:rFonts w:ascii="Times New Roman" w:hAnsi="Times New Roman"/>
          <w:sz w:val="24"/>
        </w:rPr>
        <w:t xml:space="preserve"> ir dokumentācija (darblapas, reģistrācijas žurnāli, anketas utt.), kurās reģistrē </w:t>
      </w:r>
      <w:r>
        <w:rPr>
          <w:rFonts w:ascii="Times New Roman" w:hAnsi="Times New Roman"/>
          <w:i/>
          <w:iCs/>
          <w:sz w:val="24"/>
        </w:rPr>
        <w:t>paraugu</w:t>
      </w:r>
      <w:r>
        <w:rPr>
          <w:rFonts w:ascii="Times New Roman" w:hAnsi="Times New Roman"/>
          <w:sz w:val="24"/>
        </w:rPr>
        <w:t xml:space="preserve"> un </w:t>
      </w:r>
      <w:r>
        <w:rPr>
          <w:rFonts w:ascii="Times New Roman" w:hAnsi="Times New Roman"/>
          <w:i/>
          <w:iCs/>
          <w:sz w:val="24"/>
        </w:rPr>
        <w:t>paraugu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u w:val="single"/>
        </w:rPr>
        <w:t>alikvotu</w:t>
      </w:r>
      <w:r>
        <w:rPr>
          <w:rFonts w:ascii="Times New Roman" w:hAnsi="Times New Roman"/>
          <w:sz w:val="24"/>
        </w:rPr>
        <w:t xml:space="preserve"> uzraudzību analīzes laikā. </w:t>
      </w:r>
      <w:r>
        <w:rPr>
          <w:rFonts w:ascii="Times New Roman" w:hAnsi="Times New Roman"/>
          <w:sz w:val="24"/>
          <w:u w:val="single"/>
        </w:rPr>
        <w:t>Laboratorijas iekšējai uzraudzības ķēdei</w:t>
      </w:r>
      <w:r>
        <w:rPr>
          <w:rFonts w:ascii="Times New Roman" w:hAnsi="Times New Roman"/>
          <w:sz w:val="24"/>
        </w:rPr>
        <w:t xml:space="preserve"> nav nepieciešama atsevišķa anketa. </w:t>
      </w:r>
      <w:r>
        <w:rPr>
          <w:rFonts w:ascii="Times New Roman" w:hAnsi="Times New Roman"/>
          <w:sz w:val="24"/>
          <w:u w:val="single"/>
        </w:rPr>
        <w:t>Laboratorijā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u w:val="single"/>
        </w:rPr>
        <w:t>laboratorijas iekšējā uzraudzības ķēde</w:t>
      </w:r>
      <w:r>
        <w:rPr>
          <w:rFonts w:ascii="Times New Roman" w:hAnsi="Times New Roman"/>
          <w:sz w:val="24"/>
        </w:rPr>
        <w:t xml:space="preserve"> ir nepārtraukts to personu reģistrs, kuras uzrauga </w:t>
      </w:r>
      <w:r>
        <w:rPr>
          <w:rFonts w:ascii="Times New Roman" w:hAnsi="Times New Roman"/>
          <w:i/>
          <w:iCs/>
          <w:sz w:val="24"/>
        </w:rPr>
        <w:t>paraugus</w:t>
      </w:r>
      <w:r>
        <w:rPr>
          <w:rFonts w:ascii="Times New Roman" w:hAnsi="Times New Roman"/>
          <w:sz w:val="24"/>
        </w:rPr>
        <w:t xml:space="preserve"> vai </w:t>
      </w:r>
      <w:r>
        <w:rPr>
          <w:rFonts w:ascii="Times New Roman" w:hAnsi="Times New Roman"/>
          <w:i/>
          <w:iCs/>
          <w:sz w:val="24"/>
        </w:rPr>
        <w:t>paraugu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u w:val="single"/>
        </w:rPr>
        <w:t>alikvotas</w:t>
      </w:r>
      <w:r>
        <w:rPr>
          <w:rFonts w:ascii="Times New Roman" w:hAnsi="Times New Roman"/>
          <w:sz w:val="24"/>
        </w:rPr>
        <w:t>.</w:t>
      </w:r>
    </w:p>
    <w:p w14:paraId="53BAC601" w14:textId="26058CA4" w:rsidR="009F2E98" w:rsidRDefault="009F2E98" w:rsidP="009F2E98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</w:p>
    <w:p w14:paraId="3DF1484B" w14:textId="3901E45F" w:rsidR="009F2E98" w:rsidRPr="00903828" w:rsidRDefault="009F2E98" w:rsidP="00903828">
      <w:pPr>
        <w:pStyle w:val="ListParagraph"/>
        <w:widowControl w:val="0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</w:rPr>
        <w:t>Paraugam</w:t>
      </w:r>
      <w:r>
        <w:rPr>
          <w:rFonts w:ascii="Times New Roman" w:hAnsi="Times New Roman"/>
          <w:sz w:val="24"/>
        </w:rPr>
        <w:t xml:space="preserve"> vai </w:t>
      </w:r>
      <w:r>
        <w:rPr>
          <w:rFonts w:ascii="Times New Roman" w:hAnsi="Times New Roman"/>
          <w:sz w:val="24"/>
          <w:u w:val="single"/>
        </w:rPr>
        <w:t>alikvotai</w:t>
      </w:r>
      <w:r>
        <w:rPr>
          <w:rFonts w:ascii="Times New Roman" w:hAnsi="Times New Roman"/>
          <w:sz w:val="24"/>
        </w:rPr>
        <w:t xml:space="preserve">, atrodoties nekontrolētā vai nenodrošinātā </w:t>
      </w:r>
      <w:r>
        <w:rPr>
          <w:rFonts w:ascii="Times New Roman" w:hAnsi="Times New Roman"/>
          <w:sz w:val="24"/>
          <w:u w:val="single"/>
        </w:rPr>
        <w:t>laboratorijas</w:t>
      </w:r>
      <w:r>
        <w:rPr>
          <w:rFonts w:ascii="Times New Roman" w:hAnsi="Times New Roman"/>
          <w:sz w:val="24"/>
        </w:rPr>
        <w:t xml:space="preserve"> zonā, jābūt pilnvarota </w:t>
      </w:r>
      <w:r>
        <w:rPr>
          <w:rFonts w:ascii="Times New Roman" w:hAnsi="Times New Roman"/>
          <w:sz w:val="24"/>
          <w:u w:val="single"/>
        </w:rPr>
        <w:t>laboratorijas</w:t>
      </w:r>
      <w:r>
        <w:rPr>
          <w:rFonts w:ascii="Times New Roman" w:hAnsi="Times New Roman"/>
          <w:sz w:val="24"/>
        </w:rPr>
        <w:t xml:space="preserve"> personāla rīcībā.</w:t>
      </w:r>
    </w:p>
    <w:p w14:paraId="18A2E5C8" w14:textId="2AFA4A02" w:rsidR="009F2E98" w:rsidRPr="00903828" w:rsidRDefault="009F2E98" w:rsidP="00903828">
      <w:pPr>
        <w:pStyle w:val="ListParagraph"/>
        <w:widowControl w:val="0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Visus ierakstus </w:t>
      </w:r>
      <w:r>
        <w:rPr>
          <w:rFonts w:ascii="Times New Roman" w:hAnsi="Times New Roman"/>
          <w:sz w:val="24"/>
          <w:u w:val="single"/>
        </w:rPr>
        <w:t>laboratorijas iekšējā uzraudzības ķēdē</w:t>
      </w:r>
      <w:r>
        <w:rPr>
          <w:rFonts w:ascii="Times New Roman" w:hAnsi="Times New Roman"/>
          <w:sz w:val="24"/>
        </w:rPr>
        <w:t xml:space="preserve"> izdara brīdī, kad notiek jebkādas izmaiņas uzraudzībā, un to veic iesaistītie darbinieki. Norādes uz laiku nav jāreģistrē uzraudzības ķēdē.</w:t>
      </w:r>
    </w:p>
    <w:p w14:paraId="5EF600FF" w14:textId="1E912169" w:rsidR="00903828" w:rsidRDefault="00903828" w:rsidP="009F2E98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</w:p>
    <w:p w14:paraId="40BB8CC4" w14:textId="54856C95" w:rsidR="00903828" w:rsidRDefault="00903828" w:rsidP="009F2E98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Uzraudzības ķēde ir nepieciešama gan “A” un “B” </w:t>
      </w:r>
      <w:r>
        <w:rPr>
          <w:rFonts w:ascii="Times New Roman" w:hAnsi="Times New Roman"/>
          <w:i/>
          <w:iCs/>
          <w:sz w:val="24"/>
        </w:rPr>
        <w:t>paraugu</w:t>
      </w:r>
      <w:r>
        <w:rPr>
          <w:rFonts w:ascii="Times New Roman" w:hAnsi="Times New Roman"/>
          <w:sz w:val="24"/>
        </w:rPr>
        <w:t xml:space="preserve"> pudelēm, gan visām </w:t>
      </w:r>
      <w:r>
        <w:rPr>
          <w:rFonts w:ascii="Times New Roman" w:hAnsi="Times New Roman"/>
          <w:sz w:val="24"/>
          <w:u w:val="single"/>
        </w:rPr>
        <w:t>alikvotām</w:t>
      </w:r>
      <w:r>
        <w:rPr>
          <w:rFonts w:ascii="Times New Roman" w:hAnsi="Times New Roman"/>
          <w:sz w:val="24"/>
        </w:rPr>
        <w:t xml:space="preserve">, kas sagatavotas </w:t>
      </w:r>
      <w:r>
        <w:rPr>
          <w:rFonts w:ascii="Times New Roman" w:hAnsi="Times New Roman"/>
          <w:sz w:val="24"/>
          <w:u w:val="single"/>
        </w:rPr>
        <w:t>analītisko pārbaužu</w:t>
      </w:r>
      <w:r>
        <w:rPr>
          <w:rFonts w:ascii="Times New Roman" w:hAnsi="Times New Roman"/>
          <w:sz w:val="24"/>
        </w:rPr>
        <w:t xml:space="preserve"> procedūrai.</w:t>
      </w:r>
    </w:p>
    <w:p w14:paraId="1DA36A92" w14:textId="213C1FBC" w:rsidR="00903828" w:rsidRDefault="00903828" w:rsidP="009F2E98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</w:p>
    <w:p w14:paraId="1A9A27B8" w14:textId="35F8EB72" w:rsidR="00903828" w:rsidRPr="00F72063" w:rsidRDefault="00903828" w:rsidP="00F72063">
      <w:pPr>
        <w:pStyle w:val="ListParagraph"/>
        <w:widowControl w:val="0"/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</w:rPr>
      </w:pPr>
      <w:r w:rsidRPr="00F72063">
        <w:rPr>
          <w:rFonts w:ascii="Times New Roman" w:hAnsi="Times New Roman"/>
          <w:sz w:val="24"/>
        </w:rPr>
        <w:t xml:space="preserve">Saistībā ar </w:t>
      </w:r>
      <w:r w:rsidRPr="00F72063">
        <w:rPr>
          <w:rFonts w:ascii="Times New Roman" w:hAnsi="Times New Roman"/>
          <w:i/>
          <w:iCs/>
          <w:sz w:val="24"/>
        </w:rPr>
        <w:t>paraugiem</w:t>
      </w:r>
      <w:r w:rsidRPr="00F72063">
        <w:rPr>
          <w:rFonts w:ascii="Times New Roman" w:hAnsi="Times New Roman"/>
          <w:sz w:val="24"/>
        </w:rPr>
        <w:t xml:space="preserve"> </w:t>
      </w:r>
      <w:r w:rsidRPr="00F72063">
        <w:rPr>
          <w:rFonts w:ascii="Times New Roman" w:hAnsi="Times New Roman"/>
          <w:sz w:val="24"/>
          <w:u w:val="single"/>
        </w:rPr>
        <w:t>laboratorijas iekšējā uzraudzības ķēdē</w:t>
      </w:r>
      <w:r w:rsidRPr="00F72063">
        <w:rPr>
          <w:rFonts w:ascii="Times New Roman" w:hAnsi="Times New Roman"/>
          <w:sz w:val="24"/>
        </w:rPr>
        <w:t xml:space="preserve"> reģistrē visu uzraudzību, sākot no saņemšanas </w:t>
      </w:r>
      <w:r w:rsidRPr="00F72063">
        <w:rPr>
          <w:rFonts w:ascii="Times New Roman" w:hAnsi="Times New Roman"/>
          <w:sz w:val="24"/>
          <w:u w:val="single"/>
        </w:rPr>
        <w:t>laboratorijā</w:t>
      </w:r>
      <w:r w:rsidRPr="00F72063">
        <w:rPr>
          <w:rFonts w:ascii="Times New Roman" w:hAnsi="Times New Roman"/>
          <w:sz w:val="24"/>
        </w:rPr>
        <w:t xml:space="preserve"> līdz uzglabāšanai, paraugu ņemšanai un iznīcināšanai. Detalizēti jānorāda arī katras saldētavas vienības unikālais identifikators (saldētavas vai ledusskapja identifikācija), ko izmanto </w:t>
      </w:r>
      <w:r w:rsidRPr="00F72063">
        <w:rPr>
          <w:rFonts w:ascii="Times New Roman" w:hAnsi="Times New Roman"/>
          <w:i/>
          <w:iCs/>
          <w:sz w:val="24"/>
        </w:rPr>
        <w:t>parauga(-u)</w:t>
      </w:r>
      <w:r w:rsidRPr="00F72063">
        <w:rPr>
          <w:rFonts w:ascii="Times New Roman" w:hAnsi="Times New Roman"/>
          <w:sz w:val="24"/>
        </w:rPr>
        <w:t xml:space="preserve"> uzglabāšanai.</w:t>
      </w:r>
    </w:p>
    <w:p w14:paraId="296D4317" w14:textId="35134D59" w:rsidR="00903828" w:rsidRPr="00F72063" w:rsidRDefault="00903828" w:rsidP="00F72063">
      <w:pPr>
        <w:pStyle w:val="ListParagraph"/>
        <w:widowControl w:val="0"/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</w:rPr>
      </w:pPr>
      <w:r w:rsidRPr="00F72063">
        <w:rPr>
          <w:rFonts w:ascii="Times New Roman" w:hAnsi="Times New Roman"/>
          <w:sz w:val="24"/>
        </w:rPr>
        <w:t xml:space="preserve">Saistībā ar </w:t>
      </w:r>
      <w:r w:rsidRPr="00F72063">
        <w:rPr>
          <w:rFonts w:ascii="Times New Roman" w:hAnsi="Times New Roman"/>
          <w:sz w:val="24"/>
          <w:u w:val="single"/>
        </w:rPr>
        <w:t>alikvotām</w:t>
      </w:r>
      <w:r w:rsidRPr="00F72063">
        <w:rPr>
          <w:rFonts w:ascii="Times New Roman" w:hAnsi="Times New Roman"/>
          <w:sz w:val="24"/>
        </w:rPr>
        <w:t xml:space="preserve"> </w:t>
      </w:r>
      <w:r w:rsidRPr="00F72063">
        <w:rPr>
          <w:rFonts w:ascii="Times New Roman" w:hAnsi="Times New Roman"/>
          <w:sz w:val="24"/>
          <w:u w:val="single"/>
        </w:rPr>
        <w:t>laboratorijas iekšējā uzraudzības ķēdē</w:t>
      </w:r>
      <w:r w:rsidRPr="00F72063">
        <w:rPr>
          <w:rFonts w:ascii="Times New Roman" w:hAnsi="Times New Roman"/>
          <w:sz w:val="24"/>
        </w:rPr>
        <w:t xml:space="preserve"> reģistrē visu uzraudzību, sākot no sagatavošanās līdz analīzei, tostarp datumu, pārbaudi, kurai tika iegūta alikvota, </w:t>
      </w:r>
      <w:r w:rsidRPr="00F72063">
        <w:rPr>
          <w:rFonts w:ascii="Times New Roman" w:hAnsi="Times New Roman"/>
          <w:sz w:val="24"/>
          <w:u w:val="single"/>
        </w:rPr>
        <w:t>laboratorijas alikvotas</w:t>
      </w:r>
      <w:r w:rsidRPr="00F72063">
        <w:rPr>
          <w:rFonts w:ascii="Times New Roman" w:hAnsi="Times New Roman"/>
          <w:sz w:val="24"/>
        </w:rPr>
        <w:t xml:space="preserve"> identifikāciju, tās(-o) personas(-u) identitāti, kura(-as) sagatavo </w:t>
      </w:r>
      <w:r w:rsidRPr="00F72063">
        <w:rPr>
          <w:rFonts w:ascii="Times New Roman" w:hAnsi="Times New Roman"/>
          <w:sz w:val="24"/>
          <w:u w:val="single"/>
        </w:rPr>
        <w:t>alikvotu(-as)</w:t>
      </w:r>
      <w:r w:rsidRPr="00F72063">
        <w:rPr>
          <w:rFonts w:ascii="Times New Roman" w:hAnsi="Times New Roman"/>
          <w:sz w:val="24"/>
        </w:rPr>
        <w:t xml:space="preserve">, un personu(-as), kura(-as) iegūst </w:t>
      </w:r>
      <w:r w:rsidRPr="00F72063">
        <w:rPr>
          <w:rFonts w:ascii="Times New Roman" w:hAnsi="Times New Roman"/>
          <w:sz w:val="24"/>
          <w:u w:val="single"/>
        </w:rPr>
        <w:t>alikvotu(-as)</w:t>
      </w:r>
      <w:r w:rsidRPr="00F72063">
        <w:rPr>
          <w:rFonts w:ascii="Times New Roman" w:hAnsi="Times New Roman"/>
          <w:sz w:val="24"/>
        </w:rPr>
        <w:t xml:space="preserve"> analīzei.</w:t>
      </w:r>
    </w:p>
    <w:p w14:paraId="408B1E88" w14:textId="0642C327" w:rsidR="00903828" w:rsidRPr="00F72063" w:rsidRDefault="00903828" w:rsidP="00F72063">
      <w:pPr>
        <w:pStyle w:val="ListParagraph"/>
        <w:widowControl w:val="0"/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</w:rPr>
      </w:pPr>
      <w:r w:rsidRPr="00F72063">
        <w:rPr>
          <w:rFonts w:ascii="Times New Roman" w:hAnsi="Times New Roman"/>
          <w:sz w:val="24"/>
        </w:rPr>
        <w:t xml:space="preserve">Ja </w:t>
      </w:r>
      <w:r w:rsidRPr="00F72063">
        <w:rPr>
          <w:rFonts w:ascii="Times New Roman" w:hAnsi="Times New Roman"/>
          <w:i/>
          <w:iCs/>
          <w:sz w:val="24"/>
        </w:rPr>
        <w:t>paraugu</w:t>
      </w:r>
      <w:r w:rsidRPr="00F72063">
        <w:rPr>
          <w:rFonts w:ascii="Times New Roman" w:hAnsi="Times New Roman"/>
          <w:sz w:val="24"/>
        </w:rPr>
        <w:t xml:space="preserve"> grupa tiek sadalīta alikvotās </w:t>
      </w:r>
      <w:r w:rsidRPr="00F72063">
        <w:rPr>
          <w:rFonts w:ascii="Times New Roman" w:hAnsi="Times New Roman"/>
          <w:sz w:val="24"/>
          <w:u w:val="single"/>
        </w:rPr>
        <w:t>analītiskajām pārbaudēm</w:t>
      </w:r>
      <w:r w:rsidRPr="00F72063">
        <w:rPr>
          <w:rFonts w:ascii="Times New Roman" w:hAnsi="Times New Roman"/>
          <w:sz w:val="24"/>
        </w:rPr>
        <w:t xml:space="preserve">, atsevišķas </w:t>
      </w:r>
      <w:r w:rsidRPr="00F72063">
        <w:rPr>
          <w:rFonts w:ascii="Times New Roman" w:hAnsi="Times New Roman"/>
          <w:sz w:val="24"/>
          <w:u w:val="single"/>
        </w:rPr>
        <w:t>alikvotas laboratorijas iekšējās uzraudzības ķēdes</w:t>
      </w:r>
      <w:r w:rsidRPr="00F72063">
        <w:rPr>
          <w:rFonts w:ascii="Times New Roman" w:hAnsi="Times New Roman"/>
          <w:sz w:val="24"/>
        </w:rPr>
        <w:t xml:space="preserve"> vietā var izmantot partijas </w:t>
      </w:r>
      <w:r w:rsidRPr="00F72063">
        <w:rPr>
          <w:rFonts w:ascii="Times New Roman" w:hAnsi="Times New Roman"/>
          <w:sz w:val="24"/>
          <w:u w:val="single"/>
        </w:rPr>
        <w:t xml:space="preserve">alikvotu laboratorijas </w:t>
      </w:r>
      <w:r w:rsidRPr="00F72063">
        <w:rPr>
          <w:rFonts w:ascii="Times New Roman" w:hAnsi="Times New Roman"/>
          <w:sz w:val="24"/>
          <w:u w:val="single"/>
        </w:rPr>
        <w:lastRenderedPageBreak/>
        <w:t>iekšējās uzraudzības ķēdes</w:t>
      </w:r>
      <w:r w:rsidRPr="00F72063">
        <w:rPr>
          <w:rFonts w:ascii="Times New Roman" w:hAnsi="Times New Roman"/>
          <w:sz w:val="24"/>
        </w:rPr>
        <w:t xml:space="preserve"> dokumentu atlasei un/vai apstiprināšanai.</w:t>
      </w:r>
    </w:p>
    <w:p w14:paraId="4A4570F4" w14:textId="4FCD7324" w:rsidR="00903828" w:rsidRPr="00F72063" w:rsidRDefault="00903828" w:rsidP="00F72063">
      <w:pPr>
        <w:pStyle w:val="ListParagraph"/>
        <w:widowControl w:val="0"/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</w:rPr>
      </w:pPr>
      <w:r w:rsidRPr="00F72063">
        <w:rPr>
          <w:rFonts w:ascii="Times New Roman" w:hAnsi="Times New Roman"/>
          <w:sz w:val="24"/>
        </w:rPr>
        <w:t>Tiesu medicīnas ekspertīžu korekciju veic saskaņā ar ISO/IEC 17025</w:t>
      </w:r>
      <w:r>
        <w:rPr>
          <w:rStyle w:val="FootnoteReference"/>
          <w:rFonts w:ascii="Times New Roman" w:hAnsi="Times New Roman"/>
          <w:sz w:val="24"/>
        </w:rPr>
        <w:footnoteReference w:id="1"/>
      </w:r>
      <w:r w:rsidRPr="00F72063">
        <w:rPr>
          <w:rFonts w:ascii="Times New Roman" w:hAnsi="Times New Roman"/>
          <w:sz w:val="24"/>
        </w:rPr>
        <w:t>.</w:t>
      </w:r>
    </w:p>
    <w:p w14:paraId="4267551E" w14:textId="77777777" w:rsidR="00903828" w:rsidRPr="00903828" w:rsidRDefault="00903828" w:rsidP="009F2E98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</w:p>
    <w:p w14:paraId="032FFC88" w14:textId="58BEA581" w:rsidR="009F2E98" w:rsidRDefault="00903828" w:rsidP="009F2E98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Visas novirzes no uzraudzības ķēdes jādokumentē kā daļa no reģistra un jāiekļauj paziņojums par ietekmi.</w:t>
      </w:r>
    </w:p>
    <w:p w14:paraId="4D06F1FC" w14:textId="77777777" w:rsidR="00767ADB" w:rsidRPr="00767ADB" w:rsidRDefault="00767ADB" w:rsidP="00767ADB">
      <w:pPr>
        <w:widowControl w:val="0"/>
        <w:spacing w:after="0" w:line="240" w:lineRule="auto"/>
        <w:rPr>
          <w:rFonts w:ascii="Times New Roman" w:hAnsi="Times New Roman"/>
          <w:sz w:val="24"/>
        </w:rPr>
      </w:pPr>
    </w:p>
    <w:sectPr w:rsidR="00767ADB" w:rsidRPr="00767ADB" w:rsidSect="00767ADB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B9D822" w14:textId="77777777" w:rsidR="00767ADB" w:rsidRDefault="00767ADB" w:rsidP="00767ADB">
      <w:pPr>
        <w:spacing w:after="0" w:line="240" w:lineRule="auto"/>
      </w:pPr>
      <w:r>
        <w:separator/>
      </w:r>
    </w:p>
  </w:endnote>
  <w:endnote w:type="continuationSeparator" w:id="0">
    <w:p w14:paraId="577F024C" w14:textId="77777777" w:rsidR="00767ADB" w:rsidRDefault="00767ADB" w:rsidP="00767A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386810" w14:textId="77777777" w:rsidR="00344088" w:rsidRPr="00344088" w:rsidRDefault="00344088" w:rsidP="00344088">
    <w:pPr>
      <w:pStyle w:val="Header"/>
      <w:tabs>
        <w:tab w:val="left" w:pos="9072"/>
      </w:tabs>
      <w:rPr>
        <w:rStyle w:val="PageNumber"/>
        <w:rFonts w:ascii="Times New Roman" w:hAnsi="Times New Roman" w:cs="Times New Roman"/>
        <w:sz w:val="20"/>
        <w:szCs w:val="18"/>
      </w:rPr>
    </w:pPr>
  </w:p>
  <w:p w14:paraId="3BFCD766" w14:textId="6EF81053" w:rsidR="00344088" w:rsidRPr="00344088" w:rsidRDefault="00344088" w:rsidP="00344088">
    <w:pPr>
      <w:pStyle w:val="Header"/>
      <w:tabs>
        <w:tab w:val="clear" w:pos="4513"/>
        <w:tab w:val="clear" w:pos="9026"/>
        <w:tab w:val="right" w:leader="underscore" w:pos="9072"/>
      </w:tabs>
      <w:rPr>
        <w:rStyle w:val="PageNumber"/>
        <w:rFonts w:ascii="Times New Roman" w:hAnsi="Times New Roman" w:cs="Times New Roman"/>
        <w:sz w:val="20"/>
        <w:szCs w:val="18"/>
      </w:rPr>
    </w:pPr>
    <w:r w:rsidRPr="00344088">
      <w:rPr>
        <w:rStyle w:val="PageNumber"/>
        <w:rFonts w:ascii="Times New Roman" w:hAnsi="Times New Roman" w:cs="Times New Roman"/>
        <w:sz w:val="20"/>
        <w:szCs w:val="18"/>
      </w:rPr>
      <w:tab/>
    </w:r>
  </w:p>
  <w:p w14:paraId="6DE036A0" w14:textId="77777777" w:rsidR="00344088" w:rsidRPr="00344088" w:rsidRDefault="00344088" w:rsidP="00344088">
    <w:pPr>
      <w:pStyle w:val="Header"/>
      <w:tabs>
        <w:tab w:val="right" w:pos="9072"/>
      </w:tabs>
      <w:rPr>
        <w:rStyle w:val="PageNumber"/>
        <w:rFonts w:ascii="Times New Roman" w:hAnsi="Times New Roman" w:cs="Times New Roman"/>
        <w:sz w:val="20"/>
        <w:szCs w:val="18"/>
      </w:rPr>
    </w:pPr>
  </w:p>
  <w:p w14:paraId="4D9C7868" w14:textId="77777777" w:rsidR="00344088" w:rsidRPr="00344088" w:rsidRDefault="00344088" w:rsidP="00344088">
    <w:pPr>
      <w:pStyle w:val="Footer"/>
      <w:tabs>
        <w:tab w:val="clear" w:pos="4513"/>
        <w:tab w:val="clear" w:pos="9026"/>
        <w:tab w:val="center" w:pos="9071"/>
      </w:tabs>
      <w:rPr>
        <w:rFonts w:ascii="Times New Roman" w:hAnsi="Times New Roman" w:cs="Times New Roman"/>
        <w:sz w:val="20"/>
        <w:szCs w:val="18"/>
      </w:rPr>
    </w:pPr>
    <w:r w:rsidRPr="00344088">
      <w:rPr>
        <w:rFonts w:ascii="Times New Roman" w:hAnsi="Times New Roman" w:cs="Times New Roman"/>
        <w:noProof/>
        <w:sz w:val="20"/>
        <w:szCs w:val="18"/>
      </w:rPr>
      <w:t xml:space="preserve">Tulkojums </w:t>
    </w:r>
    <w:r w:rsidRPr="00344088">
      <w:rPr>
        <w:rFonts w:ascii="Times New Roman" w:hAnsi="Times New Roman" w:cs="Times New Roman"/>
        <w:noProof/>
        <w:sz w:val="20"/>
        <w:szCs w:val="18"/>
      </w:rPr>
      <w:fldChar w:fldCharType="begin"/>
    </w:r>
    <w:r w:rsidRPr="00344088">
      <w:rPr>
        <w:rFonts w:ascii="Times New Roman" w:hAnsi="Times New Roman" w:cs="Times New Roman"/>
        <w:noProof/>
        <w:sz w:val="20"/>
        <w:szCs w:val="18"/>
      </w:rPr>
      <w:instrText>symbol 211 \f "Symbol" \s 9</w:instrText>
    </w:r>
    <w:r w:rsidRPr="00344088">
      <w:rPr>
        <w:rFonts w:ascii="Times New Roman" w:hAnsi="Times New Roman" w:cs="Times New Roman"/>
        <w:noProof/>
        <w:sz w:val="20"/>
        <w:szCs w:val="18"/>
      </w:rPr>
      <w:fldChar w:fldCharType="separate"/>
    </w:r>
    <w:r w:rsidRPr="00344088">
      <w:rPr>
        <w:rFonts w:ascii="Times New Roman" w:hAnsi="Times New Roman" w:cs="Times New Roman"/>
        <w:noProof/>
        <w:sz w:val="20"/>
        <w:szCs w:val="18"/>
      </w:rPr>
      <w:t>Ó</w:t>
    </w:r>
    <w:r w:rsidRPr="00344088">
      <w:rPr>
        <w:rFonts w:ascii="Times New Roman" w:hAnsi="Times New Roman" w:cs="Times New Roman"/>
        <w:noProof/>
        <w:sz w:val="20"/>
        <w:szCs w:val="18"/>
      </w:rPr>
      <w:fldChar w:fldCharType="end"/>
    </w:r>
    <w:r w:rsidRPr="00344088">
      <w:rPr>
        <w:rFonts w:ascii="Times New Roman" w:hAnsi="Times New Roman" w:cs="Times New Roman"/>
        <w:noProof/>
        <w:sz w:val="20"/>
        <w:szCs w:val="18"/>
      </w:rPr>
      <w:t xml:space="preserve"> Valsts valodas centrs, 2020</w:t>
    </w:r>
    <w:r w:rsidRPr="00344088">
      <w:rPr>
        <w:rFonts w:ascii="Times New Roman" w:hAnsi="Times New Roman" w:cs="Times New Roman"/>
        <w:sz w:val="20"/>
        <w:szCs w:val="18"/>
      </w:rPr>
      <w:tab/>
    </w:r>
    <w:r w:rsidRPr="00344088">
      <w:rPr>
        <w:rStyle w:val="PageNumber"/>
        <w:rFonts w:ascii="Times New Roman" w:hAnsi="Times New Roman" w:cs="Times New Roman"/>
        <w:sz w:val="20"/>
        <w:szCs w:val="18"/>
      </w:rPr>
      <w:fldChar w:fldCharType="begin"/>
    </w:r>
    <w:r w:rsidRPr="00344088">
      <w:rPr>
        <w:rStyle w:val="PageNumber"/>
        <w:rFonts w:ascii="Times New Roman" w:hAnsi="Times New Roman" w:cs="Times New Roman"/>
        <w:sz w:val="20"/>
        <w:szCs w:val="18"/>
      </w:rPr>
      <w:instrText xml:space="preserve">page </w:instrText>
    </w:r>
    <w:r w:rsidRPr="00344088">
      <w:rPr>
        <w:rStyle w:val="PageNumber"/>
        <w:rFonts w:ascii="Times New Roman" w:hAnsi="Times New Roman" w:cs="Times New Roman"/>
        <w:sz w:val="20"/>
        <w:szCs w:val="18"/>
      </w:rPr>
      <w:fldChar w:fldCharType="separate"/>
    </w:r>
    <w:r w:rsidRPr="00344088">
      <w:rPr>
        <w:rStyle w:val="PageNumber"/>
        <w:rFonts w:ascii="Times New Roman" w:hAnsi="Times New Roman" w:cs="Times New Roman"/>
        <w:sz w:val="20"/>
        <w:szCs w:val="18"/>
      </w:rPr>
      <w:t>2</w:t>
    </w:r>
    <w:r w:rsidRPr="00344088">
      <w:rPr>
        <w:rStyle w:val="PageNumber"/>
        <w:rFonts w:ascii="Times New Roman" w:hAnsi="Times New Roman" w:cs="Times New Roman"/>
        <w:sz w:val="20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39B684" w14:textId="77777777" w:rsidR="00344088" w:rsidRPr="00344088" w:rsidRDefault="00344088" w:rsidP="00344088">
    <w:pPr>
      <w:pStyle w:val="Header"/>
      <w:tabs>
        <w:tab w:val="left" w:pos="9072"/>
      </w:tabs>
      <w:rPr>
        <w:rStyle w:val="PageNumber"/>
        <w:rFonts w:ascii="Times New Roman" w:hAnsi="Times New Roman" w:cs="Times New Roman"/>
        <w:sz w:val="20"/>
        <w:szCs w:val="18"/>
      </w:rPr>
    </w:pPr>
    <w:bookmarkStart w:id="14" w:name="_Hlk496261764"/>
    <w:bookmarkStart w:id="15" w:name="_Hlk496261765"/>
    <w:bookmarkStart w:id="16" w:name="_Hlk496261766"/>
    <w:bookmarkStart w:id="17" w:name="_Hlk30491075"/>
    <w:bookmarkStart w:id="18" w:name="_Hlk30491076"/>
  </w:p>
  <w:p w14:paraId="471BC8A2" w14:textId="6D45ACD2" w:rsidR="00344088" w:rsidRPr="00344088" w:rsidRDefault="00344088" w:rsidP="00344088">
    <w:pPr>
      <w:pStyle w:val="Header"/>
      <w:tabs>
        <w:tab w:val="clear" w:pos="4513"/>
        <w:tab w:val="clear" w:pos="9026"/>
        <w:tab w:val="left" w:leader="underscore" w:pos="9072"/>
      </w:tabs>
      <w:rPr>
        <w:rStyle w:val="PageNumber"/>
        <w:rFonts w:ascii="Times New Roman" w:hAnsi="Times New Roman" w:cs="Times New Roman"/>
        <w:sz w:val="20"/>
        <w:szCs w:val="18"/>
      </w:rPr>
    </w:pPr>
    <w:r w:rsidRPr="00344088">
      <w:rPr>
        <w:rStyle w:val="PageNumber"/>
        <w:rFonts w:ascii="Times New Roman" w:hAnsi="Times New Roman" w:cs="Times New Roman"/>
        <w:sz w:val="20"/>
        <w:szCs w:val="18"/>
      </w:rPr>
      <w:tab/>
    </w:r>
  </w:p>
  <w:p w14:paraId="0FECD129" w14:textId="77777777" w:rsidR="00344088" w:rsidRPr="00344088" w:rsidRDefault="00344088" w:rsidP="00344088">
    <w:pPr>
      <w:pStyle w:val="Header"/>
      <w:tabs>
        <w:tab w:val="left" w:pos="9072"/>
      </w:tabs>
      <w:rPr>
        <w:rStyle w:val="PageNumber"/>
        <w:rFonts w:ascii="Times New Roman" w:hAnsi="Times New Roman" w:cs="Times New Roman"/>
        <w:sz w:val="20"/>
        <w:szCs w:val="18"/>
      </w:rPr>
    </w:pPr>
  </w:p>
  <w:p w14:paraId="0B20D15D" w14:textId="77777777" w:rsidR="00344088" w:rsidRPr="00344088" w:rsidRDefault="00344088" w:rsidP="00344088">
    <w:pPr>
      <w:pStyle w:val="Footer"/>
      <w:rPr>
        <w:rFonts w:ascii="Times New Roman" w:hAnsi="Times New Roman" w:cs="Times New Roman"/>
        <w:sz w:val="20"/>
        <w:szCs w:val="18"/>
      </w:rPr>
    </w:pPr>
    <w:r w:rsidRPr="00344088">
      <w:rPr>
        <w:rFonts w:ascii="Times New Roman" w:hAnsi="Times New Roman" w:cs="Times New Roman"/>
        <w:noProof/>
        <w:sz w:val="20"/>
        <w:szCs w:val="18"/>
      </w:rPr>
      <w:t xml:space="preserve">Tulkojums </w:t>
    </w:r>
    <w:r w:rsidRPr="00344088">
      <w:rPr>
        <w:rFonts w:ascii="Times New Roman" w:hAnsi="Times New Roman" w:cs="Times New Roman"/>
        <w:noProof/>
        <w:sz w:val="20"/>
        <w:szCs w:val="18"/>
      </w:rPr>
      <w:fldChar w:fldCharType="begin"/>
    </w:r>
    <w:r w:rsidRPr="00344088">
      <w:rPr>
        <w:rFonts w:ascii="Times New Roman" w:hAnsi="Times New Roman" w:cs="Times New Roman"/>
        <w:noProof/>
        <w:sz w:val="20"/>
        <w:szCs w:val="18"/>
      </w:rPr>
      <w:instrText>symbol 211 \f "Symbol" \s 9</w:instrText>
    </w:r>
    <w:r w:rsidRPr="00344088">
      <w:rPr>
        <w:rFonts w:ascii="Times New Roman" w:hAnsi="Times New Roman" w:cs="Times New Roman"/>
        <w:noProof/>
        <w:sz w:val="20"/>
        <w:szCs w:val="18"/>
      </w:rPr>
      <w:fldChar w:fldCharType="separate"/>
    </w:r>
    <w:r w:rsidRPr="00344088">
      <w:rPr>
        <w:rFonts w:ascii="Times New Roman" w:hAnsi="Times New Roman" w:cs="Times New Roman"/>
        <w:noProof/>
        <w:sz w:val="20"/>
        <w:szCs w:val="18"/>
      </w:rPr>
      <w:t>Ó</w:t>
    </w:r>
    <w:r w:rsidRPr="00344088">
      <w:rPr>
        <w:rFonts w:ascii="Times New Roman" w:hAnsi="Times New Roman" w:cs="Times New Roman"/>
        <w:noProof/>
        <w:sz w:val="20"/>
        <w:szCs w:val="18"/>
      </w:rPr>
      <w:fldChar w:fldCharType="end"/>
    </w:r>
    <w:r w:rsidRPr="00344088">
      <w:rPr>
        <w:rFonts w:ascii="Times New Roman" w:hAnsi="Times New Roman" w:cs="Times New Roman"/>
        <w:noProof/>
        <w:sz w:val="20"/>
        <w:szCs w:val="18"/>
      </w:rPr>
      <w:t xml:space="preserve"> Valsts valodas centrs, 20</w:t>
    </w:r>
    <w:bookmarkEnd w:id="14"/>
    <w:bookmarkEnd w:id="15"/>
    <w:bookmarkEnd w:id="16"/>
    <w:r w:rsidRPr="00344088">
      <w:rPr>
        <w:rFonts w:ascii="Times New Roman" w:hAnsi="Times New Roman" w:cs="Times New Roman"/>
        <w:noProof/>
        <w:sz w:val="20"/>
        <w:szCs w:val="18"/>
      </w:rPr>
      <w:t>20</w:t>
    </w:r>
    <w:bookmarkEnd w:id="17"/>
    <w:bookmarkEnd w:id="18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52FEF4" w14:textId="77777777" w:rsidR="00767ADB" w:rsidRDefault="00767ADB" w:rsidP="00767ADB">
      <w:pPr>
        <w:spacing w:after="0" w:line="240" w:lineRule="auto"/>
      </w:pPr>
      <w:r>
        <w:separator/>
      </w:r>
    </w:p>
  </w:footnote>
  <w:footnote w:type="continuationSeparator" w:id="0">
    <w:p w14:paraId="3D39CEE8" w14:textId="77777777" w:rsidR="00767ADB" w:rsidRDefault="00767ADB" w:rsidP="00767ADB">
      <w:pPr>
        <w:spacing w:after="0" w:line="240" w:lineRule="auto"/>
      </w:pPr>
      <w:r>
        <w:continuationSeparator/>
      </w:r>
    </w:p>
  </w:footnote>
  <w:footnote w:id="1">
    <w:p w14:paraId="17C70745" w14:textId="2C7B51CE" w:rsidR="00903828" w:rsidRPr="00903828" w:rsidRDefault="00903828" w:rsidP="00903828">
      <w:pPr>
        <w:pStyle w:val="FootnoteText"/>
        <w:jc w:val="both"/>
        <w:rPr>
          <w:rFonts w:ascii="Times New Roman" w:hAnsi="Times New Roman" w:cs="Times New Roman"/>
        </w:rPr>
      </w:pPr>
      <w:r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/>
        </w:rPr>
        <w:t xml:space="preserve"> Pašreizējā ISO/IEC 17025 versija.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7A9463" w14:textId="77777777" w:rsidR="00344088" w:rsidRPr="00344088" w:rsidRDefault="00344088" w:rsidP="00344088">
    <w:pPr>
      <w:pStyle w:val="Header"/>
      <w:rPr>
        <w:rStyle w:val="PageNumber"/>
        <w:rFonts w:ascii="Times New Roman" w:hAnsi="Times New Roman" w:cs="Times New Roman"/>
        <w:sz w:val="20"/>
        <w:szCs w:val="20"/>
      </w:rPr>
    </w:pPr>
    <w:bookmarkStart w:id="0" w:name="_Hlk496261784"/>
    <w:bookmarkStart w:id="1" w:name="_Hlk496261785"/>
    <w:bookmarkStart w:id="2" w:name="_Hlk496261786"/>
    <w:bookmarkStart w:id="3" w:name="_Hlk502757728"/>
    <w:bookmarkStart w:id="4" w:name="_Hlk502757729"/>
    <w:bookmarkStart w:id="5" w:name="_Hlk502757738"/>
    <w:bookmarkStart w:id="6" w:name="_Hlk502757739"/>
    <w:bookmarkStart w:id="7" w:name="_Hlk30491084"/>
    <w:bookmarkStart w:id="8" w:name="_Hlk30491085"/>
  </w:p>
  <w:p w14:paraId="4F9B6C16" w14:textId="2E90D192" w:rsidR="00344088" w:rsidRPr="00344088" w:rsidRDefault="00344088" w:rsidP="00344088">
    <w:pPr>
      <w:pStyle w:val="Header"/>
      <w:tabs>
        <w:tab w:val="clear" w:pos="4513"/>
        <w:tab w:val="clear" w:pos="9026"/>
        <w:tab w:val="right" w:leader="underscore" w:pos="9072"/>
      </w:tabs>
      <w:rPr>
        <w:rStyle w:val="PageNumber"/>
        <w:rFonts w:ascii="Times New Roman" w:hAnsi="Times New Roman" w:cs="Times New Roman"/>
        <w:sz w:val="20"/>
        <w:szCs w:val="20"/>
      </w:rPr>
    </w:pPr>
    <w:r w:rsidRPr="00344088">
      <w:rPr>
        <w:rStyle w:val="PageNumber"/>
        <w:rFonts w:ascii="Times New Roman" w:hAnsi="Times New Roman" w:cs="Times New Roman"/>
        <w:sz w:val="20"/>
        <w:szCs w:val="20"/>
      </w:rPr>
      <w:tab/>
    </w:r>
  </w:p>
  <w:bookmarkEnd w:id="0"/>
  <w:bookmarkEnd w:id="1"/>
  <w:bookmarkEnd w:id="2"/>
  <w:bookmarkEnd w:id="3"/>
  <w:bookmarkEnd w:id="4"/>
  <w:bookmarkEnd w:id="5"/>
  <w:bookmarkEnd w:id="6"/>
  <w:bookmarkEnd w:id="7"/>
  <w:bookmarkEnd w:id="8"/>
  <w:p w14:paraId="188E64D5" w14:textId="77777777" w:rsidR="00344088" w:rsidRPr="00344088" w:rsidRDefault="00344088" w:rsidP="00344088">
    <w:pPr>
      <w:pStyle w:val="Header"/>
      <w:rPr>
        <w:rFonts w:ascii="Times New Roman" w:hAnsi="Times New Roman" w:cs="Times New Roman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03A5DC" w14:textId="77777777" w:rsidR="00344088" w:rsidRPr="00344088" w:rsidRDefault="00344088" w:rsidP="00344088">
    <w:pPr>
      <w:pBdr>
        <w:bottom w:val="single" w:sz="12" w:space="5" w:color="auto"/>
      </w:pBdr>
      <w:spacing w:after="0" w:line="240" w:lineRule="auto"/>
      <w:rPr>
        <w:rFonts w:ascii="Times New Roman" w:hAnsi="Times New Roman" w:cs="Times New Roman"/>
        <w:spacing w:val="-2"/>
        <w:sz w:val="20"/>
        <w:szCs w:val="20"/>
      </w:rPr>
    </w:pPr>
    <w:bookmarkStart w:id="9" w:name="_Hlk496261745"/>
    <w:bookmarkStart w:id="10" w:name="_Hlk496261746"/>
    <w:bookmarkStart w:id="11" w:name="_Hlk496261747"/>
    <w:bookmarkStart w:id="12" w:name="_Hlk30491063"/>
    <w:bookmarkStart w:id="13" w:name="_Hlk30491064"/>
  </w:p>
  <w:bookmarkEnd w:id="9"/>
  <w:bookmarkEnd w:id="10"/>
  <w:bookmarkEnd w:id="11"/>
  <w:bookmarkEnd w:id="12"/>
  <w:bookmarkEnd w:id="13"/>
  <w:p w14:paraId="72FEAE3A" w14:textId="77777777" w:rsidR="00344088" w:rsidRPr="00344088" w:rsidRDefault="00344088" w:rsidP="00344088">
    <w:pPr>
      <w:pStyle w:val="Header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7B2D97"/>
    <w:multiLevelType w:val="hybridMultilevel"/>
    <w:tmpl w:val="7A069A0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D2157C"/>
    <w:multiLevelType w:val="hybridMultilevel"/>
    <w:tmpl w:val="EC26F39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BD79DE"/>
    <w:multiLevelType w:val="hybridMultilevel"/>
    <w:tmpl w:val="0D4EDF3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F50"/>
    <w:rsid w:val="001F3F50"/>
    <w:rsid w:val="00344088"/>
    <w:rsid w:val="00767ADB"/>
    <w:rsid w:val="00903828"/>
    <w:rsid w:val="009F2E98"/>
    <w:rsid w:val="00BD30F1"/>
    <w:rsid w:val="00CD0ADF"/>
    <w:rsid w:val="00D406F6"/>
    <w:rsid w:val="00F72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ACEF1E"/>
  <w15:chartTrackingRefBased/>
  <w15:docId w15:val="{43C59468-D7FD-4668-BAA7-179F3A8F5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67A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7ADB"/>
  </w:style>
  <w:style w:type="paragraph" w:styleId="Footer">
    <w:name w:val="footer"/>
    <w:basedOn w:val="Normal"/>
    <w:link w:val="FooterChar"/>
    <w:unhideWhenUsed/>
    <w:rsid w:val="00767A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7ADB"/>
  </w:style>
  <w:style w:type="table" w:styleId="TableGrid">
    <w:name w:val="Table Grid"/>
    <w:basedOn w:val="TableNormal"/>
    <w:uiPriority w:val="39"/>
    <w:rsid w:val="00767A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F2E98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0382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0382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03828"/>
    <w:rPr>
      <w:vertAlign w:val="superscript"/>
    </w:rPr>
  </w:style>
  <w:style w:type="character" w:styleId="PageNumber">
    <w:name w:val="page number"/>
    <w:basedOn w:val="DefaultParagraphFont"/>
    <w:semiHidden/>
    <w:rsid w:val="003440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763CBB-4755-4416-9CD3-729617824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1996</Words>
  <Characters>1139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Ernests Grietens</dc:creator>
  <cp:keywords/>
  <dc:description/>
  <cp:lastModifiedBy>Ernests Grietens</cp:lastModifiedBy>
  <cp:revision>4</cp:revision>
  <dcterms:created xsi:type="dcterms:W3CDTF">2020-10-12T14:50:00Z</dcterms:created>
  <dcterms:modified xsi:type="dcterms:W3CDTF">2020-12-15T08:01:00Z</dcterms:modified>
</cp:coreProperties>
</file>