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A4E7" w14:textId="1C953A4C" w:rsidR="000D6295" w:rsidRDefault="000D6295" w:rsidP="00134392">
      <w:pPr>
        <w:widowControl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3EA3B25" w14:textId="50557339" w:rsidR="000D6295" w:rsidRDefault="00B071FB" w:rsidP="00134392">
      <w:pPr>
        <w:widowControl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9324518" wp14:editId="18919F6F">
            <wp:extent cx="1381318" cy="704948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7BCCC" w14:textId="79481139" w:rsidR="000D6295" w:rsidRDefault="00B071FB" w:rsidP="00134392">
      <w:pPr>
        <w:widowControl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PASAULES ANTIDOPINGA AĢENTŪRA</w:t>
      </w:r>
    </w:p>
    <w:p w14:paraId="5CC9C193" w14:textId="22C3E164" w:rsidR="00CC2805" w:rsidRDefault="00CC2805" w:rsidP="00134392">
      <w:pPr>
        <w:widowControl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Godīga spēle</w:t>
      </w:r>
    </w:p>
    <w:p w14:paraId="24383355" w14:textId="4FAA865B" w:rsidR="000D6295" w:rsidRDefault="000D6295" w:rsidP="00134392">
      <w:pPr>
        <w:widowControl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BF12068" w14:textId="3A3699DA" w:rsidR="00CC2805" w:rsidRPr="0059768F" w:rsidRDefault="00CC2805" w:rsidP="00134392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</w:rPr>
        <w:t>WADA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i/>
          <w:iCs/>
          <w:sz w:val="28"/>
        </w:rPr>
        <w:t>tehniskais dokuments</w:t>
      </w:r>
      <w:r>
        <w:rPr>
          <w:rFonts w:ascii="Times New Roman" w:hAnsi="Times New Roman"/>
          <w:b/>
          <w:sz w:val="28"/>
        </w:rPr>
        <w:t xml:space="preserve"> – TD2021EAAS</w:t>
      </w:r>
    </w:p>
    <w:tbl>
      <w:tblPr>
        <w:tblStyle w:val="TableNormal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28"/>
        <w:gridCol w:w="3266"/>
        <w:gridCol w:w="1548"/>
        <w:gridCol w:w="2486"/>
      </w:tblGrid>
      <w:tr w:rsidR="000D6295" w:rsidRPr="00FB116A" w14:paraId="6DD4A8ED" w14:textId="77777777" w:rsidTr="006128F3"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71C48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Dokumenta numurs:</w:t>
            </w:r>
          </w:p>
        </w:tc>
        <w:tc>
          <w:tcPr>
            <w:tcW w:w="17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4E99F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TD2021EAAS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34F14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Versijas numurs: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D95B3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</w:tr>
      <w:tr w:rsidR="000D6295" w:rsidRPr="00FB116A" w14:paraId="3E41E1A7" w14:textId="77777777" w:rsidTr="006128F3"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6F15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Sarakstījusi:</w:t>
            </w:r>
          </w:p>
          <w:p w14:paraId="299C89A7" w14:textId="77777777" w:rsidR="00B476C3" w:rsidRPr="00FB116A" w:rsidRDefault="00B476C3" w:rsidP="00134392">
            <w:pPr>
              <w:pStyle w:val="TableParagraph"/>
              <w:widowControl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8311CD7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Pārskatījusi:</w:t>
            </w:r>
          </w:p>
        </w:tc>
        <w:tc>
          <w:tcPr>
            <w:tcW w:w="17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C5BEB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i/>
                <w:sz w:val="20"/>
                <w:szCs w:val="20"/>
              </w:rPr>
              <w:t>WADA</w:t>
            </w:r>
            <w:r w:rsidRPr="00FB116A">
              <w:rPr>
                <w:rFonts w:ascii="Times New Roman" w:hAnsi="Times New Roman"/>
                <w:sz w:val="20"/>
                <w:szCs w:val="20"/>
              </w:rPr>
              <w:t xml:space="preserve"> zinātnes/EAAS darba grupa</w:t>
            </w:r>
          </w:p>
          <w:p w14:paraId="33CF0AEE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8E32E05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i/>
                <w:sz w:val="20"/>
                <w:szCs w:val="20"/>
              </w:rPr>
              <w:t>WADA</w:t>
            </w:r>
            <w:r w:rsidRPr="00FB11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116A">
              <w:rPr>
                <w:rFonts w:ascii="Times New Roman" w:hAnsi="Times New Roman"/>
                <w:sz w:val="20"/>
                <w:szCs w:val="20"/>
                <w:u w:val="single"/>
              </w:rPr>
              <w:t>laboratoriju ekspertu grupa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C1312" w14:textId="77777777" w:rsidR="000D6295" w:rsidRPr="00FB116A" w:rsidRDefault="000D6295" w:rsidP="00134392">
            <w:pPr>
              <w:pStyle w:val="TableParagraph"/>
              <w:widowControl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Apstiprinājusi: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63592" w14:textId="77777777" w:rsidR="000D6295" w:rsidRPr="00FB116A" w:rsidRDefault="000D6295" w:rsidP="00134392">
            <w:pPr>
              <w:pStyle w:val="TableParagraph"/>
              <w:widowControl/>
              <w:rPr>
                <w:rFonts w:ascii="Times New Roman" w:eastAsia="Arial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i/>
                <w:iCs/>
                <w:sz w:val="20"/>
                <w:szCs w:val="20"/>
              </w:rPr>
              <w:t>WADA</w:t>
            </w:r>
            <w:r w:rsidRPr="00FB116A">
              <w:rPr>
                <w:rFonts w:ascii="Times New Roman" w:hAnsi="Times New Roman"/>
                <w:sz w:val="20"/>
                <w:szCs w:val="20"/>
              </w:rPr>
              <w:t xml:space="preserve"> izpildkomiteja</w:t>
            </w:r>
          </w:p>
        </w:tc>
      </w:tr>
      <w:tr w:rsidR="000D6295" w:rsidRPr="00FB116A" w14:paraId="4F449322" w14:textId="77777777" w:rsidTr="006128F3"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A5AE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Datums:</w:t>
            </w:r>
          </w:p>
        </w:tc>
        <w:tc>
          <w:tcPr>
            <w:tcW w:w="17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2A7CC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2020. gada 21. decembris</w:t>
            </w:r>
          </w:p>
        </w:tc>
        <w:tc>
          <w:tcPr>
            <w:tcW w:w="8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4807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Spēkā stāšanās diena: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410C7" w14:textId="77777777" w:rsidR="000D6295" w:rsidRPr="00FB116A" w:rsidRDefault="000D6295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B116A">
              <w:rPr>
                <w:rFonts w:ascii="Times New Roman" w:hAnsi="Times New Roman"/>
                <w:sz w:val="20"/>
                <w:szCs w:val="20"/>
              </w:rPr>
              <w:t>2021. gada 1. aprīlis</w:t>
            </w:r>
          </w:p>
        </w:tc>
      </w:tr>
    </w:tbl>
    <w:p w14:paraId="14CD6E79" w14:textId="77777777" w:rsidR="000D6295" w:rsidRDefault="000D6295" w:rsidP="00134392">
      <w:pPr>
        <w:widowControl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13D9BF" w14:textId="77777777" w:rsidR="000D6295" w:rsidRDefault="000D6295" w:rsidP="00134392">
      <w:pPr>
        <w:widowControl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9D3D94A" w14:textId="60C06DB9" w:rsidR="00E51A37" w:rsidRPr="00634471" w:rsidRDefault="00E51A37" w:rsidP="00134392">
      <w:pPr>
        <w:widowControl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sz w:val="32"/>
        </w:rPr>
        <w:t xml:space="preserve">Urīna steroīdu profila endogēno anabolisko androgēno steroīdu (EAAS) </w:t>
      </w:r>
      <w:r>
        <w:rPr>
          <w:rFonts w:ascii="Times New Roman" w:hAnsi="Times New Roman"/>
          <w:b/>
          <w:i/>
          <w:sz w:val="32"/>
        </w:rPr>
        <w:t>marķieru</w:t>
      </w:r>
      <w:r>
        <w:rPr>
          <w:rFonts w:ascii="Times New Roman" w:hAnsi="Times New Roman"/>
          <w:b/>
          <w:sz w:val="32"/>
        </w:rPr>
        <w:t xml:space="preserve"> mērīšana un ziņošana par tiem</w:t>
      </w:r>
    </w:p>
    <w:p w14:paraId="513E47B2" w14:textId="77777777" w:rsidR="00B476C3" w:rsidRPr="0085176F" w:rsidRDefault="00B476C3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1F43A488" w14:textId="51D0C69E" w:rsidR="00E51A37" w:rsidRPr="00634471" w:rsidRDefault="00E51A37" w:rsidP="00134392">
      <w:pPr>
        <w:pStyle w:val="Heading1"/>
        <w:widowControl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t>1.0. Ievads</w:t>
      </w:r>
    </w:p>
    <w:p w14:paraId="71CB4FB2" w14:textId="77777777" w:rsidR="00634471" w:rsidRDefault="00634471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010BB52D" w14:textId="5D466CDD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Šis </w:t>
      </w:r>
      <w:r>
        <w:rPr>
          <w:rFonts w:ascii="Times New Roman" w:hAnsi="Times New Roman"/>
          <w:i/>
          <w:iCs/>
          <w:sz w:val="24"/>
        </w:rPr>
        <w:t>tehniskais dokuments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TD</w:t>
      </w:r>
      <w:r>
        <w:rPr>
          <w:rFonts w:ascii="Times New Roman" w:hAnsi="Times New Roman"/>
          <w:sz w:val="24"/>
        </w:rPr>
        <w:t xml:space="preserve">) ir izstrādāts, lai saskaņotu urīna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“steroīdu profilu” mērīšanu un ziņošanu par tiem, lai izveidotu </w:t>
      </w:r>
      <w:r>
        <w:rPr>
          <w:rFonts w:ascii="Times New Roman" w:hAnsi="Times New Roman"/>
          <w:i/>
          <w:sz w:val="24"/>
        </w:rPr>
        <w:t>sportista bioloģiskās pases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ABP</w:t>
      </w:r>
      <w:r>
        <w:rPr>
          <w:rFonts w:ascii="Times New Roman" w:hAnsi="Times New Roman"/>
          <w:sz w:val="24"/>
        </w:rPr>
        <w:t xml:space="preserve">) steroīdu moduli (steroīdu </w:t>
      </w:r>
      <w:r>
        <w:rPr>
          <w:rFonts w:ascii="Times New Roman" w:hAnsi="Times New Roman"/>
          <w:sz w:val="24"/>
          <w:u w:val="single" w:color="000000"/>
        </w:rPr>
        <w:t>pasi</w:t>
      </w:r>
      <w:r>
        <w:rPr>
          <w:rFonts w:ascii="Times New Roman" w:hAnsi="Times New Roman"/>
          <w:sz w:val="24"/>
        </w:rPr>
        <w:t>).</w:t>
      </w:r>
    </w:p>
    <w:p w14:paraId="39322291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5364D663" w14:textId="68C9774E" w:rsidR="00E51A37" w:rsidRPr="00F83700" w:rsidRDefault="002265A0" w:rsidP="00134392">
      <w:pPr>
        <w:pStyle w:val="Heading2"/>
        <w:widowControl/>
        <w:tabs>
          <w:tab w:val="left" w:pos="988"/>
        </w:tabs>
        <w:spacing w:before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t>1.1. Steroīdu profils</w:t>
      </w:r>
    </w:p>
    <w:p w14:paraId="41B32029" w14:textId="77777777" w:rsidR="00F83700" w:rsidRDefault="00F83700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8184BB" w14:textId="0FE59F30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Veicot steroīdu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[noteikto endogēno anabolisko androgēno steroīdu (EAAS) koncentrācijas un proporcijas] mērījumus urīna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, iegūst šā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profilu (skat. 1. tabulu).</w:t>
      </w:r>
    </w:p>
    <w:p w14:paraId="7718A331" w14:textId="77777777" w:rsidR="00F83700" w:rsidRPr="0085176F" w:rsidRDefault="00F83700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CDE1F0" w14:textId="073975D5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No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 noteiktā laika periodā savāktu urīna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 sērijas steroīdu profili ir šā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 steroīdu </w:t>
      </w:r>
      <w:r>
        <w:rPr>
          <w:rFonts w:ascii="Times New Roman" w:hAnsi="Times New Roman"/>
          <w:sz w:val="24"/>
          <w:u w:val="single" w:color="000000"/>
        </w:rPr>
        <w:t>pase</w:t>
      </w:r>
      <w:r>
        <w:rPr>
          <w:rFonts w:ascii="Times New Roman" w:hAnsi="Times New Roman"/>
          <w:sz w:val="24"/>
        </w:rPr>
        <w:t>.</w:t>
      </w:r>
    </w:p>
    <w:p w14:paraId="426A1690" w14:textId="77777777" w:rsidR="00F83700" w:rsidRPr="0085176F" w:rsidRDefault="00F83700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A616C28" w14:textId="7AF07643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Ievadot </w:t>
      </w: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 xml:space="preserve"> sintētiskās formas, var izmainīt vienu vai vairākus urīna steroīdu profila </w:t>
      </w:r>
      <w:r>
        <w:rPr>
          <w:rFonts w:ascii="Times New Roman" w:hAnsi="Times New Roman"/>
          <w:i/>
          <w:iCs/>
          <w:sz w:val="24"/>
        </w:rPr>
        <w:t>marķierus</w:t>
      </w:r>
      <w:r>
        <w:rPr>
          <w:rFonts w:ascii="Times New Roman" w:hAnsi="Times New Roman"/>
          <w:sz w:val="24"/>
        </w:rPr>
        <w:t xml:space="preserve">, tādējādi palielinot vai samazinot konkrētu steroīdu </w:t>
      </w:r>
      <w:r>
        <w:rPr>
          <w:rFonts w:ascii="Times New Roman" w:hAnsi="Times New Roman"/>
          <w:i/>
          <w:iCs/>
          <w:sz w:val="24"/>
        </w:rPr>
        <w:t>marķieru</w:t>
      </w:r>
      <w:r>
        <w:rPr>
          <w:rFonts w:ascii="Times New Roman" w:hAnsi="Times New Roman"/>
          <w:sz w:val="24"/>
        </w:rPr>
        <w:t xml:space="preserve"> pāru koncentrāciju un/vai proporcijas</w:t>
      </w:r>
      <w:r>
        <w:rPr>
          <w:rFonts w:ascii="Times New Roman" w:hAnsi="Times New Roman"/>
          <w:sz w:val="24"/>
          <w:vertAlign w:val="superscript"/>
        </w:rPr>
        <w:t>[1-3]</w:t>
      </w:r>
      <w:r>
        <w:rPr>
          <w:rFonts w:ascii="Times New Roman" w:hAnsi="Times New Roman"/>
          <w:sz w:val="24"/>
        </w:rPr>
        <w:t xml:space="preserve">. Šī iedarbība ir pamats steroīdu </w:t>
      </w:r>
      <w:r>
        <w:rPr>
          <w:rFonts w:ascii="Times New Roman" w:hAnsi="Times New Roman"/>
          <w:sz w:val="24"/>
          <w:u w:val="single" w:color="000000"/>
        </w:rPr>
        <w:t>pases</w:t>
      </w:r>
      <w:r>
        <w:rPr>
          <w:rFonts w:ascii="Times New Roman" w:hAnsi="Times New Roman"/>
          <w:sz w:val="24"/>
        </w:rPr>
        <w:t xml:space="preserve"> izmantošanai ar mērķi konstatēt EAAS, jo īpaši testosterona (T), tā prekursoru (piemēram, 4-androstenediola, androstenediona un prasterona), tā aktīvo </w:t>
      </w:r>
      <w:r>
        <w:rPr>
          <w:rFonts w:ascii="Times New Roman" w:hAnsi="Times New Roman"/>
          <w:i/>
          <w:sz w:val="24"/>
        </w:rPr>
        <w:t>metabolītu</w:t>
      </w:r>
      <w:r>
        <w:rPr>
          <w:rFonts w:ascii="Times New Roman" w:hAnsi="Times New Roman"/>
          <w:sz w:val="24"/>
        </w:rPr>
        <w:t xml:space="preserve"> [dihidrotestosterona (DHT)] vai tā epimēra epitestosterona (E), dopingu.</w:t>
      </w:r>
    </w:p>
    <w:p w14:paraId="75F5F461" w14:textId="77777777" w:rsidR="00F83700" w:rsidRPr="0085176F" w:rsidRDefault="00F83700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67F2EAB" w14:textId="77AD19CE" w:rsidR="00E51A37" w:rsidRDefault="00E51A37" w:rsidP="00134392">
      <w:pPr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>ABP</w:t>
      </w:r>
      <w:r>
        <w:rPr>
          <w:rFonts w:ascii="Times New Roman" w:hAnsi="Times New Roman"/>
          <w:sz w:val="24"/>
        </w:rPr>
        <w:t xml:space="preserve"> steroīdu modulim tiek izmantots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sistēmas </w:t>
      </w:r>
      <w:r>
        <w:rPr>
          <w:rFonts w:ascii="Times New Roman" w:hAnsi="Times New Roman"/>
          <w:sz w:val="24"/>
          <w:u w:val="single" w:color="000000"/>
        </w:rPr>
        <w:t>adaptīvais modelis</w:t>
      </w:r>
      <w:r>
        <w:rPr>
          <w:rFonts w:ascii="Times New Roman" w:hAnsi="Times New Roman"/>
          <w:sz w:val="24"/>
        </w:rPr>
        <w:t xml:space="preserve">, lai aktivizētu </w:t>
      </w:r>
      <w:r>
        <w:rPr>
          <w:rFonts w:ascii="Times New Roman" w:hAnsi="Times New Roman"/>
          <w:i/>
          <w:sz w:val="24"/>
        </w:rPr>
        <w:t>netipiskus [bioloģiskās] pases parametrus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 xml:space="preserve">), kā rezultātā var tikt izpildītas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), sākta </w:t>
      </w:r>
      <w:r>
        <w:rPr>
          <w:rFonts w:ascii="Times New Roman" w:hAnsi="Times New Roman"/>
          <w:i/>
          <w:iCs/>
          <w:sz w:val="24"/>
        </w:rPr>
        <w:t>sportista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mērķpārbaude</w:t>
      </w:r>
      <w:r>
        <w:rPr>
          <w:rFonts w:ascii="Times New Roman" w:hAnsi="Times New Roman"/>
          <w:sz w:val="24"/>
        </w:rPr>
        <w:t xml:space="preserve"> vai konstatēta </w:t>
      </w:r>
      <w:r>
        <w:rPr>
          <w:rFonts w:ascii="Times New Roman" w:hAnsi="Times New Roman"/>
          <w:i/>
          <w:sz w:val="24"/>
        </w:rPr>
        <w:t>aizliegtas vielas</w:t>
      </w:r>
      <w:r>
        <w:rPr>
          <w:rFonts w:ascii="Times New Roman" w:hAnsi="Times New Roman"/>
          <w:sz w:val="24"/>
        </w:rPr>
        <w:t xml:space="preserve"> un/vai </w:t>
      </w:r>
      <w:r>
        <w:rPr>
          <w:rFonts w:ascii="Times New Roman" w:hAnsi="Times New Roman"/>
          <w:i/>
          <w:sz w:val="24"/>
        </w:rPr>
        <w:t>aizliegtas metodes</w:t>
      </w:r>
      <w:r>
        <w:rPr>
          <w:rFonts w:ascii="Times New Roman" w:hAnsi="Times New Roman"/>
          <w:sz w:val="24"/>
        </w:rPr>
        <w:t xml:space="preserve"> lietošana saskaņā ar </w:t>
      </w:r>
      <w:r>
        <w:rPr>
          <w:rFonts w:ascii="Times New Roman" w:hAnsi="Times New Roman"/>
          <w:i/>
          <w:sz w:val="24"/>
        </w:rPr>
        <w:t>Kodeksa</w:t>
      </w:r>
      <w:r>
        <w:rPr>
          <w:rFonts w:ascii="Times New Roman" w:hAnsi="Times New Roman"/>
          <w:sz w:val="24"/>
        </w:rPr>
        <w:t xml:space="preserve"> 2. panta 2. punktu (skat. </w:t>
      </w:r>
      <w:r>
        <w:rPr>
          <w:rFonts w:ascii="Times New Roman" w:hAnsi="Times New Roman"/>
          <w:i/>
          <w:sz w:val="24"/>
        </w:rPr>
        <w:t>Starptautiskā rezultātu pārvaldības standarta</w:t>
      </w:r>
      <w:r>
        <w:rPr>
          <w:rFonts w:ascii="Times New Roman" w:hAnsi="Times New Roman"/>
          <w:sz w:val="24"/>
        </w:rPr>
        <w:t xml:space="preserve"> C pielikumu</w:t>
      </w:r>
      <w:r>
        <w:rPr>
          <w:rFonts w:ascii="Times New Roman" w:hAnsi="Times New Roman"/>
          <w:sz w:val="24"/>
          <w:vertAlign w:val="superscript"/>
        </w:rPr>
        <w:t>[4]</w:t>
      </w:r>
      <w:r>
        <w:rPr>
          <w:rFonts w:ascii="Times New Roman" w:hAnsi="Times New Roman"/>
          <w:sz w:val="24"/>
        </w:rPr>
        <w:t>).</w:t>
      </w:r>
    </w:p>
    <w:p w14:paraId="46C3FBAE" w14:textId="77777777" w:rsidR="00F83700" w:rsidRPr="0085176F" w:rsidRDefault="00F83700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6211DE16" w14:textId="16FA3052" w:rsidR="00E51A37" w:rsidRPr="002E17D7" w:rsidRDefault="002E17D7" w:rsidP="006E2D66">
      <w:pPr>
        <w:pStyle w:val="Heading2"/>
        <w:keepNext/>
        <w:widowControl/>
        <w:tabs>
          <w:tab w:val="left" w:pos="964"/>
        </w:tabs>
        <w:spacing w:before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1.2. Steroīdu profila noteikšanas procedūra</w:t>
      </w:r>
    </w:p>
    <w:p w14:paraId="171C7EE0" w14:textId="77777777" w:rsidR="002E17D7" w:rsidRPr="0085176F" w:rsidRDefault="002E17D7" w:rsidP="006E2D66">
      <w:pPr>
        <w:keepNext/>
        <w:rPr>
          <w:noProof/>
        </w:rPr>
      </w:pPr>
    </w:p>
    <w:p w14:paraId="6281D0A0" w14:textId="3B3C1CFC" w:rsidR="00E51A37" w:rsidRDefault="00E51A37" w:rsidP="006E2D66">
      <w:pPr>
        <w:pStyle w:val="BodyText"/>
        <w:keepNext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Katru urīna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analizē, lai noteiktu tā steroīdu profilu.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profila noteikšana un ziņošana par to notiek saskaņā ar divpakāpju procedūru:</w:t>
      </w:r>
    </w:p>
    <w:p w14:paraId="0C30BF93" w14:textId="77777777" w:rsidR="002E17D7" w:rsidRPr="0085176F" w:rsidRDefault="002E17D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BF511D" w14:textId="7B8E7868" w:rsidR="00E51A37" w:rsidRDefault="002E17D7" w:rsidP="00134392">
      <w:pPr>
        <w:pStyle w:val="BodyText"/>
        <w:widowControl/>
        <w:tabs>
          <w:tab w:val="left" w:pos="1163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i) </w:t>
      </w:r>
      <w:r>
        <w:rPr>
          <w:rFonts w:ascii="Times New Roman" w:hAnsi="Times New Roman"/>
          <w:sz w:val="24"/>
          <w:u w:val="single" w:color="000000"/>
        </w:rPr>
        <w:t xml:space="preserve">sākotnējās </w:t>
      </w:r>
      <w:r>
        <w:rPr>
          <w:rFonts w:ascii="Times New Roman" w:hAnsi="Times New Roman"/>
          <w:i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procedūru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  <w:u w:val="single" w:color="000000"/>
        </w:rPr>
        <w:t>ITP</w:t>
      </w:r>
      <w:r>
        <w:rPr>
          <w:rFonts w:ascii="Times New Roman" w:hAnsi="Times New Roman"/>
          <w:sz w:val="24"/>
        </w:rPr>
        <w:t>) veic, lai noteiktu</w:t>
      </w:r>
      <w:r w:rsidR="005A34F0">
        <w:rPr>
          <w:rFonts w:ascii="Times New Roman" w:hAnsi="Times New Roman"/>
          <w:sz w:val="24"/>
        </w:rPr>
        <w:t xml:space="preserve"> </w:t>
      </w:r>
      <w:r w:rsidR="00E51A37">
        <w:rPr>
          <w:rFonts w:ascii="Times New Roman" w:hAnsi="Times New Roman"/>
          <w:i/>
          <w:sz w:val="24"/>
        </w:rPr>
        <w:t>parauga</w:t>
      </w:r>
      <w:r w:rsidR="00E51A37">
        <w:rPr>
          <w:rFonts w:ascii="Times New Roman" w:hAnsi="Times New Roman"/>
          <w:sz w:val="24"/>
        </w:rPr>
        <w:t xml:space="preserve"> steroīdu profilu, un</w:t>
      </w:r>
    </w:p>
    <w:p w14:paraId="5F471843" w14:textId="77777777" w:rsidR="002E17D7" w:rsidRPr="0085176F" w:rsidRDefault="002E17D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7997ABBC" w14:textId="5F728C49" w:rsidR="00E51A37" w:rsidRDefault="002E17D7" w:rsidP="00134392">
      <w:pPr>
        <w:pStyle w:val="BodyText"/>
        <w:widowControl/>
        <w:tabs>
          <w:tab w:val="left" w:pos="1100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ii) pēc tam veic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, ja paziņotais steroīdu profils ir 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 xml:space="preserve">, kas konstatēts, izmantojot </w:t>
      </w:r>
      <w:r>
        <w:rPr>
          <w:rFonts w:ascii="Times New Roman" w:hAnsi="Times New Roman"/>
          <w:sz w:val="24"/>
          <w:u w:val="single" w:color="000000"/>
        </w:rPr>
        <w:t>adaptīvo modeli</w:t>
      </w:r>
      <w:r>
        <w:rPr>
          <w:rFonts w:ascii="Times New Roman" w:hAnsi="Times New Roman"/>
          <w:sz w:val="24"/>
        </w:rPr>
        <w:t xml:space="preserve">, vai ja to pieprasa </w:t>
      </w:r>
      <w:r>
        <w:rPr>
          <w:rFonts w:ascii="Times New Roman" w:hAnsi="Times New Roman"/>
          <w:i/>
          <w:iCs/>
          <w:sz w:val="24"/>
          <w:u w:val="single" w:color="000000"/>
        </w:rPr>
        <w:t>sportista</w:t>
      </w:r>
      <w:r>
        <w:rPr>
          <w:rFonts w:ascii="Times New Roman" w:hAnsi="Times New Roman"/>
          <w:sz w:val="24"/>
          <w:u w:val="single" w:color="000000"/>
        </w:rPr>
        <w:t xml:space="preserve"> pases pārvaldības struktūrvienība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i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iestāde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WADA</w:t>
      </w:r>
      <w:r>
        <w:rPr>
          <w:rFonts w:ascii="Times New Roman" w:hAnsi="Times New Roman"/>
          <w:sz w:val="24"/>
        </w:rPr>
        <w:t>.</w:t>
      </w:r>
    </w:p>
    <w:p w14:paraId="487CBBB7" w14:textId="743A243C" w:rsidR="002E17D7" w:rsidRDefault="002E17D7" w:rsidP="00134392">
      <w:pPr>
        <w:pStyle w:val="BodyText"/>
        <w:widowControl/>
        <w:tabs>
          <w:tab w:val="left" w:pos="1100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893D716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1. tabula.</w:t>
      </w:r>
      <w:r>
        <w:rPr>
          <w:rFonts w:ascii="Times New Roman" w:hAnsi="Times New Roman"/>
          <w:sz w:val="24"/>
        </w:rPr>
        <w:t xml:space="preserve"> Urīna steroīdu profila </w:t>
      </w:r>
      <w:r>
        <w:rPr>
          <w:rFonts w:ascii="Times New Roman" w:hAnsi="Times New Roman"/>
          <w:i/>
          <w:sz w:val="24"/>
        </w:rPr>
        <w:t>marķieri</w:t>
      </w:r>
    </w:p>
    <w:p w14:paraId="2AAF1560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tbl>
      <w:tblPr>
        <w:tblStyle w:val="TableNormal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0"/>
        <w:gridCol w:w="3637"/>
        <w:gridCol w:w="3571"/>
      </w:tblGrid>
      <w:tr w:rsidR="00E51A37" w:rsidRPr="00CD0895" w14:paraId="7535FD92" w14:textId="77777777" w:rsidTr="006128F3">
        <w:tc>
          <w:tcPr>
            <w:tcW w:w="0" w:type="auto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19D3C810" w14:textId="77777777" w:rsidR="00E51A37" w:rsidRPr="00CD0895" w:rsidRDefault="00E51A37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Marķiera</w:t>
            </w:r>
            <w:r>
              <w:rPr>
                <w:rFonts w:ascii="Times New Roman" w:hAnsi="Times New Roman"/>
                <w:b/>
                <w:sz w:val="24"/>
              </w:rPr>
              <w:t xml:space="preserve"> tips</w:t>
            </w:r>
          </w:p>
        </w:tc>
        <w:tc>
          <w:tcPr>
            <w:tcW w:w="1992" w:type="pct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6CAECC86" w14:textId="77777777" w:rsidR="00E51A37" w:rsidRPr="00CD0895" w:rsidRDefault="00E51A37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Steroīdu profila 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marķieri</w:t>
            </w:r>
          </w:p>
        </w:tc>
        <w:tc>
          <w:tcPr>
            <w:tcW w:w="1956" w:type="pct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08E93229" w14:textId="77777777" w:rsidR="00E51A37" w:rsidRPr="00CD0895" w:rsidRDefault="00E51A37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Noteikšana</w:t>
            </w:r>
          </w:p>
        </w:tc>
      </w:tr>
      <w:tr w:rsidR="00E51A37" w:rsidRPr="00CD0895" w14:paraId="75A93A67" w14:textId="77777777" w:rsidTr="006128F3">
        <w:tc>
          <w:tcPr>
            <w:tcW w:w="0" w:type="auto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37731860" w14:textId="77777777" w:rsidR="00E51A37" w:rsidRPr="00CD0895" w:rsidRDefault="00E51A37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Steroīdu koncentrācijas līmeņi:</w:t>
            </w:r>
          </w:p>
        </w:tc>
        <w:tc>
          <w:tcPr>
            <w:tcW w:w="1992" w:type="pct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557AFAEF" w14:textId="26EC38CA" w:rsidR="00E51A37" w:rsidRPr="00CD0895" w:rsidRDefault="00855DF9" w:rsidP="00134392">
            <w:pPr>
              <w:pStyle w:val="ListParagraph"/>
              <w:widowControl/>
              <w:tabs>
                <w:tab w:val="left" w:pos="446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- androsterons (A);</w:t>
            </w:r>
          </w:p>
          <w:p w14:paraId="69F9776B" w14:textId="18BD188A" w:rsidR="00E51A37" w:rsidRPr="00CD0895" w:rsidRDefault="00855DF9" w:rsidP="00134392">
            <w:pPr>
              <w:pStyle w:val="ListParagraph"/>
              <w:widowControl/>
              <w:tabs>
                <w:tab w:val="left" w:pos="446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- etioholanolons (</w:t>
            </w:r>
            <w:r>
              <w:rPr>
                <w:rFonts w:ascii="Times New Roman" w:hAnsi="Times New Roman"/>
                <w:i/>
                <w:iCs/>
              </w:rPr>
              <w:t>Etio</w:t>
            </w:r>
            <w:r>
              <w:rPr>
                <w:rFonts w:ascii="Times New Roman" w:hAnsi="Times New Roman"/>
              </w:rPr>
              <w:t>);</w:t>
            </w:r>
          </w:p>
          <w:p w14:paraId="2267207C" w14:textId="06D21E14" w:rsidR="00E51A37" w:rsidRPr="00CD0895" w:rsidRDefault="00191BB7" w:rsidP="00134392">
            <w:pPr>
              <w:pStyle w:val="ListParagraph"/>
              <w:widowControl/>
              <w:tabs>
                <w:tab w:val="left" w:pos="446"/>
              </w:tabs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- 5α-androstān-3α,17β-diols (</w:t>
            </w:r>
            <w:r>
              <w:rPr>
                <w:rFonts w:ascii="Times New Roman" w:hAnsi="Times New Roman"/>
                <w:i/>
                <w:iCs/>
              </w:rPr>
              <w:t>5αAdiol</w:t>
            </w:r>
            <w:r>
              <w:rPr>
                <w:rFonts w:ascii="Times New Roman" w:hAnsi="Times New Roman"/>
              </w:rPr>
              <w:t>);</w:t>
            </w:r>
          </w:p>
          <w:p w14:paraId="6955FC00" w14:textId="5E3EC255" w:rsidR="00E51A37" w:rsidRPr="00CD0895" w:rsidRDefault="0022347A" w:rsidP="00134392">
            <w:pPr>
              <w:pStyle w:val="ListParagraph"/>
              <w:widowControl/>
              <w:tabs>
                <w:tab w:val="left" w:pos="446"/>
              </w:tabs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- 5β-androstān-3α,17β-diols (</w:t>
            </w:r>
            <w:r>
              <w:rPr>
                <w:rFonts w:ascii="Times New Roman" w:hAnsi="Times New Roman"/>
                <w:i/>
                <w:iCs/>
              </w:rPr>
              <w:t>5βAdiol</w:t>
            </w:r>
            <w:r>
              <w:rPr>
                <w:rFonts w:ascii="Times New Roman" w:hAnsi="Times New Roman"/>
              </w:rPr>
              <w:t>);</w:t>
            </w:r>
          </w:p>
          <w:p w14:paraId="22B18CBB" w14:textId="55011471" w:rsidR="00E51A37" w:rsidRPr="00CD0895" w:rsidRDefault="0022347A" w:rsidP="00134392">
            <w:pPr>
              <w:pStyle w:val="ListParagraph"/>
              <w:widowControl/>
              <w:tabs>
                <w:tab w:val="left" w:pos="446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- testosterons (T) un</w:t>
            </w:r>
          </w:p>
          <w:p w14:paraId="107097A9" w14:textId="584D017B" w:rsidR="00E51A37" w:rsidRPr="00CD0895" w:rsidRDefault="0022347A" w:rsidP="00134392">
            <w:pPr>
              <w:pStyle w:val="ListParagraph"/>
              <w:widowControl/>
              <w:tabs>
                <w:tab w:val="left" w:pos="446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- epitestosterons (E).</w:t>
            </w:r>
          </w:p>
        </w:tc>
        <w:tc>
          <w:tcPr>
            <w:tcW w:w="1956" w:type="pct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58D4C57D" w14:textId="77777777" w:rsidR="00E51A37" w:rsidRPr="00CD0895" w:rsidRDefault="00E51A37" w:rsidP="00134392">
            <w:pPr>
              <w:pStyle w:val="TableParagraph"/>
              <w:widowControl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u w:val="single" w:color="000000"/>
              </w:rPr>
              <w:t>Laboratorija</w:t>
            </w:r>
            <w:r>
              <w:rPr>
                <w:rFonts w:ascii="Times New Roman" w:hAnsi="Times New Roman"/>
              </w:rPr>
              <w:t xml:space="preserve"> to nosaka, veicot </w:t>
            </w:r>
            <w:r>
              <w:rPr>
                <w:rFonts w:ascii="Times New Roman" w:hAnsi="Times New Roman"/>
                <w:i/>
                <w:iCs/>
              </w:rPr>
              <w:t>GC-MS</w:t>
            </w:r>
            <w:r>
              <w:rPr>
                <w:rFonts w:ascii="Times New Roman" w:hAnsi="Times New Roman"/>
                <w:i/>
                <w:iCs/>
                <w:vertAlign w:val="superscript"/>
              </w:rPr>
              <w:t>n</w:t>
            </w:r>
            <w:r>
              <w:rPr>
                <w:rFonts w:ascii="Times New Roman" w:hAnsi="Times New Roman"/>
              </w:rPr>
              <w:t xml:space="preserve"> brīvās steroīda daļas un konjugētās daļas, kas izdalās no </w:t>
            </w:r>
            <w:r>
              <w:rPr>
                <w:rFonts w:ascii="Times New Roman" w:hAnsi="Times New Roman"/>
                <w:i/>
              </w:rPr>
              <w:t>E. coli</w:t>
            </w:r>
            <w:r>
              <w:rPr>
                <w:rFonts w:ascii="Times New Roman" w:hAnsi="Times New Roman"/>
              </w:rPr>
              <w:t xml:space="preserve"> pēc hidrolīzes ar β-glikuronidāzi, kombinācijai.</w:t>
            </w:r>
          </w:p>
        </w:tc>
      </w:tr>
      <w:tr w:rsidR="00E51A37" w:rsidRPr="00CD0895" w14:paraId="421DDF3F" w14:textId="77777777" w:rsidTr="006128F3">
        <w:tc>
          <w:tcPr>
            <w:tcW w:w="0" w:type="auto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B1BE0F9" w14:textId="77777777" w:rsidR="00E51A37" w:rsidRPr="00CD0895" w:rsidRDefault="00E51A37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Steroīdu proporcijas:</w:t>
            </w:r>
          </w:p>
        </w:tc>
        <w:tc>
          <w:tcPr>
            <w:tcW w:w="1992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662E" w14:textId="77777777" w:rsidR="00E51A37" w:rsidRPr="00CD0895" w:rsidRDefault="00E51A37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- T/E;</w:t>
            </w:r>
          </w:p>
        </w:tc>
        <w:tc>
          <w:tcPr>
            <w:tcW w:w="1956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6D59E" w14:textId="77777777" w:rsidR="00E51A37" w:rsidRPr="00CD0895" w:rsidRDefault="00E51A37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Saskaņā ar </w:t>
            </w:r>
            <w:r>
              <w:rPr>
                <w:rFonts w:ascii="Times New Roman" w:hAnsi="Times New Roman"/>
                <w:u w:val="single" w:color="000000"/>
              </w:rPr>
              <w:t>laboratorijas</w:t>
            </w:r>
            <w:r>
              <w:rPr>
                <w:rFonts w:ascii="Times New Roman" w:hAnsi="Times New Roman"/>
              </w:rPr>
              <w:t xml:space="preserve"> sniegtajiem datiem </w:t>
            </w:r>
            <w:r>
              <w:rPr>
                <w:rFonts w:ascii="Times New Roman" w:hAnsi="Times New Roman"/>
                <w:i/>
              </w:rPr>
              <w:t>ADAMS</w:t>
            </w:r>
            <w:r>
              <w:rPr>
                <w:rFonts w:ascii="Times New Roman" w:hAnsi="Times New Roman"/>
              </w:rPr>
              <w:t xml:space="preserve"> sistēmā.</w:t>
            </w:r>
          </w:p>
        </w:tc>
      </w:tr>
      <w:tr w:rsidR="00E51A37" w:rsidRPr="00CD0895" w14:paraId="737972FE" w14:textId="77777777" w:rsidTr="006128F3"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A4D5B" w14:textId="77777777" w:rsidR="00E51A37" w:rsidRPr="00CD0895" w:rsidRDefault="00E51A37" w:rsidP="00134392">
            <w:pPr>
              <w:widowControl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64AE4" w14:textId="5E03EC5E" w:rsidR="00E51A37" w:rsidRPr="00CD0895" w:rsidRDefault="0022347A" w:rsidP="00134392">
            <w:pPr>
              <w:pStyle w:val="ListParagraph"/>
              <w:widowControl/>
              <w:tabs>
                <w:tab w:val="left" w:pos="446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- A/T;</w:t>
            </w:r>
          </w:p>
          <w:p w14:paraId="38B3D476" w14:textId="77B4E2D8" w:rsidR="00E51A37" w:rsidRPr="00CD0895" w:rsidRDefault="0022347A" w:rsidP="00134392">
            <w:pPr>
              <w:pStyle w:val="ListParagraph"/>
              <w:widowControl/>
              <w:tabs>
                <w:tab w:val="left" w:pos="446"/>
              </w:tabs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- A/</w:t>
            </w:r>
            <w:r>
              <w:rPr>
                <w:rFonts w:ascii="Times New Roman" w:hAnsi="Times New Roman"/>
                <w:i/>
                <w:iCs/>
              </w:rPr>
              <w:t>Etio</w:t>
            </w:r>
            <w:r>
              <w:rPr>
                <w:rFonts w:ascii="Times New Roman" w:hAnsi="Times New Roman"/>
              </w:rPr>
              <w:t>;</w:t>
            </w:r>
          </w:p>
          <w:p w14:paraId="65EA7F38" w14:textId="4EF7F74A" w:rsidR="00E51A37" w:rsidRPr="00CD0895" w:rsidRDefault="0022347A" w:rsidP="00134392">
            <w:pPr>
              <w:pStyle w:val="ListParagraph"/>
              <w:widowControl/>
              <w:tabs>
                <w:tab w:val="left" w:pos="446"/>
              </w:tabs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  <w:iCs/>
              </w:rPr>
              <w:t>5αAdiol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i/>
                <w:iCs/>
              </w:rPr>
              <w:t>5βAdiol</w:t>
            </w:r>
            <w:r>
              <w:rPr>
                <w:rFonts w:ascii="Times New Roman" w:hAnsi="Times New Roman"/>
              </w:rPr>
              <w:t>;</w:t>
            </w:r>
          </w:p>
          <w:p w14:paraId="701F64B4" w14:textId="4B3E46E2" w:rsidR="00E51A37" w:rsidRPr="00CD0895" w:rsidRDefault="0022347A" w:rsidP="00134392">
            <w:pPr>
              <w:pStyle w:val="ListParagraph"/>
              <w:widowControl/>
              <w:tabs>
                <w:tab w:val="left" w:pos="446"/>
              </w:tabs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  <w:iCs/>
              </w:rPr>
              <w:t>5αAdiol</w:t>
            </w:r>
            <w:r>
              <w:rPr>
                <w:rFonts w:ascii="Times New Roman" w:hAnsi="Times New Roman"/>
              </w:rPr>
              <w:t>/E.</w:t>
            </w:r>
          </w:p>
        </w:tc>
        <w:tc>
          <w:tcPr>
            <w:tcW w:w="19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5FEB7" w14:textId="77777777" w:rsidR="00E51A37" w:rsidRPr="00CD0895" w:rsidRDefault="00E51A37" w:rsidP="00134392">
            <w:pPr>
              <w:pStyle w:val="TableParagraph"/>
              <w:widowControl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Pēc </w:t>
            </w:r>
            <w:r>
              <w:rPr>
                <w:rFonts w:ascii="Times New Roman" w:hAnsi="Times New Roman"/>
                <w:u w:val="single" w:color="000000"/>
              </w:rPr>
              <w:t>laboratorijas</w:t>
            </w:r>
            <w:r>
              <w:rPr>
                <w:rFonts w:ascii="Times New Roman" w:hAnsi="Times New Roman"/>
              </w:rPr>
              <w:t xml:space="preserve"> ziņojuma par steroīdu profilu automātiski aprēķināta </w:t>
            </w:r>
            <w:r>
              <w:rPr>
                <w:rFonts w:ascii="Times New Roman" w:hAnsi="Times New Roman"/>
                <w:i/>
              </w:rPr>
              <w:t>ADAMS</w:t>
            </w:r>
            <w:r>
              <w:rPr>
                <w:rFonts w:ascii="Times New Roman" w:hAnsi="Times New Roman"/>
              </w:rPr>
              <w:t xml:space="preserve"> sistēmā no attiecīgās steroīdu koncentrācijas.</w:t>
            </w:r>
          </w:p>
        </w:tc>
      </w:tr>
    </w:tbl>
    <w:p w14:paraId="153D632D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6F127436" w14:textId="26ACABF7" w:rsidR="00E51A37" w:rsidRPr="00CD0895" w:rsidRDefault="00CD0895" w:rsidP="00134392">
      <w:pPr>
        <w:pStyle w:val="Heading2"/>
        <w:widowControl/>
        <w:tabs>
          <w:tab w:val="left" w:pos="988"/>
        </w:tabs>
        <w:spacing w:before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t>1.3. Faktori, kas ietekmē steroīdu profilu</w:t>
      </w:r>
    </w:p>
    <w:p w14:paraId="4C9AC458" w14:textId="77777777" w:rsidR="00CD0895" w:rsidRDefault="00CD0895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20124AB" w14:textId="0EB55552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Papildus EAAS ievadīšanas izraisītajām sekām urīna steroīdu profils var mainīties vairāku citu iemeslu dēļ, tostarp to var izraisīt arī šādi faktori</w:t>
      </w:r>
      <w:r>
        <w:rPr>
          <w:rFonts w:ascii="Times New Roman" w:hAnsi="Times New Roman"/>
          <w:sz w:val="24"/>
          <w:vertAlign w:val="superscript"/>
        </w:rPr>
        <w:t>[1-3]</w:t>
      </w:r>
      <w:r>
        <w:rPr>
          <w:rFonts w:ascii="Times New Roman" w:hAnsi="Times New Roman"/>
          <w:sz w:val="24"/>
        </w:rPr>
        <w:t>:</w:t>
      </w:r>
    </w:p>
    <w:p w14:paraId="5D96E96D" w14:textId="77777777" w:rsidR="002D0A9C" w:rsidRPr="0085176F" w:rsidRDefault="002D0A9C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0E88112" w14:textId="1CB8A7E0" w:rsidR="00E51A37" w:rsidRPr="0085176F" w:rsidRDefault="002D0A9C" w:rsidP="00134392">
      <w:pPr>
        <w:pStyle w:val="BodyText"/>
        <w:widowControl/>
        <w:tabs>
          <w:tab w:val="left" w:pos="1281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alkohola (etanola) lietošana;</w:t>
      </w:r>
    </w:p>
    <w:p w14:paraId="22AC7E49" w14:textId="4DD332E2" w:rsidR="00E51A37" w:rsidRPr="0085176F" w:rsidRDefault="00D0726D" w:rsidP="00134392">
      <w:pPr>
        <w:pStyle w:val="BodyText"/>
        <w:widowControl/>
        <w:tabs>
          <w:tab w:val="left" w:pos="1281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citu anabolisko androgēno steroīdu (piemēram, stanozolola) ievadīšana;</w:t>
      </w:r>
    </w:p>
    <w:p w14:paraId="4E757BFA" w14:textId="3A53E3F7" w:rsidR="00E51A37" w:rsidRPr="0085176F" w:rsidRDefault="00D0726D" w:rsidP="00134392">
      <w:pPr>
        <w:pStyle w:val="BodyText"/>
        <w:widowControl/>
        <w:tabs>
          <w:tab w:val="left" w:pos="1281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cilvēka horionu gonadotropīna (</w:t>
      </w:r>
      <w:r>
        <w:rPr>
          <w:rFonts w:ascii="Times New Roman" w:hAnsi="Times New Roman"/>
          <w:i/>
          <w:iCs/>
          <w:sz w:val="24"/>
        </w:rPr>
        <w:t>hCG</w:t>
      </w:r>
      <w:r>
        <w:rPr>
          <w:rFonts w:ascii="Times New Roman" w:hAnsi="Times New Roman"/>
          <w:sz w:val="24"/>
        </w:rPr>
        <w:t>) ievadīšana vīriešiem;</w:t>
      </w:r>
    </w:p>
    <w:p w14:paraId="0C220E46" w14:textId="3F5D48BB" w:rsidR="00E51A37" w:rsidRPr="0085176F" w:rsidRDefault="00D0726D" w:rsidP="00134392">
      <w:pPr>
        <w:pStyle w:val="BodyText"/>
        <w:widowControl/>
        <w:tabs>
          <w:tab w:val="left" w:pos="1281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aromatāzes inhibitoru un antiestrogēnisku vielu ievadīšana;</w:t>
      </w:r>
    </w:p>
    <w:p w14:paraId="118A4EDA" w14:textId="67BD8781" w:rsidR="00E51A37" w:rsidRPr="0085176F" w:rsidRDefault="00D0726D" w:rsidP="00134392">
      <w:pPr>
        <w:pStyle w:val="BodyText"/>
        <w:widowControl/>
        <w:tabs>
          <w:tab w:val="left" w:pos="1281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5α-reduktāzes inhibitoru (piemēram, finasterīda vai dutasterīda) ievadīšana;</w:t>
      </w:r>
    </w:p>
    <w:p w14:paraId="01FFB640" w14:textId="610462C8" w:rsidR="00E51A37" w:rsidRPr="0085176F" w:rsidRDefault="00D0726D" w:rsidP="00134392">
      <w:pPr>
        <w:pStyle w:val="BodyText"/>
        <w:widowControl/>
        <w:tabs>
          <w:tab w:val="left" w:pos="1281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ketokonazola vai citu līdzīgu savienojumu (piemēram, flukonazola vai mikonazola) ievadīšana;</w:t>
      </w:r>
    </w:p>
    <w:p w14:paraId="49FF5971" w14:textId="38E8782E" w:rsidR="00E51A37" w:rsidRPr="0085176F" w:rsidRDefault="0024279F" w:rsidP="00134392">
      <w:pPr>
        <w:pStyle w:val="BodyText"/>
        <w:widowControl/>
        <w:tabs>
          <w:tab w:val="left" w:pos="1281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maskējošo līdzekļu (piemēram, probenecīda) un diurētisko līdzekļu lietošana;</w:t>
      </w:r>
    </w:p>
    <w:p w14:paraId="641713A0" w14:textId="49576144" w:rsidR="00E51A37" w:rsidRPr="0085176F" w:rsidRDefault="0024279F" w:rsidP="00134392">
      <w:pPr>
        <w:pStyle w:val="BodyText"/>
        <w:widowControl/>
        <w:tabs>
          <w:tab w:val="left" w:pos="1282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mikrobiālā aktivitāte;</w:t>
      </w:r>
    </w:p>
    <w:p w14:paraId="6458CE38" w14:textId="383B3E67" w:rsidR="00E51A37" w:rsidRPr="0085176F" w:rsidRDefault="0024279F" w:rsidP="00134392">
      <w:pPr>
        <w:widowControl/>
        <w:tabs>
          <w:tab w:val="left" w:pos="1282"/>
        </w:tabs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• manipulācijas ar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>.</w:t>
      </w:r>
    </w:p>
    <w:p w14:paraId="57AF5E65" w14:textId="77777777" w:rsidR="009B1CD4" w:rsidRDefault="009B1CD4" w:rsidP="00134392">
      <w:pPr>
        <w:widowControl/>
        <w:tabs>
          <w:tab w:val="left" w:pos="1099"/>
        </w:tabs>
        <w:jc w:val="both"/>
        <w:rPr>
          <w:rFonts w:ascii="Times New Roman" w:hAnsi="Times New Roman"/>
          <w:b/>
          <w:sz w:val="28"/>
        </w:rPr>
      </w:pPr>
    </w:p>
    <w:p w14:paraId="7D030B28" w14:textId="5B9AAB6D" w:rsidR="00E51A37" w:rsidRPr="00CF07B7" w:rsidRDefault="00E51A37" w:rsidP="009B1CD4">
      <w:pPr>
        <w:keepNext/>
        <w:widowControl/>
        <w:tabs>
          <w:tab w:val="left" w:pos="1099"/>
        </w:tabs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2.0. </w:t>
      </w:r>
      <w:r>
        <w:rPr>
          <w:rFonts w:ascii="Times New Roman" w:hAnsi="Times New Roman"/>
          <w:b/>
          <w:sz w:val="28"/>
          <w:u w:val="thick" w:color="000000"/>
        </w:rPr>
        <w:t xml:space="preserve">Sākotnējās </w:t>
      </w:r>
      <w:r>
        <w:rPr>
          <w:rFonts w:ascii="Times New Roman" w:hAnsi="Times New Roman"/>
          <w:b/>
          <w:i/>
          <w:iCs/>
          <w:sz w:val="28"/>
          <w:u w:val="thick" w:color="000000"/>
        </w:rPr>
        <w:t>pārbaudes</w:t>
      </w:r>
      <w:r>
        <w:rPr>
          <w:rFonts w:ascii="Times New Roman" w:hAnsi="Times New Roman"/>
          <w:b/>
          <w:sz w:val="28"/>
          <w:u w:val="thick" w:color="000000"/>
        </w:rPr>
        <w:t xml:space="preserve"> procedūra</w:t>
      </w:r>
      <w:r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b/>
          <w:i/>
          <w:iCs/>
          <w:sz w:val="28"/>
          <w:u w:val="thick" w:color="000000"/>
        </w:rPr>
        <w:t>ITP</w:t>
      </w:r>
      <w:r>
        <w:rPr>
          <w:rFonts w:ascii="Times New Roman" w:hAnsi="Times New Roman"/>
          <w:b/>
          <w:sz w:val="28"/>
        </w:rPr>
        <w:t>)</w:t>
      </w:r>
    </w:p>
    <w:p w14:paraId="78CFFFAE" w14:textId="77777777" w:rsidR="00E51A37" w:rsidRPr="0085176F" w:rsidRDefault="00E51A37" w:rsidP="009B1CD4">
      <w:pPr>
        <w:keepNext/>
        <w:widowControl/>
        <w:jc w:val="both"/>
        <w:rPr>
          <w:rFonts w:ascii="Times New Roman" w:eastAsia="Arial" w:hAnsi="Times New Roman" w:cs="Times New Roman"/>
          <w:b/>
          <w:bCs/>
          <w:noProof/>
          <w:sz w:val="24"/>
          <w:szCs w:val="24"/>
        </w:rPr>
      </w:pPr>
    </w:p>
    <w:p w14:paraId="5E90A3AE" w14:textId="1AF23770" w:rsidR="00E51A37" w:rsidRPr="00CF07B7" w:rsidRDefault="00CF07B7" w:rsidP="009B1CD4">
      <w:pPr>
        <w:pStyle w:val="Heading2"/>
        <w:keepNext/>
        <w:widowControl/>
        <w:tabs>
          <w:tab w:val="left" w:pos="1031"/>
        </w:tabs>
        <w:spacing w:before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u w:color="000000"/>
        </w:rPr>
        <w:t>2.1.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iCs/>
          <w:sz w:val="28"/>
          <w:u w:val="single" w:color="000000"/>
        </w:rPr>
        <w:t>ITP</w:t>
      </w:r>
      <w:r>
        <w:rPr>
          <w:rFonts w:ascii="Times New Roman" w:hAnsi="Times New Roman"/>
          <w:sz w:val="28"/>
        </w:rPr>
        <w:t xml:space="preserve"> metodes prasības</w:t>
      </w:r>
    </w:p>
    <w:p w14:paraId="6984AD35" w14:textId="77777777" w:rsidR="00CF07B7" w:rsidRDefault="00CF07B7" w:rsidP="009B1CD4">
      <w:pPr>
        <w:pStyle w:val="BodyText"/>
        <w:keepNext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DE43295" w14:textId="3B633F6B" w:rsidR="00E51A37" w:rsidRPr="0085176F" w:rsidRDefault="00E51A37" w:rsidP="009B1CD4">
      <w:pPr>
        <w:pStyle w:val="BodyText"/>
        <w:keepNext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Steroīdu profila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kvantitatīvās noteikšanas pamatā ir gāzu hromatogrāfija apvienojumā ar masspektrometriju (</w:t>
      </w:r>
      <w:r>
        <w:rPr>
          <w:rFonts w:ascii="Times New Roman" w:hAnsi="Times New Roman"/>
          <w:i/>
          <w:sz w:val="24"/>
        </w:rPr>
        <w:t>GC-MS</w:t>
      </w:r>
      <w:r>
        <w:rPr>
          <w:rFonts w:ascii="Times New Roman" w:hAnsi="Times New Roman"/>
          <w:i/>
          <w:sz w:val="24"/>
          <w:vertAlign w:val="superscript"/>
        </w:rPr>
        <w:t>n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> ≥ 1).</w:t>
      </w:r>
    </w:p>
    <w:p w14:paraId="66757F4E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44A1B2DF" w14:textId="77777777" w:rsidR="00E51A37" w:rsidRPr="0085176F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2. tabula.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u w:val="single" w:color="000000"/>
        </w:rPr>
        <w:t>ITP</w:t>
      </w:r>
      <w:r>
        <w:rPr>
          <w:rFonts w:ascii="Times New Roman" w:hAnsi="Times New Roman"/>
          <w:sz w:val="24"/>
        </w:rPr>
        <w:t xml:space="preserve"> prasības steroīdu profila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kvantitatīvai noteikšanai</w:t>
      </w:r>
    </w:p>
    <w:p w14:paraId="0A57DF32" w14:textId="62CD250C" w:rsidR="00E51A37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tbl>
      <w:tblPr>
        <w:tblStyle w:val="TableNormal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304"/>
        <w:gridCol w:w="1418"/>
        <w:gridCol w:w="708"/>
        <w:gridCol w:w="796"/>
        <w:gridCol w:w="798"/>
        <w:gridCol w:w="800"/>
        <w:gridCol w:w="1154"/>
        <w:gridCol w:w="1150"/>
      </w:tblGrid>
      <w:tr w:rsidR="00DE6D89" w:rsidRPr="00315CE2" w14:paraId="1893E6EC" w14:textId="77777777" w:rsidTr="00094F20">
        <w:tc>
          <w:tcPr>
            <w:tcW w:w="5000" w:type="pct"/>
            <w:gridSpan w:val="8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3136A63B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2.1.1. </w:t>
            </w:r>
            <w:r>
              <w:rPr>
                <w:rFonts w:ascii="Times New Roman" w:hAnsi="Times New Roman"/>
                <w:i/>
                <w:iCs/>
                <w:sz w:val="24"/>
                <w:u w:val="single" w:color="000000"/>
              </w:rPr>
              <w:t>ITP</w:t>
            </w:r>
            <w:r>
              <w:rPr>
                <w:rFonts w:ascii="Times New Roman" w:hAnsi="Times New Roman"/>
                <w:sz w:val="24"/>
              </w:rPr>
              <w:t xml:space="preserve"> validācijas prasības</w:t>
            </w:r>
          </w:p>
        </w:tc>
      </w:tr>
      <w:tr w:rsidR="00DE6D89" w:rsidRPr="00315CE2" w14:paraId="6F501611" w14:textId="77777777" w:rsidTr="00094F20">
        <w:tc>
          <w:tcPr>
            <w:tcW w:w="1262" w:type="pct"/>
            <w:tcBorders>
              <w:top w:val="single" w:sz="1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7D0EBC21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Metodes aptvertais koncentrācijas diapazons</w:t>
            </w:r>
          </w:p>
        </w:tc>
        <w:tc>
          <w:tcPr>
            <w:tcW w:w="3738" w:type="pct"/>
            <w:gridSpan w:val="7"/>
            <w:tcBorders>
              <w:top w:val="single" w:sz="1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9543A5F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Jāaptver tas </w:t>
            </w:r>
            <w:r>
              <w:rPr>
                <w:rFonts w:ascii="Times New Roman" w:hAnsi="Times New Roman"/>
                <w:i/>
              </w:rPr>
              <w:t>marķiera</w:t>
            </w:r>
            <w:r>
              <w:rPr>
                <w:rFonts w:ascii="Times New Roman" w:hAnsi="Times New Roman"/>
              </w:rPr>
              <w:t xml:space="preserve"> koncentrācijas diapazons, kas parasti sastopams vīriešiem un sievietēm.</w:t>
            </w:r>
          </w:p>
        </w:tc>
      </w:tr>
      <w:tr w:rsidR="00DE6D89" w:rsidRPr="00315CE2" w14:paraId="77BBA3B2" w14:textId="77777777" w:rsidTr="00094F20">
        <w:tc>
          <w:tcPr>
            <w:tcW w:w="1262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6E6B75EC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Enzimātiskā hidrolīze</w:t>
            </w:r>
          </w:p>
        </w:tc>
        <w:tc>
          <w:tcPr>
            <w:tcW w:w="3738" w:type="pct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B97C05E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</w:rPr>
              <w:t xml:space="preserve">Novērtējiet enzimātiskās hidrolīzes efektivitāti, izmantojot β-glikuronidāzi no </w:t>
            </w:r>
            <w:r>
              <w:rPr>
                <w:rFonts w:ascii="Times New Roman" w:hAnsi="Times New Roman"/>
                <w:i/>
              </w:rPr>
              <w:t>E. coli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E6D89" w:rsidRPr="00315CE2" w14:paraId="1AFEB21B" w14:textId="77777777" w:rsidTr="00094F20">
        <w:tc>
          <w:tcPr>
            <w:tcW w:w="1262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7483E3CA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Atvasināšana</w:t>
            </w:r>
          </w:p>
        </w:tc>
        <w:tc>
          <w:tcPr>
            <w:tcW w:w="3738" w:type="pct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02C6AD9B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Novērtējiet trimetilsililgrupas (</w:t>
            </w:r>
            <w:r>
              <w:rPr>
                <w:rFonts w:ascii="Times New Roman" w:hAnsi="Times New Roman"/>
                <w:i/>
              </w:rPr>
              <w:t>TMS</w:t>
            </w:r>
            <w:r>
              <w:rPr>
                <w:rFonts w:ascii="Times New Roman" w:hAnsi="Times New Roman"/>
              </w:rPr>
              <w:t>) atvasināšanas efektivitāti.</w:t>
            </w:r>
          </w:p>
        </w:tc>
      </w:tr>
      <w:tr w:rsidR="00DE6D89" w:rsidRPr="00315CE2" w14:paraId="716E476A" w14:textId="77777777" w:rsidTr="00094F20">
        <w:tc>
          <w:tcPr>
            <w:tcW w:w="1262" w:type="pc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38038263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u w:val="thick" w:color="000000"/>
              </w:rPr>
              <w:t>Kvantitatīvās noteikšanas</w:t>
            </w:r>
            <w:r>
              <w:rPr>
                <w:rFonts w:ascii="Times New Roman" w:hAnsi="Times New Roman"/>
                <w:b/>
              </w:rPr>
              <w:t xml:space="preserve"> robeža (</w:t>
            </w:r>
            <w:r>
              <w:rPr>
                <w:rFonts w:ascii="Times New Roman" w:hAnsi="Times New Roman"/>
                <w:b/>
                <w:i/>
                <w:u w:val="thick" w:color="000000"/>
              </w:rPr>
              <w:t>LOQ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738" w:type="pct"/>
            <w:gridSpan w:val="7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9ADF2DE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Metožu validācijas laikā nosaka </w:t>
            </w:r>
            <w:r>
              <w:rPr>
                <w:rFonts w:ascii="Times New Roman" w:hAnsi="Times New Roman"/>
                <w:i/>
                <w:u w:val="thick" w:color="000000"/>
              </w:rPr>
              <w:t>LOQ</w:t>
            </w:r>
            <w:r>
              <w:rPr>
                <w:rFonts w:ascii="Times New Roman" w:hAnsi="Times New Roman"/>
              </w:rPr>
              <w:t xml:space="preserve">, kas ir mazākā koncentrācija, kuru iespējams izmērīt, kad </w:t>
            </w:r>
            <w:r>
              <w:rPr>
                <w:rFonts w:ascii="Times New Roman" w:hAnsi="Times New Roman"/>
                <w:i/>
              </w:rPr>
              <w:t>u</w:t>
            </w:r>
            <w:r>
              <w:rPr>
                <w:rFonts w:ascii="Times New Roman" w:hAnsi="Times New Roman"/>
                <w:i/>
                <w:vertAlign w:val="subscript"/>
              </w:rPr>
              <w:t>c</w:t>
            </w:r>
            <w:r>
              <w:rPr>
                <w:rFonts w:ascii="Times New Roman" w:hAnsi="Times New Roman"/>
              </w:rPr>
              <w:t xml:space="preserve"> (%) nav lielāka par (≤) 30 %, un tai jāatbilst šādiem kritērijiem:</w:t>
            </w:r>
          </w:p>
          <w:p w14:paraId="214B25DD" w14:textId="77777777" w:rsidR="00DE6D89" w:rsidRPr="00315CE2" w:rsidRDefault="00DE6D89" w:rsidP="00134392">
            <w:pPr>
              <w:pStyle w:val="ListParagraph"/>
              <w:widowControl/>
              <w:tabs>
                <w:tab w:val="left" w:pos="537"/>
              </w:tabs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• T, E ≤ 1 ng/ml;</w:t>
            </w:r>
          </w:p>
          <w:p w14:paraId="5AF84276" w14:textId="77777777" w:rsidR="00DE6D89" w:rsidRPr="00315CE2" w:rsidRDefault="00DE6D89" w:rsidP="00134392">
            <w:pPr>
              <w:pStyle w:val="ListParagraph"/>
              <w:widowControl/>
              <w:tabs>
                <w:tab w:val="left" w:pos="537"/>
              </w:tabs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  <w:i/>
              </w:rPr>
              <w:t>5αAdiol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5βAdiol</w:t>
            </w:r>
            <w:r>
              <w:rPr>
                <w:rFonts w:ascii="Times New Roman" w:hAnsi="Times New Roman"/>
              </w:rPr>
              <w:t> ≤ 10 ng/ml;</w:t>
            </w:r>
          </w:p>
          <w:p w14:paraId="011A8508" w14:textId="77777777" w:rsidR="00DE6D89" w:rsidRPr="00315CE2" w:rsidRDefault="00DE6D89" w:rsidP="00134392">
            <w:pPr>
              <w:pStyle w:val="ListParagraph"/>
              <w:widowControl/>
              <w:tabs>
                <w:tab w:val="left" w:pos="537"/>
              </w:tabs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• A, </w:t>
            </w:r>
            <w:r>
              <w:rPr>
                <w:rFonts w:ascii="Times New Roman" w:hAnsi="Times New Roman"/>
                <w:i/>
              </w:rPr>
              <w:t>Etio</w:t>
            </w:r>
            <w:r>
              <w:rPr>
                <w:rFonts w:ascii="Times New Roman" w:hAnsi="Times New Roman"/>
              </w:rPr>
              <w:t> ≤ 500 ng/ml.</w:t>
            </w:r>
          </w:p>
        </w:tc>
      </w:tr>
      <w:tr w:rsidR="00DE6D89" w:rsidRPr="00315CE2" w14:paraId="5E68AC36" w14:textId="77777777" w:rsidTr="00094F20">
        <w:tc>
          <w:tcPr>
            <w:tcW w:w="1262" w:type="pct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EB6A09A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u w:val="thick" w:color="000000"/>
              </w:rPr>
              <w:t>Mērījuma nenoteiktība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i/>
              </w:rPr>
              <w:t>u</w:t>
            </w:r>
            <w:r>
              <w:rPr>
                <w:rFonts w:ascii="Times New Roman" w:hAnsi="Times New Roman"/>
                <w:b/>
                <w:i/>
                <w:vertAlign w:val="subscript"/>
              </w:rPr>
              <w:t>c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777" w:type="pct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F3BF2F6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Līmenis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497FE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7AFD5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Etio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15FEF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A40B3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0C394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Adioli</w:t>
            </w:r>
          </w:p>
          <w:p w14:paraId="4A4BF994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i/>
                <w:iCs/>
              </w:rPr>
              <w:t>5α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i/>
                <w:iCs/>
              </w:rPr>
              <w:t>5β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30" w:type="pct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2836C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T/E</w:t>
            </w:r>
          </w:p>
        </w:tc>
      </w:tr>
      <w:tr w:rsidR="00DE6D89" w:rsidRPr="00315CE2" w14:paraId="51D1CCDB" w14:textId="77777777" w:rsidTr="00094F20">
        <w:tc>
          <w:tcPr>
            <w:tcW w:w="1262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0A3759F" w14:textId="77777777" w:rsidR="00DE6D89" w:rsidRPr="00315CE2" w:rsidRDefault="00DE6D89" w:rsidP="00134392">
            <w:pPr>
              <w:widowControl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77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44514" w14:textId="77777777" w:rsidR="00DE6D89" w:rsidRPr="00315CE2" w:rsidRDefault="00DE6D89" w:rsidP="00134392">
            <w:pPr>
              <w:widowControl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61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AF4E5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Aplēstā </w:t>
            </w:r>
            <w:r>
              <w:rPr>
                <w:rFonts w:ascii="Times New Roman" w:hAnsi="Times New Roman"/>
                <w:i/>
              </w:rPr>
              <w:t>u</w:t>
            </w:r>
            <w:r>
              <w:rPr>
                <w:rFonts w:ascii="Times New Roman" w:hAnsi="Times New Roman"/>
                <w:i/>
                <w:vertAlign w:val="subscript"/>
              </w:rPr>
              <w:t>c</w:t>
            </w:r>
            <w:r>
              <w:rPr>
                <w:rFonts w:ascii="Times New Roman" w:hAnsi="Times New Roman"/>
              </w:rPr>
              <w:t xml:space="preserve"> (%) nav lielāka par (≤) </w:t>
            </w:r>
            <w:r>
              <w:rPr>
                <w:rFonts w:ascii="Times New Roman" w:hAnsi="Times New Roman"/>
                <w:i/>
              </w:rPr>
              <w:t>u</w:t>
            </w:r>
            <w:r>
              <w:rPr>
                <w:rFonts w:ascii="Times New Roman" w:hAnsi="Times New Roman"/>
                <w:i/>
                <w:vertAlign w:val="subscript"/>
              </w:rPr>
              <w:t>c_Max</w:t>
            </w:r>
            <w:r>
              <w:rPr>
                <w:rFonts w:ascii="Times New Roman" w:hAnsi="Times New Roman"/>
              </w:rPr>
              <w:t xml:space="preserve"> (%) vērtību, kas norādīta turpmāk tekstā</w:t>
            </w:r>
          </w:p>
        </w:tc>
      </w:tr>
      <w:tr w:rsidR="00DE6D89" w:rsidRPr="00315CE2" w14:paraId="3C7CEB46" w14:textId="77777777" w:rsidTr="00094F20">
        <w:tc>
          <w:tcPr>
            <w:tcW w:w="1262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8ACDB53" w14:textId="77777777" w:rsidR="00DE6D89" w:rsidRPr="00315CE2" w:rsidRDefault="00DE6D89" w:rsidP="00134392">
            <w:pPr>
              <w:widowControl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0354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i/>
                <w:u w:val="thick" w:color="000000"/>
              </w:rPr>
              <w:t>LOQ</w:t>
            </w:r>
          </w:p>
        </w:tc>
        <w:tc>
          <w:tcPr>
            <w:tcW w:w="233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770DF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≤ 30 %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BB22687" w14:textId="77777777" w:rsidR="00DE6D89" w:rsidRPr="00315CE2" w:rsidRDefault="00DE6D89" w:rsidP="00134392">
            <w:pPr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E6D89" w:rsidRPr="00315CE2" w14:paraId="5CDAE19D" w14:textId="77777777" w:rsidTr="00094F20">
        <w:tc>
          <w:tcPr>
            <w:tcW w:w="1262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F5ABB4B" w14:textId="77777777" w:rsidR="00DE6D89" w:rsidRPr="00315CE2" w:rsidRDefault="00DE6D89" w:rsidP="00134392">
            <w:pPr>
              <w:widowControl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DE12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</w:rPr>
              <w:t>5 x </w:t>
            </w:r>
            <w:r>
              <w:rPr>
                <w:rFonts w:ascii="Times New Roman" w:hAnsi="Times New Roman"/>
                <w:b/>
                <w:i/>
                <w:u w:val="thick" w:color="000000"/>
              </w:rPr>
              <w:t>LOQ</w:t>
            </w:r>
          </w:p>
        </w:tc>
        <w:tc>
          <w:tcPr>
            <w:tcW w:w="1699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750BA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≤ 20 %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B089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≤ 25 %</w:t>
            </w: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7F13DC0" w14:textId="77777777" w:rsidR="00DE6D89" w:rsidRPr="00315CE2" w:rsidRDefault="00DE6D89" w:rsidP="00134392">
            <w:pPr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E6D89" w:rsidRPr="00315CE2" w14:paraId="2243D78D" w14:textId="77777777" w:rsidTr="00094F20">
        <w:tc>
          <w:tcPr>
            <w:tcW w:w="1262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40E2F55" w14:textId="77777777" w:rsidR="00DE6D89" w:rsidRPr="00315CE2" w:rsidRDefault="00DE6D89" w:rsidP="00134392">
            <w:pPr>
              <w:widowControl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AADEA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(T, E) ≤ 1 ng/ml</w:t>
            </w:r>
          </w:p>
        </w:tc>
        <w:tc>
          <w:tcPr>
            <w:tcW w:w="2331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92EC246" w14:textId="77777777" w:rsidR="00DE6D89" w:rsidRPr="00315CE2" w:rsidRDefault="00DE6D89" w:rsidP="00134392">
            <w:pPr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FD039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≤ 15 %</w:t>
            </w:r>
          </w:p>
        </w:tc>
      </w:tr>
      <w:tr w:rsidR="00DE6D89" w:rsidRPr="00315CE2" w14:paraId="4E6D05D2" w14:textId="77777777" w:rsidTr="00094F20">
        <w:tc>
          <w:tcPr>
            <w:tcW w:w="1262" w:type="pct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FB10295" w14:textId="77777777" w:rsidR="00DE6D89" w:rsidRPr="00315CE2" w:rsidRDefault="00DE6D89" w:rsidP="00134392">
            <w:pPr>
              <w:widowControl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77" w:type="pct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4BCD71B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(T, E) ≤ 5 ng/ml</w:t>
            </w:r>
          </w:p>
        </w:tc>
        <w:tc>
          <w:tcPr>
            <w:tcW w:w="2331" w:type="pct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C0C0C0"/>
          </w:tcPr>
          <w:p w14:paraId="3B9523DD" w14:textId="77777777" w:rsidR="00DE6D89" w:rsidRPr="00315CE2" w:rsidRDefault="00DE6D89" w:rsidP="00134392">
            <w:pPr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30" w:type="pct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38DB531" w14:textId="77777777" w:rsidR="00DE6D89" w:rsidRPr="00315CE2" w:rsidRDefault="00DE6D89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≤ 30 %</w:t>
            </w:r>
          </w:p>
        </w:tc>
      </w:tr>
      <w:tr w:rsidR="00DE6D89" w:rsidRPr="003F5E3F" w14:paraId="5B4807A6" w14:textId="77777777" w:rsidTr="00094F20">
        <w:tc>
          <w:tcPr>
            <w:tcW w:w="5000" w:type="pct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7852E24" w14:textId="77777777" w:rsidR="00DE6D89" w:rsidRPr="003F5E3F" w:rsidRDefault="00DE6D89" w:rsidP="00134392">
            <w:pPr>
              <w:pStyle w:val="TableParagraph"/>
              <w:widowControl/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2.1.2. </w:t>
            </w:r>
            <w:r>
              <w:rPr>
                <w:rFonts w:ascii="Times New Roman" w:hAnsi="Times New Roman"/>
                <w:i/>
                <w:sz w:val="24"/>
                <w:u w:val="single" w:color="000000"/>
              </w:rPr>
              <w:t>ITP</w:t>
            </w:r>
            <w:r>
              <w:rPr>
                <w:rFonts w:ascii="Times New Roman" w:hAnsi="Times New Roman"/>
                <w:sz w:val="24"/>
              </w:rPr>
              <w:t xml:space="preserve"> analīzes prasības</w:t>
            </w:r>
          </w:p>
        </w:tc>
      </w:tr>
      <w:tr w:rsidR="00DE6D89" w:rsidRPr="00315CE2" w14:paraId="7023EEF4" w14:textId="77777777" w:rsidTr="00094F20">
        <w:tc>
          <w:tcPr>
            <w:tcW w:w="1262" w:type="pct"/>
            <w:tcBorders>
              <w:top w:val="single" w:sz="12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55A4CB5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  <w:i/>
              </w:rPr>
              <w:t>Paraugs</w:t>
            </w:r>
          </w:p>
        </w:tc>
        <w:tc>
          <w:tcPr>
            <w:tcW w:w="3738" w:type="pct"/>
            <w:gridSpan w:val="7"/>
            <w:tcBorders>
              <w:top w:val="single" w:sz="1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3DC10E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Steroīdu profila </w:t>
            </w:r>
            <w:r>
              <w:rPr>
                <w:rFonts w:ascii="Times New Roman" w:hAnsi="Times New Roman"/>
                <w:i/>
              </w:rPr>
              <w:t>marķieru</w:t>
            </w:r>
            <w:r>
              <w:rPr>
                <w:rFonts w:ascii="Times New Roman" w:hAnsi="Times New Roman"/>
              </w:rPr>
              <w:t xml:space="preserve"> kvantitatīvai noteikšanai </w:t>
            </w:r>
            <w:r>
              <w:rPr>
                <w:rFonts w:ascii="Times New Roman" w:hAnsi="Times New Roman"/>
                <w:i/>
                <w:u w:val="single" w:color="000000"/>
              </w:rPr>
              <w:t>ITP</w:t>
            </w:r>
            <w:r>
              <w:rPr>
                <w:rFonts w:ascii="Times New Roman" w:hAnsi="Times New Roman"/>
              </w:rPr>
              <w:t xml:space="preserve"> veic, izmantojot vienu </w:t>
            </w:r>
            <w:r>
              <w:rPr>
                <w:rFonts w:ascii="Times New Roman" w:hAnsi="Times New Roman"/>
                <w:u w:val="single" w:color="000000"/>
              </w:rPr>
              <w:t>alikvotu</w:t>
            </w:r>
            <w:r>
              <w:rPr>
                <w:rFonts w:ascii="Times New Roman" w:hAnsi="Times New Roman"/>
              </w:rPr>
              <w:t xml:space="preserve">. Nepieciešamības gadījumā </w:t>
            </w:r>
            <w:r>
              <w:rPr>
                <w:rFonts w:ascii="Times New Roman" w:hAnsi="Times New Roman"/>
                <w:u w:val="single" w:color="000000"/>
              </w:rPr>
              <w:t>alikvotas</w:t>
            </w:r>
            <w:r>
              <w:rPr>
                <w:rFonts w:ascii="Times New Roman" w:hAnsi="Times New Roman"/>
              </w:rPr>
              <w:t xml:space="preserve"> lielumu var koriģēt atkarībā no tās īpatnējā svara (</w:t>
            </w:r>
            <w:r>
              <w:rPr>
                <w:rFonts w:ascii="Times New Roman" w:hAnsi="Times New Roman"/>
                <w:i/>
                <w:iCs/>
              </w:rPr>
              <w:t>SG</w:t>
            </w:r>
            <w:r>
              <w:rPr>
                <w:rFonts w:ascii="Times New Roman" w:hAnsi="Times New Roman"/>
              </w:rPr>
              <w:t xml:space="preserve">) un </w:t>
            </w:r>
            <w:r>
              <w:rPr>
                <w:rFonts w:ascii="Times New Roman" w:hAnsi="Times New Roman"/>
                <w:i/>
                <w:iCs/>
              </w:rPr>
              <w:t>sportista</w:t>
            </w:r>
            <w:r>
              <w:rPr>
                <w:rFonts w:ascii="Times New Roman" w:hAnsi="Times New Roman"/>
              </w:rPr>
              <w:t xml:space="preserve"> dzimuma.</w:t>
            </w:r>
          </w:p>
        </w:tc>
      </w:tr>
      <w:tr w:rsidR="00DE6D89" w:rsidRPr="00315CE2" w14:paraId="448599C1" w14:textId="77777777" w:rsidTr="00094F2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01AD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</w:rPr>
              <w:t>Kalibrēšana</w:t>
            </w:r>
          </w:p>
        </w:tc>
        <w:tc>
          <w:tcPr>
            <w:tcW w:w="3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736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Katrā analīzes virknē iekļauj kalibrēšanas standartu(-us) vai kalibrēšanas līkni.</w:t>
            </w:r>
          </w:p>
        </w:tc>
      </w:tr>
      <w:tr w:rsidR="00DE6D89" w:rsidRPr="00315CE2" w14:paraId="6C8E64F2" w14:textId="77777777" w:rsidTr="00094F2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53C2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</w:rPr>
              <w:t>Kvalitātes kontrole</w:t>
            </w:r>
          </w:p>
        </w:tc>
        <w:tc>
          <w:tcPr>
            <w:tcW w:w="3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0BA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Katrā analīzes virknē iekļauj vismaz divus (2) urīna kvalitātes kontroles (KK) paraugus, kuros ir zema un augsta reprezentatīvā steroīdu profila </w:t>
            </w:r>
            <w:r>
              <w:rPr>
                <w:rFonts w:ascii="Times New Roman" w:hAnsi="Times New Roman"/>
                <w:i/>
                <w:iCs/>
              </w:rPr>
              <w:t>marķieru</w:t>
            </w:r>
            <w:r>
              <w:rPr>
                <w:rFonts w:ascii="Times New Roman" w:hAnsi="Times New Roman"/>
              </w:rPr>
              <w:t xml:space="preserve"> koncentrācija.</w:t>
            </w:r>
          </w:p>
        </w:tc>
      </w:tr>
      <w:tr w:rsidR="00DE6D89" w:rsidRPr="00315CE2" w14:paraId="3CE61B3F" w14:textId="77777777" w:rsidTr="00094F2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EE7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</w:rPr>
              <w:t>Enzimātiskā hidrolīze</w:t>
            </w:r>
          </w:p>
        </w:tc>
        <w:tc>
          <w:tcPr>
            <w:tcW w:w="3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F87A" w14:textId="77777777" w:rsidR="00DE6D89" w:rsidRPr="00B75F57" w:rsidRDefault="00DE6D89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Glikurokonjugēto urīna steroīdu hidrolīzei izmanto attīrītu β-glikuronidāzi no </w:t>
            </w:r>
            <w:r>
              <w:rPr>
                <w:rFonts w:ascii="Times New Roman" w:hAnsi="Times New Roman"/>
                <w:i/>
              </w:rPr>
              <w:t>E. coli</w:t>
            </w:r>
            <w:r>
              <w:rPr>
                <w:rFonts w:ascii="Times New Roman" w:hAnsi="Times New Roman"/>
              </w:rPr>
              <w:t xml:space="preserve">, un katrā </w:t>
            </w:r>
            <w:r>
              <w:rPr>
                <w:rFonts w:ascii="Times New Roman" w:hAnsi="Times New Roman"/>
                <w:u w:val="single" w:color="000000"/>
              </w:rPr>
              <w:t>alikvotā</w:t>
            </w:r>
            <w:r>
              <w:rPr>
                <w:rFonts w:ascii="Times New Roman" w:hAnsi="Times New Roman"/>
              </w:rPr>
              <w:t xml:space="preserve"> uzrauga hidrolīzes pilnīgu pabeigšanu, izmantojot ar izotopu apzīmētu A-glikuronīdu (vai līdzvērtīgu zinātniski atzītu alternatīvu).</w:t>
            </w:r>
          </w:p>
          <w:p w14:paraId="444241E1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Neizmanto </w:t>
            </w:r>
            <w:r>
              <w:rPr>
                <w:rFonts w:ascii="Times New Roman" w:hAnsi="Times New Roman"/>
                <w:i/>
              </w:rPr>
              <w:t>H. pomatia</w:t>
            </w:r>
            <w:r>
              <w:rPr>
                <w:rFonts w:ascii="Times New Roman" w:hAnsi="Times New Roman"/>
              </w:rPr>
              <w:t xml:space="preserve"> maisījumus.</w:t>
            </w:r>
          </w:p>
        </w:tc>
      </w:tr>
      <w:tr w:rsidR="00DE6D89" w:rsidRPr="00315CE2" w14:paraId="4364D453" w14:textId="77777777" w:rsidTr="00094F2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6CD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</w:rPr>
              <w:t>Atvasināšana</w:t>
            </w:r>
          </w:p>
        </w:tc>
        <w:tc>
          <w:tcPr>
            <w:tcW w:w="3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B4A" w14:textId="77777777" w:rsidR="00DE6D89" w:rsidRPr="00B75F57" w:rsidRDefault="00DE6D89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Steroīdu profila </w:t>
            </w:r>
            <w:r>
              <w:rPr>
                <w:rFonts w:ascii="Times New Roman" w:hAnsi="Times New Roman"/>
                <w:i/>
              </w:rPr>
              <w:t>marķierus</w:t>
            </w:r>
            <w:r>
              <w:rPr>
                <w:rFonts w:ascii="Times New Roman" w:hAnsi="Times New Roman"/>
              </w:rPr>
              <w:t xml:space="preserve"> analizē kā </w:t>
            </w:r>
            <w:r>
              <w:rPr>
                <w:rFonts w:ascii="Times New Roman" w:hAnsi="Times New Roman"/>
                <w:i/>
              </w:rPr>
              <w:t>TMS</w:t>
            </w:r>
            <w:r>
              <w:rPr>
                <w:rFonts w:ascii="Times New Roman" w:hAnsi="Times New Roman"/>
              </w:rPr>
              <w:t xml:space="preserve"> atvasinājumus (</w:t>
            </w:r>
            <w:r>
              <w:rPr>
                <w:rFonts w:ascii="Times New Roman" w:hAnsi="Times New Roman"/>
                <w:i/>
              </w:rPr>
              <w:t>TMS</w:t>
            </w:r>
            <w:r>
              <w:rPr>
                <w:rFonts w:ascii="Times New Roman" w:hAnsi="Times New Roman"/>
              </w:rPr>
              <w:t xml:space="preserve"> enolēterus un/vai </w:t>
            </w:r>
            <w:r>
              <w:rPr>
                <w:rFonts w:ascii="Times New Roman" w:hAnsi="Times New Roman"/>
                <w:i/>
              </w:rPr>
              <w:t>TMS</w:t>
            </w:r>
            <w:r>
              <w:rPr>
                <w:rFonts w:ascii="Times New Roman" w:hAnsi="Times New Roman"/>
              </w:rPr>
              <w:t xml:space="preserve"> ēterus).</w:t>
            </w:r>
          </w:p>
          <w:p w14:paraId="5C22F02D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Atvasināšanas pilnīgu pabeigšanu kontrolē katrā </w:t>
            </w:r>
            <w:r>
              <w:rPr>
                <w:rFonts w:ascii="Times New Roman" w:hAnsi="Times New Roman"/>
                <w:u w:val="single" w:color="000000"/>
              </w:rPr>
              <w:t>alikvotā</w:t>
            </w:r>
            <w:r>
              <w:rPr>
                <w:rFonts w:ascii="Times New Roman" w:hAnsi="Times New Roman"/>
              </w:rPr>
              <w:t xml:space="preserve">, uzraugot A </w:t>
            </w:r>
            <w:r>
              <w:rPr>
                <w:rFonts w:ascii="Times New Roman" w:hAnsi="Times New Roman"/>
                <w:i/>
              </w:rPr>
              <w:t>mono-</w:t>
            </w:r>
            <w:r>
              <w:rPr>
                <w:rFonts w:ascii="Times New Roman" w:hAnsi="Times New Roman"/>
                <w:i/>
              </w:rPr>
              <w:lastRenderedPageBreak/>
              <w:t>O-TMS</w:t>
            </w:r>
            <w:r>
              <w:rPr>
                <w:rFonts w:ascii="Times New Roman" w:hAnsi="Times New Roman"/>
              </w:rPr>
              <w:t xml:space="preserve"> un </w:t>
            </w:r>
            <w:r>
              <w:rPr>
                <w:rFonts w:ascii="Times New Roman" w:hAnsi="Times New Roman"/>
                <w:i/>
              </w:rPr>
              <w:t>di-O-TMS</w:t>
            </w:r>
            <w:r>
              <w:rPr>
                <w:rFonts w:ascii="Times New Roman" w:hAnsi="Times New Roman"/>
              </w:rPr>
              <w:t xml:space="preserve"> atvasinājumu.</w:t>
            </w:r>
          </w:p>
        </w:tc>
      </w:tr>
      <w:tr w:rsidR="00DE6D89" w:rsidRPr="00315CE2" w14:paraId="39656563" w14:textId="77777777" w:rsidTr="00094F2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5629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</w:rPr>
              <w:lastRenderedPageBreak/>
              <w:t>T/E proporcija</w:t>
            </w:r>
          </w:p>
        </w:tc>
        <w:tc>
          <w:tcPr>
            <w:tcW w:w="3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CD9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T/E proporciju nosaka, ņemot vērā hromatogrāfiskās smailes laukumu vai smailes augstumu proporcijas pēc korekcijas ar kalibratoru vai kalibrēšanas līkni.</w:t>
            </w:r>
          </w:p>
        </w:tc>
      </w:tr>
      <w:tr w:rsidR="00DE6D89" w:rsidRPr="00315CE2" w14:paraId="73DC8DF7" w14:textId="77777777" w:rsidTr="00094F20"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57AB" w14:textId="77777777" w:rsidR="00DE6D89" w:rsidRPr="00315CE2" w:rsidRDefault="00DE6D89" w:rsidP="00134392">
            <w:pPr>
              <w:pStyle w:val="TableParagraph"/>
              <w:widowControl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/>
                <w:b/>
              </w:rPr>
              <w:t>Faktori, kas ietekmē steroīdu profilu</w:t>
            </w:r>
          </w:p>
        </w:tc>
        <w:tc>
          <w:tcPr>
            <w:tcW w:w="3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E049" w14:textId="77777777" w:rsidR="00DE6D89" w:rsidRPr="00B75F57" w:rsidRDefault="00DE6D89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u w:val="single" w:color="000000"/>
              </w:rPr>
              <w:t>Laboratorija</w:t>
            </w:r>
            <w:r>
              <w:rPr>
                <w:rFonts w:ascii="Times New Roman" w:hAnsi="Times New Roman"/>
              </w:rPr>
              <w:t>:</w:t>
            </w:r>
          </w:p>
          <w:p w14:paraId="47632DF5" w14:textId="77777777" w:rsidR="00DE6D89" w:rsidRDefault="00DE6D89" w:rsidP="00134392">
            <w:pPr>
              <w:pStyle w:val="ListParagraph"/>
              <w:widowControl/>
              <w:tabs>
                <w:tab w:val="left" w:pos="475"/>
              </w:tabs>
              <w:jc w:val="both"/>
              <w:rPr>
                <w:rFonts w:ascii="Times New Roman" w:eastAsia="Arial" w:hAnsi="Times New Roman" w:cs="Times New Roman"/>
                <w:noProof/>
              </w:rPr>
            </w:pPr>
          </w:p>
          <w:p w14:paraId="42E6EDE4" w14:textId="77777777" w:rsidR="00DE6D89" w:rsidRPr="00B75F57" w:rsidRDefault="00DE6D89" w:rsidP="00134392">
            <w:pPr>
              <w:pStyle w:val="ListParagraph"/>
              <w:widowControl/>
              <w:tabs>
                <w:tab w:val="left" w:pos="475"/>
              </w:tabs>
              <w:jc w:val="both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• uzrauga mikrobiālās aktivitātes pazīmes [piemēram, 3α-hidroksisteroīda dehidrogenāzes (</w:t>
            </w:r>
            <w:r>
              <w:rPr>
                <w:rFonts w:ascii="Times New Roman" w:hAnsi="Times New Roman"/>
                <w:i/>
              </w:rPr>
              <w:t>HSD</w:t>
            </w:r>
            <w:r>
              <w:rPr>
                <w:rFonts w:ascii="Times New Roman" w:hAnsi="Times New Roman"/>
              </w:rPr>
              <w:t>) aktivitātes rādītāju klātbūtni];</w:t>
            </w:r>
          </w:p>
          <w:p w14:paraId="30410E29" w14:textId="77777777" w:rsidR="00DE6D89" w:rsidRPr="00B75F57" w:rsidRDefault="00DE6D89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>[Piezīme. Urīna paraugu tiešā enzimātiskā hidrolīze var palielināt mikrobioloģiskā piesārņojuma ietekmi.]</w:t>
            </w:r>
          </w:p>
          <w:p w14:paraId="4AC8F590" w14:textId="77777777" w:rsidR="00DE6D89" w:rsidRDefault="00DE6D89" w:rsidP="00134392">
            <w:pPr>
              <w:pStyle w:val="TableParagraph"/>
              <w:widowControl/>
              <w:jc w:val="both"/>
              <w:rPr>
                <w:rFonts w:ascii="Times New Roman" w:eastAsia="Arial" w:hAnsi="Times New Roman" w:cs="Times New Roman"/>
                <w:noProof/>
              </w:rPr>
            </w:pPr>
          </w:p>
          <w:p w14:paraId="1A8177C5" w14:textId="77777777" w:rsidR="00DE6D89" w:rsidRPr="00315CE2" w:rsidRDefault="00DE6D89" w:rsidP="00134392">
            <w:pPr>
              <w:pStyle w:val="TableParagraph"/>
              <w:widowControl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• pārbauda konjugētā(-o) etanola(-u) </w:t>
            </w:r>
            <w:r>
              <w:rPr>
                <w:rFonts w:ascii="Times New Roman" w:hAnsi="Times New Roman"/>
                <w:i/>
              </w:rPr>
              <w:t>metabolīta(-u)</w:t>
            </w:r>
            <w:r>
              <w:rPr>
                <w:rFonts w:ascii="Times New Roman" w:hAnsi="Times New Roman"/>
              </w:rPr>
              <w:t xml:space="preserve"> [piemēram, etanola glikuronīda (</w:t>
            </w:r>
            <w:r>
              <w:rPr>
                <w:rFonts w:ascii="Times New Roman" w:hAnsi="Times New Roman"/>
                <w:i/>
              </w:rPr>
              <w:t>EtG</w:t>
            </w:r>
            <w:r>
              <w:rPr>
                <w:rFonts w:ascii="Times New Roman" w:hAnsi="Times New Roman"/>
              </w:rPr>
              <w:t>)], 5α-reduktāzes inhibitoru (piemēram, finasterīda un dutasterīda) un ketokonazola (un līdzīgu vielu) klātbūtni.</w:t>
            </w:r>
          </w:p>
        </w:tc>
      </w:tr>
    </w:tbl>
    <w:p w14:paraId="42074A9F" w14:textId="77777777" w:rsidR="00DE6D89" w:rsidRPr="0085176F" w:rsidRDefault="00DE6D89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1FA8E6C9" w14:textId="5AB66A4D" w:rsidR="00E51A37" w:rsidRPr="00DE6D89" w:rsidRDefault="00DE6D89" w:rsidP="00134392">
      <w:pPr>
        <w:pStyle w:val="Heading2"/>
        <w:widowControl/>
        <w:tabs>
          <w:tab w:val="left" w:pos="964"/>
        </w:tabs>
        <w:spacing w:before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t xml:space="preserve">2.2. Ziņošana par </w:t>
      </w:r>
      <w:r>
        <w:rPr>
          <w:rFonts w:ascii="Times New Roman" w:hAnsi="Times New Roman"/>
          <w:i/>
          <w:sz w:val="28"/>
          <w:u w:val="single" w:color="000000"/>
        </w:rPr>
        <w:t>ITP</w:t>
      </w:r>
      <w:r>
        <w:rPr>
          <w:rFonts w:ascii="Times New Roman" w:hAnsi="Times New Roman"/>
          <w:sz w:val="28"/>
        </w:rPr>
        <w:t xml:space="preserve"> laikā iegūto </w:t>
      </w:r>
      <w:r>
        <w:rPr>
          <w:rFonts w:ascii="Times New Roman" w:hAnsi="Times New Roman"/>
          <w:i/>
          <w:sz w:val="28"/>
        </w:rPr>
        <w:t>parauga</w:t>
      </w:r>
      <w:r>
        <w:rPr>
          <w:rFonts w:ascii="Times New Roman" w:hAnsi="Times New Roman"/>
          <w:sz w:val="28"/>
        </w:rPr>
        <w:t xml:space="preserve"> steroīdu profilu</w:t>
      </w:r>
    </w:p>
    <w:p w14:paraId="0DFE652F" w14:textId="77777777" w:rsidR="00DE6D89" w:rsidRDefault="00DE6D89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AA62F8" w14:textId="737C8188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Pēc </w:t>
      </w:r>
      <w:r>
        <w:rPr>
          <w:rFonts w:ascii="Times New Roman" w:hAnsi="Times New Roman"/>
          <w:i/>
          <w:sz w:val="24"/>
          <w:u w:val="single" w:color="000000"/>
        </w:rPr>
        <w:t>ITP</w:t>
      </w:r>
      <w:r>
        <w:rPr>
          <w:rFonts w:ascii="Times New Roman" w:hAnsi="Times New Roman"/>
          <w:sz w:val="24"/>
        </w:rPr>
        <w:t xml:space="preserve"> veikšanas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 paziņo katra analizētā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profilu.</w:t>
      </w:r>
    </w:p>
    <w:p w14:paraId="0A8226DC" w14:textId="77777777" w:rsidR="00DE6D89" w:rsidRPr="0085176F" w:rsidRDefault="00DE6D89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CA3958A" w14:textId="3E19817E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 paziņo:</w:t>
      </w:r>
    </w:p>
    <w:p w14:paraId="738981C2" w14:textId="77777777" w:rsidR="00DE6D89" w:rsidRPr="0085176F" w:rsidRDefault="00DE6D89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ACB9FB" w14:textId="4E9630C5" w:rsidR="00E51A37" w:rsidRPr="0085176F" w:rsidRDefault="00DE6D89" w:rsidP="00367F29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i)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īpatnējo svaru, ko noteikusi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(skat. </w:t>
      </w:r>
      <w:r>
        <w:rPr>
          <w:rFonts w:ascii="Times New Roman" w:hAnsi="Times New Roman"/>
          <w:i/>
          <w:sz w:val="24"/>
        </w:rPr>
        <w:t>TD DL</w:t>
      </w:r>
      <w:r>
        <w:rPr>
          <w:rFonts w:ascii="Times New Roman" w:hAnsi="Times New Roman"/>
          <w:sz w:val="24"/>
          <w:vertAlign w:val="superscript"/>
        </w:rPr>
        <w:t>[5]</w:t>
      </w:r>
      <w:r>
        <w:rPr>
          <w:rFonts w:ascii="Times New Roman" w:hAnsi="Times New Roman"/>
          <w:sz w:val="24"/>
        </w:rPr>
        <w:t>);</w:t>
      </w:r>
    </w:p>
    <w:p w14:paraId="61B51873" w14:textId="77777777" w:rsidR="00DE6D89" w:rsidRDefault="00DE6D89" w:rsidP="00367F29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7070C78" w14:textId="0CF782F5" w:rsidR="00367F29" w:rsidRDefault="00DE6D89" w:rsidP="00367F29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nekoriģēto T, E, A,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koncentrāciju un T/E proporciju;</w:t>
      </w:r>
    </w:p>
    <w:p w14:paraId="0E679665" w14:textId="77777777" w:rsidR="00367F29" w:rsidRPr="00367F29" w:rsidRDefault="00367F29" w:rsidP="00367F29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/>
          <w:sz w:val="24"/>
        </w:rPr>
      </w:pPr>
    </w:p>
    <w:p w14:paraId="0761B24E" w14:textId="77777777" w:rsidR="00E51A37" w:rsidRPr="0085176F" w:rsidRDefault="00E51A37" w:rsidP="00367F29">
      <w:pPr>
        <w:widowControl/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[Piezīme. Ja, piemēram, atšķaidījuma, neraksturīgu matricas traucējumu, enzimātiskās hidrolīzes inhibīcijas vai nepilnīgas atvasināšanas dēļ </w:t>
      </w:r>
      <w:r>
        <w:rPr>
          <w:rFonts w:ascii="Times New Roman" w:hAnsi="Times New Roman"/>
          <w:i/>
          <w:sz w:val="24"/>
          <w:u w:val="single" w:color="000000"/>
        </w:rPr>
        <w:t>ITP</w:t>
      </w:r>
      <w:r>
        <w:rPr>
          <w:rFonts w:ascii="Times New Roman" w:hAnsi="Times New Roman"/>
          <w:i/>
          <w:sz w:val="24"/>
        </w:rPr>
        <w:t xml:space="preserve"> steroīdu profila marķiera daudzumu nav iespējams izmērīt, </w:t>
      </w:r>
      <w:r>
        <w:rPr>
          <w:rFonts w:ascii="Times New Roman" w:hAnsi="Times New Roman"/>
          <w:i/>
          <w:sz w:val="24"/>
          <w:u w:val="single" w:color="000000"/>
        </w:rPr>
        <w:t>laboratorijai</w:t>
      </w:r>
      <w:r>
        <w:rPr>
          <w:rFonts w:ascii="Times New Roman" w:hAnsi="Times New Roman"/>
          <w:i/>
          <w:sz w:val="24"/>
        </w:rPr>
        <w:t xml:space="preserve"> ir jāatkārto analīze, izmantojot alternatīvu parauga sagatavošanas procedūru (piemēram, mainot </w:t>
      </w:r>
      <w:r>
        <w:rPr>
          <w:rFonts w:ascii="Times New Roman" w:hAnsi="Times New Roman"/>
          <w:i/>
          <w:sz w:val="24"/>
          <w:u w:val="single" w:color="000000"/>
        </w:rPr>
        <w:t>alikvotas</w:t>
      </w:r>
      <w:r>
        <w:rPr>
          <w:rFonts w:ascii="Times New Roman" w:hAnsi="Times New Roman"/>
          <w:i/>
          <w:sz w:val="24"/>
        </w:rPr>
        <w:t xml:space="preserve"> lielumu, veicot cietās fāzes ekstrakciju vai veicot ekstrakciju ar citu šķīdinātāju).</w:t>
      </w:r>
    </w:p>
    <w:p w14:paraId="0ADF2AA0" w14:textId="77777777" w:rsidR="00E51A37" w:rsidRPr="0085176F" w:rsidRDefault="00E51A37" w:rsidP="00367F29">
      <w:pPr>
        <w:widowControl/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Ja tomēr steroīdu profila marķiera daudzumu nav iespējams noteikt, ziņo, ka šā marķiera koncentrācija ir “-1”. </w:t>
      </w:r>
      <w:r>
        <w:rPr>
          <w:rFonts w:ascii="Times New Roman" w:hAnsi="Times New Roman"/>
          <w:i/>
          <w:sz w:val="24"/>
          <w:u w:val="single" w:color="000000"/>
        </w:rPr>
        <w:t>Laboratorija</w:t>
      </w:r>
      <w:r>
        <w:rPr>
          <w:rFonts w:ascii="Times New Roman" w:hAnsi="Times New Roman"/>
          <w:i/>
          <w:sz w:val="24"/>
        </w:rPr>
        <w:t xml:space="preserve"> pārbaudes ziņojumā norāda, kāpēc nebija iespējams noteikt šā marķiera daudzumu (piemēram, “&lt; </w:t>
      </w:r>
      <w:r>
        <w:rPr>
          <w:rFonts w:ascii="Times New Roman" w:hAnsi="Times New Roman"/>
          <w:i/>
          <w:sz w:val="24"/>
          <w:u w:val="single" w:color="000000"/>
        </w:rPr>
        <w:t>LOQ</w:t>
      </w:r>
      <w:r>
        <w:rPr>
          <w:rFonts w:ascii="Times New Roman" w:hAnsi="Times New Roman"/>
          <w:i/>
          <w:sz w:val="24"/>
        </w:rPr>
        <w:t>, nepilnīga atvasināšana”).</w:t>
      </w:r>
    </w:p>
    <w:p w14:paraId="2E72E44A" w14:textId="77777777" w:rsidR="00E51A37" w:rsidRPr="0085176F" w:rsidRDefault="00E51A37" w:rsidP="00367F29">
      <w:pPr>
        <w:widowControl/>
        <w:ind w:left="284"/>
        <w:jc w:val="both"/>
        <w:rPr>
          <w:rFonts w:ascii="Times New Roman" w:eastAsia="Arial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>Ja nav iespējams noteikt marķiera hromatogrāfiskās smailes signālu (t. i., tas ir zemāks, nekā ir iespējams konstatēt ar pārbaudes metodi), ziņo, ka šā marķiera koncentrācija ir “-2” (informāciju par ziņošanu par konkrētām situācijām attiecībā uz [T], [E] un T/E skat. 3. tabulā).</w:t>
      </w:r>
    </w:p>
    <w:p w14:paraId="08ACAC26" w14:textId="7BD62664" w:rsidR="00E51A37" w:rsidRPr="0085176F" w:rsidRDefault="00E51A37" w:rsidP="00367F29">
      <w:pPr>
        <w:widowControl/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sz w:val="24"/>
          <w:u w:val="single" w:color="000000"/>
        </w:rPr>
        <w:t>Laboratorija</w:t>
      </w:r>
      <w:r>
        <w:rPr>
          <w:rFonts w:ascii="Times New Roman" w:hAnsi="Times New Roman"/>
          <w:i/>
          <w:sz w:val="24"/>
        </w:rPr>
        <w:t xml:space="preserve"> pēc </w:t>
      </w:r>
      <w:r>
        <w:rPr>
          <w:rFonts w:ascii="Times New Roman" w:hAnsi="Times New Roman"/>
          <w:i/>
          <w:sz w:val="24"/>
          <w:u w:val="single" w:color="000000"/>
        </w:rPr>
        <w:t>pārbaudes iestādes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z w:val="24"/>
          <w:u w:val="single" w:color="000000"/>
        </w:rPr>
        <w:t>rezultātu pārvaldības iestādes</w:t>
      </w:r>
      <w:r>
        <w:rPr>
          <w:rFonts w:ascii="Times New Roman" w:hAnsi="Times New Roman"/>
          <w:i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i/>
          <w:sz w:val="24"/>
        </w:rPr>
        <w:t xml:space="preserve"> pieprasījuma var sniegt arī informāciju par citiem steroīdu parametriem, piemēram, par prasteronu (</w:t>
      </w:r>
      <w:r>
        <w:rPr>
          <w:rFonts w:ascii="Times New Roman" w:hAnsi="Times New Roman"/>
          <w:i/>
          <w:iCs/>
          <w:sz w:val="24"/>
        </w:rPr>
        <w:t>DHEA</w:t>
      </w:r>
      <w:r>
        <w:rPr>
          <w:rFonts w:ascii="Times New Roman" w:hAnsi="Times New Roman"/>
          <w:i/>
          <w:sz w:val="24"/>
        </w:rPr>
        <w:t>), dihidrotestosteronu (DHT) un 6α-hidroksi-androstenedionu (6α-OH-AD).]</w:t>
      </w:r>
    </w:p>
    <w:p w14:paraId="4C472552" w14:textId="77777777" w:rsidR="00DC66E4" w:rsidRDefault="00DC66E4" w:rsidP="00367F29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54E94C" w14:textId="59E7A60E" w:rsidR="00E51A37" w:rsidRPr="0085176F" w:rsidRDefault="00DC66E4" w:rsidP="00367F29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iii) jebkuras mikrobiālās aktivitātes pazīmes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>, piemēram, 5α-androstāndiona (</w:t>
      </w:r>
      <w:r>
        <w:rPr>
          <w:rFonts w:ascii="Times New Roman" w:hAnsi="Times New Roman"/>
          <w:i/>
          <w:sz w:val="24"/>
        </w:rPr>
        <w:t>5αAND</w:t>
      </w:r>
      <w:r>
        <w:rPr>
          <w:rFonts w:ascii="Times New Roman" w:hAnsi="Times New Roman"/>
          <w:sz w:val="24"/>
        </w:rPr>
        <w:t>) attiecību pret A un 5β-androstāndiona (</w:t>
      </w:r>
      <w:r>
        <w:rPr>
          <w:rFonts w:ascii="Times New Roman" w:hAnsi="Times New Roman"/>
          <w:i/>
          <w:sz w:val="24"/>
        </w:rPr>
        <w:t>5βAND</w:t>
      </w:r>
      <w:r>
        <w:rPr>
          <w:rFonts w:ascii="Times New Roman" w:hAnsi="Times New Roman"/>
          <w:sz w:val="24"/>
        </w:rPr>
        <w:t xml:space="preserve">) attiecību pret </w:t>
      </w:r>
      <w:r>
        <w:rPr>
          <w:rFonts w:ascii="Times New Roman" w:hAnsi="Times New Roman"/>
          <w:i/>
          <w:sz w:val="24"/>
        </w:rPr>
        <w:t>Etio</w:t>
      </w:r>
      <w:r>
        <w:rPr>
          <w:rFonts w:ascii="Times New Roman" w:hAnsi="Times New Roman"/>
          <w:sz w:val="24"/>
        </w:rPr>
        <w:t>, kas noteikta, pamatojoties uz attiecīgajām steroīdu koncentrācijām;</w:t>
      </w:r>
    </w:p>
    <w:p w14:paraId="2074D931" w14:textId="77777777" w:rsidR="00D018B5" w:rsidRDefault="00D018B5" w:rsidP="00367F29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B86EAFD" w14:textId="66DBA2D7" w:rsidR="00E51A37" w:rsidRDefault="00D018B5" w:rsidP="00367F29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iv) tādas(-u) vielas(-u) klātbūtni vai neesību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, kas var izmainīt steroīdu profilu (skat. 1. panta 3. punktu).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ziņo aplēsto līmeni šādām vielām:</w:t>
      </w:r>
    </w:p>
    <w:p w14:paraId="13030978" w14:textId="77777777" w:rsidR="002D50D3" w:rsidRPr="0085176F" w:rsidRDefault="002D50D3" w:rsidP="00367F29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1F1D8B6" w14:textId="0BCFCEB2" w:rsidR="00E51A37" w:rsidRPr="0085176F" w:rsidRDefault="002D50D3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i/>
          <w:sz w:val="24"/>
        </w:rPr>
        <w:t>EtG</w:t>
      </w:r>
      <w:r>
        <w:rPr>
          <w:rFonts w:ascii="Times New Roman" w:hAnsi="Times New Roman"/>
          <w:sz w:val="24"/>
        </w:rPr>
        <w:t>, ja ≥ 5 μg/ml;</w:t>
      </w:r>
    </w:p>
    <w:p w14:paraId="64DA2DAD" w14:textId="77777777" w:rsidR="00221F54" w:rsidRDefault="00221F54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61367B5" w14:textId="39BEB95E" w:rsidR="00E51A37" w:rsidRPr="0085176F" w:rsidRDefault="002D50D3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karboksi-finasterīdam, ja ≥ 5 ng/ml;</w:t>
      </w:r>
    </w:p>
    <w:p w14:paraId="14155BD7" w14:textId="77777777" w:rsidR="00221F54" w:rsidRDefault="00221F54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7E36F6" w14:textId="21174095" w:rsidR="00E51A37" w:rsidRPr="0085176F" w:rsidRDefault="002D50D3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4-hidroksi- un/vai 6-hidroksi-dutasterīdam, ja ≥ 5 ng/ml;</w:t>
      </w:r>
    </w:p>
    <w:p w14:paraId="124FE30E" w14:textId="77777777" w:rsidR="00221F54" w:rsidRDefault="00221F54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0F5BA6" w14:textId="1270F411" w:rsidR="00E51A37" w:rsidRPr="0085176F" w:rsidRDefault="002D50D3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ketokonazolam, ja ≥ 100 ng/ml;</w:t>
      </w:r>
    </w:p>
    <w:p w14:paraId="5C0646DE" w14:textId="77777777" w:rsidR="00221F54" w:rsidRDefault="00221F54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23BD8CE" w14:textId="1DC65060" w:rsidR="00E51A37" w:rsidRPr="0085176F" w:rsidRDefault="002D50D3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flukonazolam, ja ≥ 500 ng/ml;</w:t>
      </w:r>
    </w:p>
    <w:p w14:paraId="737EA015" w14:textId="77777777" w:rsidR="00221F54" w:rsidRDefault="00221F54" w:rsidP="0037757C">
      <w:pPr>
        <w:pStyle w:val="BodyText"/>
        <w:widowControl/>
        <w:tabs>
          <w:tab w:val="left" w:pos="1280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CF92716" w14:textId="77D9A43D" w:rsidR="00E51A37" w:rsidRPr="0085176F" w:rsidRDefault="002D50D3" w:rsidP="0037757C">
      <w:pPr>
        <w:pStyle w:val="BodyText"/>
        <w:widowControl/>
        <w:tabs>
          <w:tab w:val="left" w:pos="1280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• mikonazolam, ja ≥ 1000 ng/ml.</w:t>
      </w:r>
    </w:p>
    <w:p w14:paraId="3D5D3F13" w14:textId="77777777" w:rsidR="00E51A37" w:rsidRPr="0085176F" w:rsidRDefault="00E51A37" w:rsidP="0037757C">
      <w:pPr>
        <w:widowControl/>
        <w:ind w:left="567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3D498BB4" w14:textId="1A5CDC16" w:rsidR="00E51A37" w:rsidRPr="0085176F" w:rsidRDefault="00B252B6" w:rsidP="00134392">
      <w:pPr>
        <w:pStyle w:val="BodyText"/>
        <w:widowControl/>
        <w:tabs>
          <w:tab w:val="left" w:pos="1112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2.2.1.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profila derīgums</w:t>
      </w:r>
    </w:p>
    <w:p w14:paraId="520994C3" w14:textId="77777777" w:rsidR="00221F54" w:rsidRDefault="00221F54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9813D06" w14:textId="549CDCF9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Pēc steroīdu profila paziņošanas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 tiek automātiski noteikts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derīgums.</w:t>
      </w:r>
      <w:r>
        <w:rPr>
          <w:rFonts w:ascii="Times New Roman" w:hAnsi="Times New Roman"/>
          <w:i/>
          <w:sz w:val="24"/>
        </w:rPr>
        <w:t xml:space="preserve"> Paraugs</w:t>
      </w:r>
      <w:r>
        <w:rPr>
          <w:rFonts w:ascii="Times New Roman" w:hAnsi="Times New Roman"/>
          <w:sz w:val="24"/>
        </w:rPr>
        <w:t xml:space="preserve"> ir nederīgs tikai tad, ja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 novēro pārmērīgas degradācijas pazīmes, ko nosaka pēc šādiem parametriem:</w:t>
      </w:r>
    </w:p>
    <w:p w14:paraId="20D61806" w14:textId="77777777" w:rsidR="00221F54" w:rsidRPr="0085176F" w:rsidRDefault="00221F54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E0EF7B4" w14:textId="5FB7D243" w:rsidR="00E51A37" w:rsidRDefault="00221F54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i/>
          <w:iCs/>
          <w:sz w:val="24"/>
        </w:rPr>
        <w:t>5αAND</w:t>
      </w:r>
      <w:r>
        <w:rPr>
          <w:rFonts w:ascii="Times New Roman" w:hAnsi="Times New Roman"/>
          <w:sz w:val="24"/>
        </w:rPr>
        <w:t>/A ≥ 0,1 un/vai</w:t>
      </w:r>
    </w:p>
    <w:p w14:paraId="0956D2CE" w14:textId="77777777" w:rsidR="00221F54" w:rsidRPr="0085176F" w:rsidRDefault="00221F54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F419D25" w14:textId="62E1EFB7" w:rsidR="00E51A37" w:rsidRDefault="00221F54" w:rsidP="0037757C">
      <w:pPr>
        <w:pStyle w:val="BodyText"/>
        <w:widowControl/>
        <w:tabs>
          <w:tab w:val="left" w:pos="1281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i/>
          <w:iCs/>
          <w:sz w:val="24"/>
        </w:rPr>
        <w:t>5βAND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> ≥ 0,1.</w:t>
      </w:r>
    </w:p>
    <w:p w14:paraId="10B6393E" w14:textId="77777777" w:rsidR="00221F54" w:rsidRPr="0085176F" w:rsidRDefault="00221F54" w:rsidP="00134392">
      <w:pPr>
        <w:pStyle w:val="BodyText"/>
        <w:widowControl/>
        <w:tabs>
          <w:tab w:val="left" w:pos="1281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3364585" w14:textId="68C01775" w:rsidR="00E51A37" w:rsidRDefault="00E51A37" w:rsidP="0037757C">
      <w:pPr>
        <w:widowControl/>
        <w:ind w:left="567"/>
        <w:jc w:val="both"/>
        <w:rPr>
          <w:rFonts w:ascii="Times New Roman" w:eastAsia="Arial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[Piezīme. Turklāt pēc tam, kad </w:t>
      </w:r>
      <w:r>
        <w:rPr>
          <w:rFonts w:ascii="Times New Roman" w:hAnsi="Times New Roman"/>
          <w:i/>
          <w:sz w:val="24"/>
          <w:u w:val="single" w:color="000000"/>
        </w:rPr>
        <w:t>laboratorija</w:t>
      </w:r>
      <w:r>
        <w:rPr>
          <w:rFonts w:ascii="Times New Roman" w:hAnsi="Times New Roman"/>
          <w:i/>
          <w:sz w:val="24"/>
        </w:rPr>
        <w:t xml:space="preserve"> steroīdu profilu ir paziņojusi ADAMS sistēmā, 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i/>
          <w:sz w:val="24"/>
        </w:rPr>
        <w:t xml:space="preserve"> pēc steroīdu profila datu izvērtēšanas var novērtēt paraugu kā “nederīgu”, piemēram, ņemot vērā tādu vielu klātbūtni, kuras var izmainīt parauga steroīdu profilu.]</w:t>
      </w:r>
    </w:p>
    <w:p w14:paraId="2C50C8A9" w14:textId="33F804FC" w:rsidR="000C3131" w:rsidRDefault="000C3131" w:rsidP="00134392">
      <w:pPr>
        <w:widowControl/>
        <w:jc w:val="both"/>
        <w:rPr>
          <w:rFonts w:ascii="Times New Roman" w:eastAsia="Arial" w:hAnsi="Times New Roman" w:cs="Times New Roman"/>
          <w:i/>
          <w:noProof/>
          <w:sz w:val="24"/>
          <w:szCs w:val="24"/>
        </w:rPr>
      </w:pPr>
    </w:p>
    <w:p w14:paraId="4CE4047F" w14:textId="61FD5770" w:rsidR="000C3131" w:rsidRPr="00850C5B" w:rsidRDefault="000C3131" w:rsidP="00134392">
      <w:pPr>
        <w:widowControl/>
        <w:jc w:val="both"/>
        <w:rPr>
          <w:rFonts w:ascii="Times New Roman" w:hAnsi="Times New Roman" w:cs="Times New Roman"/>
          <w:noProof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u w:color="000000"/>
        </w:rPr>
        <w:t>3. tabula.</w:t>
      </w:r>
      <w:r>
        <w:rPr>
          <w:rFonts w:ascii="Times New Roman" w:hAnsi="Times New Roman"/>
          <w:sz w:val="24"/>
          <w:u w:color="000000"/>
        </w:rPr>
        <w:t xml:space="preserve"> Nosacījumi attiecībā uz ziņošanu par T un E koncentrāciju un T/E proporciju</w:t>
      </w:r>
    </w:p>
    <w:p w14:paraId="664A2569" w14:textId="6B825FEC" w:rsidR="000C3131" w:rsidRDefault="000C3131" w:rsidP="00134392">
      <w:pPr>
        <w:widowControl/>
        <w:jc w:val="both"/>
        <w:rPr>
          <w:rFonts w:ascii="Times New Roman" w:eastAsia="Arial" w:hAnsi="Times New Roman" w:cs="Times New Roman"/>
          <w:i/>
          <w:noProof/>
          <w:sz w:val="24"/>
          <w:szCs w:val="24"/>
        </w:rPr>
      </w:pPr>
    </w:p>
    <w:tbl>
      <w:tblPr>
        <w:tblStyle w:val="TableNormal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040"/>
        <w:gridCol w:w="3500"/>
        <w:gridCol w:w="3588"/>
      </w:tblGrid>
      <w:tr w:rsidR="0064424B" w:rsidRPr="000643AC" w14:paraId="436F7266" w14:textId="77777777" w:rsidTr="00094F20">
        <w:tc>
          <w:tcPr>
            <w:tcW w:w="11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7BC4B717" w14:textId="77777777" w:rsidR="0064424B" w:rsidRPr="000643AC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 koncentrācija</w:t>
            </w:r>
          </w:p>
        </w:tc>
        <w:tc>
          <w:tcPr>
            <w:tcW w:w="1923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4B0EF5B" w14:textId="77777777" w:rsidR="0064424B" w:rsidRPr="000643AC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E koncentrācija</w:t>
            </w:r>
          </w:p>
        </w:tc>
        <w:tc>
          <w:tcPr>
            <w:tcW w:w="1971" w:type="pc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52DB5597" w14:textId="77777777" w:rsidR="0064424B" w:rsidRPr="000643AC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T/E proporcija</w:t>
            </w:r>
          </w:p>
        </w:tc>
      </w:tr>
      <w:tr w:rsidR="0064424B" w:rsidRPr="00850C5B" w14:paraId="1EBE22BE" w14:textId="77777777" w:rsidTr="00094F20">
        <w:tc>
          <w:tcPr>
            <w:tcW w:w="1106" w:type="pct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25848627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Izmērītais T hromatogrāfiskās smailes signāls atbilst </w:t>
            </w:r>
            <w:r>
              <w:rPr>
                <w:rFonts w:ascii="Times New Roman" w:hAnsi="Times New Roman"/>
                <w:i/>
                <w:iCs/>
                <w:u w:val="single" w:color="000000"/>
              </w:rPr>
              <w:t>LOQ</w:t>
            </w:r>
            <w:r>
              <w:rPr>
                <w:rFonts w:ascii="Times New Roman" w:hAnsi="Times New Roman"/>
              </w:rPr>
              <w:t xml:space="preserve"> vai ir augstāks (≥).</w:t>
            </w:r>
          </w:p>
          <w:p w14:paraId="681B4A80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7A060383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[T] ≥ </w:t>
            </w:r>
            <w:r>
              <w:rPr>
                <w:rFonts w:ascii="Times New Roman" w:hAnsi="Times New Roman"/>
                <w:i/>
                <w:iCs/>
                <w:u w:val="single" w:color="000000"/>
              </w:rPr>
              <w:t>LOQ</w:t>
            </w:r>
            <w:r>
              <w:rPr>
                <w:rFonts w:ascii="Times New Roman" w:hAnsi="Times New Roman"/>
                <w:vertAlign w:val="subscript"/>
              </w:rPr>
              <w:t>(T)</w:t>
            </w:r>
          </w:p>
          <w:p w14:paraId="53C1B1D3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48CFC198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Ziņo, ka T ir izmērīts</w:t>
            </w:r>
          </w:p>
        </w:tc>
        <w:tc>
          <w:tcPr>
            <w:tcW w:w="1923" w:type="pct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2CB2B" w14:textId="77777777" w:rsidR="0064424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Izmērītais E hromatogrāfiskās smailes signāls atbilst </w:t>
            </w:r>
            <w:r>
              <w:rPr>
                <w:rFonts w:ascii="Times New Roman" w:hAnsi="Times New Roman"/>
                <w:i/>
                <w:iCs/>
                <w:u w:val="single" w:color="000000"/>
              </w:rPr>
              <w:t>LOQ</w:t>
            </w:r>
            <w:r>
              <w:rPr>
                <w:rFonts w:ascii="Times New Roman" w:hAnsi="Times New Roman"/>
              </w:rPr>
              <w:t xml:space="preserve"> vai ir augstāks (≥).</w:t>
            </w:r>
          </w:p>
          <w:p w14:paraId="4E79207D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17E03C85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[E] ≥ </w:t>
            </w:r>
            <w:r>
              <w:rPr>
                <w:rFonts w:ascii="Times New Roman" w:hAnsi="Times New Roman"/>
                <w:i/>
                <w:iCs/>
                <w:u w:val="single" w:color="000000"/>
              </w:rPr>
              <w:t>LOQ</w:t>
            </w:r>
            <w:r>
              <w:rPr>
                <w:rFonts w:ascii="Times New Roman" w:hAnsi="Times New Roman"/>
                <w:vertAlign w:val="subscript"/>
              </w:rPr>
              <w:t>(E)</w:t>
            </w:r>
          </w:p>
          <w:p w14:paraId="107E7D61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</w:rPr>
              <w:t>Ziņo, ka E ir izmērīts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71" w:type="pct"/>
            <w:vMerge w:val="restart"/>
            <w:tcBorders>
              <w:top w:val="single" w:sz="12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5F9CBB84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Paziņo T/E</w:t>
            </w:r>
          </w:p>
          <w:p w14:paraId="1AD2A985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(ko noteikusi </w:t>
            </w:r>
            <w:r>
              <w:rPr>
                <w:rFonts w:ascii="Times New Roman" w:hAnsi="Times New Roman"/>
                <w:u w:val="single" w:color="000000"/>
              </w:rPr>
              <w:t>laboratorija</w:t>
            </w:r>
            <w:r>
              <w:rPr>
                <w:rFonts w:ascii="Times New Roman" w:hAnsi="Times New Roman"/>
              </w:rPr>
              <w:t>, pamatojoties uz koriģētu smailes augstumu/laukumu)</w:t>
            </w:r>
          </w:p>
        </w:tc>
      </w:tr>
      <w:tr w:rsidR="0064424B" w:rsidRPr="00850C5B" w14:paraId="5A845451" w14:textId="77777777" w:rsidTr="00094F20">
        <w:tc>
          <w:tcPr>
            <w:tcW w:w="1106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F479B2D" w14:textId="77777777" w:rsidR="0064424B" w:rsidRPr="00850C5B" w:rsidRDefault="0064424B" w:rsidP="00134392">
            <w:pPr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90A7A" w14:textId="77777777" w:rsidR="0064424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E hromatogrāfiskās smailes signāls ir konstatēts, taču tas ir zemāks nekā (&lt;) </w:t>
            </w:r>
            <w:r>
              <w:rPr>
                <w:rFonts w:ascii="Times New Roman" w:hAnsi="Times New Roman"/>
                <w:i/>
                <w:iCs/>
                <w:u w:val="single" w:color="000000"/>
              </w:rPr>
              <w:t>LOQ</w:t>
            </w:r>
            <w:r>
              <w:rPr>
                <w:rFonts w:ascii="Times New Roman" w:hAnsi="Times New Roman"/>
              </w:rPr>
              <w:t>.</w:t>
            </w:r>
          </w:p>
          <w:p w14:paraId="50B3D159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1D7313E2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(E)</w:t>
            </w:r>
            <w:r>
              <w:rPr>
                <w:rFonts w:ascii="Times New Roman" w:hAnsi="Times New Roman"/>
              </w:rPr>
              <w:t> ≤ [E] &lt; </w:t>
            </w:r>
            <w:r>
              <w:rPr>
                <w:rFonts w:ascii="Times New Roman" w:hAnsi="Times New Roman"/>
                <w:i/>
                <w:iCs/>
                <w:u w:val="single"/>
              </w:rPr>
              <w:t>LOQ</w:t>
            </w:r>
            <w:r>
              <w:rPr>
                <w:rFonts w:ascii="Times New Roman" w:hAnsi="Times New Roman"/>
                <w:vertAlign w:val="subscript"/>
              </w:rPr>
              <w:t>(E)</w:t>
            </w:r>
          </w:p>
          <w:p w14:paraId="62CE82B1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E ir “-1”</w:t>
            </w:r>
          </w:p>
        </w:tc>
        <w:tc>
          <w:tcPr>
            <w:tcW w:w="197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8A5FB" w14:textId="77777777" w:rsidR="0064424B" w:rsidRPr="00850C5B" w:rsidRDefault="0064424B" w:rsidP="00134392">
            <w:pPr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64424B" w:rsidRPr="00850C5B" w14:paraId="63F73DD0" w14:textId="77777777" w:rsidTr="00094F20">
        <w:tc>
          <w:tcPr>
            <w:tcW w:w="1106" w:type="pct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21A381DE" w14:textId="77777777" w:rsidR="0064424B" w:rsidRPr="00850C5B" w:rsidRDefault="0064424B" w:rsidP="00134392">
            <w:pPr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18B9DE58" w14:textId="77777777" w:rsidR="0064424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E hromatogrāfiskās smailes signāls nav konstatēts.</w:t>
            </w:r>
          </w:p>
          <w:p w14:paraId="2D938E64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10CA638E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[E] &lt; </w:t>
            </w:r>
            <w:r>
              <w:rPr>
                <w:rFonts w:ascii="Times New Roman" w:hAnsi="Times New Roman"/>
                <w:i/>
                <w:iCs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(E)</w:t>
            </w:r>
          </w:p>
          <w:p w14:paraId="3F59EE2A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E ir “-2”</w:t>
            </w:r>
          </w:p>
        </w:tc>
        <w:tc>
          <w:tcPr>
            <w:tcW w:w="1971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7812A835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T/E ir “-1”</w:t>
            </w:r>
          </w:p>
          <w:p w14:paraId="7ECBE91E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Paziņo </w:t>
            </w:r>
            <w:r>
              <w:rPr>
                <w:rFonts w:ascii="Times New Roman" w:hAnsi="Times New Roman"/>
                <w:i/>
                <w:iCs/>
                <w:u w:val="single" w:color="000000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(E)</w:t>
            </w:r>
          </w:p>
          <w:p w14:paraId="6FBB2B71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7A7E7E84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>Piezīme ADAMS sistēmā:</w:t>
            </w:r>
          </w:p>
          <w:p w14:paraId="61C88084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>“T/E proporciju nebija iespējams precīzi izmērīt, jo E nebija iespējams konstatēt.”</w:t>
            </w:r>
          </w:p>
        </w:tc>
      </w:tr>
      <w:tr w:rsidR="0064424B" w:rsidRPr="00850C5B" w14:paraId="2CA0E5C4" w14:textId="77777777" w:rsidTr="00094F20">
        <w:tc>
          <w:tcPr>
            <w:tcW w:w="1106" w:type="pct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0B4A0D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T hromatogrāfiskās smailes signāls ir konstatēts, taču tas ir zemāks nekā (&lt;) </w:t>
            </w:r>
            <w:r>
              <w:rPr>
                <w:rFonts w:ascii="Times New Roman" w:hAnsi="Times New Roman"/>
                <w:i/>
                <w:iCs/>
                <w:u w:val="single" w:color="000000"/>
              </w:rPr>
              <w:lastRenderedPageBreak/>
              <w:t>LOQ</w:t>
            </w:r>
            <w:r>
              <w:rPr>
                <w:rFonts w:ascii="Times New Roman" w:hAnsi="Times New Roman"/>
              </w:rPr>
              <w:t>.</w:t>
            </w:r>
          </w:p>
          <w:p w14:paraId="0F24A75F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0C35A867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(T)</w:t>
            </w:r>
            <w:r>
              <w:rPr>
                <w:rFonts w:ascii="Times New Roman" w:hAnsi="Times New Roman"/>
              </w:rPr>
              <w:t> ≤ [T] &lt; </w:t>
            </w:r>
            <w:r>
              <w:rPr>
                <w:rFonts w:ascii="Times New Roman" w:hAnsi="Times New Roman"/>
                <w:i/>
                <w:iCs/>
                <w:u w:val="single"/>
              </w:rPr>
              <w:t>LOQ</w:t>
            </w:r>
            <w:r>
              <w:rPr>
                <w:rFonts w:ascii="Times New Roman" w:hAnsi="Times New Roman"/>
                <w:vertAlign w:val="subscript"/>
              </w:rPr>
              <w:t>(T)</w:t>
            </w:r>
          </w:p>
          <w:p w14:paraId="018A3670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2E5710F3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T ir “-1”</w:t>
            </w:r>
          </w:p>
        </w:tc>
        <w:tc>
          <w:tcPr>
            <w:tcW w:w="1923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1FED6" w14:textId="77777777" w:rsidR="0064424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lastRenderedPageBreak/>
              <w:t xml:space="preserve">Izmērītais E hromatogrāfiskās smailes signāls atbilst </w:t>
            </w:r>
            <w:r>
              <w:rPr>
                <w:rFonts w:ascii="Times New Roman" w:hAnsi="Times New Roman"/>
                <w:i/>
                <w:iCs/>
              </w:rPr>
              <w:t>LOQ</w:t>
            </w:r>
            <w:r>
              <w:rPr>
                <w:rFonts w:ascii="Times New Roman" w:hAnsi="Times New Roman"/>
              </w:rPr>
              <w:t xml:space="preserve"> vai ir augstāks (≥).</w:t>
            </w:r>
          </w:p>
          <w:p w14:paraId="620A44CC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3EFE4197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[E] ≥ </w:t>
            </w:r>
            <w:r>
              <w:rPr>
                <w:rFonts w:ascii="Times New Roman" w:hAnsi="Times New Roman"/>
                <w:i/>
                <w:iCs/>
              </w:rPr>
              <w:t>LOQ</w:t>
            </w:r>
            <w:r>
              <w:rPr>
                <w:rFonts w:ascii="Times New Roman" w:hAnsi="Times New Roman"/>
                <w:vertAlign w:val="subscript"/>
              </w:rPr>
              <w:t>(E)</w:t>
            </w:r>
          </w:p>
          <w:p w14:paraId="3B2724E2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lastRenderedPageBreak/>
              <w:t>Ziņo, ka E ir izmērīts</w:t>
            </w:r>
          </w:p>
        </w:tc>
        <w:tc>
          <w:tcPr>
            <w:tcW w:w="1971" w:type="pct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7BEC293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lastRenderedPageBreak/>
              <w:t>Paziņo T/E</w:t>
            </w:r>
          </w:p>
          <w:p w14:paraId="1C3B5E64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(ko noteikusi </w:t>
            </w:r>
            <w:r>
              <w:rPr>
                <w:rFonts w:ascii="Times New Roman" w:hAnsi="Times New Roman"/>
                <w:u w:val="single" w:color="000000"/>
              </w:rPr>
              <w:t>laboratorija</w:t>
            </w:r>
            <w:r>
              <w:rPr>
                <w:rFonts w:ascii="Times New Roman" w:hAnsi="Times New Roman"/>
              </w:rPr>
              <w:t>, pamatojoties uz koriģētu smailes augstumu/laukumu)</w:t>
            </w:r>
          </w:p>
        </w:tc>
      </w:tr>
      <w:tr w:rsidR="0064424B" w:rsidRPr="00850C5B" w14:paraId="7E2729EC" w14:textId="77777777" w:rsidTr="00094F20">
        <w:tc>
          <w:tcPr>
            <w:tcW w:w="1106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9B55F6" w14:textId="77777777" w:rsidR="0064424B" w:rsidRPr="00850C5B" w:rsidRDefault="0064424B" w:rsidP="00134392">
            <w:pPr>
              <w:widowControl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D9C53" w14:textId="77777777" w:rsidR="0064424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iCs/>
              </w:rPr>
              <w:t>E</w:t>
            </w:r>
            <w:r>
              <w:rPr>
                <w:rFonts w:ascii="Times New Roman" w:hAnsi="Times New Roman"/>
              </w:rPr>
              <w:t xml:space="preserve"> hromatogrāfiskās smailes signāls ir noteikts, taču tas ir zemāks nekā (&lt;) </w:t>
            </w:r>
            <w:r>
              <w:rPr>
                <w:rFonts w:ascii="Times New Roman" w:hAnsi="Times New Roman"/>
                <w:i/>
                <w:iCs/>
                <w:u w:val="single"/>
              </w:rPr>
              <w:t>LOQ</w:t>
            </w:r>
            <w:r>
              <w:rPr>
                <w:rFonts w:ascii="Times New Roman" w:hAnsi="Times New Roman"/>
              </w:rPr>
              <w:t>.</w:t>
            </w:r>
          </w:p>
          <w:p w14:paraId="7BA313CF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3A3BEF79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(E)</w:t>
            </w:r>
            <w:r>
              <w:rPr>
                <w:rFonts w:ascii="Times New Roman" w:hAnsi="Times New Roman"/>
              </w:rPr>
              <w:t> ≤ [E] &lt; </w:t>
            </w:r>
            <w:r>
              <w:rPr>
                <w:rFonts w:ascii="Times New Roman" w:hAnsi="Times New Roman"/>
                <w:i/>
                <w:iCs/>
                <w:u w:val="single"/>
              </w:rPr>
              <w:t>LOQ</w:t>
            </w:r>
            <w:r>
              <w:rPr>
                <w:rFonts w:ascii="Times New Roman" w:hAnsi="Times New Roman"/>
                <w:vertAlign w:val="subscript"/>
              </w:rPr>
              <w:t>(E)</w:t>
            </w:r>
          </w:p>
          <w:p w14:paraId="285ED7CA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E ir “-1”</w:t>
            </w:r>
          </w:p>
        </w:tc>
        <w:tc>
          <w:tcPr>
            <w:tcW w:w="197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92A43" w14:textId="77777777" w:rsidR="0064424B" w:rsidRPr="00850C5B" w:rsidRDefault="0064424B" w:rsidP="00134392">
            <w:pPr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64424B" w:rsidRPr="00850C5B" w14:paraId="79470002" w14:textId="77777777" w:rsidTr="00094F20">
        <w:tc>
          <w:tcPr>
            <w:tcW w:w="1106" w:type="pct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3F803DEB" w14:textId="77777777" w:rsidR="0064424B" w:rsidRPr="00850C5B" w:rsidRDefault="0064424B" w:rsidP="00134392">
            <w:pPr>
              <w:widowControl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35D42B86" w14:textId="77777777" w:rsidR="0064424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E hromatogrāfiskās smailes signāls nav konstatēts.</w:t>
            </w:r>
          </w:p>
          <w:p w14:paraId="279694A4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56D10CB4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[E] &lt; </w:t>
            </w:r>
            <w:r>
              <w:rPr>
                <w:rFonts w:ascii="Times New Roman" w:hAnsi="Times New Roman"/>
                <w:i/>
                <w:iCs/>
                <w:u w:val="single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(E)</w:t>
            </w:r>
          </w:p>
          <w:p w14:paraId="2CE126EA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E ir “-2”</w:t>
            </w:r>
          </w:p>
        </w:tc>
        <w:tc>
          <w:tcPr>
            <w:tcW w:w="1971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549EAA76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T/E ir “-1”</w:t>
            </w:r>
          </w:p>
          <w:p w14:paraId="65FE4755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6703793E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>Piezīme ADAMS sistēmā:</w:t>
            </w:r>
          </w:p>
          <w:p w14:paraId="0B4F38E9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>“T/E proporciju nebija iespējams precīzi noteikt, jo nebija iespējams noteikt T koncentrāciju un konstatēt E.”</w:t>
            </w:r>
          </w:p>
        </w:tc>
      </w:tr>
      <w:tr w:rsidR="0064424B" w:rsidRPr="00850C5B" w14:paraId="51F0C492" w14:textId="77777777" w:rsidTr="00094F20">
        <w:tc>
          <w:tcPr>
            <w:tcW w:w="1106" w:type="pct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3D843DD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T hromatogrāfiskās smailes signāls nav noteikts.</w:t>
            </w:r>
          </w:p>
          <w:p w14:paraId="0AB047EF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27C45CB7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[T] &lt; </w:t>
            </w:r>
            <w:r>
              <w:rPr>
                <w:rFonts w:ascii="Times New Roman" w:hAnsi="Times New Roman"/>
                <w:i/>
                <w:iCs/>
                <w:u w:val="single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(T)</w:t>
            </w:r>
          </w:p>
          <w:p w14:paraId="3325977F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4431B3C2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T ir “-2”</w:t>
            </w:r>
          </w:p>
        </w:tc>
        <w:tc>
          <w:tcPr>
            <w:tcW w:w="1923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A0466" w14:textId="77777777" w:rsidR="0064424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Izmērītais E hromatogrāfiskās smailes signāls atbilst </w:t>
            </w:r>
            <w:r>
              <w:rPr>
                <w:rFonts w:ascii="Times New Roman" w:hAnsi="Times New Roman"/>
                <w:i/>
                <w:iCs/>
                <w:u w:val="single"/>
              </w:rPr>
              <w:t>LOQ</w:t>
            </w:r>
            <w:r>
              <w:rPr>
                <w:rFonts w:ascii="Times New Roman" w:hAnsi="Times New Roman"/>
              </w:rPr>
              <w:t xml:space="preserve"> vai ir augstāks (≥).</w:t>
            </w:r>
          </w:p>
          <w:p w14:paraId="7E179E9C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6B2CB38A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[E] ≥ </w:t>
            </w:r>
            <w:r>
              <w:rPr>
                <w:rFonts w:ascii="Times New Roman" w:hAnsi="Times New Roman"/>
                <w:i/>
                <w:iCs/>
              </w:rPr>
              <w:t>LOQ</w:t>
            </w:r>
            <w:r>
              <w:rPr>
                <w:rFonts w:ascii="Times New Roman" w:hAnsi="Times New Roman"/>
                <w:vertAlign w:val="subscript"/>
              </w:rPr>
              <w:t>(E)</w:t>
            </w:r>
          </w:p>
          <w:p w14:paraId="2CF0B27D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</w:rPr>
              <w:t>Ziņo, ka E ir izmērīts</w:t>
            </w:r>
          </w:p>
        </w:tc>
        <w:tc>
          <w:tcPr>
            <w:tcW w:w="1971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C3AE8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T/E ir “-1”</w:t>
            </w:r>
          </w:p>
          <w:p w14:paraId="6F6C936C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Paziņo </w:t>
            </w:r>
            <w:r>
              <w:rPr>
                <w:rFonts w:ascii="Times New Roman" w:hAnsi="Times New Roman"/>
                <w:i/>
                <w:iCs/>
                <w:u w:val="single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(T)</w:t>
            </w:r>
          </w:p>
          <w:p w14:paraId="33607877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16FA4C2B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>Piezīme ADAMS sistēmā:</w:t>
            </w:r>
          </w:p>
          <w:p w14:paraId="1B48C66B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>“T/E proporciju nebija iespējams precīzi noteikt, jo T nebija iespējams konstatēt.”</w:t>
            </w:r>
          </w:p>
        </w:tc>
      </w:tr>
      <w:tr w:rsidR="0064424B" w:rsidRPr="00850C5B" w14:paraId="0C76EE00" w14:textId="77777777" w:rsidTr="00094F20">
        <w:tc>
          <w:tcPr>
            <w:tcW w:w="1106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B1FCBE" w14:textId="77777777" w:rsidR="0064424B" w:rsidRPr="00850C5B" w:rsidRDefault="0064424B" w:rsidP="00134392">
            <w:pPr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9C77B" w14:textId="77777777" w:rsidR="0064424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E hromatogrāfiskās smailes signāls ir noteikts, taču tas ir zemāks nekā (&lt;) </w:t>
            </w:r>
            <w:r>
              <w:rPr>
                <w:rFonts w:ascii="Times New Roman" w:hAnsi="Times New Roman"/>
                <w:i/>
                <w:iCs/>
                <w:u w:val="single"/>
              </w:rPr>
              <w:t>LOQ</w:t>
            </w:r>
            <w:r>
              <w:rPr>
                <w:rFonts w:ascii="Times New Roman" w:hAnsi="Times New Roman"/>
              </w:rPr>
              <w:t>.</w:t>
            </w:r>
          </w:p>
          <w:p w14:paraId="0AA6BE4F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39DFA3A8" w14:textId="77777777" w:rsidR="0064424B" w:rsidRPr="009E664C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  <w:vertAlign w:val="subscript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(E)</w:t>
            </w:r>
            <w:r>
              <w:rPr>
                <w:rFonts w:ascii="Times New Roman" w:hAnsi="Times New Roman"/>
              </w:rPr>
              <w:t> ≤ [E] &lt; </w:t>
            </w:r>
            <w:r>
              <w:rPr>
                <w:rFonts w:ascii="Times New Roman" w:hAnsi="Times New Roman"/>
                <w:i/>
                <w:iCs/>
                <w:u w:val="single"/>
              </w:rPr>
              <w:t>LOQ</w:t>
            </w:r>
            <w:r>
              <w:rPr>
                <w:rFonts w:ascii="Times New Roman" w:hAnsi="Times New Roman"/>
                <w:vertAlign w:val="subscript"/>
              </w:rPr>
              <w:t>(E)</w:t>
            </w:r>
          </w:p>
          <w:p w14:paraId="53963E65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E ir “-1”</w:t>
            </w:r>
          </w:p>
        </w:tc>
        <w:tc>
          <w:tcPr>
            <w:tcW w:w="1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484C7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T/E ir “-1”</w:t>
            </w:r>
          </w:p>
          <w:p w14:paraId="6AC6A932" w14:textId="77777777" w:rsidR="0064424B" w:rsidRPr="009E664C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  <w:vertAlign w:val="subscript"/>
              </w:rPr>
            </w:pPr>
            <w:r>
              <w:rPr>
                <w:rFonts w:ascii="Times New Roman" w:hAnsi="Times New Roman"/>
              </w:rPr>
              <w:t xml:space="preserve">Paziņo </w:t>
            </w:r>
            <w:r>
              <w:rPr>
                <w:rFonts w:ascii="Times New Roman" w:hAnsi="Times New Roman"/>
                <w:i/>
                <w:iCs/>
                <w:u w:val="single" w:color="000000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(T)</w:t>
            </w:r>
          </w:p>
          <w:p w14:paraId="6255DA60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12A76E6B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>Piezīme ADAMS sistēmā:</w:t>
            </w:r>
          </w:p>
          <w:p w14:paraId="3C43B4AC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 xml:space="preserve">“T/E proporciju nebija iespējams noteikt, jo </w:t>
            </w:r>
            <w:r>
              <w:rPr>
                <w:rFonts w:ascii="Times New Roman" w:hAnsi="Times New Roman"/>
                <w:i/>
                <w:iCs/>
              </w:rPr>
              <w:t>T</w:t>
            </w:r>
            <w:r>
              <w:rPr>
                <w:rFonts w:ascii="Times New Roman" w:hAnsi="Times New Roman"/>
                <w:i/>
              </w:rPr>
              <w:t xml:space="preserve"> nebija iespējams konstatēt un E nebija iespējams izmērīt.”</w:t>
            </w:r>
          </w:p>
        </w:tc>
      </w:tr>
      <w:tr w:rsidR="0064424B" w:rsidRPr="00850C5B" w14:paraId="52722376" w14:textId="77777777" w:rsidTr="00094F20">
        <w:tc>
          <w:tcPr>
            <w:tcW w:w="1106" w:type="pct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49951C5D" w14:textId="77777777" w:rsidR="0064424B" w:rsidRPr="00850C5B" w:rsidRDefault="0064424B" w:rsidP="00134392">
            <w:pPr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23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786DF59F" w14:textId="77777777" w:rsidR="0064424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E hromatogrāfiskās smailes signāls nav konstatēts.</w:t>
            </w:r>
          </w:p>
          <w:p w14:paraId="2D74CCCC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74E187A5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>[E] &lt; </w:t>
            </w:r>
            <w:r>
              <w:rPr>
                <w:rFonts w:ascii="Times New Roman" w:hAnsi="Times New Roman"/>
                <w:i/>
                <w:iCs/>
                <w:u w:val="single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(E)</w:t>
            </w:r>
          </w:p>
          <w:p w14:paraId="0B1DC778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E ir “-2”</w:t>
            </w:r>
          </w:p>
        </w:tc>
        <w:tc>
          <w:tcPr>
            <w:tcW w:w="1971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107A0A42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</w:rPr>
              <w:t>Ziņo, ka T/E ir “-2”</w:t>
            </w:r>
          </w:p>
          <w:p w14:paraId="34E83A47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</w:rPr>
              <w:t xml:space="preserve">Paziņo </w:t>
            </w:r>
            <w:r>
              <w:rPr>
                <w:rFonts w:ascii="Times New Roman" w:hAnsi="Times New Roman"/>
                <w:i/>
                <w:iCs/>
                <w:u w:val="single" w:color="000000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(E)</w:t>
            </w:r>
            <w:r>
              <w:rPr>
                <w:rFonts w:ascii="Times New Roman" w:hAnsi="Times New Roman"/>
              </w:rPr>
              <w:t xml:space="preserve"> un </w:t>
            </w:r>
            <w:r>
              <w:rPr>
                <w:rFonts w:ascii="Times New Roman" w:hAnsi="Times New Roman"/>
                <w:i/>
                <w:iCs/>
                <w:u w:val="single" w:color="000000"/>
              </w:rPr>
              <w:t>LOD</w:t>
            </w:r>
            <w:r>
              <w:rPr>
                <w:rFonts w:ascii="Times New Roman" w:hAnsi="Times New Roman"/>
                <w:vertAlign w:val="subscript"/>
              </w:rPr>
              <w:t>(T)</w:t>
            </w:r>
          </w:p>
          <w:p w14:paraId="4C108764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</w:p>
          <w:p w14:paraId="3126D9C0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/>
                <w:i/>
              </w:rPr>
              <w:t>Piezīme ADAMS sistēmā:</w:t>
            </w:r>
          </w:p>
          <w:p w14:paraId="3A7C6D19" w14:textId="77777777" w:rsidR="0064424B" w:rsidRPr="00850C5B" w:rsidRDefault="0064424B" w:rsidP="00134392">
            <w:pPr>
              <w:pStyle w:val="TableParagraph"/>
              <w:widowControl/>
              <w:jc w:val="center"/>
              <w:rPr>
                <w:rFonts w:ascii="Times New Roman" w:eastAsia="Arial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</w:rPr>
              <w:t>“T/E proporciju nebija iespējams noteikt, jo T un E nebija iespējams konstatēt.”</w:t>
            </w:r>
          </w:p>
        </w:tc>
      </w:tr>
    </w:tbl>
    <w:p w14:paraId="7C3EE10D" w14:textId="77777777" w:rsidR="0037757C" w:rsidRDefault="0037757C" w:rsidP="00134392">
      <w:pPr>
        <w:pStyle w:val="Heading1"/>
        <w:widowControl/>
        <w:ind w:left="0"/>
        <w:jc w:val="both"/>
        <w:rPr>
          <w:rFonts w:ascii="Times New Roman" w:hAnsi="Times New Roman"/>
          <w:sz w:val="28"/>
        </w:rPr>
      </w:pPr>
    </w:p>
    <w:p w14:paraId="743D834A" w14:textId="134CB865" w:rsidR="00E51A37" w:rsidRPr="0064424B" w:rsidRDefault="00E51A37" w:rsidP="00134392">
      <w:pPr>
        <w:pStyle w:val="Heading1"/>
        <w:widowControl/>
        <w:ind w:left="0"/>
        <w:jc w:val="both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r>
        <w:rPr>
          <w:rFonts w:ascii="Times New Roman" w:hAnsi="Times New Roman"/>
          <w:sz w:val="28"/>
        </w:rPr>
        <w:t xml:space="preserve">3.0. </w:t>
      </w:r>
      <w:r>
        <w:rPr>
          <w:rFonts w:ascii="Times New Roman" w:hAnsi="Times New Roman"/>
          <w:sz w:val="28"/>
          <w:u w:val="thick" w:color="000000"/>
        </w:rPr>
        <w:t>Apstiprināšanas procedūras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/>
          <w:sz w:val="28"/>
          <w:u w:val="single" w:color="000000"/>
        </w:rPr>
        <w:t>CP</w:t>
      </w:r>
      <w:r>
        <w:rPr>
          <w:rFonts w:ascii="Times New Roman" w:hAnsi="Times New Roman"/>
          <w:sz w:val="28"/>
        </w:rPr>
        <w:t>)</w:t>
      </w:r>
    </w:p>
    <w:p w14:paraId="58A1E4FA" w14:textId="77777777" w:rsidR="0064424B" w:rsidRDefault="0064424B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6E2AEFB" w14:textId="0C6D8340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EAAS </w:t>
      </w:r>
      <w:r>
        <w:rPr>
          <w:rFonts w:ascii="Times New Roman" w:hAnsi="Times New Roman"/>
          <w:i/>
          <w:iCs/>
          <w:sz w:val="24"/>
        </w:rPr>
        <w:t>marķieru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ietver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i/>
          <w:iCs/>
          <w:sz w:val="24"/>
          <w:vertAlign w:val="superscript"/>
        </w:rPr>
        <w:t>n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n</w:t>
      </w:r>
      <w:r>
        <w:rPr>
          <w:rFonts w:ascii="Times New Roman" w:hAnsi="Times New Roman"/>
          <w:sz w:val="24"/>
        </w:rPr>
        <w:t xml:space="preserve"> ≥ 1) identifikāciju (saskaņā ar </w:t>
      </w:r>
      <w:r>
        <w:rPr>
          <w:rFonts w:ascii="Times New Roman" w:hAnsi="Times New Roman"/>
          <w:i/>
          <w:iCs/>
          <w:sz w:val="24"/>
        </w:rPr>
        <w:t>TD IDCR</w:t>
      </w:r>
      <w:r>
        <w:rPr>
          <w:rFonts w:ascii="Times New Roman" w:hAnsi="Times New Roman"/>
          <w:sz w:val="24"/>
          <w:vertAlign w:val="superscript"/>
        </w:rPr>
        <w:t>[6]</w:t>
      </w:r>
      <w:r>
        <w:rPr>
          <w:rFonts w:ascii="Times New Roman" w:hAnsi="Times New Roman"/>
          <w:sz w:val="24"/>
        </w:rPr>
        <w:t xml:space="preserve">) un kvantitatīvo noteikšanu, kā arī steroīdu profila </w:t>
      </w:r>
      <w:r>
        <w:rPr>
          <w:rFonts w:ascii="Times New Roman" w:hAnsi="Times New Roman"/>
          <w:i/>
          <w:iCs/>
          <w:sz w:val="24"/>
        </w:rPr>
        <w:t>marķiera(-u)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GC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C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IRMS</w:t>
      </w:r>
      <w:r>
        <w:rPr>
          <w:rFonts w:ascii="Times New Roman" w:hAnsi="Times New Roman"/>
          <w:sz w:val="24"/>
        </w:rPr>
        <w:t xml:space="preserve"> analīzi</w:t>
      </w:r>
      <w:r>
        <w:rPr>
          <w:rFonts w:ascii="Times New Roman" w:hAnsi="Times New Roman"/>
          <w:sz w:val="24"/>
          <w:vertAlign w:val="superscript"/>
        </w:rPr>
        <w:t>[7]</w:t>
      </w:r>
      <w:r>
        <w:rPr>
          <w:rFonts w:ascii="Times New Roman" w:hAnsi="Times New Roman"/>
          <w:sz w:val="24"/>
        </w:rPr>
        <w:t>.</w:t>
      </w:r>
    </w:p>
    <w:p w14:paraId="6050EB17" w14:textId="77777777" w:rsidR="00F4347E" w:rsidRPr="0085176F" w:rsidRDefault="00F4347E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15FD22F" w14:textId="77777777" w:rsidR="00E51A37" w:rsidRPr="0085176F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Turklāt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apstiprina steroīdu profilu ietekmējošu faktoru esību vai neesību (skat. 1. panta 3. punktu).</w:t>
      </w:r>
    </w:p>
    <w:p w14:paraId="040F50C9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5A9ADE4C" w14:textId="4B2E844C" w:rsidR="00E51A37" w:rsidRPr="00A731EE" w:rsidRDefault="00F4347E" w:rsidP="00134392">
      <w:pPr>
        <w:pStyle w:val="Heading2"/>
        <w:widowControl/>
        <w:tabs>
          <w:tab w:val="left" w:pos="920"/>
        </w:tabs>
        <w:spacing w:before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u w:color="000000"/>
        </w:rPr>
        <w:t>3.1.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CP</w:t>
      </w:r>
      <w:r>
        <w:rPr>
          <w:rFonts w:ascii="Times New Roman" w:hAnsi="Times New Roman"/>
          <w:sz w:val="28"/>
        </w:rPr>
        <w:t xml:space="preserve"> pieprasījumi (</w:t>
      </w:r>
      <w:r>
        <w:rPr>
          <w:rFonts w:ascii="Times New Roman" w:hAnsi="Times New Roman"/>
          <w:i/>
          <w:sz w:val="28"/>
        </w:rPr>
        <w:t>CPR</w:t>
      </w:r>
      <w:r>
        <w:rPr>
          <w:rFonts w:ascii="Times New Roman" w:hAnsi="Times New Roman"/>
          <w:sz w:val="28"/>
        </w:rPr>
        <w:t>)</w:t>
      </w:r>
    </w:p>
    <w:p w14:paraId="024EFB0E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2B01FBB7" w14:textId="08E3F788" w:rsidR="00E51A37" w:rsidRPr="0085176F" w:rsidRDefault="00A731EE" w:rsidP="00134392">
      <w:pPr>
        <w:widowControl/>
        <w:tabs>
          <w:tab w:val="left" w:pos="1113"/>
        </w:tabs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3.1.1. </w:t>
      </w:r>
      <w:r>
        <w:rPr>
          <w:rFonts w:ascii="Times New Roman" w:hAnsi="Times New Roman"/>
          <w:i/>
          <w:sz w:val="24"/>
        </w:rPr>
        <w:t>CPR</w:t>
      </w:r>
      <w:r>
        <w:rPr>
          <w:rFonts w:ascii="Times New Roman" w:hAnsi="Times New Roman"/>
          <w:sz w:val="24"/>
        </w:rPr>
        <w:t xml:space="preserve">, kas iesniegti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 </w:t>
      </w:r>
      <w:r>
        <w:rPr>
          <w:rFonts w:ascii="Times New Roman" w:hAnsi="Times New Roman"/>
          <w:i/>
          <w:sz w:val="24"/>
        </w:rPr>
        <w:t>netipisku [bioloģiskās] pases parametru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) gadījumā</w:t>
      </w:r>
    </w:p>
    <w:p w14:paraId="7362C1AA" w14:textId="77777777" w:rsidR="00A731EE" w:rsidRDefault="00A731EE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62254BB" w14:textId="701D10CA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Kad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profila dati ir ievadīti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 un saskaņoti ar </w:t>
      </w:r>
      <w:r>
        <w:rPr>
          <w:rFonts w:ascii="Times New Roman" w:hAnsi="Times New Roman"/>
          <w:i/>
          <w:sz w:val="24"/>
        </w:rPr>
        <w:t>sportistu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 w:color="000000"/>
        </w:rPr>
        <w:t>adaptīvais modelis</w:t>
      </w:r>
      <w:r>
        <w:rPr>
          <w:rFonts w:ascii="Times New Roman" w:hAnsi="Times New Roman"/>
          <w:sz w:val="24"/>
        </w:rPr>
        <w:t xml:space="preserve"> automātiski atjaunina steroīdu </w:t>
      </w:r>
      <w:r>
        <w:rPr>
          <w:rFonts w:ascii="Times New Roman" w:hAnsi="Times New Roman"/>
          <w:sz w:val="24"/>
          <w:u w:val="single" w:color="000000"/>
        </w:rPr>
        <w:t>pasi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 xml:space="preserve"> tiek identificēti, pamatojoties </w:t>
      </w:r>
      <w:r>
        <w:rPr>
          <w:rFonts w:ascii="Times New Roman" w:hAnsi="Times New Roman"/>
          <w:sz w:val="24"/>
        </w:rPr>
        <w:lastRenderedPageBreak/>
        <w:t xml:space="preserve">uz anormāli augstu T/E vērtību, tiek ierosināts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pieprasījums (</w:t>
      </w:r>
      <w:r>
        <w:rPr>
          <w:rFonts w:ascii="Times New Roman" w:hAnsi="Times New Roman"/>
          <w:i/>
          <w:sz w:val="24"/>
        </w:rPr>
        <w:t>ATPF-CPR</w:t>
      </w:r>
      <w:r>
        <w:rPr>
          <w:rFonts w:ascii="Times New Roman" w:hAnsi="Times New Roman"/>
          <w:sz w:val="24"/>
        </w:rPr>
        <w:t xml:space="preserve">), ko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 automātiski nosūta </w:t>
      </w:r>
      <w:r>
        <w:rPr>
          <w:rFonts w:ascii="Times New Roman" w:hAnsi="Times New Roman"/>
          <w:sz w:val="24"/>
          <w:u w:val="single" w:color="000000"/>
        </w:rPr>
        <w:t>laboratorijām</w:t>
      </w:r>
      <w:r>
        <w:rPr>
          <w:rFonts w:ascii="Times New Roman" w:hAnsi="Times New Roman"/>
          <w:sz w:val="24"/>
        </w:rPr>
        <w:t>.</w:t>
      </w:r>
    </w:p>
    <w:p w14:paraId="261A19DC" w14:textId="77777777" w:rsidR="00321D9B" w:rsidRPr="0085176F" w:rsidRDefault="00321D9B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E194BB8" w14:textId="525EC5CB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Saņemot </w:t>
      </w:r>
      <w:r>
        <w:rPr>
          <w:rFonts w:ascii="Times New Roman" w:hAnsi="Times New Roman"/>
          <w:i/>
          <w:sz w:val="24"/>
        </w:rPr>
        <w:t>ATPF-CPR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pēc iespējas drīz veic steroīdu profila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, ja vien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 nav konstatēta etanola klātbūtne vai nepastāv citi faktori, kas ietekmē steroīdu profilu. Šādos gadījumos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piecpadsmit (15) dienu laikā pēc paziņojuma par </w:t>
      </w:r>
      <w:r>
        <w:rPr>
          <w:rFonts w:ascii="Times New Roman" w:hAnsi="Times New Roman"/>
          <w:i/>
          <w:sz w:val="24"/>
        </w:rPr>
        <w:t>ATPF-CPR</w:t>
      </w:r>
      <w:r>
        <w:rPr>
          <w:rFonts w:ascii="Times New Roman" w:hAnsi="Times New Roman"/>
          <w:sz w:val="24"/>
        </w:rPr>
        <w:t xml:space="preserve"> saņem </w:t>
      </w:r>
      <w:r>
        <w:rPr>
          <w:rFonts w:ascii="Times New Roman" w:hAnsi="Times New Roman"/>
          <w:sz w:val="24"/>
          <w:u w:val="single" w:color="000000"/>
        </w:rPr>
        <w:t>par pasi atbildīgās organizācijas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iestādes</w:t>
      </w:r>
      <w:r>
        <w:rPr>
          <w:rFonts w:ascii="Times New Roman" w:hAnsi="Times New Roman"/>
          <w:sz w:val="24"/>
        </w:rPr>
        <w:t xml:space="preserve"> (vai </w:t>
      </w:r>
      <w:r>
        <w:rPr>
          <w:rFonts w:ascii="Times New Roman" w:hAnsi="Times New Roman"/>
          <w:i/>
          <w:sz w:val="24"/>
          <w:u w:val="single" w:color="000000"/>
        </w:rPr>
        <w:t>rezultātu pārvaldības</w:t>
      </w:r>
      <w:r>
        <w:rPr>
          <w:rFonts w:ascii="Times New Roman" w:hAnsi="Times New Roman"/>
          <w:sz w:val="24"/>
          <w:u w:val="single" w:color="000000"/>
        </w:rPr>
        <w:t xml:space="preserve"> iestādes</w:t>
      </w:r>
      <w:r>
        <w:rPr>
          <w:rFonts w:ascii="Times New Roman" w:hAnsi="Times New Roman"/>
          <w:sz w:val="24"/>
        </w:rPr>
        <w:t xml:space="preserve">, ja tā atšķiras) ieteikumu par to, vai turpināt vai neturpināt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profila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>.</w:t>
      </w:r>
    </w:p>
    <w:p w14:paraId="18D6D16B" w14:textId="77777777" w:rsidR="00321D9B" w:rsidRPr="0085176F" w:rsidRDefault="00321D9B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7ABE1D" w14:textId="042CB317" w:rsidR="00E51A37" w:rsidRDefault="00E51A37" w:rsidP="0037757C">
      <w:pPr>
        <w:widowControl/>
        <w:ind w:left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[Piezīme. Ja piecpadsmit (15) dienu laikā pēc paziņojuma par ATPF-CPR saņemšanas </w:t>
      </w:r>
      <w:r>
        <w:rPr>
          <w:rFonts w:ascii="Times New Roman" w:hAnsi="Times New Roman"/>
          <w:i/>
          <w:sz w:val="24"/>
          <w:u w:val="single" w:color="000000"/>
        </w:rPr>
        <w:t>par pasi atbildīgā organizācija</w:t>
      </w:r>
      <w:r>
        <w:rPr>
          <w:rFonts w:ascii="Times New Roman" w:hAnsi="Times New Roman"/>
          <w:i/>
          <w:sz w:val="24"/>
        </w:rPr>
        <w:t xml:space="preserve"> vai </w:t>
      </w:r>
      <w:r>
        <w:rPr>
          <w:rFonts w:ascii="Times New Roman" w:hAnsi="Times New Roman"/>
          <w:i/>
          <w:sz w:val="24"/>
          <w:u w:val="single" w:color="000000"/>
        </w:rPr>
        <w:t>pārbaudes iestāde</w:t>
      </w:r>
      <w:r>
        <w:rPr>
          <w:rFonts w:ascii="Times New Roman" w:hAnsi="Times New Roman"/>
          <w:i/>
          <w:sz w:val="24"/>
        </w:rPr>
        <w:t xml:space="preserve"> (vai </w:t>
      </w:r>
      <w:r>
        <w:rPr>
          <w:rFonts w:ascii="Times New Roman" w:hAnsi="Times New Roman"/>
          <w:i/>
          <w:sz w:val="24"/>
          <w:u w:val="single" w:color="000000"/>
        </w:rPr>
        <w:t>rezultātu pārvaldības iestāde</w:t>
      </w:r>
      <w:r>
        <w:rPr>
          <w:rFonts w:ascii="Times New Roman" w:hAnsi="Times New Roman"/>
          <w:i/>
          <w:sz w:val="24"/>
        </w:rPr>
        <w:t xml:space="preserve">) nav sazinājusies ar </w:t>
      </w:r>
      <w:r>
        <w:rPr>
          <w:rFonts w:ascii="Times New Roman" w:hAnsi="Times New Roman"/>
          <w:i/>
          <w:sz w:val="24"/>
          <w:u w:val="single" w:color="000000"/>
        </w:rPr>
        <w:t>laboratoriju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z w:val="24"/>
          <w:u w:val="single" w:color="000000"/>
        </w:rPr>
        <w:t>laboratorija</w:t>
      </w:r>
      <w:r>
        <w:rPr>
          <w:rFonts w:ascii="Times New Roman" w:hAnsi="Times New Roman"/>
          <w:i/>
          <w:sz w:val="24"/>
        </w:rPr>
        <w:t xml:space="preserve"> turpina steroīdu profila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i/>
          <w:sz w:val="24"/>
        </w:rPr>
        <w:t xml:space="preserve"> (skat. 3. panta 2. punktu).]</w:t>
      </w:r>
    </w:p>
    <w:p w14:paraId="41DF3C31" w14:textId="77777777" w:rsidR="00321D9B" w:rsidRPr="0085176F" w:rsidRDefault="00321D9B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0EDC4A83" w14:textId="2C14FE8A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Jebkurš </w:t>
      </w:r>
      <w:r>
        <w:rPr>
          <w:rFonts w:ascii="Times New Roman" w:hAnsi="Times New Roman"/>
          <w:sz w:val="24"/>
          <w:u w:val="single" w:color="000000"/>
        </w:rPr>
        <w:t>par pasi atbildīgās organizācijas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iestādes</w:t>
      </w:r>
      <w:r>
        <w:rPr>
          <w:rFonts w:ascii="Times New Roman" w:hAnsi="Times New Roman"/>
          <w:sz w:val="24"/>
        </w:rPr>
        <w:t xml:space="preserve"> (vai </w:t>
      </w:r>
      <w:r>
        <w:rPr>
          <w:rFonts w:ascii="Times New Roman" w:hAnsi="Times New Roman"/>
          <w:i/>
          <w:sz w:val="24"/>
          <w:u w:val="single" w:color="000000"/>
        </w:rPr>
        <w:t>rezultātu pārvaldības</w:t>
      </w:r>
      <w:r>
        <w:rPr>
          <w:rFonts w:ascii="Times New Roman" w:hAnsi="Times New Roman"/>
          <w:sz w:val="24"/>
          <w:u w:val="single" w:color="000000"/>
        </w:rPr>
        <w:t xml:space="preserve"> iestādes</w:t>
      </w:r>
      <w:r>
        <w:rPr>
          <w:rFonts w:ascii="Times New Roman" w:hAnsi="Times New Roman"/>
          <w:sz w:val="24"/>
        </w:rPr>
        <w:t xml:space="preserve">) pamatojums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neturpināšanai ir jāsniedz rakstveidā un saskaņā ar </w:t>
      </w:r>
      <w:r>
        <w:rPr>
          <w:rFonts w:ascii="Times New Roman" w:hAnsi="Times New Roman"/>
          <w:i/>
          <w:sz w:val="24"/>
        </w:rPr>
        <w:t>TD APMU</w:t>
      </w:r>
      <w:r>
        <w:rPr>
          <w:rFonts w:ascii="Times New Roman" w:hAnsi="Times New Roman"/>
          <w:sz w:val="24"/>
          <w:vertAlign w:val="superscript"/>
        </w:rPr>
        <w:t>[8]</w:t>
      </w:r>
      <w:r>
        <w:rPr>
          <w:rFonts w:ascii="Times New Roman" w:hAnsi="Times New Roman"/>
          <w:sz w:val="24"/>
        </w:rPr>
        <w:t>.</w:t>
      </w:r>
    </w:p>
    <w:p w14:paraId="3C75CCB3" w14:textId="77777777" w:rsidR="00321D9B" w:rsidRPr="0085176F" w:rsidRDefault="00321D9B" w:rsidP="0037757C">
      <w:pPr>
        <w:pStyle w:val="BodyText"/>
        <w:widowControl/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232D40" w14:textId="088337E2" w:rsidR="00E51A37" w:rsidRDefault="00E51A37" w:rsidP="0037757C">
      <w:pPr>
        <w:widowControl/>
        <w:ind w:left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[Piezīme. Gadījumos, kad </w:t>
      </w:r>
      <w:r>
        <w:rPr>
          <w:rFonts w:ascii="Times New Roman" w:hAnsi="Times New Roman"/>
          <w:i/>
          <w:sz w:val="24"/>
          <w:u w:val="single" w:color="000000"/>
        </w:rPr>
        <w:t>par pasi atbildīgā organizācija</w:t>
      </w:r>
      <w:r>
        <w:rPr>
          <w:rFonts w:ascii="Times New Roman" w:hAnsi="Times New Roman"/>
          <w:i/>
          <w:sz w:val="24"/>
        </w:rPr>
        <w:t xml:space="preserve"> vai </w:t>
      </w:r>
      <w:r>
        <w:rPr>
          <w:rFonts w:ascii="Times New Roman" w:hAnsi="Times New Roman"/>
          <w:i/>
          <w:sz w:val="24"/>
          <w:u w:val="single" w:color="000000"/>
        </w:rPr>
        <w:t>pārbaudes iestāde</w:t>
      </w:r>
      <w:r>
        <w:rPr>
          <w:rFonts w:ascii="Times New Roman" w:hAnsi="Times New Roman"/>
          <w:i/>
          <w:sz w:val="24"/>
        </w:rPr>
        <w:t xml:space="preserve"> (vai </w:t>
      </w:r>
      <w:r>
        <w:rPr>
          <w:rFonts w:ascii="Times New Roman" w:hAnsi="Times New Roman"/>
          <w:i/>
          <w:sz w:val="24"/>
          <w:u w:val="single" w:color="000000"/>
        </w:rPr>
        <w:t>rezultātu pārvaldības iestāde</w:t>
      </w:r>
      <w:r>
        <w:rPr>
          <w:rFonts w:ascii="Times New Roman" w:hAnsi="Times New Roman"/>
          <w:i/>
          <w:sz w:val="24"/>
        </w:rPr>
        <w:t xml:space="preserve">) </w:t>
      </w:r>
      <w:r>
        <w:rPr>
          <w:rFonts w:ascii="Times New Roman" w:hAnsi="Times New Roman"/>
          <w:i/>
          <w:sz w:val="24"/>
          <w:u w:val="single" w:color="000000"/>
        </w:rPr>
        <w:t>laboratorijai</w:t>
      </w:r>
      <w:r>
        <w:rPr>
          <w:rFonts w:ascii="Times New Roman" w:hAnsi="Times New Roman"/>
          <w:i/>
          <w:sz w:val="24"/>
        </w:rPr>
        <w:t xml:space="preserve"> dod norādījumus neveikt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z w:val="24"/>
          <w:u w:val="single" w:color="000000"/>
        </w:rPr>
        <w:t>laboratorija</w:t>
      </w:r>
      <w:r>
        <w:rPr>
          <w:rFonts w:ascii="Times New Roman" w:hAnsi="Times New Roman"/>
          <w:i/>
          <w:sz w:val="24"/>
        </w:rPr>
        <w:t xml:space="preserve"> attiecībā uz paraugu atjaunina ADAMS pārbaudes ziņojumu, tajā pievienojot piezīmi par to, ka </w:t>
      </w:r>
      <w:r>
        <w:rPr>
          <w:rFonts w:ascii="Times New Roman" w:hAnsi="Times New Roman"/>
          <w:i/>
          <w:sz w:val="24"/>
          <w:u w:val="single" w:color="000000"/>
        </w:rPr>
        <w:t>par pasi atbildīgā organizācija</w:t>
      </w:r>
      <w:r>
        <w:rPr>
          <w:rFonts w:ascii="Times New Roman" w:hAnsi="Times New Roman"/>
          <w:i/>
          <w:sz w:val="24"/>
        </w:rPr>
        <w:t xml:space="preserve"> vai </w:t>
      </w:r>
      <w:r>
        <w:rPr>
          <w:rFonts w:ascii="Times New Roman" w:hAnsi="Times New Roman"/>
          <w:i/>
          <w:sz w:val="24"/>
          <w:u w:val="single" w:color="000000"/>
        </w:rPr>
        <w:t>pārbaudes iestāde</w:t>
      </w:r>
      <w:r>
        <w:rPr>
          <w:rFonts w:ascii="Times New Roman" w:hAnsi="Times New Roman"/>
          <w:i/>
          <w:sz w:val="24"/>
        </w:rPr>
        <w:t xml:space="preserve"> (vai </w:t>
      </w:r>
      <w:r>
        <w:rPr>
          <w:rFonts w:ascii="Times New Roman" w:hAnsi="Times New Roman"/>
          <w:i/>
          <w:sz w:val="24"/>
          <w:u w:val="single" w:color="000000"/>
        </w:rPr>
        <w:t>rezultātu pārvaldības iestāde</w:t>
      </w:r>
      <w:r>
        <w:rPr>
          <w:rFonts w:ascii="Times New Roman" w:hAnsi="Times New Roman"/>
          <w:i/>
          <w:sz w:val="24"/>
        </w:rPr>
        <w:t xml:space="preserve">) lūdza neveikt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i/>
          <w:sz w:val="24"/>
        </w:rPr>
        <w:t>, un norādot minētos iemeslus.]</w:t>
      </w:r>
    </w:p>
    <w:p w14:paraId="2D0382C3" w14:textId="77777777" w:rsidR="00A250A5" w:rsidRPr="0085176F" w:rsidRDefault="00A250A5" w:rsidP="0037757C">
      <w:pPr>
        <w:widowControl/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448BC9CA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saņem </w:t>
      </w:r>
      <w:r>
        <w:rPr>
          <w:rFonts w:ascii="Times New Roman" w:hAnsi="Times New Roman"/>
          <w:i/>
          <w:sz w:val="24"/>
        </w:rPr>
        <w:t>ATPF-CPR</w:t>
      </w:r>
      <w:r>
        <w:rPr>
          <w:rFonts w:ascii="Times New Roman" w:hAnsi="Times New Roman"/>
          <w:sz w:val="24"/>
        </w:rPr>
        <w:t xml:space="preserve"> par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, par ko ir paziņots(-i) </w:t>
      </w:r>
      <w:r>
        <w:rPr>
          <w:rFonts w:ascii="Times New Roman" w:hAnsi="Times New Roman"/>
          <w:i/>
          <w:sz w:val="24"/>
        </w:rPr>
        <w:t>nelabvēlīgs(-i) analīžu rezultāts(-i)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) attiecībā uz citu(-ām) </w:t>
      </w:r>
      <w:r>
        <w:rPr>
          <w:rFonts w:ascii="Times New Roman" w:hAnsi="Times New Roman"/>
          <w:i/>
          <w:sz w:val="24"/>
        </w:rPr>
        <w:t>aizliegtu(-ām) vielu(-ām)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metodi(-ēm)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apspriežas ar </w:t>
      </w:r>
      <w:r>
        <w:rPr>
          <w:rFonts w:ascii="Times New Roman" w:hAnsi="Times New Roman"/>
          <w:i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iestādi</w:t>
      </w:r>
      <w:r>
        <w:rPr>
          <w:rFonts w:ascii="Times New Roman" w:hAnsi="Times New Roman"/>
          <w:sz w:val="24"/>
        </w:rPr>
        <w:t xml:space="preserve"> (vai </w:t>
      </w:r>
      <w:r>
        <w:rPr>
          <w:rFonts w:ascii="Times New Roman" w:hAnsi="Times New Roman"/>
          <w:i/>
          <w:sz w:val="24"/>
          <w:u w:val="single" w:color="000000"/>
        </w:rPr>
        <w:t>rezultātu pārvaldības</w:t>
      </w:r>
      <w:r>
        <w:rPr>
          <w:rFonts w:ascii="Times New Roman" w:hAnsi="Times New Roman"/>
          <w:sz w:val="24"/>
          <w:u w:val="single" w:color="000000"/>
        </w:rPr>
        <w:t xml:space="preserve"> iestādi</w:t>
      </w:r>
      <w:r>
        <w:rPr>
          <w:rFonts w:ascii="Times New Roman" w:hAnsi="Times New Roman"/>
          <w:sz w:val="24"/>
        </w:rPr>
        <w:t xml:space="preserve">, ja tā atšķiras) par nepieciešamību veikt steroīdu profila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>.</w:t>
      </w:r>
    </w:p>
    <w:p w14:paraId="24CB0167" w14:textId="71309FFA" w:rsidR="00E51A37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0D08320F" w14:textId="11B0A364" w:rsidR="00E51A37" w:rsidRDefault="00A250A5" w:rsidP="00134392">
      <w:pPr>
        <w:widowControl/>
        <w:tabs>
          <w:tab w:val="left" w:pos="1189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3.1.2. </w:t>
      </w:r>
      <w:r>
        <w:rPr>
          <w:rFonts w:ascii="Times New Roman" w:hAnsi="Times New Roman"/>
          <w:i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iestādes</w:t>
      </w:r>
      <w:r>
        <w:rPr>
          <w:rFonts w:ascii="Times New Roman" w:hAnsi="Times New Roman"/>
          <w:sz w:val="24"/>
        </w:rPr>
        <w:t xml:space="preserve"> (vai attiecīgā gadījumā </w:t>
      </w:r>
      <w:r>
        <w:rPr>
          <w:rFonts w:ascii="Times New Roman" w:hAnsi="Times New Roman"/>
          <w:i/>
          <w:sz w:val="24"/>
          <w:u w:val="single" w:color="000000"/>
        </w:rPr>
        <w:t>rezultātu pārvaldības</w:t>
      </w:r>
      <w:r>
        <w:rPr>
          <w:rFonts w:ascii="Times New Roman" w:hAnsi="Times New Roman"/>
          <w:sz w:val="24"/>
          <w:u w:val="single" w:color="000000"/>
        </w:rPr>
        <w:t xml:space="preserve"> iestādes</w:t>
      </w:r>
      <w:r>
        <w:rPr>
          <w:rFonts w:ascii="Times New Roman" w:hAnsi="Times New Roman"/>
          <w:sz w:val="24"/>
        </w:rPr>
        <w:t xml:space="preserve">) vai </w:t>
      </w:r>
      <w:r>
        <w:rPr>
          <w:rFonts w:ascii="Times New Roman" w:hAnsi="Times New Roman"/>
          <w:i/>
          <w:sz w:val="24"/>
        </w:rPr>
        <w:t>WADA</w:t>
      </w:r>
      <w:r>
        <w:rPr>
          <w:rFonts w:ascii="Times New Roman" w:hAnsi="Times New Roman"/>
          <w:sz w:val="24"/>
        </w:rPr>
        <w:t xml:space="preserve"> iesniegti </w:t>
      </w:r>
      <w:r>
        <w:rPr>
          <w:rFonts w:ascii="Times New Roman" w:hAnsi="Times New Roman"/>
          <w:i/>
          <w:iCs/>
          <w:sz w:val="24"/>
        </w:rPr>
        <w:t>CPR</w:t>
      </w:r>
    </w:p>
    <w:p w14:paraId="4078DE0A" w14:textId="77777777" w:rsidR="00DB5E79" w:rsidRPr="0085176F" w:rsidRDefault="00DB5E79" w:rsidP="00134392">
      <w:pPr>
        <w:widowControl/>
        <w:tabs>
          <w:tab w:val="left" w:pos="1189"/>
        </w:tabs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0E751523" w14:textId="2636B1B2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u w:val="single" w:color="000000"/>
        </w:rPr>
        <w:t>Adaptīvais modelis</w:t>
      </w:r>
      <w:r>
        <w:rPr>
          <w:rFonts w:ascii="Times New Roman" w:hAnsi="Times New Roman"/>
          <w:sz w:val="24"/>
        </w:rPr>
        <w:t xml:space="preserve"> noteiks arī citu “steroīdu profila” proporciju anormālas vērtības vai sekvences (A/T, A/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 xml:space="preserve">/E). Tomēr šādos gadījumos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 nesaņems automātisku “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 xml:space="preserve">” paziņojumu. Tā vietā </w:t>
      </w:r>
      <w:r>
        <w:rPr>
          <w:rFonts w:ascii="Times New Roman" w:hAnsi="Times New Roman"/>
          <w:i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 sniegs ieteikumus </w:t>
      </w:r>
      <w:r>
        <w:rPr>
          <w:rFonts w:ascii="Times New Roman" w:hAnsi="Times New Roman"/>
          <w:i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iestādei</w:t>
      </w:r>
      <w:r>
        <w:rPr>
          <w:rFonts w:ascii="Times New Roman" w:hAnsi="Times New Roman"/>
          <w:sz w:val="24"/>
        </w:rPr>
        <w:t xml:space="preserve"> (vai attiecīgā gadījumā </w:t>
      </w:r>
      <w:r>
        <w:rPr>
          <w:rFonts w:ascii="Times New Roman" w:hAnsi="Times New Roman"/>
          <w:i/>
          <w:sz w:val="24"/>
          <w:u w:val="single" w:color="000000"/>
        </w:rPr>
        <w:t>rezultātu pārvaldības</w:t>
      </w:r>
      <w:r>
        <w:rPr>
          <w:rFonts w:ascii="Times New Roman" w:hAnsi="Times New Roman"/>
          <w:sz w:val="24"/>
          <w:u w:val="single" w:color="000000"/>
        </w:rPr>
        <w:t xml:space="preserve"> iestādei</w:t>
      </w:r>
      <w:r>
        <w:rPr>
          <w:rFonts w:ascii="Times New Roman" w:hAnsi="Times New Roman"/>
          <w:sz w:val="24"/>
        </w:rPr>
        <w:t xml:space="preserve">, ja tā atšķiras) par to, vai </w:t>
      </w:r>
      <w:r>
        <w:rPr>
          <w:rFonts w:ascii="Times New Roman" w:hAnsi="Times New Roman"/>
          <w:i/>
          <w:sz w:val="24"/>
        </w:rPr>
        <w:t>paraugam</w:t>
      </w:r>
      <w:r>
        <w:rPr>
          <w:rFonts w:ascii="Times New Roman" w:hAnsi="Times New Roman"/>
          <w:sz w:val="24"/>
        </w:rPr>
        <w:t xml:space="preserve"> jāveic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. Tāpēc šajos gadījumos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turpina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tikai pēc tam, kad tā ir saņēmusi rakstveida pieprasījumu no </w:t>
      </w:r>
      <w:r>
        <w:rPr>
          <w:rFonts w:ascii="Times New Roman" w:hAnsi="Times New Roman"/>
          <w:i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iestādes</w:t>
      </w:r>
      <w:r>
        <w:rPr>
          <w:rFonts w:ascii="Times New Roman" w:hAnsi="Times New Roman"/>
          <w:sz w:val="24"/>
        </w:rPr>
        <w:t xml:space="preserve"> (vai </w:t>
      </w:r>
      <w:r>
        <w:rPr>
          <w:rFonts w:ascii="Times New Roman" w:hAnsi="Times New Roman"/>
          <w:i/>
          <w:sz w:val="24"/>
          <w:u w:val="single" w:color="000000"/>
        </w:rPr>
        <w:t>rezultātu pārvaldības</w:t>
      </w:r>
      <w:r>
        <w:rPr>
          <w:rFonts w:ascii="Times New Roman" w:hAnsi="Times New Roman"/>
          <w:sz w:val="24"/>
          <w:u w:val="single" w:color="000000"/>
        </w:rPr>
        <w:t xml:space="preserve"> iestādes</w:t>
      </w:r>
      <w:r>
        <w:rPr>
          <w:rFonts w:ascii="Times New Roman" w:hAnsi="Times New Roman"/>
          <w:sz w:val="24"/>
        </w:rPr>
        <w:t>, ja tā atšķiras).</w:t>
      </w:r>
    </w:p>
    <w:p w14:paraId="1B4BD1A2" w14:textId="77777777" w:rsidR="003610A1" w:rsidRPr="0085176F" w:rsidRDefault="003610A1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5B3755" w14:textId="4292F6C5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Ja nav </w:t>
      </w:r>
      <w:r>
        <w:rPr>
          <w:rFonts w:ascii="Times New Roman" w:hAnsi="Times New Roman"/>
          <w:i/>
          <w:sz w:val="24"/>
        </w:rPr>
        <w:t>ATPF-CPR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pieprasījumus var iesniegt arī </w:t>
      </w:r>
      <w:r>
        <w:rPr>
          <w:rFonts w:ascii="Times New Roman" w:hAnsi="Times New Roman"/>
          <w:i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iestāde</w:t>
      </w:r>
      <w:r>
        <w:rPr>
          <w:rFonts w:ascii="Times New Roman" w:hAnsi="Times New Roman"/>
          <w:sz w:val="24"/>
        </w:rPr>
        <w:t xml:space="preserve"> (vai </w:t>
      </w:r>
      <w:r>
        <w:rPr>
          <w:rFonts w:ascii="Times New Roman" w:hAnsi="Times New Roman"/>
          <w:i/>
          <w:sz w:val="24"/>
          <w:u w:val="single" w:color="000000"/>
        </w:rPr>
        <w:t>rezultātu pārvaldības</w:t>
      </w:r>
      <w:r>
        <w:rPr>
          <w:rFonts w:ascii="Times New Roman" w:hAnsi="Times New Roman"/>
          <w:sz w:val="24"/>
          <w:u w:val="single" w:color="000000"/>
        </w:rPr>
        <w:t xml:space="preserve"> iestāde</w:t>
      </w:r>
      <w:r>
        <w:rPr>
          <w:rFonts w:ascii="Times New Roman" w:hAnsi="Times New Roman"/>
          <w:sz w:val="24"/>
        </w:rPr>
        <w:t xml:space="preserve">, ja tā atšķiras), </w:t>
      </w:r>
      <w:r>
        <w:rPr>
          <w:rFonts w:ascii="Times New Roman" w:hAnsi="Times New Roman"/>
          <w:i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* vai </w:t>
      </w:r>
      <w:r>
        <w:rPr>
          <w:rFonts w:ascii="Times New Roman" w:hAnsi="Times New Roman"/>
          <w:i/>
          <w:sz w:val="24"/>
        </w:rPr>
        <w:t>WADA</w:t>
      </w:r>
      <w:r>
        <w:rPr>
          <w:rFonts w:ascii="Times New Roman" w:hAnsi="Times New Roman"/>
          <w:sz w:val="24"/>
        </w:rPr>
        <w:t>.</w:t>
      </w:r>
    </w:p>
    <w:p w14:paraId="1B11BBFC" w14:textId="77777777" w:rsidR="003610A1" w:rsidRPr="0085176F" w:rsidRDefault="003610A1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665F24" w14:textId="77777777" w:rsidR="00E51A37" w:rsidRPr="0085176F" w:rsidRDefault="00E51A37" w:rsidP="0037757C">
      <w:pPr>
        <w:widowControl/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* Ja attiecīgais </w:t>
      </w:r>
      <w:r>
        <w:rPr>
          <w:rFonts w:ascii="Times New Roman" w:hAnsi="Times New Roman"/>
          <w:i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 klients ir piekritis piešķirt </w:t>
      </w:r>
      <w:r>
        <w:rPr>
          <w:rFonts w:ascii="Times New Roman" w:hAnsi="Times New Roman"/>
          <w:i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 šādas pilnvaras.</w:t>
      </w:r>
    </w:p>
    <w:p w14:paraId="275CC8D0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2D909A25" w14:textId="0AE51C48" w:rsidR="00E51A37" w:rsidRPr="003610A1" w:rsidRDefault="003610A1" w:rsidP="00134392">
      <w:pPr>
        <w:pStyle w:val="Heading2"/>
        <w:widowControl/>
        <w:tabs>
          <w:tab w:val="left" w:pos="959"/>
        </w:tabs>
        <w:spacing w:before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u w:val="single" w:color="000000"/>
        </w:rPr>
      </w:pPr>
      <w:r>
        <w:rPr>
          <w:rFonts w:ascii="Times New Roman" w:hAnsi="Times New Roman"/>
          <w:sz w:val="28"/>
          <w:u w:color="000000"/>
        </w:rPr>
        <w:t>3.2.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  <w:u w:val="single" w:color="000000"/>
        </w:rPr>
        <w:t>CP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>pārbaudes metodes</w:t>
      </w:r>
    </w:p>
    <w:p w14:paraId="0A11D7C4" w14:textId="77777777" w:rsidR="003610A1" w:rsidRDefault="003610A1" w:rsidP="00134392">
      <w:pPr>
        <w:widowControl/>
        <w:tabs>
          <w:tab w:val="left" w:pos="1112"/>
        </w:tabs>
        <w:jc w:val="both"/>
        <w:rPr>
          <w:rFonts w:ascii="Times New Roman" w:hAnsi="Times New Roman" w:cs="Times New Roman"/>
          <w:noProof/>
          <w:sz w:val="24"/>
          <w:szCs w:val="24"/>
          <w:u w:val="single" w:color="000000"/>
        </w:rPr>
      </w:pPr>
    </w:p>
    <w:p w14:paraId="1F765B54" w14:textId="193A533E" w:rsidR="00E51A37" w:rsidRPr="0085176F" w:rsidRDefault="003610A1" w:rsidP="00134392">
      <w:pPr>
        <w:widowControl/>
        <w:tabs>
          <w:tab w:val="left" w:pos="1112"/>
        </w:tabs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u w:color="000000"/>
        </w:rPr>
        <w:t>3.2.1.</w:t>
      </w:r>
      <w:r>
        <w:rPr>
          <w:rFonts w:ascii="Times New Roman" w:hAnsi="Times New Roman"/>
          <w:sz w:val="24"/>
        </w:rPr>
        <w:t xml:space="preserve"> Steroīdu profila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, izmantojot </w:t>
      </w:r>
      <w:r>
        <w:rPr>
          <w:rFonts w:ascii="Times New Roman" w:hAnsi="Times New Roman"/>
          <w:i/>
          <w:sz w:val="24"/>
        </w:rPr>
        <w:t>GC-MS</w:t>
      </w:r>
      <w:r>
        <w:rPr>
          <w:rFonts w:ascii="Times New Roman" w:hAnsi="Times New Roman"/>
          <w:i/>
          <w:sz w:val="24"/>
          <w:vertAlign w:val="superscript"/>
        </w:rPr>
        <w:t>n</w:t>
      </w:r>
    </w:p>
    <w:p w14:paraId="04E6939A" w14:textId="77777777" w:rsidR="003610A1" w:rsidRDefault="003610A1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9A6FD9" w14:textId="563F4B93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u w:val="single" w:color="000000"/>
        </w:rPr>
        <w:lastRenderedPageBreak/>
        <w:t>Laboratorija</w:t>
      </w:r>
      <w:r>
        <w:rPr>
          <w:rFonts w:ascii="Times New Roman" w:hAnsi="Times New Roman"/>
          <w:sz w:val="24"/>
        </w:rPr>
        <w:t xml:space="preserve"> kvantitatīvi nosaka visus steroīdu profila </w:t>
      </w:r>
      <w:r>
        <w:rPr>
          <w:rFonts w:ascii="Times New Roman" w:hAnsi="Times New Roman"/>
          <w:i/>
          <w:sz w:val="24"/>
        </w:rPr>
        <w:t>marķierus</w:t>
      </w:r>
      <w:r>
        <w:rPr>
          <w:rFonts w:ascii="Times New Roman" w:hAnsi="Times New Roman"/>
          <w:sz w:val="24"/>
        </w:rPr>
        <w:t xml:space="preserve"> vienā </w:t>
      </w:r>
      <w:r>
        <w:rPr>
          <w:rFonts w:ascii="Times New Roman" w:hAnsi="Times New Roman"/>
          <w:sz w:val="24"/>
          <w:u w:val="single" w:color="000000"/>
        </w:rPr>
        <w:t>alikvotā</w:t>
      </w:r>
      <w:r>
        <w:rPr>
          <w:rFonts w:ascii="Times New Roman" w:hAnsi="Times New Roman"/>
          <w:sz w:val="24"/>
        </w:rPr>
        <w:t xml:space="preserve">, izmantojot validētu un </w:t>
      </w:r>
      <w:r>
        <w:rPr>
          <w:rFonts w:ascii="Times New Roman" w:hAnsi="Times New Roman"/>
          <w:sz w:val="24"/>
          <w:u w:val="single" w:color="000000"/>
        </w:rPr>
        <w:t>nolūkam atbilstīgu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GC-MS</w:t>
      </w:r>
      <w:r>
        <w:rPr>
          <w:rFonts w:ascii="Times New Roman" w:hAnsi="Times New Roman"/>
          <w:i/>
          <w:sz w:val="24"/>
          <w:vertAlign w:val="superscript"/>
        </w:rPr>
        <w:t>n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 xml:space="preserve"> ≥ 1) kvantifikācijas metodi. Identificē arī tos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marķierus</w:t>
      </w:r>
      <w:r>
        <w:rPr>
          <w:rFonts w:ascii="Times New Roman" w:hAnsi="Times New Roman"/>
          <w:sz w:val="24"/>
        </w:rPr>
        <w:t xml:space="preserve"> (saskaņā ar </w:t>
      </w:r>
      <w:r>
        <w:rPr>
          <w:rFonts w:ascii="Times New Roman" w:hAnsi="Times New Roman"/>
          <w:i/>
          <w:sz w:val="24"/>
        </w:rPr>
        <w:t>TD IDCR</w:t>
      </w:r>
      <w:r>
        <w:rPr>
          <w:rFonts w:ascii="Times New Roman" w:hAnsi="Times New Roman"/>
          <w:sz w:val="24"/>
          <w:vertAlign w:val="superscript"/>
        </w:rPr>
        <w:t>[6]</w:t>
      </w:r>
      <w:r>
        <w:rPr>
          <w:rFonts w:ascii="Times New Roman" w:hAnsi="Times New Roman"/>
          <w:sz w:val="24"/>
        </w:rPr>
        <w:t xml:space="preserve">), kuru dēļ tika sākta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>.</w:t>
      </w:r>
    </w:p>
    <w:p w14:paraId="55432BEE" w14:textId="77777777" w:rsidR="005F041C" w:rsidRPr="0085176F" w:rsidRDefault="005F041C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C19281" w14:textId="32718644" w:rsidR="00E51A37" w:rsidRDefault="005F041C" w:rsidP="0037757C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• Ikvienā gadījumā pirms </w:t>
      </w:r>
      <w:r>
        <w:rPr>
          <w:rFonts w:ascii="Times New Roman" w:hAnsi="Times New Roman"/>
          <w:i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uzsākšanas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kvantitatīvi apstiprina visus steroīdu profila </w:t>
      </w:r>
      <w:r>
        <w:rPr>
          <w:rFonts w:ascii="Times New Roman" w:hAnsi="Times New Roman"/>
          <w:i/>
          <w:sz w:val="24"/>
        </w:rPr>
        <w:t>marķierus</w:t>
      </w:r>
      <w:r>
        <w:rPr>
          <w:rFonts w:ascii="Times New Roman" w:hAnsi="Times New Roman"/>
          <w:sz w:val="24"/>
        </w:rPr>
        <w:t>.</w:t>
      </w:r>
    </w:p>
    <w:p w14:paraId="4838BE63" w14:textId="77777777" w:rsidR="005F041C" w:rsidRPr="0085176F" w:rsidRDefault="005F041C" w:rsidP="0037757C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A1E1AF4" w14:textId="77777777" w:rsidR="00E51A37" w:rsidRPr="0085176F" w:rsidRDefault="00E51A37" w:rsidP="0037757C">
      <w:pPr>
        <w:widowControl/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[Piezīme. Šo prasību nepiemēro, ja </w:t>
      </w:r>
      <w:r>
        <w:rPr>
          <w:rFonts w:ascii="Times New Roman" w:hAnsi="Times New Roman"/>
          <w:i/>
          <w:sz w:val="24"/>
          <w:u w:val="single" w:color="000000"/>
        </w:rPr>
        <w:t>pārbaudes iestāde</w:t>
      </w:r>
      <w:r>
        <w:rPr>
          <w:rFonts w:ascii="Times New Roman" w:hAnsi="Times New Roman"/>
          <w:i/>
          <w:sz w:val="24"/>
        </w:rPr>
        <w:t xml:space="preserve"> (vai attiecīgi </w:t>
      </w:r>
      <w:r>
        <w:rPr>
          <w:rFonts w:ascii="Times New Roman" w:hAnsi="Times New Roman"/>
          <w:i/>
          <w:sz w:val="24"/>
          <w:u w:val="single" w:color="000000"/>
        </w:rPr>
        <w:t>rezultātu pārvaldības iestāde</w:t>
      </w:r>
      <w:r>
        <w:rPr>
          <w:rFonts w:ascii="Times New Roman" w:hAnsi="Times New Roman"/>
          <w:i/>
          <w:sz w:val="24"/>
        </w:rPr>
        <w:t xml:space="preserve">) ir pilnvarojusi </w:t>
      </w:r>
      <w:r>
        <w:rPr>
          <w:rFonts w:ascii="Times New Roman" w:hAnsi="Times New Roman"/>
          <w:i/>
          <w:sz w:val="24"/>
          <w:u w:val="single" w:color="000000"/>
        </w:rPr>
        <w:t>laboratoriju</w:t>
      </w:r>
      <w:r>
        <w:rPr>
          <w:rFonts w:ascii="Times New Roman" w:hAnsi="Times New Roman"/>
          <w:i/>
          <w:sz w:val="24"/>
        </w:rPr>
        <w:t xml:space="preserve"> uzreiz sākt GC/C/IRMS analīzi, neprasot steroīdu marķieru kvantitatīvu apstiprināšanu (piemēram, ierobežota parauga apjoma gadījumā).</w:t>
      </w:r>
    </w:p>
    <w:p w14:paraId="1FFCF668" w14:textId="7EC2D7D4" w:rsidR="00E51A37" w:rsidRDefault="00E51A37" w:rsidP="0037757C">
      <w:pPr>
        <w:widowControl/>
        <w:ind w:left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>Attiecībā uz T/E vērtībām ir jāapstiprina tikai T, ja E nekonstatē vai parauga apjoms nav pietiekams.]</w:t>
      </w:r>
    </w:p>
    <w:p w14:paraId="13DEE29E" w14:textId="77777777" w:rsidR="00547DC7" w:rsidRPr="0085176F" w:rsidRDefault="00547DC7" w:rsidP="0037757C">
      <w:pPr>
        <w:widowControl/>
        <w:ind w:left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4685BF9C" w14:textId="68A891F3" w:rsidR="00E51A37" w:rsidRDefault="005F041C" w:rsidP="0037757C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Tāda </w:t>
      </w:r>
      <w:r>
        <w:rPr>
          <w:rFonts w:ascii="Times New Roman" w:hAnsi="Times New Roman"/>
          <w:i/>
          <w:sz w:val="24"/>
        </w:rPr>
        <w:t>ATPF-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 xml:space="preserve"> gadījumā, kas ir saistīts ar anormāli augstu T/E proporciju,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nav obligāta, ja apstiprinātā T/E vērtība ir zemāka par T/E apstiprināšanas robežu, kas aprēķināta, izmantojot </w:t>
      </w:r>
      <w:r>
        <w:rPr>
          <w:rFonts w:ascii="Times New Roman" w:hAnsi="Times New Roman"/>
          <w:sz w:val="24"/>
          <w:u w:val="single" w:color="000000"/>
        </w:rPr>
        <w:t>adaptīvo modeli</w:t>
      </w:r>
      <w:r>
        <w:rPr>
          <w:rFonts w:ascii="Times New Roman" w:hAnsi="Times New Roman"/>
          <w:sz w:val="24"/>
        </w:rPr>
        <w:t xml:space="preserve">, un ir norādīta </w:t>
      </w:r>
      <w:r>
        <w:rPr>
          <w:rFonts w:ascii="Times New Roman" w:hAnsi="Times New Roman"/>
          <w:i/>
          <w:sz w:val="24"/>
        </w:rPr>
        <w:t>ATPF-CPR</w:t>
      </w:r>
      <w:r>
        <w:rPr>
          <w:rFonts w:ascii="Times New Roman" w:hAnsi="Times New Roman"/>
          <w:sz w:val="24"/>
        </w:rPr>
        <w:t xml:space="preserve"> paziņojumā, kas saņemts no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sistēmas.</w:t>
      </w:r>
    </w:p>
    <w:p w14:paraId="25F40D37" w14:textId="77777777" w:rsidR="00547DC7" w:rsidRPr="0085176F" w:rsidRDefault="00547DC7" w:rsidP="0037757C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8910A94" w14:textId="0CCD5216" w:rsidR="00E51A37" w:rsidRDefault="005F041C" w:rsidP="0037757C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• Attiecībā uz citiem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pieprasījumiem, ja steroīdu profila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netiek apstiprinātas tās </w:t>
      </w:r>
      <w:r>
        <w:rPr>
          <w:rFonts w:ascii="Times New Roman" w:hAnsi="Times New Roman"/>
          <w:i/>
          <w:iCs/>
          <w:sz w:val="24"/>
          <w:u w:val="single" w:color="000000"/>
        </w:rPr>
        <w:t>ITP</w:t>
      </w:r>
      <w:r>
        <w:rPr>
          <w:rFonts w:ascii="Times New Roman" w:hAnsi="Times New Roman"/>
          <w:sz w:val="24"/>
        </w:rPr>
        <w:t xml:space="preserve"> vērtības, kuru dēļ šī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tika sākta (piemēram,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/E vērtība), ņemot vērā mērījuma paplašināto nenoteiktību (</w:t>
      </w:r>
      <w:r>
        <w:rPr>
          <w:rFonts w:ascii="Times New Roman" w:hAnsi="Times New Roman"/>
          <w:i/>
          <w:iCs/>
          <w:sz w:val="24"/>
        </w:rPr>
        <w:t>U</w:t>
      </w:r>
      <w:r>
        <w:rPr>
          <w:rFonts w:ascii="Times New Roman" w:hAnsi="Times New Roman"/>
          <w:sz w:val="24"/>
          <w:vertAlign w:val="subscript"/>
        </w:rPr>
        <w:t>95 %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k</w:t>
      </w:r>
      <w:r>
        <w:rPr>
          <w:rFonts w:ascii="Times New Roman" w:hAnsi="Times New Roman"/>
          <w:sz w:val="24"/>
        </w:rPr>
        <w:t xml:space="preserve"> = 2),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apspriežas ar </w:t>
      </w:r>
      <w:r>
        <w:rPr>
          <w:rFonts w:ascii="Times New Roman" w:hAnsi="Times New Roman"/>
          <w:i/>
          <w:iCs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iestādi</w:t>
      </w:r>
      <w:r>
        <w:rPr>
          <w:rFonts w:ascii="Times New Roman" w:hAnsi="Times New Roman"/>
          <w:sz w:val="24"/>
        </w:rPr>
        <w:t xml:space="preserve">, lai noteiktu, vai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ir nepieciešama. Ja uzskata, ka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nav nepieciešama,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atjaunina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ziņojumu par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, ievadot visas apstiprinātās steroīdu profila </w:t>
      </w:r>
      <w:r>
        <w:rPr>
          <w:rFonts w:ascii="Times New Roman" w:hAnsi="Times New Roman"/>
          <w:i/>
          <w:iCs/>
          <w:sz w:val="24"/>
        </w:rPr>
        <w:t>marķieru</w:t>
      </w:r>
      <w:r>
        <w:rPr>
          <w:rFonts w:ascii="Times New Roman" w:hAnsi="Times New Roman"/>
          <w:sz w:val="24"/>
        </w:rPr>
        <w:t xml:space="preserve"> vērtības, un pievieno piezīmi, kurā norāda, ka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nebija nepieciešama.</w:t>
      </w:r>
    </w:p>
    <w:p w14:paraId="3BD2BCCE" w14:textId="77777777" w:rsidR="009936C9" w:rsidRPr="0085176F" w:rsidRDefault="009936C9" w:rsidP="0037757C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4F7EC0" w14:textId="1EA20820" w:rsidR="00E51A37" w:rsidRDefault="00E51A37" w:rsidP="0037757C">
      <w:pPr>
        <w:widowControl/>
        <w:ind w:left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>[Piezīme. Attiecībā uz citām proporcijām, kas nav T/E, proporcijas 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i/>
          <w:sz w:val="24"/>
        </w:rPr>
        <w:t xml:space="preserve"> (%) aprēķina, izplatot attiecīgo marķieru koncentrāciju nenoteiktību.]</w:t>
      </w:r>
    </w:p>
    <w:p w14:paraId="491E6C92" w14:textId="77777777" w:rsidR="009936C9" w:rsidRPr="0085176F" w:rsidRDefault="009936C9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77BE3AF4" w14:textId="16ECE14B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Tās pašas analītiskās prasības, kas norādītas 2. tabulā attiecībā uz </w:t>
      </w:r>
      <w:r>
        <w:rPr>
          <w:rFonts w:ascii="Times New Roman" w:hAnsi="Times New Roman"/>
          <w:i/>
          <w:iCs/>
          <w:sz w:val="24"/>
          <w:u w:val="single" w:color="000000"/>
        </w:rPr>
        <w:t>ITP</w:t>
      </w:r>
      <w:r>
        <w:rPr>
          <w:rFonts w:ascii="Times New Roman" w:hAnsi="Times New Roman"/>
          <w:sz w:val="24"/>
        </w:rPr>
        <w:t xml:space="preserve">, attiecas arī uz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i/>
          <w:iCs/>
          <w:sz w:val="24"/>
          <w:vertAlign w:val="superscript"/>
        </w:rPr>
        <w:t>n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ar šādām izmaiņām:</w:t>
      </w:r>
    </w:p>
    <w:p w14:paraId="188BACAD" w14:textId="77777777" w:rsidR="00EA5578" w:rsidRPr="0085176F" w:rsidRDefault="00EA5578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7E88D1D" w14:textId="4224074E" w:rsidR="00E51A37" w:rsidRDefault="00EA5578" w:rsidP="0037757C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i/>
          <w:iCs/>
          <w:sz w:val="24"/>
          <w:vertAlign w:val="superscript"/>
        </w:rPr>
        <w:t>n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validācijas prasības:</w:t>
      </w:r>
    </w:p>
    <w:p w14:paraId="7B3924E8" w14:textId="77777777" w:rsidR="00EA5578" w:rsidRPr="0085176F" w:rsidRDefault="00EA5578" w:rsidP="0037757C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71CCC0B" w14:textId="2CAE92B7" w:rsidR="00E51A37" w:rsidRDefault="00EA5578" w:rsidP="0037757C">
      <w:pPr>
        <w:pStyle w:val="BodyText"/>
        <w:widowControl/>
        <w:tabs>
          <w:tab w:val="left" w:pos="1552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- A,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noteikšanai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sz w:val="24"/>
        </w:rPr>
        <w:t xml:space="preserve"> (%) nedrīkst pārsniegt (≤) 15 %, ja koncentrācija ir piecas reizes (5 x) lielāka nekā attiecīgā </w:t>
      </w:r>
      <w:r>
        <w:rPr>
          <w:rFonts w:ascii="Times New Roman" w:hAnsi="Times New Roman"/>
          <w:i/>
          <w:iCs/>
          <w:sz w:val="24"/>
          <w:u w:val="single" w:color="000000"/>
        </w:rPr>
        <w:t>LOQ</w:t>
      </w:r>
      <w:r>
        <w:rPr>
          <w:rFonts w:ascii="Times New Roman" w:hAnsi="Times New Roman"/>
          <w:sz w:val="24"/>
        </w:rPr>
        <w:t xml:space="preserve"> vērtība;</w:t>
      </w:r>
    </w:p>
    <w:p w14:paraId="403F4681" w14:textId="77777777" w:rsidR="009F25BB" w:rsidRPr="0085176F" w:rsidRDefault="009F25BB" w:rsidP="0037757C">
      <w:pPr>
        <w:pStyle w:val="BodyText"/>
        <w:widowControl/>
        <w:tabs>
          <w:tab w:val="left" w:pos="1552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6DE803D" w14:textId="7CF1249D" w:rsidR="00E51A37" w:rsidRDefault="009F25BB" w:rsidP="0037757C">
      <w:pPr>
        <w:pStyle w:val="BodyText"/>
        <w:widowControl/>
        <w:tabs>
          <w:tab w:val="left" w:pos="1552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- lai noteiktu T, E un T/E proporcijas,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(%) nedrīkst pārsniegt (≤) 15 %, ja T un E koncentrācija ir lielāka nekā (&gt;) 5 ng/ml;</w:t>
      </w:r>
    </w:p>
    <w:p w14:paraId="4A168775" w14:textId="77777777" w:rsidR="009F25BB" w:rsidRPr="0085176F" w:rsidRDefault="009F25BB" w:rsidP="0037757C">
      <w:pPr>
        <w:pStyle w:val="BodyText"/>
        <w:widowControl/>
        <w:tabs>
          <w:tab w:val="left" w:pos="155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0EA637A" w14:textId="19BE0CC8" w:rsidR="00E51A37" w:rsidRDefault="00EA5578" w:rsidP="0037757C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i/>
          <w:iCs/>
          <w:sz w:val="24"/>
          <w:vertAlign w:val="superscript"/>
        </w:rPr>
        <w:t>n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analīzes prasības:</w:t>
      </w:r>
    </w:p>
    <w:p w14:paraId="2AFD255B" w14:textId="77777777" w:rsidR="00AB583E" w:rsidRPr="0085176F" w:rsidRDefault="00AB583E" w:rsidP="0037757C">
      <w:pPr>
        <w:pStyle w:val="BodyText"/>
        <w:widowControl/>
        <w:tabs>
          <w:tab w:val="left" w:pos="1012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AF70574" w14:textId="31032B41" w:rsidR="00E51A37" w:rsidRDefault="00AB583E" w:rsidP="0037757C">
      <w:pPr>
        <w:pStyle w:val="BodyText"/>
        <w:widowControl/>
        <w:tabs>
          <w:tab w:val="left" w:pos="1552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- cietās fāzes ekstrakciju (</w:t>
      </w:r>
      <w:r>
        <w:rPr>
          <w:rFonts w:ascii="Times New Roman" w:hAnsi="Times New Roman"/>
          <w:i/>
          <w:iCs/>
          <w:sz w:val="24"/>
        </w:rPr>
        <w:t>SPE</w:t>
      </w:r>
      <w:r>
        <w:rPr>
          <w:rFonts w:ascii="Times New Roman" w:hAnsi="Times New Roman"/>
          <w:sz w:val="24"/>
        </w:rPr>
        <w:t xml:space="preserve">) veic pirms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enzimātiskās hidrolīzes;</w:t>
      </w:r>
    </w:p>
    <w:p w14:paraId="619F29B6" w14:textId="77777777" w:rsidR="00AB583E" w:rsidRPr="0085176F" w:rsidRDefault="00AB583E" w:rsidP="0037757C">
      <w:pPr>
        <w:pStyle w:val="BodyText"/>
        <w:widowControl/>
        <w:tabs>
          <w:tab w:val="left" w:pos="1552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1990D94" w14:textId="75C149BE" w:rsidR="00E51A37" w:rsidRPr="0085176F" w:rsidRDefault="00AB583E" w:rsidP="0037757C">
      <w:pPr>
        <w:pStyle w:val="BodyText"/>
        <w:widowControl/>
        <w:tabs>
          <w:tab w:val="left" w:pos="1552"/>
        </w:tabs>
        <w:spacing w:before="0"/>
        <w:ind w:left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- iekļauj kalibrēšanas standartu(-us) un vismaz divus (2) urīna KK paraugus, kuros ir reprezentatīvi zems un reprezentatīvi augsts steroīdu profila </w:t>
      </w:r>
      <w:r>
        <w:rPr>
          <w:rFonts w:ascii="Times New Roman" w:hAnsi="Times New Roman"/>
          <w:i/>
          <w:iCs/>
          <w:sz w:val="24"/>
        </w:rPr>
        <w:t>marķieru</w:t>
      </w:r>
      <w:r>
        <w:rPr>
          <w:rFonts w:ascii="Times New Roman" w:hAnsi="Times New Roman"/>
          <w:sz w:val="24"/>
        </w:rPr>
        <w:t xml:space="preserve"> līmenis.</w:t>
      </w:r>
    </w:p>
    <w:p w14:paraId="77AAC9D1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6E0D5C12" w14:textId="6FAACD5C" w:rsidR="00E51A37" w:rsidRPr="0085176F" w:rsidRDefault="00AB583E" w:rsidP="00134392">
      <w:pPr>
        <w:pStyle w:val="BodyText"/>
        <w:widowControl/>
        <w:tabs>
          <w:tab w:val="left" w:pos="1112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3.2.2. </w:t>
      </w:r>
      <w:r>
        <w:rPr>
          <w:rFonts w:ascii="Times New Roman" w:hAnsi="Times New Roman"/>
          <w:i/>
          <w:iCs/>
          <w:sz w:val="24"/>
        </w:rPr>
        <w:t xml:space="preserve">GC/C/IRMS </w:t>
      </w:r>
      <w:r>
        <w:rPr>
          <w:rFonts w:ascii="Times New Roman" w:hAnsi="Times New Roman"/>
          <w:i/>
          <w:iCs/>
          <w:sz w:val="24"/>
          <w:u w:val="single" w:color="000000"/>
        </w:rPr>
        <w:t>CP</w:t>
      </w:r>
    </w:p>
    <w:p w14:paraId="26CAEA37" w14:textId="77777777" w:rsidR="00AB583E" w:rsidRDefault="00AB583E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1921634" w14:textId="037DA034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Tehniskās un ziņošanas prasības </w:t>
      </w:r>
      <w:r>
        <w:rPr>
          <w:rFonts w:ascii="Times New Roman" w:hAnsi="Times New Roman"/>
          <w:i/>
          <w:iCs/>
          <w:sz w:val="24"/>
        </w:rPr>
        <w:t xml:space="preserve">GC/C/IRMS </w:t>
      </w:r>
      <w:r>
        <w:rPr>
          <w:rFonts w:ascii="Times New Roman" w:hAnsi="Times New Roman"/>
          <w:i/>
          <w:iCs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ir noteiktas </w:t>
      </w:r>
      <w:r>
        <w:rPr>
          <w:rFonts w:ascii="Times New Roman" w:hAnsi="Times New Roman"/>
          <w:i/>
          <w:iCs/>
          <w:sz w:val="24"/>
        </w:rPr>
        <w:t>TD IRMS</w:t>
      </w:r>
      <w:r>
        <w:rPr>
          <w:rFonts w:ascii="Times New Roman" w:hAnsi="Times New Roman"/>
          <w:sz w:val="24"/>
          <w:vertAlign w:val="superscript"/>
        </w:rPr>
        <w:t>[7]</w:t>
      </w:r>
      <w:r>
        <w:rPr>
          <w:rFonts w:ascii="Times New Roman" w:hAnsi="Times New Roman"/>
          <w:sz w:val="24"/>
        </w:rPr>
        <w:t>.</w:t>
      </w:r>
    </w:p>
    <w:p w14:paraId="0577A3EA" w14:textId="77777777" w:rsidR="00D279D7" w:rsidRPr="0085176F" w:rsidRDefault="00D279D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6A7F84" w14:textId="59D80440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Ja tiek paziņots par steroīdu profila </w:t>
      </w:r>
      <w:r>
        <w:rPr>
          <w:rFonts w:ascii="Times New Roman" w:hAnsi="Times New Roman"/>
          <w:i/>
          <w:iCs/>
          <w:sz w:val="24"/>
        </w:rPr>
        <w:t>marķiera(-u)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AAF</w:t>
      </w:r>
      <w:r>
        <w:rPr>
          <w:rFonts w:ascii="Times New Roman" w:hAnsi="Times New Roman"/>
          <w:sz w:val="24"/>
        </w:rPr>
        <w:t xml:space="preserve">, pamatojoties uz rezultātiem, kas iegūti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“A” daļai veiktā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analīzē,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“B” daļas </w:t>
      </w:r>
      <w:r>
        <w:rPr>
          <w:rFonts w:ascii="Times New Roman" w:hAnsi="Times New Roman"/>
          <w:i/>
          <w:iCs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laikā atkārtoti veic tikai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analīzi, tostarp identificē attiecīgos </w:t>
      </w:r>
      <w:r>
        <w:rPr>
          <w:rFonts w:ascii="Times New Roman" w:hAnsi="Times New Roman"/>
          <w:i/>
          <w:iCs/>
          <w:sz w:val="24"/>
        </w:rPr>
        <w:t>marķierus</w:t>
      </w:r>
      <w:r>
        <w:rPr>
          <w:rFonts w:ascii="Times New Roman" w:hAnsi="Times New Roman"/>
          <w:sz w:val="24"/>
        </w:rPr>
        <w:t xml:space="preserve"> (mērķa savienojumus un endogēnos atsauces savienojumus).</w:t>
      </w:r>
    </w:p>
    <w:p w14:paraId="4F27E696" w14:textId="77777777" w:rsidR="00D279D7" w:rsidRPr="0085176F" w:rsidRDefault="00D279D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F0F817" w14:textId="10EA93DA" w:rsidR="00E51A37" w:rsidRPr="00D279D7" w:rsidRDefault="00D279D7" w:rsidP="00134392">
      <w:pPr>
        <w:pStyle w:val="Heading2"/>
        <w:widowControl/>
        <w:tabs>
          <w:tab w:val="left" w:pos="959"/>
        </w:tabs>
        <w:spacing w:before="0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t xml:space="preserve">3.3. </w:t>
      </w:r>
      <w:r>
        <w:rPr>
          <w:rFonts w:ascii="Times New Roman" w:hAnsi="Times New Roman"/>
          <w:i/>
          <w:iCs/>
          <w:sz w:val="28"/>
          <w:u w:val="single" w:color="000000"/>
        </w:rPr>
        <w:t>CP</w:t>
      </w:r>
      <w:r>
        <w:rPr>
          <w:rFonts w:ascii="Times New Roman" w:hAnsi="Times New Roman"/>
          <w:sz w:val="28"/>
        </w:rPr>
        <w:t xml:space="preserve"> rezultātu paziņošana</w:t>
      </w:r>
    </w:p>
    <w:p w14:paraId="5B94BA48" w14:textId="77777777" w:rsidR="00D279D7" w:rsidRDefault="00D279D7" w:rsidP="00134392">
      <w:pPr>
        <w:widowControl/>
        <w:tabs>
          <w:tab w:val="left" w:pos="1112"/>
        </w:tabs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596A41F3" w14:textId="4B0BE0C4" w:rsidR="00E51A37" w:rsidRPr="0085176F" w:rsidRDefault="00D279D7" w:rsidP="00134392">
      <w:pPr>
        <w:widowControl/>
        <w:tabs>
          <w:tab w:val="left" w:pos="1112"/>
        </w:tabs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3.3.1.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“A” daļa</w:t>
      </w:r>
    </w:p>
    <w:p w14:paraId="1070F6F2" w14:textId="77777777" w:rsidR="00D279D7" w:rsidRDefault="00D279D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70FEF0" w14:textId="58BE5324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Pēc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“A” daļas steroīdu profilam veiktās </w:t>
      </w:r>
      <w:r>
        <w:rPr>
          <w:rFonts w:ascii="Times New Roman" w:hAnsi="Times New Roman"/>
          <w:i/>
          <w:iCs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 paziņo šādus datus:</w:t>
      </w:r>
    </w:p>
    <w:p w14:paraId="188872E2" w14:textId="77777777" w:rsidR="00D279D7" w:rsidRPr="0085176F" w:rsidRDefault="00D279D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5F11A18" w14:textId="11B8B7EE" w:rsidR="00E51A37" w:rsidRDefault="00D279D7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i)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</w:rPr>
        <w:t xml:space="preserve"> (kas noteikts jaunai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“A” daļas </w:t>
      </w:r>
      <w:r>
        <w:rPr>
          <w:rFonts w:ascii="Times New Roman" w:hAnsi="Times New Roman"/>
          <w:sz w:val="24"/>
          <w:u w:val="single" w:color="000000"/>
        </w:rPr>
        <w:t>alikvotai</w:t>
      </w:r>
      <w:r>
        <w:rPr>
          <w:rFonts w:ascii="Times New Roman" w:hAnsi="Times New Roman"/>
          <w:sz w:val="24"/>
        </w:rPr>
        <w:t>);</w:t>
      </w:r>
    </w:p>
    <w:p w14:paraId="7674CF45" w14:textId="77777777" w:rsidR="00D279D7" w:rsidRPr="0085176F" w:rsidRDefault="00D279D7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D8313EA" w14:textId="30040E5B" w:rsidR="00E51A37" w:rsidRDefault="00D279D7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ii) steroīdu profila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apstiprinātās vērtības (koncentrācijas līmeņi, T/E vērtība), neveicot korekcijas atbilstoši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</w:rPr>
        <w:t>;</w:t>
      </w:r>
    </w:p>
    <w:p w14:paraId="26A78B55" w14:textId="0499004B" w:rsidR="00D279D7" w:rsidRDefault="00D279D7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1C5763D" w14:textId="2ACBC38D" w:rsidR="00E51A37" w:rsidRPr="0085176F" w:rsidRDefault="000C4270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iii) saistīto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sz w:val="24"/>
        </w:rPr>
        <w:t xml:space="preserve"> (kas izteikta mērvienībās);</w:t>
      </w:r>
    </w:p>
    <w:p w14:paraId="068B6DC6" w14:textId="77777777" w:rsidR="000C4270" w:rsidRDefault="000C4270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55F600" w14:textId="15EBD00D" w:rsidR="00E51A37" w:rsidRDefault="000C4270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iv)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apstiprināšanas rezultātus, ja tā ir veikta (skat. 3. panta 2. punkta 1. un 2. apakšpunktu un </w:t>
      </w:r>
      <w:r>
        <w:rPr>
          <w:rFonts w:ascii="Times New Roman" w:hAnsi="Times New Roman"/>
          <w:i/>
          <w:iCs/>
          <w:sz w:val="24"/>
        </w:rPr>
        <w:t>TD IRMS</w:t>
      </w:r>
      <w:r>
        <w:rPr>
          <w:rFonts w:ascii="Times New Roman" w:hAnsi="Times New Roman"/>
          <w:sz w:val="24"/>
          <w:vertAlign w:val="superscript"/>
        </w:rPr>
        <w:t>[7]</w:t>
      </w:r>
      <w:r>
        <w:rPr>
          <w:rFonts w:ascii="Times New Roman" w:hAnsi="Times New Roman"/>
          <w:sz w:val="24"/>
        </w:rPr>
        <w:t xml:space="preserve">). Pamatojoties uz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rezultātiem,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 atjaunina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pārbaudes ziņojumu (norādot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>, netipisku atradi (</w:t>
      </w:r>
      <w:r>
        <w:rPr>
          <w:rFonts w:ascii="Times New Roman" w:hAnsi="Times New Roman"/>
          <w:i/>
          <w:sz w:val="24"/>
        </w:rPr>
        <w:t>ATF</w:t>
      </w:r>
      <w:r>
        <w:rPr>
          <w:rFonts w:ascii="Times New Roman" w:hAnsi="Times New Roman"/>
          <w:sz w:val="24"/>
        </w:rPr>
        <w:t xml:space="preserve">) vai </w:t>
      </w:r>
      <w:r>
        <w:rPr>
          <w:rFonts w:ascii="Times New Roman" w:hAnsi="Times New Roman"/>
          <w:sz w:val="24"/>
          <w:u w:val="single" w:color="000000"/>
        </w:rPr>
        <w:t>negatīvu rezultātu</w:t>
      </w:r>
      <w:r>
        <w:rPr>
          <w:rFonts w:ascii="Times New Roman" w:hAnsi="Times New Roman"/>
          <w:sz w:val="24"/>
        </w:rPr>
        <w:t>);</w:t>
      </w:r>
    </w:p>
    <w:p w14:paraId="12993800" w14:textId="77777777" w:rsidR="00FE6A4B" w:rsidRPr="0085176F" w:rsidRDefault="00FE6A4B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12190AE" w14:textId="0BFAAFBD" w:rsidR="00E51A37" w:rsidRDefault="00FE6A4B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v) apstiprinātos rezultātus attiecībā uz mikrobiālās aktivitātes pazīmēm (klātbūtne/neesība): </w:t>
      </w:r>
      <w:r>
        <w:rPr>
          <w:rFonts w:ascii="Times New Roman" w:hAnsi="Times New Roman"/>
          <w:i/>
          <w:sz w:val="24"/>
        </w:rPr>
        <w:t>5αAND</w:t>
      </w:r>
      <w:r>
        <w:rPr>
          <w:rFonts w:ascii="Times New Roman" w:hAnsi="Times New Roman"/>
          <w:sz w:val="24"/>
        </w:rPr>
        <w:t xml:space="preserve">/A, </w:t>
      </w:r>
      <w:r>
        <w:rPr>
          <w:rFonts w:ascii="Times New Roman" w:hAnsi="Times New Roman"/>
          <w:i/>
          <w:sz w:val="24"/>
        </w:rPr>
        <w:t>5βAND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sz w:val="24"/>
        </w:rPr>
        <w:t>Etio</w:t>
      </w:r>
      <w:r>
        <w:rPr>
          <w:rFonts w:ascii="Times New Roman" w:hAnsi="Times New Roman"/>
          <w:sz w:val="24"/>
        </w:rPr>
        <w:t xml:space="preserve"> un T</w:t>
      </w:r>
      <w:r>
        <w:rPr>
          <w:rFonts w:ascii="Times New Roman" w:hAnsi="Times New Roman"/>
          <w:i/>
          <w:iCs/>
          <w:sz w:val="24"/>
          <w:vertAlign w:val="subscript"/>
        </w:rPr>
        <w:t>free</w:t>
      </w:r>
      <w:r>
        <w:rPr>
          <w:rFonts w:ascii="Times New Roman" w:hAnsi="Times New Roman"/>
          <w:sz w:val="24"/>
        </w:rPr>
        <w:t>/T</w:t>
      </w:r>
      <w:r>
        <w:rPr>
          <w:rFonts w:ascii="Times New Roman" w:hAnsi="Times New Roman"/>
          <w:i/>
          <w:iCs/>
          <w:sz w:val="24"/>
          <w:vertAlign w:val="subscript"/>
        </w:rPr>
        <w:t>total</w:t>
      </w:r>
      <w:r>
        <w:rPr>
          <w:rFonts w:ascii="Times New Roman" w:hAnsi="Times New Roman"/>
          <w:sz w:val="24"/>
        </w:rPr>
        <w:t>, pamatojoties uz koncentrācijām;</w:t>
      </w:r>
    </w:p>
    <w:p w14:paraId="2B349FF5" w14:textId="77777777" w:rsidR="00D61B4D" w:rsidRPr="0085176F" w:rsidRDefault="00D61B4D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FB811BE" w14:textId="7E51E6B1" w:rsidR="00E51A37" w:rsidRDefault="00E51A37" w:rsidP="006A4D6D">
      <w:pPr>
        <w:widowControl/>
        <w:ind w:left="284"/>
        <w:jc w:val="both"/>
        <w:rPr>
          <w:rFonts w:ascii="Times New Roman" w:eastAsia="Arial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[Piezīme. Paraugu (parauga steroīdu profilu) atzīst par nederīgu ne tikai tad, ja tiek noteiktas mikrobioloģisko piesārņojumu apliecinošas 5αAND/A un 5βAND/Etio proporcijas, bet arī tad, ja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i/>
          <w:sz w:val="24"/>
        </w:rPr>
        <w:t xml:space="preserve"> laikā konstatē paaugstinātu brīvā testosterona attiecību pret kopējo testosteronu (T</w:t>
      </w:r>
      <w:r>
        <w:rPr>
          <w:rFonts w:ascii="Times New Roman" w:hAnsi="Times New Roman"/>
          <w:i/>
          <w:sz w:val="24"/>
          <w:vertAlign w:val="subscript"/>
        </w:rPr>
        <w:t>free</w:t>
      </w:r>
      <w:r>
        <w:rPr>
          <w:rFonts w:ascii="Times New Roman" w:hAnsi="Times New Roman"/>
          <w:i/>
          <w:sz w:val="24"/>
        </w:rPr>
        <w:t>/T</w:t>
      </w:r>
      <w:r>
        <w:rPr>
          <w:rFonts w:ascii="Times New Roman" w:hAnsi="Times New Roman"/>
          <w:i/>
          <w:sz w:val="24"/>
          <w:vertAlign w:val="subscript"/>
        </w:rPr>
        <w:t>total</w:t>
      </w:r>
      <w:r>
        <w:rPr>
          <w:rFonts w:ascii="Times New Roman" w:hAnsi="Times New Roman"/>
          <w:i/>
          <w:sz w:val="24"/>
        </w:rPr>
        <w:t xml:space="preserve"> &gt; 0,05). Tomēr tas nav iemesls, lai neveiktu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i/>
          <w:sz w:val="24"/>
        </w:rPr>
        <w:t xml:space="preserve"> vai neatzītu par nederīgiem tās rezultātus.]</w:t>
      </w:r>
    </w:p>
    <w:p w14:paraId="270C115C" w14:textId="77777777" w:rsidR="00511EA3" w:rsidRPr="0085176F" w:rsidRDefault="00511EA3" w:rsidP="006A4D6D">
      <w:pPr>
        <w:widowControl/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638D7825" w14:textId="548FEBE5" w:rsidR="00E51A37" w:rsidRPr="0085176F" w:rsidRDefault="008F0E95" w:rsidP="006A4D6D">
      <w:pPr>
        <w:pStyle w:val="BodyText"/>
        <w:widowControl/>
        <w:tabs>
          <w:tab w:val="left" w:pos="966"/>
        </w:tabs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vi) vielas(-u) klātbūtni vai neesību </w:t>
      </w:r>
      <w:r>
        <w:rPr>
          <w:rFonts w:ascii="Times New Roman" w:hAnsi="Times New Roman"/>
          <w:i/>
          <w:sz w:val="24"/>
        </w:rPr>
        <w:t>paraugā(-os)</w:t>
      </w:r>
      <w:r>
        <w:rPr>
          <w:rFonts w:ascii="Times New Roman" w:hAnsi="Times New Roman"/>
          <w:sz w:val="24"/>
        </w:rPr>
        <w:t xml:space="preserve">, kas nav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, bet var izmainīt steroīdu profilu (skat. 1. panta 3. punktu); ja to konstatē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ziņo par apstiprināto aplēsto </w:t>
      </w:r>
      <w:r>
        <w:rPr>
          <w:rFonts w:ascii="Times New Roman" w:hAnsi="Times New Roman"/>
          <w:i/>
          <w:sz w:val="24"/>
        </w:rPr>
        <w:t>EtG</w:t>
      </w:r>
      <w:r>
        <w:rPr>
          <w:rFonts w:ascii="Times New Roman" w:hAnsi="Times New Roman"/>
          <w:sz w:val="24"/>
        </w:rPr>
        <w:t xml:space="preserve">, 5α-reduktāzes inhibitoru un -azolu līmeni saskaņā ar 2. panta 2. punkta 1. apakšpunktu (bez nepieciešamības paziņot šo vielu noteikšanas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sz w:val="24"/>
        </w:rPr>
        <w:t>).</w:t>
      </w:r>
    </w:p>
    <w:p w14:paraId="45470047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4FE27FA8" w14:textId="4C6CC1B2" w:rsidR="00E51A37" w:rsidRPr="0085176F" w:rsidRDefault="008F0E95" w:rsidP="00134392">
      <w:pPr>
        <w:widowControl/>
        <w:tabs>
          <w:tab w:val="left" w:pos="1112"/>
        </w:tabs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3.3.2.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“B” daļa</w:t>
      </w:r>
    </w:p>
    <w:p w14:paraId="2498F6FF" w14:textId="77777777" w:rsidR="008F0E95" w:rsidRDefault="008F0E95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481E08" w14:textId="398AC02B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Pēc steroīdu profila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sz w:val="24"/>
        </w:rPr>
        <w:t xml:space="preserve"> veikšanas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“B” daļai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 paziņo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apstiprināšanas rezultātus (skat. 3. panta 3. punkta 1. apakšpunktu un </w:t>
      </w:r>
      <w:r>
        <w:rPr>
          <w:rFonts w:ascii="Times New Roman" w:hAnsi="Times New Roman"/>
          <w:i/>
          <w:iCs/>
          <w:sz w:val="24"/>
        </w:rPr>
        <w:t>TD IRMS</w:t>
      </w:r>
      <w:r>
        <w:rPr>
          <w:rFonts w:ascii="Times New Roman" w:hAnsi="Times New Roman"/>
          <w:sz w:val="24"/>
          <w:vertAlign w:val="superscript"/>
        </w:rPr>
        <w:t>[7]</w:t>
      </w:r>
      <w:r>
        <w:rPr>
          <w:rFonts w:ascii="Times New Roman" w:hAnsi="Times New Roman"/>
          <w:sz w:val="24"/>
        </w:rPr>
        <w:t>).</w:t>
      </w:r>
    </w:p>
    <w:p w14:paraId="1AFB15E1" w14:textId="77777777" w:rsidR="002E1AC9" w:rsidRPr="0085176F" w:rsidRDefault="002E1AC9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B4F61E" w14:textId="77777777" w:rsidR="00E51A37" w:rsidRPr="0085176F" w:rsidRDefault="00E51A37" w:rsidP="006A4D6D">
      <w:pPr>
        <w:widowControl/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>[Piezīme. Ja attiecībā uz paraugu nav paziņots par steroīdu profila marķiera(-u) AAF, pamatojoties uz GC/C/IRMS analīzes rezultātiem, bet ir pieprasīta GC-MS</w:t>
      </w:r>
      <w:r>
        <w:rPr>
          <w:rFonts w:ascii="Times New Roman" w:hAnsi="Times New Roman"/>
          <w:i/>
          <w:sz w:val="24"/>
          <w:vertAlign w:val="superscript"/>
        </w:rPr>
        <w:t>n</w:t>
      </w:r>
      <w:r>
        <w:rPr>
          <w:rFonts w:ascii="Times New Roman" w:hAnsi="Times New Roman"/>
          <w:i/>
          <w:sz w:val="24"/>
        </w:rPr>
        <w:t xml:space="preserve"> steroīdu profila </w:t>
      </w:r>
      <w:r>
        <w:rPr>
          <w:rFonts w:ascii="Times New Roman" w:hAnsi="Times New Roman"/>
          <w:i/>
          <w:sz w:val="24"/>
          <w:u w:val="single" w:color="000000"/>
        </w:rPr>
        <w:t>CP</w:t>
      </w:r>
      <w:r>
        <w:rPr>
          <w:rFonts w:ascii="Times New Roman" w:hAnsi="Times New Roman"/>
          <w:i/>
          <w:sz w:val="24"/>
        </w:rPr>
        <w:t xml:space="preserve"> parauga “B” daļai, </w:t>
      </w:r>
      <w:r>
        <w:rPr>
          <w:rFonts w:ascii="Times New Roman" w:hAnsi="Times New Roman"/>
          <w:i/>
          <w:sz w:val="24"/>
          <w:u w:val="single" w:color="000000"/>
        </w:rPr>
        <w:t>laboratorija</w:t>
      </w:r>
      <w:r>
        <w:rPr>
          <w:rFonts w:ascii="Times New Roman" w:hAnsi="Times New Roman"/>
          <w:i/>
          <w:sz w:val="24"/>
        </w:rPr>
        <w:t xml:space="preserve"> ADAMS sistēmā paziņo parauga “B” daļas steroīdu profila apstiprinājuma rezultātus, kā aprakstīts attiecībā uz parauga “A” daļu 3. panta 3. punkta 1. apakšpunktā.]</w:t>
      </w:r>
    </w:p>
    <w:p w14:paraId="5552B53D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i/>
          <w:noProof/>
          <w:sz w:val="24"/>
          <w:szCs w:val="24"/>
        </w:rPr>
      </w:pPr>
    </w:p>
    <w:p w14:paraId="60FFC4EB" w14:textId="269B01C3" w:rsidR="00E51A37" w:rsidRPr="008E6DBA" w:rsidRDefault="008E6DBA" w:rsidP="00134392">
      <w:pPr>
        <w:widowControl/>
        <w:tabs>
          <w:tab w:val="left" w:pos="1100"/>
        </w:tabs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4.0. Ziņošana par manipulācijām ar </w:t>
      </w:r>
      <w:r>
        <w:rPr>
          <w:rFonts w:ascii="Times New Roman" w:hAnsi="Times New Roman"/>
          <w:b/>
          <w:i/>
          <w:sz w:val="28"/>
        </w:rPr>
        <w:t>paraugu</w:t>
      </w:r>
      <w:r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b/>
          <w:i/>
          <w:sz w:val="28"/>
        </w:rPr>
        <w:t>falsifikācija</w:t>
      </w:r>
      <w:r>
        <w:rPr>
          <w:rFonts w:ascii="Times New Roman" w:hAnsi="Times New Roman"/>
          <w:b/>
          <w:sz w:val="28"/>
        </w:rPr>
        <w:t xml:space="preserve"> vai </w:t>
      </w:r>
      <w:r>
        <w:rPr>
          <w:rFonts w:ascii="Times New Roman" w:hAnsi="Times New Roman"/>
          <w:b/>
          <w:i/>
          <w:sz w:val="28"/>
        </w:rPr>
        <w:t>falsifikācijas mēģinājums</w:t>
      </w:r>
      <w:r>
        <w:rPr>
          <w:rFonts w:ascii="Times New Roman" w:hAnsi="Times New Roman"/>
          <w:b/>
          <w:sz w:val="28"/>
        </w:rPr>
        <w:t>)</w:t>
      </w:r>
    </w:p>
    <w:p w14:paraId="366C994E" w14:textId="77777777" w:rsidR="008E6DBA" w:rsidRDefault="008E6DBA" w:rsidP="00134392">
      <w:pPr>
        <w:widowControl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4F324A74" w14:textId="7F4225B1" w:rsidR="00E51A37" w:rsidRDefault="00E51A37" w:rsidP="00134392">
      <w:pPr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>Falsifikācijas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falsifikācijas mēģinājuma</w:t>
      </w:r>
      <w:r>
        <w:rPr>
          <w:rFonts w:ascii="Times New Roman" w:hAnsi="Times New Roman"/>
          <w:sz w:val="24"/>
        </w:rPr>
        <w:t xml:space="preserve"> mērķis ir mainīt </w:t>
      </w:r>
      <w:r>
        <w:rPr>
          <w:rFonts w:ascii="Times New Roman" w:hAnsi="Times New Roman"/>
          <w:i/>
          <w:sz w:val="24"/>
        </w:rPr>
        <w:t>dopinga kontroles</w:t>
      </w:r>
      <w:r>
        <w:rPr>
          <w:rFonts w:ascii="Times New Roman" w:hAnsi="Times New Roman"/>
          <w:sz w:val="24"/>
        </w:rPr>
        <w:t xml:space="preserve"> laikā savākto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 integritāti un derīgumu, tostarp arī aizstājot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 ar citu šķidrumu un apmainot un/vai viltojot urīnu (piemēram, pievienojot </w:t>
      </w:r>
      <w:r>
        <w:rPr>
          <w:rFonts w:ascii="Times New Roman" w:hAnsi="Times New Roman"/>
          <w:i/>
          <w:sz w:val="24"/>
        </w:rPr>
        <w:t>paraugam</w:t>
      </w:r>
      <w:r>
        <w:rPr>
          <w:rFonts w:ascii="Times New Roman" w:hAnsi="Times New Roman"/>
          <w:sz w:val="24"/>
        </w:rPr>
        <w:t xml:space="preserve"> proteāzes).</w:t>
      </w:r>
    </w:p>
    <w:p w14:paraId="27ACE7C5" w14:textId="77777777" w:rsidR="008E6DBA" w:rsidRPr="0085176F" w:rsidRDefault="008E6DBA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575F313C" w14:textId="2F443CC5" w:rsidR="00E51A37" w:rsidRDefault="00E51A37" w:rsidP="006A4D6D">
      <w:pPr>
        <w:widowControl/>
        <w:ind w:left="284"/>
        <w:jc w:val="both"/>
        <w:rPr>
          <w:rFonts w:ascii="Times New Roman" w:eastAsia="Arial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[Piezīme. Sportista urīna parauga aizstāšanu ar citas personas urīnu (urīna apmaiņu) var atklāt, izmantojot steroīdu </w:t>
      </w:r>
      <w:r>
        <w:rPr>
          <w:rFonts w:ascii="Times New Roman" w:hAnsi="Times New Roman"/>
          <w:i/>
          <w:sz w:val="24"/>
          <w:u w:val="single" w:color="000000"/>
        </w:rPr>
        <w:t>pasi</w:t>
      </w:r>
      <w:r>
        <w:rPr>
          <w:rFonts w:ascii="Times New Roman" w:hAnsi="Times New Roman"/>
          <w:i/>
          <w:sz w:val="24"/>
        </w:rPr>
        <w:t>, un apstiprināt, veicot vairāku paraugu DNS analīzi saskaņā ar TD APMU</w:t>
      </w:r>
      <w:r>
        <w:rPr>
          <w:rFonts w:ascii="Times New Roman" w:hAnsi="Times New Roman"/>
          <w:i/>
          <w:sz w:val="24"/>
          <w:vertAlign w:val="superscript"/>
        </w:rPr>
        <w:t>[8]</w:t>
      </w:r>
      <w:r>
        <w:rPr>
          <w:rFonts w:ascii="Times New Roman" w:hAnsi="Times New Roman"/>
          <w:i/>
          <w:sz w:val="24"/>
        </w:rPr>
        <w:t>.]</w:t>
      </w:r>
    </w:p>
    <w:p w14:paraId="67DC20FD" w14:textId="77777777" w:rsidR="008E6DBA" w:rsidRPr="0085176F" w:rsidRDefault="008E6DBA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79F0B69E" w14:textId="229905C6" w:rsidR="00E51A37" w:rsidRDefault="00E51A37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i/>
          <w:sz w:val="24"/>
        </w:rPr>
        <w:t>paraugs</w:t>
      </w:r>
      <w:r>
        <w:rPr>
          <w:rFonts w:ascii="Times New Roman" w:hAnsi="Times New Roman"/>
          <w:sz w:val="24"/>
        </w:rPr>
        <w:t xml:space="preserve"> neatbilst cilvēka urīnam (piemēram,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</w:rPr>
        <w:t> ≤ 1,001, kreatinīns ≤ 5 mg/dl</w:t>
      </w:r>
      <w:r>
        <w:rPr>
          <w:rFonts w:ascii="Times New Roman" w:hAnsi="Times New Roman"/>
          <w:sz w:val="24"/>
          <w:vertAlign w:val="superscript"/>
        </w:rPr>
        <w:t>[9]</w:t>
      </w:r>
      <w:r>
        <w:rPr>
          <w:rFonts w:ascii="Times New Roman" w:hAnsi="Times New Roman"/>
          <w:sz w:val="24"/>
        </w:rPr>
        <w:t xml:space="preserve">, fizioloģiskai izcelsmei neatbilstīga sāls koncentrācija, anormālas pH vērtības, endogēno steroīdu, kortikosteroīdu, proteīnu neesība vai neraksturīgi zems līmenis u. c.),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>:</w:t>
      </w:r>
    </w:p>
    <w:p w14:paraId="637F4EF9" w14:textId="758AD6C2" w:rsidR="008104F4" w:rsidRDefault="008104F4" w:rsidP="00134392">
      <w:pPr>
        <w:pStyle w:val="BodyText"/>
        <w:widowControl/>
        <w:spacing w:before="0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526910" w14:textId="1FC900A4" w:rsidR="00E51A37" w:rsidRDefault="008104F4" w:rsidP="006A4D6D">
      <w:pPr>
        <w:widowControl/>
        <w:tabs>
          <w:tab w:val="left" w:pos="1012"/>
        </w:tabs>
        <w:ind w:left="284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i) ziņo par rezultātu kā par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 saistībā ar </w:t>
      </w:r>
      <w:r>
        <w:rPr>
          <w:rFonts w:ascii="Times New Roman" w:hAnsi="Times New Roman"/>
          <w:i/>
          <w:sz w:val="24"/>
        </w:rPr>
        <w:t>falsifikāciju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falsifikācijas mēģinājumu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Aizliegto vielu un metožu saraksta</w:t>
      </w:r>
      <w:r>
        <w:rPr>
          <w:rFonts w:ascii="Times New Roman" w:hAnsi="Times New Roman"/>
          <w:sz w:val="24"/>
        </w:rPr>
        <w:t xml:space="preserve"> M2.1. klase), ja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spēj vispārīgi noteikt viltotā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>, kas nav saderīgs ar cilvēka urīnu, veidu/tipu (piemēram, ūdens, dzēriens vai mākslīgais urīns),</w:t>
      </w:r>
    </w:p>
    <w:p w14:paraId="7D2A45A0" w14:textId="77777777" w:rsidR="00F30F99" w:rsidRPr="0085176F" w:rsidRDefault="00F30F99" w:rsidP="006A4D6D">
      <w:pPr>
        <w:widowControl/>
        <w:tabs>
          <w:tab w:val="left" w:pos="1012"/>
        </w:tabs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60956639" w14:textId="59BE1837" w:rsidR="00E51A37" w:rsidRDefault="00E51A37" w:rsidP="006A4D6D">
      <w:pPr>
        <w:pStyle w:val="BodyText"/>
        <w:widowControl/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VAI</w:t>
      </w:r>
    </w:p>
    <w:p w14:paraId="6CB3D104" w14:textId="77777777" w:rsidR="00F30F99" w:rsidRPr="0085176F" w:rsidRDefault="00F30F99" w:rsidP="006A4D6D">
      <w:pPr>
        <w:pStyle w:val="BodyText"/>
        <w:widowControl/>
        <w:spacing w:before="0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7F899F" w14:textId="3D70B9F9" w:rsidR="00E51A37" w:rsidRPr="0085176F" w:rsidRDefault="00F30F99" w:rsidP="006A4D6D">
      <w:pPr>
        <w:widowControl/>
        <w:tabs>
          <w:tab w:val="left" w:pos="1012"/>
        </w:tabs>
        <w:ind w:left="284"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ii) ziņo par rezultātu kā par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 saistībā ar </w:t>
      </w:r>
      <w:r>
        <w:rPr>
          <w:rFonts w:ascii="Times New Roman" w:hAnsi="Times New Roman"/>
          <w:i/>
          <w:sz w:val="24"/>
        </w:rPr>
        <w:t>falsifikāciju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falsifikācijas mēģinājumu</w:t>
      </w:r>
      <w:r>
        <w:rPr>
          <w:rFonts w:ascii="Times New Roman" w:hAnsi="Times New Roman"/>
          <w:sz w:val="24"/>
        </w:rPr>
        <w:t xml:space="preserve"> un pievieno piezīmi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sistēmā, iesakot </w:t>
      </w:r>
      <w:r>
        <w:rPr>
          <w:rFonts w:ascii="Times New Roman" w:hAnsi="Times New Roman"/>
          <w:i/>
          <w:sz w:val="24"/>
          <w:u w:val="single" w:color="000000"/>
        </w:rPr>
        <w:t>pārbaudes</w:t>
      </w:r>
      <w:r>
        <w:rPr>
          <w:rFonts w:ascii="Times New Roman" w:hAnsi="Times New Roman"/>
          <w:sz w:val="24"/>
          <w:u w:val="single" w:color="000000"/>
        </w:rPr>
        <w:t xml:space="preserve"> iestādei</w:t>
      </w:r>
      <w:r>
        <w:rPr>
          <w:rFonts w:ascii="Times New Roman" w:hAnsi="Times New Roman"/>
          <w:sz w:val="24"/>
        </w:rPr>
        <w:t xml:space="preserve"> veikt papildu izmeklēšanu (piemēram,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papildu analīzes vai </w:t>
      </w:r>
      <w:r>
        <w:rPr>
          <w:rFonts w:ascii="Times New Roman" w:hAnsi="Times New Roman"/>
          <w:i/>
          <w:sz w:val="24"/>
        </w:rPr>
        <w:t>sportista mērķpārbaudi</w:t>
      </w:r>
      <w:r>
        <w:rPr>
          <w:rFonts w:ascii="Times New Roman" w:hAnsi="Times New Roman"/>
          <w:sz w:val="24"/>
        </w:rPr>
        <w:t>).</w:t>
      </w:r>
    </w:p>
    <w:p w14:paraId="5DCF8EB3" w14:textId="77777777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7EA23F1E" w14:textId="0659340F" w:rsidR="00E51A37" w:rsidRPr="00F30F99" w:rsidRDefault="00E51A37" w:rsidP="00134392">
      <w:pPr>
        <w:pStyle w:val="Heading1"/>
        <w:widowControl/>
        <w:tabs>
          <w:tab w:val="left" w:pos="1095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t>5.0. Atsauces</w:t>
      </w:r>
    </w:p>
    <w:p w14:paraId="6AF1804C" w14:textId="77777777" w:rsidR="00F30F99" w:rsidRDefault="00F30F99" w:rsidP="00134392">
      <w:pPr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7A44A5" w14:textId="69C93916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[1]</w:t>
      </w:r>
      <w:r>
        <w:rPr>
          <w:rFonts w:ascii="Times New Roman" w:hAnsi="Times New Roman"/>
          <w:sz w:val="24"/>
        </w:rPr>
        <w:t xml:space="preserve"> Mareck U </w:t>
      </w:r>
      <w:r>
        <w:rPr>
          <w:rFonts w:ascii="Times New Roman" w:hAnsi="Times New Roman"/>
          <w:i/>
          <w:sz w:val="24"/>
        </w:rPr>
        <w:t>et al</w:t>
      </w:r>
      <w:r>
        <w:rPr>
          <w:rFonts w:ascii="Times New Roman" w:hAnsi="Times New Roman"/>
          <w:sz w:val="24"/>
        </w:rPr>
        <w:t xml:space="preserve">. Factors influencing the steroid profile in doping control analysis. </w:t>
      </w:r>
      <w:r>
        <w:rPr>
          <w:rFonts w:ascii="Times New Roman" w:hAnsi="Times New Roman"/>
          <w:i/>
          <w:sz w:val="24"/>
        </w:rPr>
        <w:t>J Mass Spectrom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43</w:t>
      </w:r>
      <w:r>
        <w:rPr>
          <w:rFonts w:ascii="Times New Roman" w:hAnsi="Times New Roman"/>
          <w:sz w:val="24"/>
        </w:rPr>
        <w:t>(7):877-91, 2008.</w:t>
      </w:r>
    </w:p>
    <w:p w14:paraId="73A84FCC" w14:textId="3061159F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[2]</w:t>
      </w:r>
      <w:r>
        <w:rPr>
          <w:rFonts w:ascii="Times New Roman" w:hAnsi="Times New Roman"/>
          <w:sz w:val="24"/>
        </w:rPr>
        <w:t xml:space="preserve"> Ayotte C. Detecting the administration of endogenous anabolic androgenic steroids. </w:t>
      </w:r>
      <w:r>
        <w:rPr>
          <w:rFonts w:ascii="Times New Roman" w:hAnsi="Times New Roman"/>
          <w:i/>
          <w:sz w:val="24"/>
        </w:rPr>
        <w:t xml:space="preserve">Handb Exp Pharmacol. </w:t>
      </w:r>
      <w:r>
        <w:rPr>
          <w:rFonts w:ascii="Times New Roman" w:hAnsi="Times New Roman"/>
          <w:b/>
          <w:sz w:val="24"/>
        </w:rPr>
        <w:t>195</w:t>
      </w:r>
      <w:r>
        <w:rPr>
          <w:rFonts w:ascii="Times New Roman" w:hAnsi="Times New Roman"/>
          <w:sz w:val="24"/>
        </w:rPr>
        <w:t>:77-98, 2010.</w:t>
      </w:r>
    </w:p>
    <w:p w14:paraId="1B0A277E" w14:textId="3D3E175A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[3]</w:t>
      </w:r>
      <w:r>
        <w:rPr>
          <w:rFonts w:ascii="Times New Roman" w:hAnsi="Times New Roman"/>
          <w:sz w:val="24"/>
        </w:rPr>
        <w:t xml:space="preserve"> Kuuranne T, Saugy M, Baume N. Confounding factors and genetic polymorphism in the evaluation of individual steroid profiling. </w:t>
      </w:r>
      <w:r>
        <w:rPr>
          <w:rFonts w:ascii="Times New Roman" w:hAnsi="Times New Roman"/>
          <w:i/>
          <w:sz w:val="24"/>
        </w:rPr>
        <w:t>Br J Sports Med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48</w:t>
      </w:r>
      <w:r>
        <w:rPr>
          <w:rFonts w:ascii="Times New Roman" w:hAnsi="Times New Roman"/>
          <w:sz w:val="24"/>
        </w:rPr>
        <w:t>(10): 848-55, 2014.</w:t>
      </w:r>
    </w:p>
    <w:p w14:paraId="6F99D347" w14:textId="6EFE6B4C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[4]</w:t>
      </w:r>
      <w:r>
        <w:rPr>
          <w:rFonts w:ascii="Times New Roman" w:hAnsi="Times New Roman"/>
          <w:sz w:val="24"/>
        </w:rPr>
        <w:t xml:space="preserve"> The World Anti-Doping </w:t>
      </w:r>
      <w:r>
        <w:rPr>
          <w:rFonts w:ascii="Times New Roman" w:hAnsi="Times New Roman"/>
          <w:i/>
          <w:sz w:val="24"/>
        </w:rPr>
        <w:t xml:space="preserve">Code International Standard </w:t>
      </w:r>
      <w:r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i/>
          <w:sz w:val="24"/>
        </w:rPr>
        <w:t>Results Management</w:t>
      </w:r>
      <w:r>
        <w:rPr>
          <w:rFonts w:ascii="Times New Roman" w:hAnsi="Times New Roman"/>
          <w:sz w:val="24"/>
        </w:rPr>
        <w:t>.</w:t>
      </w:r>
    </w:p>
    <w:p w14:paraId="7B4B4812" w14:textId="5F33717C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[5]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WADA Technical Document</w:t>
      </w:r>
      <w:r>
        <w:rPr>
          <w:rFonts w:ascii="Times New Roman" w:hAnsi="Times New Roman"/>
          <w:sz w:val="24"/>
        </w:rPr>
        <w:t xml:space="preserve"> TD DL: </w:t>
      </w:r>
      <w:r>
        <w:rPr>
          <w:rFonts w:ascii="Times New Roman" w:hAnsi="Times New Roman"/>
          <w:i/>
          <w:sz w:val="24"/>
        </w:rPr>
        <w:t xml:space="preserve">Decision Limits </w:t>
      </w:r>
      <w:r>
        <w:rPr>
          <w:rFonts w:ascii="Times New Roman" w:hAnsi="Times New Roman"/>
          <w:sz w:val="24"/>
        </w:rPr>
        <w:t xml:space="preserve">for the Confirmatory Quantification of Exogenous </w:t>
      </w:r>
      <w:r>
        <w:rPr>
          <w:rFonts w:ascii="Times New Roman" w:hAnsi="Times New Roman"/>
          <w:sz w:val="24"/>
          <w:u w:val="single" w:color="000000"/>
        </w:rPr>
        <w:t xml:space="preserve">Threshold Substances </w:t>
      </w:r>
      <w:r>
        <w:rPr>
          <w:rFonts w:ascii="Times New Roman" w:hAnsi="Times New Roman"/>
          <w:sz w:val="24"/>
        </w:rPr>
        <w:t xml:space="preserve">by Chromatography-based </w:t>
      </w:r>
      <w:r>
        <w:rPr>
          <w:rFonts w:ascii="Times New Roman" w:hAnsi="Times New Roman"/>
          <w:sz w:val="24"/>
          <w:u w:val="single" w:color="000000"/>
        </w:rPr>
        <w:t>Analytical Methods</w:t>
      </w:r>
      <w:r>
        <w:rPr>
          <w:rFonts w:ascii="Times New Roman" w:hAnsi="Times New Roman"/>
          <w:sz w:val="24"/>
        </w:rPr>
        <w:t>.</w:t>
      </w:r>
    </w:p>
    <w:p w14:paraId="1218CF5B" w14:textId="2D507081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[6]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WADA Technical Document </w:t>
      </w:r>
      <w:r>
        <w:rPr>
          <w:rFonts w:ascii="Times New Roman" w:hAnsi="Times New Roman"/>
          <w:sz w:val="24"/>
        </w:rPr>
        <w:t xml:space="preserve">TD IDCR: Minimum Criteria for Chromatographic-Mass Spectrometric Confirmation of the Identity of </w:t>
      </w:r>
      <w:r>
        <w:rPr>
          <w:rFonts w:ascii="Times New Roman" w:hAnsi="Times New Roman"/>
          <w:sz w:val="24"/>
          <w:u w:val="single" w:color="000000"/>
        </w:rPr>
        <w:t xml:space="preserve">Analytes </w:t>
      </w:r>
      <w:r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i/>
          <w:sz w:val="24"/>
        </w:rPr>
        <w:t xml:space="preserve">Doping Control </w:t>
      </w:r>
      <w:r>
        <w:rPr>
          <w:rFonts w:ascii="Times New Roman" w:hAnsi="Times New Roman"/>
          <w:sz w:val="24"/>
        </w:rPr>
        <w:t>Purposes.</w:t>
      </w:r>
    </w:p>
    <w:p w14:paraId="5CD7906D" w14:textId="3F4E818F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[7]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WADA Technical Document </w:t>
      </w:r>
      <w:r>
        <w:rPr>
          <w:rFonts w:ascii="Times New Roman" w:hAnsi="Times New Roman"/>
          <w:sz w:val="24"/>
        </w:rPr>
        <w:t xml:space="preserve">TD IRMS: Detection of Synthetic Forms of </w:t>
      </w:r>
      <w:r>
        <w:rPr>
          <w:rFonts w:ascii="Times New Roman" w:hAnsi="Times New Roman"/>
          <w:i/>
          <w:sz w:val="24"/>
        </w:rPr>
        <w:t xml:space="preserve">Prohibited Substances </w:t>
      </w:r>
      <w:r>
        <w:rPr>
          <w:rFonts w:ascii="Times New Roman" w:hAnsi="Times New Roman"/>
          <w:sz w:val="24"/>
        </w:rPr>
        <w:t>by GC/C/IRMS.</w:t>
      </w:r>
    </w:p>
    <w:p w14:paraId="54CC928B" w14:textId="7798D014" w:rsidR="00E51A37" w:rsidRPr="0085176F" w:rsidRDefault="00E51A37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[8]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WADA Technical Document </w:t>
      </w:r>
      <w:r>
        <w:rPr>
          <w:rFonts w:ascii="Times New Roman" w:hAnsi="Times New Roman"/>
          <w:sz w:val="24"/>
        </w:rPr>
        <w:t xml:space="preserve">TD APMU: </w:t>
      </w:r>
      <w:r>
        <w:rPr>
          <w:rFonts w:ascii="Times New Roman" w:hAnsi="Times New Roman"/>
          <w:i/>
          <w:sz w:val="24"/>
          <w:u w:val="single" w:color="000000"/>
        </w:rPr>
        <w:t xml:space="preserve">Athlete </w:t>
      </w:r>
      <w:r>
        <w:rPr>
          <w:rFonts w:ascii="Times New Roman" w:hAnsi="Times New Roman"/>
          <w:sz w:val="24"/>
          <w:u w:val="single" w:color="000000"/>
        </w:rPr>
        <w:t xml:space="preserve">Passport Management Unit </w:t>
      </w:r>
      <w:r>
        <w:rPr>
          <w:rFonts w:ascii="Times New Roman" w:hAnsi="Times New Roman"/>
          <w:sz w:val="24"/>
        </w:rPr>
        <w:t>– Requirements and Procedures.</w:t>
      </w:r>
    </w:p>
    <w:p w14:paraId="471EBC62" w14:textId="77747AE9" w:rsidR="00E51A37" w:rsidRDefault="00E51A37" w:rsidP="00134392">
      <w:pPr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vertAlign w:val="superscript"/>
        </w:rPr>
        <w:t>[9]</w:t>
      </w:r>
      <w:r>
        <w:rPr>
          <w:rFonts w:ascii="Times New Roman" w:hAnsi="Times New Roman"/>
          <w:sz w:val="24"/>
        </w:rPr>
        <w:t xml:space="preserve"> Cook J D </w:t>
      </w:r>
      <w:r>
        <w:rPr>
          <w:rFonts w:ascii="Times New Roman" w:hAnsi="Times New Roman"/>
          <w:i/>
          <w:sz w:val="24"/>
        </w:rPr>
        <w:t>et al</w:t>
      </w:r>
      <w:r>
        <w:rPr>
          <w:rFonts w:ascii="Times New Roman" w:hAnsi="Times New Roman"/>
          <w:sz w:val="24"/>
        </w:rPr>
        <w:t xml:space="preserve">. The Characterization of Human Urine for Specimen Validity Determination in Workplace Drug Testing: A Review. </w:t>
      </w:r>
      <w:r>
        <w:rPr>
          <w:rFonts w:ascii="Times New Roman" w:hAnsi="Times New Roman"/>
          <w:i/>
          <w:sz w:val="24"/>
        </w:rPr>
        <w:t xml:space="preserve">J Anal Toxicol </w:t>
      </w:r>
      <w:r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sz w:val="24"/>
        </w:rPr>
        <w:t>: 579-588, 2000</w:t>
      </w:r>
    </w:p>
    <w:p w14:paraId="4A9C2698" w14:textId="77777777" w:rsidR="007F4D20" w:rsidRPr="0085176F" w:rsidRDefault="007F4D20" w:rsidP="00134392">
      <w:pPr>
        <w:widowControl/>
        <w:jc w:val="both"/>
        <w:rPr>
          <w:rFonts w:ascii="Times New Roman" w:eastAsia="Arial" w:hAnsi="Times New Roman" w:cs="Times New Roman"/>
          <w:noProof/>
          <w:sz w:val="24"/>
          <w:szCs w:val="24"/>
        </w:rPr>
      </w:pPr>
    </w:p>
    <w:p w14:paraId="012DC5EF" w14:textId="63816910" w:rsidR="00E51A37" w:rsidRPr="006A4D6D" w:rsidRDefault="00E51A37" w:rsidP="00134392">
      <w:pPr>
        <w:widowControl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[Piezīme. WADA tehnisko dokumentu aktuālās redakcijas ir atrodamas tīmekļa vietnē </w:t>
      </w:r>
      <w:r w:rsidRPr="006A4D6D">
        <w:rPr>
          <w:rFonts w:ascii="Times New Roman" w:hAnsi="Times New Roman"/>
          <w:i/>
          <w:sz w:val="24"/>
          <w:u w:color="0000FF"/>
        </w:rPr>
        <w:t>https://www.wada- ama.org/en/what-we-do/science-medical/laboratories</w:t>
      </w:r>
      <w:r w:rsidRPr="006A4D6D">
        <w:rPr>
          <w:rFonts w:ascii="Times New Roman" w:hAnsi="Times New Roman"/>
          <w:i/>
          <w:sz w:val="24"/>
        </w:rPr>
        <w:t>.]</w:t>
      </w:r>
    </w:p>
    <w:sectPr w:rsidR="00E51A37" w:rsidRPr="006A4D6D" w:rsidSect="0013439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6E3D" w14:textId="77777777" w:rsidR="003A5E0C" w:rsidRPr="00E51A37" w:rsidRDefault="003A5E0C">
      <w:pPr>
        <w:rPr>
          <w:noProof/>
        </w:rPr>
      </w:pPr>
      <w:r w:rsidRPr="00E51A37">
        <w:rPr>
          <w:noProof/>
        </w:rPr>
        <w:separator/>
      </w:r>
    </w:p>
  </w:endnote>
  <w:endnote w:type="continuationSeparator" w:id="0">
    <w:p w14:paraId="2A42E383" w14:textId="77777777" w:rsidR="003A5E0C" w:rsidRPr="00E51A37" w:rsidRDefault="003A5E0C">
      <w:pPr>
        <w:rPr>
          <w:noProof/>
        </w:rPr>
      </w:pPr>
      <w:r w:rsidRPr="00E51A37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25E" w14:textId="77777777" w:rsidR="00BF5856" w:rsidRPr="003E47FA" w:rsidRDefault="00BF5856" w:rsidP="00BF5856">
    <w:pPr>
      <w:pStyle w:val="Header"/>
      <w:tabs>
        <w:tab w:val="left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140B60E4" w14:textId="77777777" w:rsidR="00BF5856" w:rsidRPr="003E47FA" w:rsidRDefault="00BF5856" w:rsidP="00BF5856">
    <w:pPr>
      <w:pStyle w:val="Header"/>
      <w:tabs>
        <w:tab w:val="clear" w:pos="4513"/>
        <w:tab w:val="clear" w:pos="9026"/>
        <w:tab w:val="right" w:leader="underscore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  <w:r w:rsidRPr="003E47FA">
      <w:rPr>
        <w:rStyle w:val="PageNumber"/>
        <w:rFonts w:ascii="Times New Roman" w:hAnsi="Times New Roman" w:cs="Times New Roman"/>
        <w:sz w:val="20"/>
        <w:szCs w:val="20"/>
      </w:rPr>
      <w:tab/>
    </w:r>
  </w:p>
  <w:p w14:paraId="1390BBE9" w14:textId="77777777" w:rsidR="00BF5856" w:rsidRPr="003E47FA" w:rsidRDefault="00BF5856" w:rsidP="00BF5856">
    <w:pPr>
      <w:pStyle w:val="Header"/>
      <w:tabs>
        <w:tab w:val="right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32858C26" w14:textId="77777777" w:rsidR="00BF5856" w:rsidRPr="003E47FA" w:rsidRDefault="00BF5856" w:rsidP="00BF5856">
    <w:pPr>
      <w:pStyle w:val="Footer"/>
      <w:tabs>
        <w:tab w:val="clear" w:pos="4513"/>
        <w:tab w:val="clear" w:pos="9026"/>
        <w:tab w:val="center" w:pos="9072"/>
      </w:tabs>
      <w:jc w:val="both"/>
      <w:rPr>
        <w:rFonts w:ascii="Times New Roman" w:hAnsi="Times New Roman" w:cs="Times New Roman"/>
        <w:sz w:val="20"/>
        <w:szCs w:val="20"/>
      </w:rPr>
    </w:pPr>
    <w:r w:rsidRPr="003E47FA">
      <w:rPr>
        <w:rFonts w:ascii="Times New Roman" w:hAnsi="Times New Roman" w:cs="Times New Roman"/>
        <w:sz w:val="20"/>
        <w:szCs w:val="20"/>
      </w:rPr>
      <w:t xml:space="preserve">Tulkojums </w:t>
    </w:r>
    <w:r w:rsidRPr="003E47FA">
      <w:rPr>
        <w:rFonts w:ascii="Times New Roman" w:hAnsi="Times New Roman" w:cs="Times New Roman"/>
        <w:sz w:val="20"/>
        <w:szCs w:val="20"/>
      </w:rPr>
      <w:fldChar w:fldCharType="begin"/>
    </w:r>
    <w:r w:rsidRPr="003E47FA">
      <w:rPr>
        <w:rFonts w:ascii="Times New Roman" w:hAnsi="Times New Roman" w:cs="Times New Roman"/>
        <w:sz w:val="20"/>
        <w:szCs w:val="20"/>
      </w:rPr>
      <w:instrText>symbol 211 \f "Symbol" \s 9</w:instrText>
    </w:r>
    <w:r w:rsidRPr="003E47FA">
      <w:rPr>
        <w:rFonts w:ascii="Times New Roman" w:hAnsi="Times New Roman" w:cs="Times New Roman"/>
        <w:sz w:val="20"/>
        <w:szCs w:val="20"/>
      </w:rPr>
      <w:fldChar w:fldCharType="separate"/>
    </w:r>
    <w:r w:rsidRPr="003E47FA">
      <w:rPr>
        <w:rFonts w:ascii="Times New Roman" w:hAnsi="Times New Roman" w:cs="Times New Roman"/>
        <w:sz w:val="20"/>
        <w:szCs w:val="20"/>
      </w:rPr>
      <w:t>Ó</w:t>
    </w:r>
    <w:r w:rsidRPr="003E47FA">
      <w:rPr>
        <w:rFonts w:ascii="Times New Roman" w:hAnsi="Times New Roman" w:cs="Times New Roman"/>
        <w:sz w:val="20"/>
        <w:szCs w:val="20"/>
      </w:rPr>
      <w:fldChar w:fldCharType="end"/>
    </w:r>
    <w:r w:rsidRPr="003E47FA">
      <w:rPr>
        <w:rFonts w:ascii="Times New Roman" w:hAnsi="Times New Roman" w:cs="Times New Roman"/>
        <w:sz w:val="20"/>
        <w:szCs w:val="20"/>
      </w:rPr>
      <w:t xml:space="preserve"> Valsts valodas centrs, 2021</w:t>
    </w:r>
    <w:r w:rsidRPr="003E47FA">
      <w:rPr>
        <w:rFonts w:ascii="Times New Roman" w:hAnsi="Times New Roman" w:cs="Times New Roman"/>
        <w:sz w:val="20"/>
        <w:szCs w:val="20"/>
      </w:rPr>
      <w:tab/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3E47FA">
      <w:rPr>
        <w:rStyle w:val="PageNumber"/>
        <w:rFonts w:ascii="Times New Roman" w:hAnsi="Times New Roman" w:cs="Times New Roman"/>
        <w:sz w:val="20"/>
        <w:szCs w:val="20"/>
      </w:rPr>
      <w:instrText xml:space="preserve">page </w:instrText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2</w:t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2B77" w14:textId="77777777" w:rsidR="00933E48" w:rsidRPr="003F25D0" w:rsidRDefault="00933E48" w:rsidP="00933E48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128A6DD8" w14:textId="77777777" w:rsidR="00933E48" w:rsidRPr="003F25D0" w:rsidRDefault="00933E48" w:rsidP="00933E48">
    <w:pPr>
      <w:pStyle w:val="Header"/>
      <w:tabs>
        <w:tab w:val="clear" w:pos="4513"/>
        <w:tab w:val="clear" w:pos="9026"/>
        <w:tab w:val="left" w:leader="underscore" w:pos="9072"/>
      </w:tabs>
      <w:jc w:val="both"/>
      <w:rPr>
        <w:rStyle w:val="PageNumber"/>
        <w:rFonts w:ascii="Times New Roman" w:hAnsi="Times New Roman"/>
        <w:sz w:val="20"/>
        <w:szCs w:val="18"/>
      </w:rPr>
    </w:pPr>
    <w:r w:rsidRPr="003F25D0">
      <w:rPr>
        <w:rStyle w:val="PageNumber"/>
        <w:rFonts w:ascii="Times New Roman" w:hAnsi="Times New Roman"/>
        <w:sz w:val="20"/>
        <w:szCs w:val="18"/>
      </w:rPr>
      <w:tab/>
    </w:r>
  </w:p>
  <w:p w14:paraId="63A4A373" w14:textId="77777777" w:rsidR="00933E48" w:rsidRPr="003F25D0" w:rsidRDefault="00933E48" w:rsidP="00933E48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sz w:val="20"/>
        <w:szCs w:val="18"/>
      </w:rPr>
    </w:pPr>
  </w:p>
  <w:p w14:paraId="3E1F6485" w14:textId="77777777" w:rsidR="00933E48" w:rsidRPr="003F25D0" w:rsidRDefault="00933E48" w:rsidP="00933E48">
    <w:pPr>
      <w:pStyle w:val="Footer"/>
      <w:jc w:val="both"/>
      <w:rPr>
        <w:rFonts w:ascii="Times New Roman" w:hAnsi="Times New Roman"/>
        <w:sz w:val="20"/>
        <w:szCs w:val="18"/>
      </w:rPr>
    </w:pPr>
    <w:r w:rsidRPr="003F25D0">
      <w:rPr>
        <w:rFonts w:ascii="Times New Roman" w:hAnsi="Times New Roman"/>
        <w:sz w:val="20"/>
        <w:szCs w:val="18"/>
      </w:rPr>
      <w:t xml:space="preserve">Tulkojums </w:t>
    </w:r>
    <w:r w:rsidRPr="003F25D0">
      <w:rPr>
        <w:rFonts w:ascii="Times New Roman" w:hAnsi="Times New Roman"/>
        <w:sz w:val="20"/>
        <w:szCs w:val="18"/>
      </w:rPr>
      <w:fldChar w:fldCharType="begin"/>
    </w:r>
    <w:r w:rsidRPr="003F25D0">
      <w:rPr>
        <w:rFonts w:ascii="Times New Roman" w:hAnsi="Times New Roman"/>
        <w:sz w:val="20"/>
        <w:szCs w:val="18"/>
      </w:rPr>
      <w:instrText>symbol 211 \f "Symbol" \s 9</w:instrText>
    </w:r>
    <w:r w:rsidRPr="003F25D0">
      <w:rPr>
        <w:rFonts w:ascii="Times New Roman" w:hAnsi="Times New Roman"/>
        <w:sz w:val="20"/>
        <w:szCs w:val="18"/>
      </w:rPr>
      <w:fldChar w:fldCharType="separate"/>
    </w:r>
    <w:r w:rsidRPr="003F25D0">
      <w:rPr>
        <w:rFonts w:ascii="Times New Roman" w:hAnsi="Times New Roman"/>
        <w:sz w:val="20"/>
        <w:szCs w:val="18"/>
      </w:rPr>
      <w:t>Ó</w:t>
    </w:r>
    <w:r w:rsidRPr="003F25D0">
      <w:rPr>
        <w:rFonts w:ascii="Times New Roman" w:hAnsi="Times New Roman"/>
        <w:sz w:val="20"/>
        <w:szCs w:val="18"/>
      </w:rPr>
      <w:fldChar w:fldCharType="end"/>
    </w:r>
    <w:r w:rsidRPr="003F25D0">
      <w:rPr>
        <w:rFonts w:ascii="Times New Roman" w:hAnsi="Times New Roman"/>
        <w:sz w:val="20"/>
        <w:szCs w:val="18"/>
      </w:rPr>
      <w:t xml:space="preserve"> Valsts valodas centrs, 20</w:t>
    </w:r>
    <w:bookmarkEnd w:id="14"/>
    <w:bookmarkEnd w:id="15"/>
    <w:bookmarkEnd w:id="16"/>
    <w:r w:rsidRPr="003F25D0">
      <w:rPr>
        <w:rFonts w:ascii="Times New Roman" w:hAnsi="Times New Roman"/>
        <w:sz w:val="20"/>
        <w:szCs w:val="18"/>
      </w:rPr>
      <w:t>2</w:t>
    </w:r>
    <w:bookmarkEnd w:id="17"/>
    <w:bookmarkEnd w:id="18"/>
    <w:r w:rsidRPr="003F25D0">
      <w:rPr>
        <w:rFonts w:ascii="Times New Roman" w:hAnsi="Times New Roman"/>
        <w:sz w:val="20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34C8" w14:textId="77777777" w:rsidR="003A5E0C" w:rsidRPr="00E51A37" w:rsidRDefault="003A5E0C">
      <w:pPr>
        <w:rPr>
          <w:noProof/>
        </w:rPr>
      </w:pPr>
      <w:r w:rsidRPr="00E51A37">
        <w:rPr>
          <w:noProof/>
        </w:rPr>
        <w:separator/>
      </w:r>
    </w:p>
  </w:footnote>
  <w:footnote w:type="continuationSeparator" w:id="0">
    <w:p w14:paraId="0A07C721" w14:textId="77777777" w:rsidR="003A5E0C" w:rsidRPr="00E51A37" w:rsidRDefault="003A5E0C">
      <w:pPr>
        <w:rPr>
          <w:noProof/>
        </w:rPr>
      </w:pPr>
      <w:r w:rsidRPr="00E51A37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64A5" w14:textId="77777777" w:rsidR="00DB251A" w:rsidRPr="0075517C" w:rsidRDefault="00DB251A" w:rsidP="00DB251A">
    <w:pPr>
      <w:pStyle w:val="Header"/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584ABC05" w14:textId="77777777" w:rsidR="00DB251A" w:rsidRPr="0075517C" w:rsidRDefault="00DB251A" w:rsidP="00DB251A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75517C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461C00DB" w14:textId="77777777" w:rsidR="00DB251A" w:rsidRPr="0075517C" w:rsidRDefault="00DB251A" w:rsidP="00DB251A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F01D" w14:textId="77777777" w:rsidR="0002247D" w:rsidRPr="000F66E7" w:rsidRDefault="0002247D" w:rsidP="0002247D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1AD33B7D" w14:textId="77777777" w:rsidR="0002247D" w:rsidRDefault="0002247D" w:rsidP="00022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.5pt;height:.75pt" o:bullet="t">
        <v:imagedata croptop="-65520f" cropbottom="65520f"/>
      </v:shape>
    </w:pict>
  </w:numPicBullet>
  <w:abstractNum w:abstractNumId="0" w15:restartNumberingAfterBreak="0">
    <w:nsid w:val="0B33579E"/>
    <w:multiLevelType w:val="hybridMultilevel"/>
    <w:tmpl w:val="3752C410"/>
    <w:lvl w:ilvl="0" w:tplc="1E1A22AC">
      <w:start w:val="3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A1E2C6D0">
      <w:start w:val="1"/>
      <w:numFmt w:val="decimal"/>
      <w:lvlText w:val="%1.%2"/>
      <w:lvlJc w:val="left"/>
      <w:pPr>
        <w:ind w:left="920" w:hanging="360"/>
      </w:pPr>
      <w:rPr>
        <w:rFonts w:ascii="Arial" w:eastAsia="Arial" w:hAnsi="Arial" w:hint="default"/>
        <w:sz w:val="24"/>
        <w:szCs w:val="24"/>
      </w:rPr>
    </w:lvl>
    <w:lvl w:ilvl="2" w:tplc="93DCE57C">
      <w:start w:val="1"/>
      <w:numFmt w:val="decimal"/>
      <w:lvlText w:val="%1.%2.%3"/>
      <w:lvlJc w:val="left"/>
      <w:pPr>
        <w:ind w:left="1116" w:hanging="553"/>
      </w:pPr>
      <w:rPr>
        <w:rFonts w:ascii="Arial" w:eastAsia="Arial" w:hAnsi="Arial" w:hint="default"/>
        <w:spacing w:val="-1"/>
        <w:sz w:val="22"/>
        <w:szCs w:val="22"/>
      </w:rPr>
    </w:lvl>
    <w:lvl w:ilvl="3" w:tplc="4628C304">
      <w:start w:val="1"/>
      <w:numFmt w:val="bullet"/>
      <w:lvlText w:val="•"/>
      <w:lvlJc w:val="left"/>
      <w:pPr>
        <w:ind w:left="3099" w:hanging="553"/>
      </w:pPr>
      <w:rPr>
        <w:rFonts w:hint="default"/>
      </w:rPr>
    </w:lvl>
    <w:lvl w:ilvl="4" w:tplc="259E7B28">
      <w:start w:val="1"/>
      <w:numFmt w:val="bullet"/>
      <w:lvlText w:val="•"/>
      <w:lvlJc w:val="left"/>
      <w:pPr>
        <w:ind w:left="4091" w:hanging="553"/>
      </w:pPr>
      <w:rPr>
        <w:rFonts w:hint="default"/>
      </w:rPr>
    </w:lvl>
    <w:lvl w:ilvl="5" w:tplc="1F80E44C">
      <w:start w:val="1"/>
      <w:numFmt w:val="bullet"/>
      <w:lvlText w:val="•"/>
      <w:lvlJc w:val="left"/>
      <w:pPr>
        <w:ind w:left="5082" w:hanging="553"/>
      </w:pPr>
      <w:rPr>
        <w:rFonts w:hint="default"/>
      </w:rPr>
    </w:lvl>
    <w:lvl w:ilvl="6" w:tplc="D2FE0958">
      <w:start w:val="1"/>
      <w:numFmt w:val="bullet"/>
      <w:lvlText w:val="•"/>
      <w:lvlJc w:val="left"/>
      <w:pPr>
        <w:ind w:left="6074" w:hanging="553"/>
      </w:pPr>
      <w:rPr>
        <w:rFonts w:hint="default"/>
      </w:rPr>
    </w:lvl>
    <w:lvl w:ilvl="7" w:tplc="BB7AB4F0">
      <w:start w:val="1"/>
      <w:numFmt w:val="bullet"/>
      <w:lvlText w:val="•"/>
      <w:lvlJc w:val="left"/>
      <w:pPr>
        <w:ind w:left="7065" w:hanging="553"/>
      </w:pPr>
      <w:rPr>
        <w:rFonts w:hint="default"/>
      </w:rPr>
    </w:lvl>
    <w:lvl w:ilvl="8" w:tplc="E0FA97B4">
      <w:start w:val="1"/>
      <w:numFmt w:val="bullet"/>
      <w:lvlText w:val="•"/>
      <w:lvlJc w:val="left"/>
      <w:pPr>
        <w:ind w:left="8057" w:hanging="553"/>
      </w:pPr>
      <w:rPr>
        <w:rFonts w:hint="default"/>
      </w:rPr>
    </w:lvl>
  </w:abstractNum>
  <w:abstractNum w:abstractNumId="1" w15:restartNumberingAfterBreak="0">
    <w:nsid w:val="11D66528"/>
    <w:multiLevelType w:val="hybridMultilevel"/>
    <w:tmpl w:val="12EC6014"/>
    <w:lvl w:ilvl="0" w:tplc="34227BD2">
      <w:start w:val="1"/>
      <w:numFmt w:val="bullet"/>
      <w:lvlText w:val="-"/>
      <w:lvlJc w:val="left"/>
      <w:pPr>
        <w:ind w:left="445" w:hanging="185"/>
      </w:pPr>
      <w:rPr>
        <w:rFonts w:ascii="Verdana" w:eastAsia="Verdana" w:hAnsi="Verdana" w:hint="default"/>
        <w:w w:val="99"/>
        <w:sz w:val="20"/>
        <w:szCs w:val="20"/>
      </w:rPr>
    </w:lvl>
    <w:lvl w:ilvl="1" w:tplc="C652B542">
      <w:start w:val="1"/>
      <w:numFmt w:val="bullet"/>
      <w:lvlText w:val="•"/>
      <w:lvlJc w:val="left"/>
      <w:pPr>
        <w:ind w:left="678" w:hanging="185"/>
      </w:pPr>
      <w:rPr>
        <w:rFonts w:hint="default"/>
      </w:rPr>
    </w:lvl>
    <w:lvl w:ilvl="2" w:tplc="3DFC5618">
      <w:start w:val="1"/>
      <w:numFmt w:val="bullet"/>
      <w:lvlText w:val="•"/>
      <w:lvlJc w:val="left"/>
      <w:pPr>
        <w:ind w:left="911" w:hanging="185"/>
      </w:pPr>
      <w:rPr>
        <w:rFonts w:hint="default"/>
      </w:rPr>
    </w:lvl>
    <w:lvl w:ilvl="3" w:tplc="6B2A9E9A">
      <w:start w:val="1"/>
      <w:numFmt w:val="bullet"/>
      <w:lvlText w:val="•"/>
      <w:lvlJc w:val="left"/>
      <w:pPr>
        <w:ind w:left="1144" w:hanging="185"/>
      </w:pPr>
      <w:rPr>
        <w:rFonts w:hint="default"/>
      </w:rPr>
    </w:lvl>
    <w:lvl w:ilvl="4" w:tplc="E724DC00">
      <w:start w:val="1"/>
      <w:numFmt w:val="bullet"/>
      <w:lvlText w:val="•"/>
      <w:lvlJc w:val="left"/>
      <w:pPr>
        <w:ind w:left="1378" w:hanging="185"/>
      </w:pPr>
      <w:rPr>
        <w:rFonts w:hint="default"/>
      </w:rPr>
    </w:lvl>
    <w:lvl w:ilvl="5" w:tplc="88C43676">
      <w:start w:val="1"/>
      <w:numFmt w:val="bullet"/>
      <w:lvlText w:val="•"/>
      <w:lvlJc w:val="left"/>
      <w:pPr>
        <w:ind w:left="1611" w:hanging="185"/>
      </w:pPr>
      <w:rPr>
        <w:rFonts w:hint="default"/>
      </w:rPr>
    </w:lvl>
    <w:lvl w:ilvl="6" w:tplc="D17035E2">
      <w:start w:val="1"/>
      <w:numFmt w:val="bullet"/>
      <w:lvlText w:val="•"/>
      <w:lvlJc w:val="left"/>
      <w:pPr>
        <w:ind w:left="1844" w:hanging="185"/>
      </w:pPr>
      <w:rPr>
        <w:rFonts w:hint="default"/>
      </w:rPr>
    </w:lvl>
    <w:lvl w:ilvl="7" w:tplc="AF446CAA">
      <w:start w:val="1"/>
      <w:numFmt w:val="bullet"/>
      <w:lvlText w:val="•"/>
      <w:lvlJc w:val="left"/>
      <w:pPr>
        <w:ind w:left="2077" w:hanging="185"/>
      </w:pPr>
      <w:rPr>
        <w:rFonts w:hint="default"/>
      </w:rPr>
    </w:lvl>
    <w:lvl w:ilvl="8" w:tplc="1C30DBD6">
      <w:start w:val="1"/>
      <w:numFmt w:val="bullet"/>
      <w:lvlText w:val="•"/>
      <w:lvlJc w:val="left"/>
      <w:pPr>
        <w:ind w:left="2310" w:hanging="185"/>
      </w:pPr>
      <w:rPr>
        <w:rFonts w:hint="default"/>
      </w:rPr>
    </w:lvl>
  </w:abstractNum>
  <w:abstractNum w:abstractNumId="2" w15:restartNumberingAfterBreak="0">
    <w:nsid w:val="1DF16C24"/>
    <w:multiLevelType w:val="hybridMultilevel"/>
    <w:tmpl w:val="F16AF4AE"/>
    <w:lvl w:ilvl="0" w:tplc="5E5EAD6A">
      <w:start w:val="1"/>
      <w:numFmt w:val="decimal"/>
      <w:lvlText w:val="%1"/>
      <w:lvlJc w:val="left"/>
      <w:pPr>
        <w:ind w:left="987" w:hanging="399"/>
      </w:pPr>
      <w:rPr>
        <w:rFonts w:hint="default"/>
      </w:rPr>
    </w:lvl>
    <w:lvl w:ilvl="1" w:tplc="5D5033F8">
      <w:start w:val="1"/>
      <w:numFmt w:val="decimal"/>
      <w:lvlText w:val="%1.%2"/>
      <w:lvlJc w:val="left"/>
      <w:pPr>
        <w:ind w:left="987" w:hanging="399"/>
      </w:pPr>
      <w:rPr>
        <w:rFonts w:ascii="Arial" w:eastAsia="Arial" w:hAnsi="Arial" w:hint="default"/>
        <w:sz w:val="24"/>
        <w:szCs w:val="24"/>
      </w:rPr>
    </w:lvl>
    <w:lvl w:ilvl="2" w:tplc="2D1601EA">
      <w:start w:val="1"/>
      <w:numFmt w:val="lowerRoman"/>
      <w:lvlText w:val="%3."/>
      <w:lvlJc w:val="left"/>
      <w:pPr>
        <w:ind w:left="920" w:hanging="442"/>
      </w:pPr>
      <w:rPr>
        <w:rFonts w:ascii="Arial" w:eastAsia="Arial" w:hAnsi="Arial" w:hint="default"/>
        <w:spacing w:val="-2"/>
        <w:sz w:val="22"/>
        <w:szCs w:val="22"/>
      </w:rPr>
    </w:lvl>
    <w:lvl w:ilvl="3" w:tplc="E61C756A">
      <w:start w:val="1"/>
      <w:numFmt w:val="bullet"/>
      <w:lvlText w:val="•"/>
      <w:lvlJc w:val="left"/>
      <w:pPr>
        <w:ind w:left="2998" w:hanging="442"/>
      </w:pPr>
      <w:rPr>
        <w:rFonts w:hint="default"/>
      </w:rPr>
    </w:lvl>
    <w:lvl w:ilvl="4" w:tplc="F34EA3C8">
      <w:start w:val="1"/>
      <w:numFmt w:val="bullet"/>
      <w:lvlText w:val="•"/>
      <w:lvlJc w:val="left"/>
      <w:pPr>
        <w:ind w:left="4004" w:hanging="442"/>
      </w:pPr>
      <w:rPr>
        <w:rFonts w:hint="default"/>
      </w:rPr>
    </w:lvl>
    <w:lvl w:ilvl="5" w:tplc="A300DEEA">
      <w:start w:val="1"/>
      <w:numFmt w:val="bullet"/>
      <w:lvlText w:val="•"/>
      <w:lvlJc w:val="left"/>
      <w:pPr>
        <w:ind w:left="5010" w:hanging="442"/>
      </w:pPr>
      <w:rPr>
        <w:rFonts w:hint="default"/>
      </w:rPr>
    </w:lvl>
    <w:lvl w:ilvl="6" w:tplc="5E486AB4">
      <w:start w:val="1"/>
      <w:numFmt w:val="bullet"/>
      <w:lvlText w:val="•"/>
      <w:lvlJc w:val="left"/>
      <w:pPr>
        <w:ind w:left="6016" w:hanging="442"/>
      </w:pPr>
      <w:rPr>
        <w:rFonts w:hint="default"/>
      </w:rPr>
    </w:lvl>
    <w:lvl w:ilvl="7" w:tplc="DC16B7B6">
      <w:start w:val="1"/>
      <w:numFmt w:val="bullet"/>
      <w:lvlText w:val="•"/>
      <w:lvlJc w:val="left"/>
      <w:pPr>
        <w:ind w:left="7022" w:hanging="442"/>
      </w:pPr>
      <w:rPr>
        <w:rFonts w:hint="default"/>
      </w:rPr>
    </w:lvl>
    <w:lvl w:ilvl="8" w:tplc="53AEBB70">
      <w:start w:val="1"/>
      <w:numFmt w:val="bullet"/>
      <w:lvlText w:val="•"/>
      <w:lvlJc w:val="left"/>
      <w:pPr>
        <w:ind w:left="8028" w:hanging="442"/>
      </w:pPr>
      <w:rPr>
        <w:rFonts w:hint="default"/>
      </w:rPr>
    </w:lvl>
  </w:abstractNum>
  <w:abstractNum w:abstractNumId="3" w15:restartNumberingAfterBreak="0">
    <w:nsid w:val="209F1A59"/>
    <w:multiLevelType w:val="hybridMultilevel"/>
    <w:tmpl w:val="DF348FE8"/>
    <w:lvl w:ilvl="0" w:tplc="51441824">
      <w:start w:val="1"/>
      <w:numFmt w:val="bullet"/>
      <w:lvlText w:val=""/>
      <w:lvlJc w:val="left"/>
      <w:pPr>
        <w:ind w:left="1280" w:hanging="269"/>
      </w:pPr>
      <w:rPr>
        <w:rFonts w:ascii="Symbol" w:eastAsia="Symbol" w:hAnsi="Symbol" w:hint="default"/>
        <w:w w:val="99"/>
        <w:sz w:val="20"/>
        <w:szCs w:val="20"/>
      </w:rPr>
    </w:lvl>
    <w:lvl w:ilvl="1" w:tplc="8AD4798E">
      <w:start w:val="1"/>
      <w:numFmt w:val="bullet"/>
      <w:lvlText w:val="•"/>
      <w:lvlJc w:val="left"/>
      <w:pPr>
        <w:ind w:left="2156" w:hanging="269"/>
      </w:pPr>
      <w:rPr>
        <w:rFonts w:hint="default"/>
      </w:rPr>
    </w:lvl>
    <w:lvl w:ilvl="2" w:tplc="9A7CEC66">
      <w:start w:val="1"/>
      <w:numFmt w:val="bullet"/>
      <w:lvlText w:val="•"/>
      <w:lvlJc w:val="left"/>
      <w:pPr>
        <w:ind w:left="3032" w:hanging="269"/>
      </w:pPr>
      <w:rPr>
        <w:rFonts w:hint="default"/>
      </w:rPr>
    </w:lvl>
    <w:lvl w:ilvl="3" w:tplc="A12A548A">
      <w:start w:val="1"/>
      <w:numFmt w:val="bullet"/>
      <w:lvlText w:val="•"/>
      <w:lvlJc w:val="left"/>
      <w:pPr>
        <w:ind w:left="3908" w:hanging="269"/>
      </w:pPr>
      <w:rPr>
        <w:rFonts w:hint="default"/>
      </w:rPr>
    </w:lvl>
    <w:lvl w:ilvl="4" w:tplc="BCE42050">
      <w:start w:val="1"/>
      <w:numFmt w:val="bullet"/>
      <w:lvlText w:val="•"/>
      <w:lvlJc w:val="left"/>
      <w:pPr>
        <w:ind w:left="4784" w:hanging="269"/>
      </w:pPr>
      <w:rPr>
        <w:rFonts w:hint="default"/>
      </w:rPr>
    </w:lvl>
    <w:lvl w:ilvl="5" w:tplc="206AEA7C">
      <w:start w:val="1"/>
      <w:numFmt w:val="bullet"/>
      <w:lvlText w:val="•"/>
      <w:lvlJc w:val="left"/>
      <w:pPr>
        <w:ind w:left="5660" w:hanging="269"/>
      </w:pPr>
      <w:rPr>
        <w:rFonts w:hint="default"/>
      </w:rPr>
    </w:lvl>
    <w:lvl w:ilvl="6" w:tplc="3E3C0B96">
      <w:start w:val="1"/>
      <w:numFmt w:val="bullet"/>
      <w:lvlText w:val="•"/>
      <w:lvlJc w:val="left"/>
      <w:pPr>
        <w:ind w:left="6536" w:hanging="269"/>
      </w:pPr>
      <w:rPr>
        <w:rFonts w:hint="default"/>
      </w:rPr>
    </w:lvl>
    <w:lvl w:ilvl="7" w:tplc="CBD2DE38">
      <w:start w:val="1"/>
      <w:numFmt w:val="bullet"/>
      <w:lvlText w:val="•"/>
      <w:lvlJc w:val="left"/>
      <w:pPr>
        <w:ind w:left="7412" w:hanging="269"/>
      </w:pPr>
      <w:rPr>
        <w:rFonts w:hint="default"/>
      </w:rPr>
    </w:lvl>
    <w:lvl w:ilvl="8" w:tplc="9ADC6D16">
      <w:start w:val="1"/>
      <w:numFmt w:val="bullet"/>
      <w:lvlText w:val="•"/>
      <w:lvlJc w:val="left"/>
      <w:pPr>
        <w:ind w:left="8288" w:hanging="269"/>
      </w:pPr>
      <w:rPr>
        <w:rFonts w:hint="default"/>
      </w:rPr>
    </w:lvl>
  </w:abstractNum>
  <w:abstractNum w:abstractNumId="4" w15:restartNumberingAfterBreak="0">
    <w:nsid w:val="28F62FBB"/>
    <w:multiLevelType w:val="hybridMultilevel"/>
    <w:tmpl w:val="908CC96E"/>
    <w:lvl w:ilvl="0" w:tplc="19DEA758">
      <w:start w:val="1"/>
      <w:numFmt w:val="bullet"/>
      <w:lvlText w:val="-"/>
      <w:lvlJc w:val="left"/>
      <w:pPr>
        <w:ind w:left="447" w:hanging="185"/>
      </w:pPr>
      <w:rPr>
        <w:rFonts w:ascii="Verdana" w:eastAsia="Verdana" w:hAnsi="Verdana" w:hint="default"/>
        <w:w w:val="99"/>
        <w:sz w:val="20"/>
        <w:szCs w:val="20"/>
      </w:rPr>
    </w:lvl>
    <w:lvl w:ilvl="1" w:tplc="745C6686">
      <w:start w:val="1"/>
      <w:numFmt w:val="bullet"/>
      <w:lvlText w:val="•"/>
      <w:lvlJc w:val="left"/>
      <w:pPr>
        <w:ind w:left="680" w:hanging="185"/>
      </w:pPr>
      <w:rPr>
        <w:rFonts w:hint="default"/>
      </w:rPr>
    </w:lvl>
    <w:lvl w:ilvl="2" w:tplc="A9CC98F4">
      <w:start w:val="1"/>
      <w:numFmt w:val="bullet"/>
      <w:lvlText w:val="•"/>
      <w:lvlJc w:val="left"/>
      <w:pPr>
        <w:ind w:left="913" w:hanging="185"/>
      </w:pPr>
      <w:rPr>
        <w:rFonts w:hint="default"/>
      </w:rPr>
    </w:lvl>
    <w:lvl w:ilvl="3" w:tplc="4AE49EDC">
      <w:start w:val="1"/>
      <w:numFmt w:val="bullet"/>
      <w:lvlText w:val="•"/>
      <w:lvlJc w:val="left"/>
      <w:pPr>
        <w:ind w:left="1146" w:hanging="185"/>
      </w:pPr>
      <w:rPr>
        <w:rFonts w:hint="default"/>
      </w:rPr>
    </w:lvl>
    <w:lvl w:ilvl="4" w:tplc="FEEA0D54">
      <w:start w:val="1"/>
      <w:numFmt w:val="bullet"/>
      <w:lvlText w:val="•"/>
      <w:lvlJc w:val="left"/>
      <w:pPr>
        <w:ind w:left="1379" w:hanging="185"/>
      </w:pPr>
      <w:rPr>
        <w:rFonts w:hint="default"/>
      </w:rPr>
    </w:lvl>
    <w:lvl w:ilvl="5" w:tplc="AEB297A4">
      <w:start w:val="1"/>
      <w:numFmt w:val="bullet"/>
      <w:lvlText w:val="•"/>
      <w:lvlJc w:val="left"/>
      <w:pPr>
        <w:ind w:left="1612" w:hanging="185"/>
      </w:pPr>
      <w:rPr>
        <w:rFonts w:hint="default"/>
      </w:rPr>
    </w:lvl>
    <w:lvl w:ilvl="6" w:tplc="EF7E7BEE">
      <w:start w:val="1"/>
      <w:numFmt w:val="bullet"/>
      <w:lvlText w:val="•"/>
      <w:lvlJc w:val="left"/>
      <w:pPr>
        <w:ind w:left="1845" w:hanging="185"/>
      </w:pPr>
      <w:rPr>
        <w:rFonts w:hint="default"/>
      </w:rPr>
    </w:lvl>
    <w:lvl w:ilvl="7" w:tplc="003A05BC">
      <w:start w:val="1"/>
      <w:numFmt w:val="bullet"/>
      <w:lvlText w:val="•"/>
      <w:lvlJc w:val="left"/>
      <w:pPr>
        <w:ind w:left="2078" w:hanging="185"/>
      </w:pPr>
      <w:rPr>
        <w:rFonts w:hint="default"/>
      </w:rPr>
    </w:lvl>
    <w:lvl w:ilvl="8" w:tplc="4E0202AE">
      <w:start w:val="1"/>
      <w:numFmt w:val="bullet"/>
      <w:lvlText w:val="•"/>
      <w:lvlJc w:val="left"/>
      <w:pPr>
        <w:ind w:left="2311" w:hanging="185"/>
      </w:pPr>
      <w:rPr>
        <w:rFonts w:hint="default"/>
      </w:rPr>
    </w:lvl>
  </w:abstractNum>
  <w:abstractNum w:abstractNumId="5" w15:restartNumberingAfterBreak="0">
    <w:nsid w:val="2CA20420"/>
    <w:multiLevelType w:val="hybridMultilevel"/>
    <w:tmpl w:val="B8FC3E58"/>
    <w:lvl w:ilvl="0" w:tplc="3552F5FC">
      <w:start w:val="1"/>
      <w:numFmt w:val="lowerRoman"/>
      <w:lvlText w:val="%1."/>
      <w:lvlJc w:val="left"/>
      <w:pPr>
        <w:ind w:left="1011" w:hanging="202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1" w:tplc="76425584">
      <w:start w:val="1"/>
      <w:numFmt w:val="bullet"/>
      <w:lvlText w:val=""/>
      <w:lvlJc w:val="left"/>
      <w:pPr>
        <w:ind w:left="1280" w:hanging="269"/>
      </w:pPr>
      <w:rPr>
        <w:rFonts w:ascii="Symbol" w:eastAsia="Symbol" w:hAnsi="Symbol" w:hint="default"/>
        <w:sz w:val="22"/>
        <w:szCs w:val="22"/>
      </w:rPr>
    </w:lvl>
    <w:lvl w:ilvl="2" w:tplc="13D656DA">
      <w:start w:val="1"/>
      <w:numFmt w:val="bullet"/>
      <w:lvlText w:val="•"/>
      <w:lvlJc w:val="left"/>
      <w:pPr>
        <w:ind w:left="2253" w:hanging="269"/>
      </w:pPr>
      <w:rPr>
        <w:rFonts w:hint="default"/>
      </w:rPr>
    </w:lvl>
    <w:lvl w:ilvl="3" w:tplc="46B03644">
      <w:start w:val="1"/>
      <w:numFmt w:val="bullet"/>
      <w:lvlText w:val="•"/>
      <w:lvlJc w:val="left"/>
      <w:pPr>
        <w:ind w:left="3226" w:hanging="269"/>
      </w:pPr>
      <w:rPr>
        <w:rFonts w:hint="default"/>
      </w:rPr>
    </w:lvl>
    <w:lvl w:ilvl="4" w:tplc="22B03E08">
      <w:start w:val="1"/>
      <w:numFmt w:val="bullet"/>
      <w:lvlText w:val="•"/>
      <w:lvlJc w:val="left"/>
      <w:pPr>
        <w:ind w:left="4200" w:hanging="269"/>
      </w:pPr>
      <w:rPr>
        <w:rFonts w:hint="default"/>
      </w:rPr>
    </w:lvl>
    <w:lvl w:ilvl="5" w:tplc="3FA867AE">
      <w:start w:val="1"/>
      <w:numFmt w:val="bullet"/>
      <w:lvlText w:val="•"/>
      <w:lvlJc w:val="left"/>
      <w:pPr>
        <w:ind w:left="5173" w:hanging="269"/>
      </w:pPr>
      <w:rPr>
        <w:rFonts w:hint="default"/>
      </w:rPr>
    </w:lvl>
    <w:lvl w:ilvl="6" w:tplc="16C62AC0">
      <w:start w:val="1"/>
      <w:numFmt w:val="bullet"/>
      <w:lvlText w:val="•"/>
      <w:lvlJc w:val="left"/>
      <w:pPr>
        <w:ind w:left="6146" w:hanging="269"/>
      </w:pPr>
      <w:rPr>
        <w:rFonts w:hint="default"/>
      </w:rPr>
    </w:lvl>
    <w:lvl w:ilvl="7" w:tplc="7E248756">
      <w:start w:val="1"/>
      <w:numFmt w:val="bullet"/>
      <w:lvlText w:val="•"/>
      <w:lvlJc w:val="left"/>
      <w:pPr>
        <w:ind w:left="7120" w:hanging="269"/>
      </w:pPr>
      <w:rPr>
        <w:rFonts w:hint="default"/>
      </w:rPr>
    </w:lvl>
    <w:lvl w:ilvl="8" w:tplc="6A76A25E">
      <w:start w:val="1"/>
      <w:numFmt w:val="bullet"/>
      <w:lvlText w:val="•"/>
      <w:lvlJc w:val="left"/>
      <w:pPr>
        <w:ind w:left="8093" w:hanging="269"/>
      </w:pPr>
      <w:rPr>
        <w:rFonts w:hint="default"/>
      </w:rPr>
    </w:lvl>
  </w:abstractNum>
  <w:abstractNum w:abstractNumId="6" w15:restartNumberingAfterBreak="0">
    <w:nsid w:val="504076DC"/>
    <w:multiLevelType w:val="hybridMultilevel"/>
    <w:tmpl w:val="68121690"/>
    <w:lvl w:ilvl="0" w:tplc="1994C1E6">
      <w:start w:val="1"/>
      <w:numFmt w:val="bullet"/>
      <w:lvlText w:val=""/>
      <w:lvlJc w:val="left"/>
      <w:pPr>
        <w:ind w:left="202" w:hanging="276"/>
      </w:pPr>
      <w:rPr>
        <w:rFonts w:ascii="Symbol" w:eastAsia="Symbol" w:hAnsi="Symbol" w:hint="default"/>
        <w:sz w:val="22"/>
        <w:szCs w:val="22"/>
      </w:rPr>
    </w:lvl>
    <w:lvl w:ilvl="1" w:tplc="4F562E12">
      <w:start w:val="1"/>
      <w:numFmt w:val="bullet"/>
      <w:lvlText w:val="•"/>
      <w:lvlJc w:val="left"/>
      <w:pPr>
        <w:ind w:left="874" w:hanging="276"/>
      </w:pPr>
      <w:rPr>
        <w:rFonts w:hint="default"/>
      </w:rPr>
    </w:lvl>
    <w:lvl w:ilvl="2" w:tplc="D52EC1A8">
      <w:start w:val="1"/>
      <w:numFmt w:val="bullet"/>
      <w:lvlText w:val="•"/>
      <w:lvlJc w:val="left"/>
      <w:pPr>
        <w:ind w:left="1545" w:hanging="276"/>
      </w:pPr>
      <w:rPr>
        <w:rFonts w:hint="default"/>
      </w:rPr>
    </w:lvl>
    <w:lvl w:ilvl="3" w:tplc="F2B0EA7E">
      <w:start w:val="1"/>
      <w:numFmt w:val="bullet"/>
      <w:lvlText w:val="•"/>
      <w:lvlJc w:val="left"/>
      <w:pPr>
        <w:ind w:left="2217" w:hanging="276"/>
      </w:pPr>
      <w:rPr>
        <w:rFonts w:hint="default"/>
      </w:rPr>
    </w:lvl>
    <w:lvl w:ilvl="4" w:tplc="7F6CF500">
      <w:start w:val="1"/>
      <w:numFmt w:val="bullet"/>
      <w:lvlText w:val="•"/>
      <w:lvlJc w:val="left"/>
      <w:pPr>
        <w:ind w:left="2888" w:hanging="276"/>
      </w:pPr>
      <w:rPr>
        <w:rFonts w:hint="default"/>
      </w:rPr>
    </w:lvl>
    <w:lvl w:ilvl="5" w:tplc="B8180DCA">
      <w:start w:val="1"/>
      <w:numFmt w:val="bullet"/>
      <w:lvlText w:val="•"/>
      <w:lvlJc w:val="left"/>
      <w:pPr>
        <w:ind w:left="3560" w:hanging="276"/>
      </w:pPr>
      <w:rPr>
        <w:rFonts w:hint="default"/>
      </w:rPr>
    </w:lvl>
    <w:lvl w:ilvl="6" w:tplc="5BDEDECA">
      <w:start w:val="1"/>
      <w:numFmt w:val="bullet"/>
      <w:lvlText w:val="•"/>
      <w:lvlJc w:val="left"/>
      <w:pPr>
        <w:ind w:left="4231" w:hanging="276"/>
      </w:pPr>
      <w:rPr>
        <w:rFonts w:hint="default"/>
      </w:rPr>
    </w:lvl>
    <w:lvl w:ilvl="7" w:tplc="9AE01378">
      <w:start w:val="1"/>
      <w:numFmt w:val="bullet"/>
      <w:lvlText w:val="•"/>
      <w:lvlJc w:val="left"/>
      <w:pPr>
        <w:ind w:left="4902" w:hanging="276"/>
      </w:pPr>
      <w:rPr>
        <w:rFonts w:hint="default"/>
      </w:rPr>
    </w:lvl>
    <w:lvl w:ilvl="8" w:tplc="3B14D256">
      <w:start w:val="1"/>
      <w:numFmt w:val="bullet"/>
      <w:lvlText w:val="•"/>
      <w:lvlJc w:val="left"/>
      <w:pPr>
        <w:ind w:left="5574" w:hanging="276"/>
      </w:pPr>
      <w:rPr>
        <w:rFonts w:hint="default"/>
      </w:rPr>
    </w:lvl>
  </w:abstractNum>
  <w:abstractNum w:abstractNumId="7" w15:restartNumberingAfterBreak="0">
    <w:nsid w:val="55D6485A"/>
    <w:multiLevelType w:val="hybridMultilevel"/>
    <w:tmpl w:val="D5606FBC"/>
    <w:lvl w:ilvl="0" w:tplc="FFFCE9F0">
      <w:start w:val="1"/>
      <w:numFmt w:val="bullet"/>
      <w:lvlText w:val=""/>
      <w:lvlJc w:val="left"/>
      <w:pPr>
        <w:ind w:left="536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3F5E602C">
      <w:start w:val="1"/>
      <w:numFmt w:val="bullet"/>
      <w:lvlText w:val="•"/>
      <w:lvlJc w:val="left"/>
      <w:pPr>
        <w:ind w:left="1174" w:hanging="197"/>
      </w:pPr>
      <w:rPr>
        <w:rFonts w:hint="default"/>
      </w:rPr>
    </w:lvl>
    <w:lvl w:ilvl="2" w:tplc="CDFE2F90">
      <w:start w:val="1"/>
      <w:numFmt w:val="bullet"/>
      <w:lvlText w:val="•"/>
      <w:lvlJc w:val="left"/>
      <w:pPr>
        <w:ind w:left="1812" w:hanging="197"/>
      </w:pPr>
      <w:rPr>
        <w:rFonts w:hint="default"/>
      </w:rPr>
    </w:lvl>
    <w:lvl w:ilvl="3" w:tplc="03B6DCC0">
      <w:start w:val="1"/>
      <w:numFmt w:val="bullet"/>
      <w:lvlText w:val="•"/>
      <w:lvlJc w:val="left"/>
      <w:pPr>
        <w:ind w:left="2450" w:hanging="197"/>
      </w:pPr>
      <w:rPr>
        <w:rFonts w:hint="default"/>
      </w:rPr>
    </w:lvl>
    <w:lvl w:ilvl="4" w:tplc="481A73DA">
      <w:start w:val="1"/>
      <w:numFmt w:val="bullet"/>
      <w:lvlText w:val="•"/>
      <w:lvlJc w:val="left"/>
      <w:pPr>
        <w:ind w:left="3088" w:hanging="197"/>
      </w:pPr>
      <w:rPr>
        <w:rFonts w:hint="default"/>
      </w:rPr>
    </w:lvl>
    <w:lvl w:ilvl="5" w:tplc="0696EB12">
      <w:start w:val="1"/>
      <w:numFmt w:val="bullet"/>
      <w:lvlText w:val="•"/>
      <w:lvlJc w:val="left"/>
      <w:pPr>
        <w:ind w:left="3726" w:hanging="197"/>
      </w:pPr>
      <w:rPr>
        <w:rFonts w:hint="default"/>
      </w:rPr>
    </w:lvl>
    <w:lvl w:ilvl="6" w:tplc="B48CE18C">
      <w:start w:val="1"/>
      <w:numFmt w:val="bullet"/>
      <w:lvlText w:val="•"/>
      <w:lvlJc w:val="left"/>
      <w:pPr>
        <w:ind w:left="4364" w:hanging="197"/>
      </w:pPr>
      <w:rPr>
        <w:rFonts w:hint="default"/>
      </w:rPr>
    </w:lvl>
    <w:lvl w:ilvl="7" w:tplc="5F884A86">
      <w:start w:val="1"/>
      <w:numFmt w:val="bullet"/>
      <w:lvlText w:val="•"/>
      <w:lvlJc w:val="left"/>
      <w:pPr>
        <w:ind w:left="5003" w:hanging="197"/>
      </w:pPr>
      <w:rPr>
        <w:rFonts w:hint="default"/>
      </w:rPr>
    </w:lvl>
    <w:lvl w:ilvl="8" w:tplc="6F162DA0">
      <w:start w:val="1"/>
      <w:numFmt w:val="bullet"/>
      <w:lvlText w:val="•"/>
      <w:lvlJc w:val="left"/>
      <w:pPr>
        <w:ind w:left="5641" w:hanging="197"/>
      </w:pPr>
      <w:rPr>
        <w:rFonts w:hint="default"/>
      </w:rPr>
    </w:lvl>
  </w:abstractNum>
  <w:abstractNum w:abstractNumId="8" w15:restartNumberingAfterBreak="0">
    <w:nsid w:val="57E65A10"/>
    <w:multiLevelType w:val="hybridMultilevel"/>
    <w:tmpl w:val="CC264780"/>
    <w:lvl w:ilvl="0" w:tplc="594E9A6C">
      <w:start w:val="4"/>
      <w:numFmt w:val="decimal"/>
      <w:lvlText w:val="%1"/>
      <w:lvlJc w:val="left"/>
      <w:pPr>
        <w:ind w:left="1100" w:hanging="540"/>
      </w:pPr>
      <w:rPr>
        <w:rFonts w:hint="default"/>
      </w:rPr>
    </w:lvl>
    <w:lvl w:ilvl="1" w:tplc="ACB8C4C0">
      <w:start w:val="1"/>
      <w:numFmt w:val="decimal"/>
      <w:lvlText w:val="%1.%2"/>
      <w:lvlJc w:val="left"/>
      <w:pPr>
        <w:ind w:left="1100" w:hanging="540"/>
      </w:pPr>
      <w:rPr>
        <w:rFonts w:ascii="Arial" w:eastAsia="Arial" w:hAnsi="Arial" w:hint="default"/>
        <w:b/>
        <w:bCs/>
        <w:sz w:val="24"/>
        <w:szCs w:val="24"/>
      </w:rPr>
    </w:lvl>
    <w:lvl w:ilvl="2" w:tplc="831643E8">
      <w:start w:val="1"/>
      <w:numFmt w:val="lowerRoman"/>
      <w:lvlText w:val="%3."/>
      <w:lvlJc w:val="left"/>
      <w:pPr>
        <w:ind w:left="1011" w:hanging="202"/>
      </w:pPr>
      <w:rPr>
        <w:rFonts w:ascii="Arial" w:eastAsia="Arial" w:hAnsi="Arial" w:hint="default"/>
        <w:spacing w:val="-2"/>
        <w:sz w:val="22"/>
        <w:szCs w:val="22"/>
      </w:rPr>
    </w:lvl>
    <w:lvl w:ilvl="3" w:tplc="6FBCE37A">
      <w:start w:val="1"/>
      <w:numFmt w:val="bullet"/>
      <w:lvlText w:val="•"/>
      <w:lvlJc w:val="left"/>
      <w:pPr>
        <w:ind w:left="3086" w:hanging="202"/>
      </w:pPr>
      <w:rPr>
        <w:rFonts w:hint="default"/>
      </w:rPr>
    </w:lvl>
    <w:lvl w:ilvl="4" w:tplc="5BCAEB7E">
      <w:start w:val="1"/>
      <w:numFmt w:val="bullet"/>
      <w:lvlText w:val="•"/>
      <w:lvlJc w:val="left"/>
      <w:pPr>
        <w:ind w:left="4080" w:hanging="202"/>
      </w:pPr>
      <w:rPr>
        <w:rFonts w:hint="default"/>
      </w:rPr>
    </w:lvl>
    <w:lvl w:ilvl="5" w:tplc="FA60DBCE">
      <w:start w:val="1"/>
      <w:numFmt w:val="bullet"/>
      <w:lvlText w:val="•"/>
      <w:lvlJc w:val="left"/>
      <w:pPr>
        <w:ind w:left="5073" w:hanging="202"/>
      </w:pPr>
      <w:rPr>
        <w:rFonts w:hint="default"/>
      </w:rPr>
    </w:lvl>
    <w:lvl w:ilvl="6" w:tplc="039CDE9A">
      <w:start w:val="1"/>
      <w:numFmt w:val="bullet"/>
      <w:lvlText w:val="•"/>
      <w:lvlJc w:val="left"/>
      <w:pPr>
        <w:ind w:left="6066" w:hanging="202"/>
      </w:pPr>
      <w:rPr>
        <w:rFonts w:hint="default"/>
      </w:rPr>
    </w:lvl>
    <w:lvl w:ilvl="7" w:tplc="61486AE4">
      <w:start w:val="1"/>
      <w:numFmt w:val="bullet"/>
      <w:lvlText w:val="•"/>
      <w:lvlJc w:val="left"/>
      <w:pPr>
        <w:ind w:left="7060" w:hanging="202"/>
      </w:pPr>
      <w:rPr>
        <w:rFonts w:hint="default"/>
      </w:rPr>
    </w:lvl>
    <w:lvl w:ilvl="8" w:tplc="1A92DB6A">
      <w:start w:val="1"/>
      <w:numFmt w:val="bullet"/>
      <w:lvlText w:val="•"/>
      <w:lvlJc w:val="left"/>
      <w:pPr>
        <w:ind w:left="8053" w:hanging="202"/>
      </w:pPr>
      <w:rPr>
        <w:rFonts w:hint="default"/>
      </w:rPr>
    </w:lvl>
  </w:abstractNum>
  <w:abstractNum w:abstractNumId="9" w15:restartNumberingAfterBreak="0">
    <w:nsid w:val="601A15CE"/>
    <w:multiLevelType w:val="hybridMultilevel"/>
    <w:tmpl w:val="80E0B220"/>
    <w:lvl w:ilvl="0" w:tplc="1C8EC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A2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24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CD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8E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EA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1E3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0B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7A2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62562B"/>
    <w:multiLevelType w:val="hybridMultilevel"/>
    <w:tmpl w:val="DCA2AFA0"/>
    <w:lvl w:ilvl="0" w:tplc="31C01758">
      <w:start w:val="2"/>
      <w:numFmt w:val="decimal"/>
      <w:lvlText w:val="%1"/>
      <w:lvlJc w:val="left"/>
      <w:pPr>
        <w:ind w:left="1030" w:hanging="471"/>
      </w:pPr>
      <w:rPr>
        <w:rFonts w:hint="default"/>
      </w:rPr>
    </w:lvl>
    <w:lvl w:ilvl="1" w:tplc="094AA818">
      <w:start w:val="1"/>
      <w:numFmt w:val="decimal"/>
      <w:lvlText w:val="%1.%2"/>
      <w:lvlJc w:val="left"/>
      <w:pPr>
        <w:ind w:left="1030" w:hanging="471"/>
      </w:pPr>
      <w:rPr>
        <w:rFonts w:ascii="Arial" w:eastAsia="Arial" w:hAnsi="Arial" w:hint="default"/>
        <w:sz w:val="24"/>
        <w:szCs w:val="24"/>
      </w:rPr>
    </w:lvl>
    <w:lvl w:ilvl="2" w:tplc="4B068602">
      <w:start w:val="1"/>
      <w:numFmt w:val="decimal"/>
      <w:lvlText w:val="%1.%2.%3"/>
      <w:lvlJc w:val="left"/>
      <w:pPr>
        <w:ind w:left="1112" w:hanging="552"/>
      </w:pPr>
      <w:rPr>
        <w:rFonts w:ascii="Arial" w:eastAsia="Arial" w:hAnsi="Arial" w:hint="default"/>
        <w:spacing w:val="-1"/>
        <w:sz w:val="22"/>
        <w:szCs w:val="22"/>
      </w:rPr>
    </w:lvl>
    <w:lvl w:ilvl="3" w:tplc="9FDA190C">
      <w:start w:val="1"/>
      <w:numFmt w:val="bullet"/>
      <w:lvlText w:val=""/>
      <w:lvlJc w:val="left"/>
      <w:pPr>
        <w:ind w:left="1280" w:hanging="269"/>
      </w:pPr>
      <w:rPr>
        <w:rFonts w:ascii="Symbol" w:eastAsia="Symbol" w:hAnsi="Symbol" w:hint="default"/>
        <w:sz w:val="22"/>
        <w:szCs w:val="22"/>
      </w:rPr>
    </w:lvl>
    <w:lvl w:ilvl="4" w:tplc="59FA25CA">
      <w:start w:val="1"/>
      <w:numFmt w:val="bullet"/>
      <w:lvlText w:val="•"/>
      <w:lvlJc w:val="left"/>
      <w:pPr>
        <w:ind w:left="3470" w:hanging="269"/>
      </w:pPr>
      <w:rPr>
        <w:rFonts w:hint="default"/>
      </w:rPr>
    </w:lvl>
    <w:lvl w:ilvl="5" w:tplc="0D9EABB0">
      <w:start w:val="1"/>
      <w:numFmt w:val="bullet"/>
      <w:lvlText w:val="•"/>
      <w:lvlJc w:val="left"/>
      <w:pPr>
        <w:ind w:left="4565" w:hanging="269"/>
      </w:pPr>
      <w:rPr>
        <w:rFonts w:hint="default"/>
      </w:rPr>
    </w:lvl>
    <w:lvl w:ilvl="6" w:tplc="F454BBBC">
      <w:start w:val="1"/>
      <w:numFmt w:val="bullet"/>
      <w:lvlText w:val="•"/>
      <w:lvlJc w:val="left"/>
      <w:pPr>
        <w:ind w:left="5660" w:hanging="269"/>
      </w:pPr>
      <w:rPr>
        <w:rFonts w:hint="default"/>
      </w:rPr>
    </w:lvl>
    <w:lvl w:ilvl="7" w:tplc="9548958A">
      <w:start w:val="1"/>
      <w:numFmt w:val="bullet"/>
      <w:lvlText w:val="•"/>
      <w:lvlJc w:val="left"/>
      <w:pPr>
        <w:ind w:left="6755" w:hanging="269"/>
      </w:pPr>
      <w:rPr>
        <w:rFonts w:hint="default"/>
      </w:rPr>
    </w:lvl>
    <w:lvl w:ilvl="8" w:tplc="446C6DE2">
      <w:start w:val="1"/>
      <w:numFmt w:val="bullet"/>
      <w:lvlText w:val="•"/>
      <w:lvlJc w:val="left"/>
      <w:pPr>
        <w:ind w:left="7850" w:hanging="269"/>
      </w:pPr>
      <w:rPr>
        <w:rFonts w:hint="default"/>
      </w:rPr>
    </w:lvl>
  </w:abstractNum>
  <w:abstractNum w:abstractNumId="11" w15:restartNumberingAfterBreak="0">
    <w:nsid w:val="68305172"/>
    <w:multiLevelType w:val="hybridMultilevel"/>
    <w:tmpl w:val="ACDAB24C"/>
    <w:lvl w:ilvl="0" w:tplc="9904A6E4">
      <w:start w:val="3"/>
      <w:numFmt w:val="decimal"/>
      <w:lvlText w:val="%1"/>
      <w:lvlJc w:val="left"/>
      <w:pPr>
        <w:ind w:left="958" w:hanging="399"/>
      </w:pPr>
      <w:rPr>
        <w:rFonts w:hint="default"/>
      </w:rPr>
    </w:lvl>
    <w:lvl w:ilvl="1" w:tplc="29E2064C">
      <w:start w:val="2"/>
      <w:numFmt w:val="decimal"/>
      <w:lvlText w:val="%1.%2"/>
      <w:lvlJc w:val="left"/>
      <w:pPr>
        <w:ind w:left="958" w:hanging="399"/>
      </w:pPr>
      <w:rPr>
        <w:rFonts w:ascii="Arial" w:eastAsia="Arial" w:hAnsi="Arial" w:hint="default"/>
        <w:sz w:val="24"/>
        <w:szCs w:val="24"/>
      </w:rPr>
    </w:lvl>
    <w:lvl w:ilvl="2" w:tplc="12D01DEE">
      <w:start w:val="1"/>
      <w:numFmt w:val="decimal"/>
      <w:lvlText w:val="%1.%2.%3"/>
      <w:lvlJc w:val="left"/>
      <w:pPr>
        <w:ind w:left="1112" w:hanging="552"/>
      </w:pPr>
      <w:rPr>
        <w:rFonts w:ascii="Arial" w:eastAsia="Arial" w:hAnsi="Arial" w:hint="default"/>
        <w:spacing w:val="-1"/>
        <w:sz w:val="22"/>
        <w:szCs w:val="22"/>
      </w:rPr>
    </w:lvl>
    <w:lvl w:ilvl="3" w:tplc="98AC74F4">
      <w:start w:val="1"/>
      <w:numFmt w:val="bullet"/>
      <w:lvlText w:val=""/>
      <w:lvlJc w:val="left"/>
      <w:pPr>
        <w:ind w:left="862" w:hanging="178"/>
      </w:pPr>
      <w:rPr>
        <w:rFonts w:ascii="Symbol" w:eastAsia="Symbol" w:hAnsi="Symbol" w:hint="default"/>
        <w:sz w:val="22"/>
        <w:szCs w:val="22"/>
      </w:rPr>
    </w:lvl>
    <w:lvl w:ilvl="4" w:tplc="153A9AEA">
      <w:start w:val="1"/>
      <w:numFmt w:val="bullet"/>
      <w:lvlText w:val="-"/>
      <w:lvlJc w:val="left"/>
      <w:pPr>
        <w:ind w:left="1551" w:hanging="360"/>
      </w:pPr>
      <w:rPr>
        <w:rFonts w:ascii="Verdana" w:eastAsia="Verdana" w:hAnsi="Verdana" w:hint="default"/>
        <w:w w:val="99"/>
        <w:position w:val="2"/>
        <w:sz w:val="20"/>
        <w:szCs w:val="20"/>
      </w:rPr>
    </w:lvl>
    <w:lvl w:ilvl="5" w:tplc="8DC66B3C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6" w:tplc="51FCA9D4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7" w:tplc="B1C450F4">
      <w:start w:val="1"/>
      <w:numFmt w:val="bullet"/>
      <w:lvlText w:val="•"/>
      <w:lvlJc w:val="left"/>
      <w:pPr>
        <w:ind w:left="4946" w:hanging="360"/>
      </w:pPr>
      <w:rPr>
        <w:rFonts w:hint="default"/>
      </w:rPr>
    </w:lvl>
    <w:lvl w:ilvl="8" w:tplc="199CFF26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</w:abstractNum>
  <w:abstractNum w:abstractNumId="12" w15:restartNumberingAfterBreak="0">
    <w:nsid w:val="6E074C1A"/>
    <w:multiLevelType w:val="hybridMultilevel"/>
    <w:tmpl w:val="97145712"/>
    <w:lvl w:ilvl="0" w:tplc="C5AAB38A">
      <w:start w:val="1"/>
      <w:numFmt w:val="bullet"/>
      <w:lvlText w:val=""/>
      <w:lvlJc w:val="left"/>
      <w:pPr>
        <w:ind w:left="1280" w:hanging="361"/>
      </w:pPr>
      <w:rPr>
        <w:rFonts w:ascii="Symbol" w:eastAsia="Symbol" w:hAnsi="Symbol" w:hint="default"/>
        <w:sz w:val="22"/>
        <w:szCs w:val="22"/>
      </w:rPr>
    </w:lvl>
    <w:lvl w:ilvl="1" w:tplc="56600C18">
      <w:start w:val="1"/>
      <w:numFmt w:val="bullet"/>
      <w:lvlText w:val="•"/>
      <w:lvlJc w:val="left"/>
      <w:pPr>
        <w:ind w:left="2156" w:hanging="361"/>
      </w:pPr>
      <w:rPr>
        <w:rFonts w:hint="default"/>
      </w:rPr>
    </w:lvl>
    <w:lvl w:ilvl="2" w:tplc="5A3E62DE">
      <w:start w:val="1"/>
      <w:numFmt w:val="bullet"/>
      <w:lvlText w:val="•"/>
      <w:lvlJc w:val="left"/>
      <w:pPr>
        <w:ind w:left="3032" w:hanging="361"/>
      </w:pPr>
      <w:rPr>
        <w:rFonts w:hint="default"/>
      </w:rPr>
    </w:lvl>
    <w:lvl w:ilvl="3" w:tplc="60644D20">
      <w:start w:val="1"/>
      <w:numFmt w:val="bullet"/>
      <w:lvlText w:val="•"/>
      <w:lvlJc w:val="left"/>
      <w:pPr>
        <w:ind w:left="3908" w:hanging="361"/>
      </w:pPr>
      <w:rPr>
        <w:rFonts w:hint="default"/>
      </w:rPr>
    </w:lvl>
    <w:lvl w:ilvl="4" w:tplc="573ABC06">
      <w:start w:val="1"/>
      <w:numFmt w:val="bullet"/>
      <w:lvlText w:val="•"/>
      <w:lvlJc w:val="left"/>
      <w:pPr>
        <w:ind w:left="4784" w:hanging="361"/>
      </w:pPr>
      <w:rPr>
        <w:rFonts w:hint="default"/>
      </w:rPr>
    </w:lvl>
    <w:lvl w:ilvl="5" w:tplc="CA3AD26C">
      <w:start w:val="1"/>
      <w:numFmt w:val="bullet"/>
      <w:lvlText w:val="•"/>
      <w:lvlJc w:val="left"/>
      <w:pPr>
        <w:ind w:left="5660" w:hanging="361"/>
      </w:pPr>
      <w:rPr>
        <w:rFonts w:hint="default"/>
      </w:rPr>
    </w:lvl>
    <w:lvl w:ilvl="6" w:tplc="0D16556A">
      <w:start w:val="1"/>
      <w:numFmt w:val="bullet"/>
      <w:lvlText w:val="•"/>
      <w:lvlJc w:val="left"/>
      <w:pPr>
        <w:ind w:left="6536" w:hanging="361"/>
      </w:pPr>
      <w:rPr>
        <w:rFonts w:hint="default"/>
      </w:rPr>
    </w:lvl>
    <w:lvl w:ilvl="7" w:tplc="5F666766">
      <w:start w:val="1"/>
      <w:numFmt w:val="bullet"/>
      <w:lvlText w:val="•"/>
      <w:lvlJc w:val="left"/>
      <w:pPr>
        <w:ind w:left="7412" w:hanging="361"/>
      </w:pPr>
      <w:rPr>
        <w:rFonts w:hint="default"/>
      </w:rPr>
    </w:lvl>
    <w:lvl w:ilvl="8" w:tplc="5122F4D4">
      <w:start w:val="1"/>
      <w:numFmt w:val="bullet"/>
      <w:lvlText w:val="•"/>
      <w:lvlJc w:val="left"/>
      <w:pPr>
        <w:ind w:left="8288" w:hanging="361"/>
      </w:pPr>
      <w:rPr>
        <w:rFonts w:hint="default"/>
      </w:rPr>
    </w:lvl>
  </w:abstractNum>
  <w:abstractNum w:abstractNumId="13" w15:restartNumberingAfterBreak="0">
    <w:nsid w:val="6EFA3B95"/>
    <w:multiLevelType w:val="hybridMultilevel"/>
    <w:tmpl w:val="270E9F8A"/>
    <w:lvl w:ilvl="0" w:tplc="0F267ADE">
      <w:start w:val="1"/>
      <w:numFmt w:val="bullet"/>
      <w:lvlText w:val=""/>
      <w:lvlJc w:val="left"/>
      <w:pPr>
        <w:ind w:left="203" w:hanging="277"/>
      </w:pPr>
      <w:rPr>
        <w:rFonts w:ascii="Symbol" w:eastAsia="Symbol" w:hAnsi="Symbol" w:hint="default"/>
        <w:w w:val="99"/>
        <w:sz w:val="20"/>
        <w:szCs w:val="20"/>
      </w:rPr>
    </w:lvl>
    <w:lvl w:ilvl="1" w:tplc="00EEF50E">
      <w:start w:val="1"/>
      <w:numFmt w:val="bullet"/>
      <w:lvlText w:val="•"/>
      <w:lvlJc w:val="left"/>
      <w:pPr>
        <w:ind w:left="874" w:hanging="277"/>
      </w:pPr>
      <w:rPr>
        <w:rFonts w:hint="default"/>
      </w:rPr>
    </w:lvl>
    <w:lvl w:ilvl="2" w:tplc="AE7AF42A">
      <w:start w:val="1"/>
      <w:numFmt w:val="bullet"/>
      <w:lvlText w:val="•"/>
      <w:lvlJc w:val="left"/>
      <w:pPr>
        <w:ind w:left="1545" w:hanging="277"/>
      </w:pPr>
      <w:rPr>
        <w:rFonts w:hint="default"/>
      </w:rPr>
    </w:lvl>
    <w:lvl w:ilvl="3" w:tplc="B9F0A564">
      <w:start w:val="1"/>
      <w:numFmt w:val="bullet"/>
      <w:lvlText w:val="•"/>
      <w:lvlJc w:val="left"/>
      <w:pPr>
        <w:ind w:left="2217" w:hanging="277"/>
      </w:pPr>
      <w:rPr>
        <w:rFonts w:hint="default"/>
      </w:rPr>
    </w:lvl>
    <w:lvl w:ilvl="4" w:tplc="5CF6DEF6">
      <w:start w:val="1"/>
      <w:numFmt w:val="bullet"/>
      <w:lvlText w:val="•"/>
      <w:lvlJc w:val="left"/>
      <w:pPr>
        <w:ind w:left="2888" w:hanging="277"/>
      </w:pPr>
      <w:rPr>
        <w:rFonts w:hint="default"/>
      </w:rPr>
    </w:lvl>
    <w:lvl w:ilvl="5" w:tplc="21D0926E">
      <w:start w:val="1"/>
      <w:numFmt w:val="bullet"/>
      <w:lvlText w:val="•"/>
      <w:lvlJc w:val="left"/>
      <w:pPr>
        <w:ind w:left="3560" w:hanging="277"/>
      </w:pPr>
      <w:rPr>
        <w:rFonts w:hint="default"/>
      </w:rPr>
    </w:lvl>
    <w:lvl w:ilvl="6" w:tplc="0366C15A">
      <w:start w:val="1"/>
      <w:numFmt w:val="bullet"/>
      <w:lvlText w:val="•"/>
      <w:lvlJc w:val="left"/>
      <w:pPr>
        <w:ind w:left="4231" w:hanging="277"/>
      </w:pPr>
      <w:rPr>
        <w:rFonts w:hint="default"/>
      </w:rPr>
    </w:lvl>
    <w:lvl w:ilvl="7" w:tplc="2C144538">
      <w:start w:val="1"/>
      <w:numFmt w:val="bullet"/>
      <w:lvlText w:val="•"/>
      <w:lvlJc w:val="left"/>
      <w:pPr>
        <w:ind w:left="4902" w:hanging="277"/>
      </w:pPr>
      <w:rPr>
        <w:rFonts w:hint="default"/>
      </w:rPr>
    </w:lvl>
    <w:lvl w:ilvl="8" w:tplc="058AFEA6">
      <w:start w:val="1"/>
      <w:numFmt w:val="bullet"/>
      <w:lvlText w:val="•"/>
      <w:lvlJc w:val="left"/>
      <w:pPr>
        <w:ind w:left="5574" w:hanging="277"/>
      </w:pPr>
      <w:rPr>
        <w:rFonts w:hint="default"/>
      </w:rPr>
    </w:lvl>
  </w:abstractNum>
  <w:abstractNum w:abstractNumId="14" w15:restartNumberingAfterBreak="0">
    <w:nsid w:val="7DEF053C"/>
    <w:multiLevelType w:val="hybridMultilevel"/>
    <w:tmpl w:val="E348BF66"/>
    <w:lvl w:ilvl="0" w:tplc="5F2697DA">
      <w:start w:val="1"/>
      <w:numFmt w:val="lowerRoman"/>
      <w:lvlText w:val="%1."/>
      <w:lvlJc w:val="left"/>
      <w:pPr>
        <w:ind w:left="986" w:hanging="233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1" w:tplc="018CB68A">
      <w:start w:val="1"/>
      <w:numFmt w:val="bullet"/>
      <w:lvlText w:val="•"/>
      <w:lvlJc w:val="left"/>
      <w:pPr>
        <w:ind w:left="1892" w:hanging="233"/>
      </w:pPr>
      <w:rPr>
        <w:rFonts w:hint="default"/>
      </w:rPr>
    </w:lvl>
    <w:lvl w:ilvl="2" w:tplc="3A0C341E">
      <w:start w:val="1"/>
      <w:numFmt w:val="bullet"/>
      <w:lvlText w:val="•"/>
      <w:lvlJc w:val="left"/>
      <w:pPr>
        <w:ind w:left="2797" w:hanging="233"/>
      </w:pPr>
      <w:rPr>
        <w:rFonts w:hint="default"/>
      </w:rPr>
    </w:lvl>
    <w:lvl w:ilvl="3" w:tplc="BA5C0E84">
      <w:start w:val="1"/>
      <w:numFmt w:val="bullet"/>
      <w:lvlText w:val="•"/>
      <w:lvlJc w:val="left"/>
      <w:pPr>
        <w:ind w:left="3702" w:hanging="233"/>
      </w:pPr>
      <w:rPr>
        <w:rFonts w:hint="default"/>
      </w:rPr>
    </w:lvl>
    <w:lvl w:ilvl="4" w:tplc="5B182F92">
      <w:start w:val="1"/>
      <w:numFmt w:val="bullet"/>
      <w:lvlText w:val="•"/>
      <w:lvlJc w:val="left"/>
      <w:pPr>
        <w:ind w:left="4608" w:hanging="233"/>
      </w:pPr>
      <w:rPr>
        <w:rFonts w:hint="default"/>
      </w:rPr>
    </w:lvl>
    <w:lvl w:ilvl="5" w:tplc="842863EC">
      <w:start w:val="1"/>
      <w:numFmt w:val="bullet"/>
      <w:lvlText w:val="•"/>
      <w:lvlJc w:val="left"/>
      <w:pPr>
        <w:ind w:left="5513" w:hanging="233"/>
      </w:pPr>
      <w:rPr>
        <w:rFonts w:hint="default"/>
      </w:rPr>
    </w:lvl>
    <w:lvl w:ilvl="6" w:tplc="D67A8F7C">
      <w:start w:val="1"/>
      <w:numFmt w:val="bullet"/>
      <w:lvlText w:val="•"/>
      <w:lvlJc w:val="left"/>
      <w:pPr>
        <w:ind w:left="6418" w:hanging="233"/>
      </w:pPr>
      <w:rPr>
        <w:rFonts w:hint="default"/>
      </w:rPr>
    </w:lvl>
    <w:lvl w:ilvl="7" w:tplc="0D5E2F5A">
      <w:start w:val="1"/>
      <w:numFmt w:val="bullet"/>
      <w:lvlText w:val="•"/>
      <w:lvlJc w:val="left"/>
      <w:pPr>
        <w:ind w:left="7324" w:hanging="233"/>
      </w:pPr>
      <w:rPr>
        <w:rFonts w:hint="default"/>
      </w:rPr>
    </w:lvl>
    <w:lvl w:ilvl="8" w:tplc="18200638">
      <w:start w:val="1"/>
      <w:numFmt w:val="bullet"/>
      <w:lvlText w:val="•"/>
      <w:lvlJc w:val="left"/>
      <w:pPr>
        <w:ind w:left="8229" w:hanging="233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3"/>
  </w:num>
  <w:num w:numId="9">
    <w:abstractNumId w:val="7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B42"/>
    <w:rsid w:val="0002247D"/>
    <w:rsid w:val="000643AC"/>
    <w:rsid w:val="000C3131"/>
    <w:rsid w:val="000C4270"/>
    <w:rsid w:val="000D6295"/>
    <w:rsid w:val="000F0938"/>
    <w:rsid w:val="001342BC"/>
    <w:rsid w:val="00134392"/>
    <w:rsid w:val="00191BB7"/>
    <w:rsid w:val="00193AF3"/>
    <w:rsid w:val="001B5166"/>
    <w:rsid w:val="00204006"/>
    <w:rsid w:val="00211BC3"/>
    <w:rsid w:val="00221F54"/>
    <w:rsid w:val="0022347A"/>
    <w:rsid w:val="002265A0"/>
    <w:rsid w:val="0024279F"/>
    <w:rsid w:val="002A4835"/>
    <w:rsid w:val="002D0A9C"/>
    <w:rsid w:val="002D50D3"/>
    <w:rsid w:val="002E17D7"/>
    <w:rsid w:val="002E187B"/>
    <w:rsid w:val="002E1AC9"/>
    <w:rsid w:val="00315CE2"/>
    <w:rsid w:val="00321D9B"/>
    <w:rsid w:val="003256FA"/>
    <w:rsid w:val="00354EDE"/>
    <w:rsid w:val="003610A1"/>
    <w:rsid w:val="00367F29"/>
    <w:rsid w:val="0037757C"/>
    <w:rsid w:val="003A5E0C"/>
    <w:rsid w:val="003F5E3F"/>
    <w:rsid w:val="00443BB1"/>
    <w:rsid w:val="004D0CD9"/>
    <w:rsid w:val="004F5114"/>
    <w:rsid w:val="00511EA3"/>
    <w:rsid w:val="00547DC7"/>
    <w:rsid w:val="00562EE8"/>
    <w:rsid w:val="0059768F"/>
    <w:rsid w:val="005A34F0"/>
    <w:rsid w:val="005D0097"/>
    <w:rsid w:val="005D6B42"/>
    <w:rsid w:val="005F041C"/>
    <w:rsid w:val="006128F3"/>
    <w:rsid w:val="00634471"/>
    <w:rsid w:val="00641188"/>
    <w:rsid w:val="0064424B"/>
    <w:rsid w:val="0065214D"/>
    <w:rsid w:val="00695E3B"/>
    <w:rsid w:val="006A4D6D"/>
    <w:rsid w:val="006D03BF"/>
    <w:rsid w:val="006E2D66"/>
    <w:rsid w:val="006F0A7C"/>
    <w:rsid w:val="00725952"/>
    <w:rsid w:val="00760346"/>
    <w:rsid w:val="007F4D20"/>
    <w:rsid w:val="008104F4"/>
    <w:rsid w:val="008339DB"/>
    <w:rsid w:val="00836559"/>
    <w:rsid w:val="00850C5B"/>
    <w:rsid w:val="0085176F"/>
    <w:rsid w:val="00855DF9"/>
    <w:rsid w:val="00886CB0"/>
    <w:rsid w:val="008B332C"/>
    <w:rsid w:val="008E6DBA"/>
    <w:rsid w:val="008F0E95"/>
    <w:rsid w:val="008F75F0"/>
    <w:rsid w:val="00907010"/>
    <w:rsid w:val="00933E48"/>
    <w:rsid w:val="0099186D"/>
    <w:rsid w:val="009936C9"/>
    <w:rsid w:val="009A3478"/>
    <w:rsid w:val="009B1CD4"/>
    <w:rsid w:val="009E664C"/>
    <w:rsid w:val="009F25BB"/>
    <w:rsid w:val="00A250A5"/>
    <w:rsid w:val="00A731EE"/>
    <w:rsid w:val="00AA57E1"/>
    <w:rsid w:val="00AB583E"/>
    <w:rsid w:val="00B071FB"/>
    <w:rsid w:val="00B252B6"/>
    <w:rsid w:val="00B476C3"/>
    <w:rsid w:val="00B75F57"/>
    <w:rsid w:val="00BA3CC3"/>
    <w:rsid w:val="00BE1CD8"/>
    <w:rsid w:val="00BF5856"/>
    <w:rsid w:val="00CC2805"/>
    <w:rsid w:val="00CD0895"/>
    <w:rsid w:val="00CF07B7"/>
    <w:rsid w:val="00CF5AC5"/>
    <w:rsid w:val="00D018B5"/>
    <w:rsid w:val="00D0726D"/>
    <w:rsid w:val="00D279D7"/>
    <w:rsid w:val="00D61B4D"/>
    <w:rsid w:val="00D71157"/>
    <w:rsid w:val="00D9680C"/>
    <w:rsid w:val="00DB251A"/>
    <w:rsid w:val="00DB5E79"/>
    <w:rsid w:val="00DC66E4"/>
    <w:rsid w:val="00DE6D89"/>
    <w:rsid w:val="00E2231B"/>
    <w:rsid w:val="00E51A37"/>
    <w:rsid w:val="00E5664C"/>
    <w:rsid w:val="00EA5578"/>
    <w:rsid w:val="00EC79CC"/>
    <w:rsid w:val="00EE1236"/>
    <w:rsid w:val="00EE3296"/>
    <w:rsid w:val="00F30F99"/>
    <w:rsid w:val="00F4347E"/>
    <w:rsid w:val="00F83700"/>
    <w:rsid w:val="00FB116A"/>
    <w:rsid w:val="00FB7BE8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52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958" w:hanging="403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1"/>
      <w:ind w:left="5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E51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1A37"/>
  </w:style>
  <w:style w:type="paragraph" w:styleId="Footer">
    <w:name w:val="footer"/>
    <w:basedOn w:val="Normal"/>
    <w:link w:val="FooterChar"/>
    <w:unhideWhenUsed/>
    <w:rsid w:val="00E51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1A37"/>
  </w:style>
  <w:style w:type="character" w:styleId="PageNumber">
    <w:name w:val="page number"/>
    <w:basedOn w:val="DefaultParagraphFont"/>
    <w:semiHidden/>
    <w:rsid w:val="0093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8" ma:contentTypeDescription="Izveidot jaunu dokumentu." ma:contentTypeScope="" ma:versionID="38255f5ef405f350c8f803e41a661b77">
  <xsd:schema xmlns:xsd="http://www.w3.org/2001/XMLSchema" xmlns:xs="http://www.w3.org/2001/XMLSchema" xmlns:p="http://schemas.microsoft.com/office/2006/metadata/properties" xmlns:ns2="1d57a815-79e8-498e-8f04-9c2e9221b678" targetNamespace="http://schemas.microsoft.com/office/2006/metadata/properties" ma:root="true" ma:fieldsID="848929c235a99b6ed80ff1a960403283" ns2:_="">
    <xsd:import namespace="1d57a815-79e8-498e-8f04-9c2e9221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F922F-75F3-4D02-8825-9A1DBF7F61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3E41A-CA9A-4B5B-A8E9-9F59FA88F39A}"/>
</file>

<file path=customXml/itemProps3.xml><?xml version="1.0" encoding="utf-8"?>
<ds:datastoreItem xmlns:ds="http://schemas.openxmlformats.org/officeDocument/2006/customXml" ds:itemID="{4C72EF7C-7EF6-46AC-B4DD-040706714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14602</Words>
  <Characters>8324</Characters>
  <Application>Microsoft Office Word</Application>
  <DocSecurity>0</DocSecurity>
  <Lines>69</Lines>
  <Paragraphs>45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2021-05-20T12:52:00Z</dcterms:created>
  <dcterms:modified xsi:type="dcterms:W3CDTF">2021-06-22T08:51:00Z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</Properties>
</file>