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55F8" w14:textId="5AF02070" w:rsidR="00573E92" w:rsidRDefault="00573E92" w:rsidP="00FB35D8">
      <w:pPr>
        <w:jc w:val="both"/>
        <w:rPr>
          <w:rFonts w:ascii="Times New Roman" w:eastAsia="Times New Roman" w:hAnsi="Times New Roman" w:cs="Times New Roman"/>
          <w:noProof/>
          <w:sz w:val="24"/>
          <w:szCs w:val="21"/>
        </w:rPr>
      </w:pPr>
    </w:p>
    <w:p w14:paraId="49193F28" w14:textId="45AD3BAE" w:rsidR="00FB35D8" w:rsidRPr="00FB35D8" w:rsidRDefault="00FB35D8" w:rsidP="00FB35D8">
      <w:pPr>
        <w:jc w:val="center"/>
        <w:rPr>
          <w:rFonts w:ascii="Times New Roman" w:eastAsia="Times New Roman" w:hAnsi="Times New Roman" w:cs="Times New Roman"/>
          <w:b/>
          <w:bCs/>
          <w:noProof/>
          <w:sz w:val="24"/>
          <w:szCs w:val="21"/>
        </w:rPr>
      </w:pPr>
      <w:r>
        <w:rPr>
          <w:rFonts w:ascii="Times New Roman" w:hAnsi="Times New Roman"/>
          <w:b/>
          <w:i/>
          <w:sz w:val="24"/>
        </w:rPr>
        <w:t xml:space="preserve">WADA </w:t>
      </w:r>
      <w:r>
        <w:rPr>
          <w:rFonts w:ascii="Times New Roman" w:hAnsi="Times New Roman"/>
          <w:b/>
          <w:sz w:val="24"/>
          <w:u w:val="single"/>
        </w:rPr>
        <w:t>tehniskais dokuments</w:t>
      </w:r>
      <w:r>
        <w:rPr>
          <w:rFonts w:ascii="Times New Roman" w:hAnsi="Times New Roman"/>
          <w:b/>
          <w:sz w:val="24"/>
        </w:rPr>
        <w:t xml:space="preserve"> – TD2019DL v. 2.0</w:t>
      </w:r>
    </w:p>
    <w:p w14:paraId="441FD6CA" w14:textId="77777777" w:rsidR="00FB35D8" w:rsidRPr="00FB35D8" w:rsidRDefault="00FB35D8" w:rsidP="00FB35D8">
      <w:pPr>
        <w:jc w:val="both"/>
        <w:rPr>
          <w:rFonts w:ascii="Times New Roman" w:eastAsia="Times New Roman"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731"/>
        <w:gridCol w:w="3118"/>
        <w:gridCol w:w="1984"/>
        <w:gridCol w:w="2295"/>
      </w:tblGrid>
      <w:tr w:rsidR="00FB35D8" w:rsidRPr="00FB35D8" w14:paraId="0C77CEC0" w14:textId="77777777" w:rsidTr="00683A80">
        <w:tc>
          <w:tcPr>
            <w:tcW w:w="948" w:type="pct"/>
            <w:tcBorders>
              <w:top w:val="single" w:sz="5" w:space="0" w:color="000000"/>
              <w:left w:val="single" w:sz="5" w:space="0" w:color="000000"/>
              <w:bottom w:val="single" w:sz="5" w:space="0" w:color="000000"/>
              <w:right w:val="single" w:sz="5" w:space="0" w:color="000000"/>
            </w:tcBorders>
          </w:tcPr>
          <w:p w14:paraId="5320BF18"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Dokumenta numurs:</w:t>
            </w:r>
          </w:p>
        </w:tc>
        <w:tc>
          <w:tcPr>
            <w:tcW w:w="1708" w:type="pct"/>
            <w:tcBorders>
              <w:top w:val="single" w:sz="5" w:space="0" w:color="000000"/>
              <w:left w:val="single" w:sz="5" w:space="0" w:color="000000"/>
              <w:bottom w:val="single" w:sz="5" w:space="0" w:color="000000"/>
              <w:right w:val="single" w:sz="5" w:space="0" w:color="000000"/>
            </w:tcBorders>
          </w:tcPr>
          <w:p w14:paraId="2A4FD7CF"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TD2019DL</w:t>
            </w:r>
          </w:p>
        </w:tc>
        <w:tc>
          <w:tcPr>
            <w:tcW w:w="1087" w:type="pct"/>
            <w:tcBorders>
              <w:top w:val="single" w:sz="5" w:space="0" w:color="000000"/>
              <w:left w:val="single" w:sz="5" w:space="0" w:color="000000"/>
              <w:bottom w:val="single" w:sz="5" w:space="0" w:color="000000"/>
              <w:right w:val="single" w:sz="5" w:space="0" w:color="000000"/>
            </w:tcBorders>
          </w:tcPr>
          <w:p w14:paraId="5416E834"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Versijas numurs:</w:t>
            </w:r>
          </w:p>
        </w:tc>
        <w:tc>
          <w:tcPr>
            <w:tcW w:w="1258" w:type="pct"/>
            <w:tcBorders>
              <w:top w:val="single" w:sz="5" w:space="0" w:color="000000"/>
              <w:left w:val="single" w:sz="5" w:space="0" w:color="000000"/>
              <w:bottom w:val="single" w:sz="5" w:space="0" w:color="000000"/>
              <w:right w:val="single" w:sz="5" w:space="0" w:color="000000"/>
            </w:tcBorders>
          </w:tcPr>
          <w:p w14:paraId="0DD70216"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2.0</w:t>
            </w:r>
          </w:p>
        </w:tc>
      </w:tr>
      <w:tr w:rsidR="00FB35D8" w:rsidRPr="00FB35D8" w14:paraId="1BAF6C6C" w14:textId="77777777" w:rsidTr="00683A80">
        <w:tc>
          <w:tcPr>
            <w:tcW w:w="948" w:type="pct"/>
            <w:tcBorders>
              <w:top w:val="single" w:sz="5" w:space="0" w:color="000000"/>
              <w:left w:val="single" w:sz="5" w:space="0" w:color="000000"/>
              <w:bottom w:val="single" w:sz="5" w:space="0" w:color="000000"/>
              <w:right w:val="single" w:sz="5" w:space="0" w:color="000000"/>
            </w:tcBorders>
          </w:tcPr>
          <w:p w14:paraId="6B435D89"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Sagatavoja:</w:t>
            </w:r>
          </w:p>
        </w:tc>
        <w:tc>
          <w:tcPr>
            <w:tcW w:w="1708" w:type="pct"/>
            <w:tcBorders>
              <w:top w:val="single" w:sz="5" w:space="0" w:color="000000"/>
              <w:left w:val="single" w:sz="5" w:space="0" w:color="000000"/>
              <w:bottom w:val="single" w:sz="5" w:space="0" w:color="000000"/>
              <w:right w:val="single" w:sz="5" w:space="0" w:color="000000"/>
            </w:tcBorders>
          </w:tcPr>
          <w:p w14:paraId="12683D0B" w14:textId="77777777" w:rsidR="00573E92" w:rsidRPr="00FB35D8" w:rsidRDefault="00573E92" w:rsidP="00FB35D8">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Laboratorijas ekspertu grupa</w:t>
            </w:r>
          </w:p>
        </w:tc>
        <w:tc>
          <w:tcPr>
            <w:tcW w:w="1087" w:type="pct"/>
            <w:tcBorders>
              <w:top w:val="single" w:sz="5" w:space="0" w:color="000000"/>
              <w:left w:val="single" w:sz="5" w:space="0" w:color="000000"/>
              <w:bottom w:val="single" w:sz="5" w:space="0" w:color="000000"/>
              <w:right w:val="single" w:sz="5" w:space="0" w:color="000000"/>
            </w:tcBorders>
          </w:tcPr>
          <w:p w14:paraId="43FA949B"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Apstiprinājusi:</w:t>
            </w:r>
          </w:p>
        </w:tc>
        <w:tc>
          <w:tcPr>
            <w:tcW w:w="1258" w:type="pct"/>
            <w:tcBorders>
              <w:top w:val="single" w:sz="5" w:space="0" w:color="000000"/>
              <w:left w:val="single" w:sz="5" w:space="0" w:color="000000"/>
              <w:bottom w:val="single" w:sz="5" w:space="0" w:color="000000"/>
              <w:right w:val="single" w:sz="5" w:space="0" w:color="000000"/>
            </w:tcBorders>
          </w:tcPr>
          <w:p w14:paraId="7F23CE54" w14:textId="77777777" w:rsidR="00573E92" w:rsidRPr="00FB35D8" w:rsidRDefault="00573E92" w:rsidP="00FB35D8">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izpildkomiteja</w:t>
            </w:r>
          </w:p>
        </w:tc>
      </w:tr>
      <w:tr w:rsidR="00FB35D8" w:rsidRPr="00FB35D8" w14:paraId="54B28717" w14:textId="77777777" w:rsidTr="00683A80">
        <w:tc>
          <w:tcPr>
            <w:tcW w:w="948" w:type="pct"/>
            <w:tcBorders>
              <w:top w:val="single" w:sz="5" w:space="0" w:color="000000"/>
              <w:left w:val="single" w:sz="5" w:space="0" w:color="000000"/>
              <w:bottom w:val="single" w:sz="5" w:space="0" w:color="000000"/>
              <w:right w:val="single" w:sz="5" w:space="0" w:color="000000"/>
            </w:tcBorders>
          </w:tcPr>
          <w:p w14:paraId="33DF211C"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Datums:</w:t>
            </w:r>
          </w:p>
        </w:tc>
        <w:tc>
          <w:tcPr>
            <w:tcW w:w="1708" w:type="pct"/>
            <w:tcBorders>
              <w:top w:val="single" w:sz="5" w:space="0" w:color="000000"/>
              <w:left w:val="single" w:sz="5" w:space="0" w:color="000000"/>
              <w:bottom w:val="single" w:sz="5" w:space="0" w:color="000000"/>
              <w:right w:val="single" w:sz="5" w:space="0" w:color="000000"/>
            </w:tcBorders>
          </w:tcPr>
          <w:p w14:paraId="1205F9A7"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2019. gada 15. maijs</w:t>
            </w:r>
          </w:p>
        </w:tc>
        <w:tc>
          <w:tcPr>
            <w:tcW w:w="1087" w:type="pct"/>
            <w:tcBorders>
              <w:top w:val="single" w:sz="5" w:space="0" w:color="000000"/>
              <w:left w:val="single" w:sz="5" w:space="0" w:color="000000"/>
              <w:bottom w:val="single" w:sz="5" w:space="0" w:color="000000"/>
              <w:right w:val="single" w:sz="5" w:space="0" w:color="000000"/>
            </w:tcBorders>
          </w:tcPr>
          <w:p w14:paraId="0A474447"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Spēkā stāšanās datums:</w:t>
            </w:r>
          </w:p>
        </w:tc>
        <w:tc>
          <w:tcPr>
            <w:tcW w:w="1258" w:type="pct"/>
            <w:tcBorders>
              <w:top w:val="single" w:sz="5" w:space="0" w:color="000000"/>
              <w:left w:val="single" w:sz="5" w:space="0" w:color="000000"/>
              <w:bottom w:val="single" w:sz="5" w:space="0" w:color="000000"/>
              <w:right w:val="single" w:sz="5" w:space="0" w:color="000000"/>
            </w:tcBorders>
          </w:tcPr>
          <w:p w14:paraId="6B130BA4" w14:textId="77777777" w:rsidR="00573E92" w:rsidRPr="00FB35D8" w:rsidRDefault="00573E92" w:rsidP="00FB35D8">
            <w:pPr>
              <w:pStyle w:val="TableParagraph"/>
              <w:jc w:val="both"/>
              <w:rPr>
                <w:rFonts w:ascii="Times New Roman" w:hAnsi="Times New Roman"/>
                <w:noProof/>
                <w:sz w:val="20"/>
                <w:szCs w:val="20"/>
              </w:rPr>
            </w:pPr>
            <w:r>
              <w:rPr>
                <w:rFonts w:ascii="Times New Roman" w:hAnsi="Times New Roman"/>
                <w:sz w:val="20"/>
              </w:rPr>
              <w:t>2019. gada 1. septembris</w:t>
            </w:r>
          </w:p>
        </w:tc>
      </w:tr>
    </w:tbl>
    <w:p w14:paraId="5FF56894" w14:textId="77777777" w:rsidR="00573E92" w:rsidRPr="00FB35D8" w:rsidRDefault="00573E92" w:rsidP="00FB35D8">
      <w:pPr>
        <w:jc w:val="both"/>
        <w:rPr>
          <w:rFonts w:ascii="Times New Roman" w:eastAsia="Times New Roman" w:hAnsi="Times New Roman" w:cs="Times New Roman"/>
          <w:noProof/>
          <w:sz w:val="24"/>
          <w:szCs w:val="20"/>
        </w:rPr>
      </w:pPr>
    </w:p>
    <w:p w14:paraId="46F3E3C4" w14:textId="77777777" w:rsidR="00573E92" w:rsidRPr="00FB35D8" w:rsidRDefault="00573E92" w:rsidP="00FB35D8">
      <w:pPr>
        <w:pStyle w:val="Heading1"/>
        <w:spacing w:before="0"/>
        <w:ind w:left="0"/>
        <w:jc w:val="center"/>
        <w:rPr>
          <w:rFonts w:ascii="Times New Roman" w:hAnsi="Times New Roman"/>
          <w:b w:val="0"/>
          <w:bCs w:val="0"/>
          <w:noProof/>
          <w:u w:val="none"/>
        </w:rPr>
      </w:pPr>
      <w:r>
        <w:rPr>
          <w:rFonts w:ascii="Times New Roman" w:hAnsi="Times New Roman"/>
        </w:rPr>
        <w:t>IZŠĶIRŠANAS ROBEŽAS</w:t>
      </w:r>
      <w:r>
        <w:rPr>
          <w:rFonts w:ascii="Times New Roman" w:hAnsi="Times New Roman"/>
          <w:u w:val="none"/>
        </w:rPr>
        <w:t xml:space="preserve"> APSTIPRINĀTĀ </w:t>
      </w:r>
      <w:r>
        <w:rPr>
          <w:rFonts w:ascii="Times New Roman" w:hAnsi="Times New Roman"/>
        </w:rPr>
        <w:t>SLIEKŠŅA VIELU</w:t>
      </w:r>
      <w:r>
        <w:rPr>
          <w:rFonts w:ascii="Times New Roman" w:hAnsi="Times New Roman"/>
          <w:u w:val="none"/>
        </w:rPr>
        <w:t xml:space="preserve"> DAUDZUMA NOTEIKŠANAI</w:t>
      </w:r>
    </w:p>
    <w:p w14:paraId="1575AE9F" w14:textId="77777777" w:rsidR="00573E92" w:rsidRPr="00FB35D8" w:rsidRDefault="00573E92" w:rsidP="00FB35D8">
      <w:pPr>
        <w:jc w:val="both"/>
        <w:rPr>
          <w:rFonts w:ascii="Times New Roman" w:eastAsia="Arial" w:hAnsi="Times New Roman" w:cs="Arial"/>
          <w:b/>
          <w:bCs/>
          <w:noProof/>
          <w:sz w:val="24"/>
          <w:szCs w:val="15"/>
        </w:rPr>
      </w:pPr>
    </w:p>
    <w:p w14:paraId="5EB8CA20" w14:textId="4E8FC6C8" w:rsidR="00573E92" w:rsidRPr="00FB35D8" w:rsidRDefault="00FB35D8" w:rsidP="00FB35D8">
      <w:pPr>
        <w:tabs>
          <w:tab w:val="left" w:pos="670"/>
        </w:tabs>
        <w:jc w:val="both"/>
        <w:rPr>
          <w:rFonts w:ascii="Times New Roman" w:hAnsi="Times New Roman"/>
          <w:b/>
          <w:noProof/>
          <w:sz w:val="24"/>
        </w:rPr>
      </w:pPr>
      <w:r>
        <w:rPr>
          <w:rFonts w:ascii="Times New Roman" w:hAnsi="Times New Roman"/>
          <w:b/>
          <w:sz w:val="24"/>
        </w:rPr>
        <w:t>1.0. Ievads</w:t>
      </w:r>
    </w:p>
    <w:p w14:paraId="19606845" w14:textId="77777777" w:rsidR="00FB35D8" w:rsidRDefault="00FB35D8" w:rsidP="00FB35D8">
      <w:pPr>
        <w:pStyle w:val="BodyText"/>
        <w:spacing w:before="0"/>
        <w:ind w:left="0"/>
        <w:jc w:val="both"/>
        <w:rPr>
          <w:rFonts w:ascii="Times New Roman" w:hAnsi="Times New Roman"/>
          <w:noProof/>
          <w:sz w:val="24"/>
          <w:u w:val="none"/>
        </w:rPr>
      </w:pPr>
    </w:p>
    <w:p w14:paraId="722F0896" w14:textId="0AFFFB82"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Šo </w:t>
      </w:r>
      <w:r>
        <w:rPr>
          <w:rFonts w:ascii="Times New Roman" w:hAnsi="Times New Roman"/>
          <w:sz w:val="24"/>
        </w:rPr>
        <w:t>tehnisko dokumentu</w:t>
      </w:r>
      <w:r>
        <w:rPr>
          <w:rFonts w:ascii="Times New Roman" w:hAnsi="Times New Roman"/>
          <w:sz w:val="24"/>
          <w:u w:val="none"/>
        </w:rPr>
        <w:t xml:space="preserve"> piemēro kvantitatīvai </w:t>
      </w:r>
      <w:r>
        <w:rPr>
          <w:rFonts w:ascii="Times New Roman" w:hAnsi="Times New Roman"/>
          <w:sz w:val="24"/>
        </w:rPr>
        <w:t>sliekšņa vielas</w:t>
      </w:r>
      <w:r>
        <w:rPr>
          <w:rFonts w:ascii="Times New Roman" w:hAnsi="Times New Roman"/>
          <w:sz w:val="24"/>
          <w:u w:val="none"/>
        </w:rPr>
        <w:t xml:space="preserve"> noteikšanai </w:t>
      </w:r>
      <w:r>
        <w:rPr>
          <w:rFonts w:ascii="Times New Roman" w:hAnsi="Times New Roman"/>
          <w:i/>
          <w:iCs/>
          <w:sz w:val="24"/>
          <w:u w:val="none"/>
        </w:rPr>
        <w:t>paraugā</w:t>
      </w:r>
      <w:r>
        <w:rPr>
          <w:rFonts w:ascii="Times New Roman" w:hAnsi="Times New Roman"/>
          <w:sz w:val="24"/>
          <w:u w:val="none"/>
        </w:rPr>
        <w:t xml:space="preserve">, jo īpaši ņemot vērā </w:t>
      </w:r>
      <w:r>
        <w:rPr>
          <w:rFonts w:ascii="Times New Roman" w:hAnsi="Times New Roman"/>
          <w:sz w:val="24"/>
        </w:rPr>
        <w:t>izšķiršanas robežas</w:t>
      </w:r>
      <w:r>
        <w:rPr>
          <w:rFonts w:ascii="Times New Roman" w:hAnsi="Times New Roman"/>
          <w:sz w:val="24"/>
          <w:u w:val="none"/>
        </w:rPr>
        <w:t xml:space="preserve"> (</w:t>
      </w:r>
      <w:r>
        <w:rPr>
          <w:rFonts w:ascii="Times New Roman" w:hAnsi="Times New Roman"/>
          <w:i/>
          <w:iCs/>
          <w:sz w:val="24"/>
          <w:u w:val="none"/>
        </w:rPr>
        <w:t>DL</w:t>
      </w:r>
      <w:r>
        <w:rPr>
          <w:rFonts w:ascii="Times New Roman" w:hAnsi="Times New Roman"/>
          <w:sz w:val="24"/>
          <w:u w:val="none"/>
        </w:rPr>
        <w:t xml:space="preserve">), ko piemēro, lai noteiktu, vai rezultāts liecina par </w:t>
      </w:r>
      <w:r>
        <w:rPr>
          <w:rFonts w:ascii="Times New Roman" w:hAnsi="Times New Roman"/>
          <w:i/>
          <w:iCs/>
          <w:sz w:val="24"/>
          <w:u w:val="none"/>
        </w:rPr>
        <w:t>nelabvēlīgu analīžu rezultātu</w:t>
      </w:r>
      <w:r>
        <w:rPr>
          <w:rFonts w:ascii="Times New Roman" w:hAnsi="Times New Roman"/>
          <w:sz w:val="24"/>
          <w:u w:val="none"/>
        </w:rPr>
        <w:t xml:space="preserve"> (</w:t>
      </w:r>
      <w:r>
        <w:rPr>
          <w:rFonts w:ascii="Times New Roman" w:hAnsi="Times New Roman"/>
          <w:i/>
          <w:iCs/>
          <w:sz w:val="24"/>
          <w:u w:val="none"/>
        </w:rPr>
        <w:t>AAF</w:t>
      </w:r>
      <w:r>
        <w:rPr>
          <w:rFonts w:ascii="Times New Roman" w:hAnsi="Times New Roman"/>
          <w:sz w:val="24"/>
          <w:u w:val="none"/>
        </w:rPr>
        <w:t xml:space="preserve">). Tajā aprakstīta arī </w:t>
      </w:r>
      <w:r>
        <w:rPr>
          <w:rFonts w:ascii="Times New Roman" w:hAnsi="Times New Roman"/>
          <w:sz w:val="24"/>
        </w:rPr>
        <w:t>mērījumu nenoteiktības</w:t>
      </w:r>
      <w:r>
        <w:rPr>
          <w:rFonts w:ascii="Times New Roman" w:hAnsi="Times New Roman"/>
          <w:sz w:val="24"/>
          <w:u w:val="none"/>
        </w:rPr>
        <w:t xml:space="preserve"> (</w:t>
      </w:r>
      <w:r>
        <w:rPr>
          <w:rFonts w:ascii="Times New Roman" w:hAnsi="Times New Roman"/>
          <w:i/>
          <w:iCs/>
          <w:sz w:val="24"/>
          <w:u w:val="none"/>
        </w:rPr>
        <w:t>MU</w:t>
      </w:r>
      <w:r>
        <w:rPr>
          <w:rFonts w:ascii="Times New Roman" w:hAnsi="Times New Roman"/>
          <w:sz w:val="24"/>
          <w:u w:val="none"/>
        </w:rPr>
        <w:t xml:space="preserve">) informācijas izmantošana šādu </w:t>
      </w:r>
      <w:r>
        <w:rPr>
          <w:rFonts w:ascii="Times New Roman" w:hAnsi="Times New Roman"/>
          <w:i/>
          <w:iCs/>
          <w:sz w:val="24"/>
        </w:rPr>
        <w:t>DL</w:t>
      </w:r>
      <w:r>
        <w:rPr>
          <w:rFonts w:ascii="Times New Roman" w:hAnsi="Times New Roman"/>
          <w:sz w:val="24"/>
          <w:u w:val="none"/>
        </w:rPr>
        <w:t xml:space="preserve"> noteikšanā.</w:t>
      </w:r>
    </w:p>
    <w:p w14:paraId="11C055CA" w14:textId="77777777" w:rsidR="00FB35D8" w:rsidRDefault="00FB35D8" w:rsidP="00FB35D8">
      <w:pPr>
        <w:pStyle w:val="BodyText"/>
        <w:spacing w:before="0"/>
        <w:ind w:left="0"/>
        <w:jc w:val="both"/>
        <w:rPr>
          <w:rFonts w:ascii="Times New Roman" w:hAnsi="Times New Roman"/>
          <w:noProof/>
          <w:sz w:val="24"/>
          <w:u w:val="none"/>
        </w:rPr>
      </w:pPr>
    </w:p>
    <w:p w14:paraId="11694FF7" w14:textId="1AA7DCB5"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Par </w:t>
      </w:r>
      <w:r>
        <w:rPr>
          <w:rFonts w:ascii="Times New Roman" w:hAnsi="Times New Roman"/>
          <w:sz w:val="24"/>
        </w:rPr>
        <w:t>sliekšņa vielas</w:t>
      </w:r>
      <w:r>
        <w:rPr>
          <w:rFonts w:ascii="Times New Roman" w:hAnsi="Times New Roman"/>
          <w:sz w:val="24"/>
          <w:u w:val="none"/>
        </w:rPr>
        <w:t xml:space="preserve"> mērījumu </w:t>
      </w:r>
      <w:r>
        <w:rPr>
          <w:rFonts w:ascii="Times New Roman" w:hAnsi="Times New Roman"/>
          <w:i/>
          <w:iCs/>
          <w:sz w:val="24"/>
          <w:u w:val="none"/>
        </w:rPr>
        <w:t>paraugā</w:t>
      </w:r>
      <w:r>
        <w:rPr>
          <w:rFonts w:ascii="Times New Roman" w:hAnsi="Times New Roman"/>
          <w:sz w:val="24"/>
          <w:u w:val="none"/>
        </w:rPr>
        <w:t xml:space="preserve"> ziņo kā par </w:t>
      </w:r>
      <w:r>
        <w:rPr>
          <w:rFonts w:ascii="Times New Roman" w:hAnsi="Times New Roman"/>
          <w:i/>
          <w:iCs/>
          <w:sz w:val="24"/>
          <w:u w:val="none"/>
        </w:rPr>
        <w:t>AAF</w:t>
      </w:r>
      <w:r>
        <w:rPr>
          <w:rFonts w:ascii="Times New Roman" w:hAnsi="Times New Roman"/>
          <w:sz w:val="24"/>
          <w:u w:val="none"/>
        </w:rPr>
        <w:t xml:space="preserve">, ja lielums (kas izteikts kā izmērīto analītisko lielumu koncentrācija, attiecība vai rādītājs) ar pietiekamu ticamības pakāpi (95 %) pārsniedz </w:t>
      </w:r>
      <w:r>
        <w:rPr>
          <w:rFonts w:ascii="Times New Roman" w:hAnsi="Times New Roman"/>
          <w:sz w:val="24"/>
        </w:rPr>
        <w:t>robežvērtību</w:t>
      </w:r>
      <w:r>
        <w:rPr>
          <w:rFonts w:ascii="Times New Roman" w:hAnsi="Times New Roman"/>
          <w:sz w:val="24"/>
          <w:u w:val="none"/>
        </w:rPr>
        <w:t xml:space="preserve"> (</w:t>
      </w:r>
      <w:r>
        <w:rPr>
          <w:rFonts w:ascii="Times New Roman" w:hAnsi="Times New Roman"/>
          <w:i/>
          <w:iCs/>
          <w:sz w:val="24"/>
        </w:rPr>
        <w:t>T</w:t>
      </w:r>
      <w:r>
        <w:rPr>
          <w:rFonts w:ascii="Times New Roman" w:hAnsi="Times New Roman"/>
          <w:sz w:val="24"/>
          <w:u w:val="none"/>
        </w:rPr>
        <w:t xml:space="preserve">) attiecībā uz minēto </w:t>
      </w:r>
      <w:r>
        <w:rPr>
          <w:rFonts w:ascii="Times New Roman" w:hAnsi="Times New Roman"/>
          <w:i/>
          <w:iCs/>
          <w:sz w:val="24"/>
          <w:u w:val="none"/>
        </w:rPr>
        <w:t>aizliegto vielu</w:t>
      </w:r>
      <w:r>
        <w:rPr>
          <w:rFonts w:ascii="Times New Roman" w:hAnsi="Times New Roman"/>
          <w:sz w:val="24"/>
          <w:u w:val="none"/>
        </w:rPr>
        <w:t xml:space="preserve"> (vai vielu vai </w:t>
      </w:r>
      <w:r>
        <w:rPr>
          <w:rFonts w:ascii="Times New Roman" w:hAnsi="Times New Roman"/>
          <w:i/>
          <w:iCs/>
          <w:sz w:val="24"/>
          <w:u w:val="none"/>
        </w:rPr>
        <w:t>marķieru</w:t>
      </w:r>
      <w:r>
        <w:rPr>
          <w:rFonts w:ascii="Times New Roman" w:hAnsi="Times New Roman"/>
          <w:sz w:val="24"/>
          <w:u w:val="none"/>
        </w:rPr>
        <w:t xml:space="preserve"> attiecību vai kombināciju), kā noteikusi </w:t>
      </w:r>
      <w:r>
        <w:rPr>
          <w:rFonts w:ascii="Times New Roman" w:hAnsi="Times New Roman"/>
          <w:i/>
          <w:iCs/>
          <w:sz w:val="24"/>
          <w:u w:val="none"/>
        </w:rPr>
        <w:t>WADA</w:t>
      </w:r>
      <w:r>
        <w:rPr>
          <w:rFonts w:ascii="Times New Roman" w:hAnsi="Times New Roman"/>
          <w:sz w:val="24"/>
          <w:u w:val="none"/>
        </w:rPr>
        <w:t>.</w:t>
      </w:r>
    </w:p>
    <w:p w14:paraId="34CAD9AE" w14:textId="77777777" w:rsidR="00FB35D8" w:rsidRPr="00FB35D8" w:rsidRDefault="00FB35D8" w:rsidP="00FB35D8">
      <w:pPr>
        <w:pStyle w:val="BodyText"/>
        <w:spacing w:before="0"/>
        <w:ind w:left="0"/>
        <w:jc w:val="both"/>
        <w:rPr>
          <w:rFonts w:ascii="Times New Roman" w:hAnsi="Times New Roman"/>
          <w:noProof/>
          <w:sz w:val="24"/>
          <w:u w:val="none"/>
        </w:rPr>
      </w:pPr>
    </w:p>
    <w:p w14:paraId="102D78BF" w14:textId="650DBE74"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Šajā dokumentā ir noteiktas prasības tādās jomās kā:</w:t>
      </w:r>
    </w:p>
    <w:p w14:paraId="5B50449A" w14:textId="77777777" w:rsidR="00FB35D8" w:rsidRPr="00FB35D8" w:rsidRDefault="00FB35D8" w:rsidP="00FB35D8">
      <w:pPr>
        <w:pStyle w:val="BodyText"/>
        <w:spacing w:before="0"/>
        <w:ind w:left="0"/>
        <w:jc w:val="both"/>
        <w:rPr>
          <w:rFonts w:ascii="Times New Roman" w:hAnsi="Times New Roman"/>
          <w:noProof/>
          <w:sz w:val="24"/>
          <w:u w:val="none"/>
        </w:rPr>
      </w:pPr>
    </w:p>
    <w:p w14:paraId="3B7DEBD6" w14:textId="50B5640C" w:rsidR="00573E92" w:rsidRPr="00FB35D8" w:rsidRDefault="00FB35D8" w:rsidP="00FB35D8">
      <w:pPr>
        <w:pStyle w:val="BodyText"/>
        <w:tabs>
          <w:tab w:val="left" w:pos="591"/>
        </w:tabs>
        <w:spacing w:before="0"/>
        <w:ind w:left="0"/>
        <w:jc w:val="both"/>
        <w:rPr>
          <w:rFonts w:ascii="Times New Roman" w:hAnsi="Times New Roman"/>
          <w:noProof/>
          <w:sz w:val="24"/>
          <w:u w:val="none"/>
        </w:rPr>
      </w:pPr>
      <w:r>
        <w:rPr>
          <w:rFonts w:ascii="Times New Roman" w:hAnsi="Times New Roman"/>
          <w:sz w:val="24"/>
          <w:u w:val="none"/>
        </w:rPr>
        <w:t xml:space="preserve">1. maksimālās </w:t>
      </w:r>
      <w:r>
        <w:rPr>
          <w:rFonts w:ascii="Times New Roman" w:hAnsi="Times New Roman"/>
          <w:i/>
          <w:iCs/>
          <w:sz w:val="24"/>
          <w:u w:color="000000"/>
        </w:rPr>
        <w:t>M</w:t>
      </w:r>
      <w:r>
        <w:rPr>
          <w:rFonts w:ascii="Times New Roman" w:hAnsi="Times New Roman"/>
          <w:i/>
          <w:iCs/>
          <w:sz w:val="24"/>
        </w:rPr>
        <w:t>U</w:t>
      </w:r>
      <w:r>
        <w:rPr>
          <w:rFonts w:ascii="Times New Roman" w:hAnsi="Times New Roman"/>
          <w:sz w:val="24"/>
          <w:u w:val="none"/>
        </w:rPr>
        <w:t xml:space="preserve"> vērtības;</w:t>
      </w:r>
    </w:p>
    <w:p w14:paraId="68CD5046" w14:textId="67264B15" w:rsidR="00573E92" w:rsidRPr="00FB35D8" w:rsidRDefault="00FB35D8" w:rsidP="00FB35D8">
      <w:pPr>
        <w:pStyle w:val="BodyText"/>
        <w:tabs>
          <w:tab w:val="left" w:pos="591"/>
        </w:tabs>
        <w:spacing w:before="0"/>
        <w:ind w:left="0"/>
        <w:jc w:val="both"/>
        <w:rPr>
          <w:rFonts w:ascii="Times New Roman" w:hAnsi="Times New Roman"/>
          <w:noProof/>
          <w:sz w:val="24"/>
          <w:u w:val="none"/>
        </w:rPr>
      </w:pPr>
      <w:r>
        <w:rPr>
          <w:rFonts w:ascii="Times New Roman" w:hAnsi="Times New Roman"/>
          <w:sz w:val="24"/>
          <w:u w:val="none"/>
        </w:rPr>
        <w:t xml:space="preserve">2. </w:t>
      </w:r>
      <w:r>
        <w:rPr>
          <w:rFonts w:ascii="Times New Roman" w:hAnsi="Times New Roman"/>
          <w:i/>
          <w:iCs/>
          <w:sz w:val="24"/>
          <w:u w:color="000000"/>
        </w:rPr>
        <w:t>DL</w:t>
      </w:r>
      <w:r>
        <w:rPr>
          <w:rFonts w:ascii="Times New Roman" w:hAnsi="Times New Roman"/>
          <w:sz w:val="24"/>
          <w:u w:val="none"/>
        </w:rPr>
        <w:t xml:space="preserve"> </w:t>
      </w:r>
      <w:r w:rsidR="00972EC2">
        <w:rPr>
          <w:rFonts w:ascii="Times New Roman" w:hAnsi="Times New Roman"/>
          <w:sz w:val="24"/>
          <w:u w:val="none"/>
        </w:rPr>
        <w:t>noteik</w:t>
      </w:r>
      <w:r>
        <w:rPr>
          <w:rFonts w:ascii="Times New Roman" w:hAnsi="Times New Roman"/>
          <w:sz w:val="24"/>
          <w:u w:val="none"/>
        </w:rPr>
        <w:t xml:space="preserve">šana </w:t>
      </w:r>
      <w:r>
        <w:rPr>
          <w:rFonts w:ascii="Times New Roman" w:hAnsi="Times New Roman"/>
          <w:sz w:val="24"/>
          <w:u w:color="000000"/>
        </w:rPr>
        <w:t>sliekšņa vielām</w:t>
      </w:r>
      <w:r>
        <w:rPr>
          <w:rFonts w:ascii="Times New Roman" w:hAnsi="Times New Roman"/>
          <w:sz w:val="24"/>
          <w:u w:val="none"/>
        </w:rPr>
        <w:t>;</w:t>
      </w:r>
    </w:p>
    <w:p w14:paraId="278D7DF9" w14:textId="4881BB1A" w:rsidR="00573E92" w:rsidRPr="00FB35D8" w:rsidRDefault="00FB35D8" w:rsidP="00FB35D8">
      <w:pPr>
        <w:pStyle w:val="BodyText"/>
        <w:tabs>
          <w:tab w:val="left" w:pos="591"/>
        </w:tabs>
        <w:spacing w:before="0"/>
        <w:ind w:left="0"/>
        <w:jc w:val="both"/>
        <w:rPr>
          <w:rFonts w:ascii="Times New Roman" w:hAnsi="Times New Roman"/>
          <w:noProof/>
          <w:sz w:val="24"/>
          <w:u w:val="none"/>
        </w:rPr>
      </w:pPr>
      <w:r>
        <w:rPr>
          <w:rFonts w:ascii="Times New Roman" w:hAnsi="Times New Roman"/>
          <w:sz w:val="24"/>
          <w:u w:val="none"/>
        </w:rPr>
        <w:t>3. ziņošana.</w:t>
      </w:r>
    </w:p>
    <w:p w14:paraId="7D74241E" w14:textId="77777777" w:rsidR="00FB35D8" w:rsidRDefault="00FB35D8" w:rsidP="00FB35D8">
      <w:pPr>
        <w:pStyle w:val="BodyText"/>
        <w:spacing w:before="0"/>
        <w:ind w:left="0"/>
        <w:jc w:val="both"/>
        <w:rPr>
          <w:rFonts w:ascii="Times New Roman" w:hAnsi="Times New Roman"/>
          <w:noProof/>
          <w:sz w:val="24"/>
          <w:u w:val="none"/>
        </w:rPr>
      </w:pPr>
    </w:p>
    <w:p w14:paraId="7A268C8D" w14:textId="3075714C"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Papildu norādījumi ir sniegti 1. papildinājumā, tostarp:</w:t>
      </w:r>
    </w:p>
    <w:p w14:paraId="24884295" w14:textId="77777777" w:rsidR="00FB35D8" w:rsidRPr="00FB35D8" w:rsidRDefault="00FB35D8" w:rsidP="00FB35D8">
      <w:pPr>
        <w:pStyle w:val="BodyText"/>
        <w:spacing w:before="0"/>
        <w:ind w:left="0"/>
        <w:jc w:val="both"/>
        <w:rPr>
          <w:rFonts w:ascii="Times New Roman" w:hAnsi="Times New Roman"/>
          <w:noProof/>
          <w:sz w:val="24"/>
          <w:u w:val="none"/>
        </w:rPr>
      </w:pPr>
    </w:p>
    <w:p w14:paraId="33EAE7EC" w14:textId="77777777" w:rsidR="00573E92" w:rsidRPr="00FB35D8" w:rsidRDefault="00573E92" w:rsidP="00FB35D8">
      <w:pPr>
        <w:pStyle w:val="BodyText"/>
        <w:numPr>
          <w:ilvl w:val="0"/>
          <w:numId w:val="15"/>
        </w:numPr>
        <w:spacing w:before="0"/>
        <w:ind w:left="709" w:hanging="425"/>
        <w:jc w:val="both"/>
        <w:rPr>
          <w:rFonts w:ascii="Times New Roman" w:hAnsi="Times New Roman"/>
          <w:noProof/>
          <w:sz w:val="24"/>
          <w:u w:val="none"/>
        </w:rPr>
      </w:pPr>
      <w:r>
        <w:rPr>
          <w:rFonts w:ascii="Times New Roman" w:hAnsi="Times New Roman"/>
          <w:i/>
          <w:iCs/>
          <w:sz w:val="24"/>
          <w:u w:color="000000"/>
        </w:rPr>
        <w:t>M</w:t>
      </w:r>
      <w:r>
        <w:rPr>
          <w:rFonts w:ascii="Times New Roman" w:hAnsi="Times New Roman"/>
          <w:i/>
          <w:iCs/>
          <w:sz w:val="24"/>
        </w:rPr>
        <w:t>U</w:t>
      </w:r>
      <w:r>
        <w:rPr>
          <w:rFonts w:ascii="Times New Roman" w:hAnsi="Times New Roman"/>
          <w:sz w:val="24"/>
          <w:u w:val="none"/>
        </w:rPr>
        <w:t xml:space="preserve"> aplēses;</w:t>
      </w:r>
    </w:p>
    <w:p w14:paraId="55D01563" w14:textId="77777777" w:rsidR="00573E92" w:rsidRPr="00FB35D8" w:rsidRDefault="00573E92" w:rsidP="00FB35D8">
      <w:pPr>
        <w:pStyle w:val="BodyText"/>
        <w:numPr>
          <w:ilvl w:val="0"/>
          <w:numId w:val="15"/>
        </w:numPr>
        <w:spacing w:before="0"/>
        <w:ind w:left="709" w:hanging="425"/>
        <w:jc w:val="both"/>
        <w:rPr>
          <w:rFonts w:ascii="Times New Roman" w:hAnsi="Times New Roman"/>
          <w:noProof/>
          <w:sz w:val="24"/>
          <w:u w:val="none"/>
        </w:rPr>
      </w:pPr>
      <w:r>
        <w:rPr>
          <w:rFonts w:ascii="Times New Roman" w:hAnsi="Times New Roman"/>
          <w:sz w:val="24"/>
          <w:u w:val="none"/>
        </w:rPr>
        <w:t xml:space="preserve">kvantitatīvo </w:t>
      </w:r>
      <w:r>
        <w:rPr>
          <w:rFonts w:ascii="Times New Roman" w:hAnsi="Times New Roman"/>
          <w:sz w:val="24"/>
        </w:rPr>
        <w:t>apstiprināšanas procedūru</w:t>
      </w:r>
      <w:r>
        <w:rPr>
          <w:rFonts w:ascii="Times New Roman" w:hAnsi="Times New Roman"/>
          <w:sz w:val="24"/>
          <w:u w:val="none"/>
        </w:rPr>
        <w:t xml:space="preserve"> izstrāde un validācija;</w:t>
      </w:r>
    </w:p>
    <w:p w14:paraId="2AD149D6" w14:textId="77777777" w:rsidR="00573E92" w:rsidRPr="00FB35D8" w:rsidRDefault="00573E92" w:rsidP="00FB35D8">
      <w:pPr>
        <w:pStyle w:val="BodyText"/>
        <w:numPr>
          <w:ilvl w:val="0"/>
          <w:numId w:val="15"/>
        </w:numPr>
        <w:spacing w:before="0"/>
        <w:ind w:left="709" w:hanging="425"/>
        <w:jc w:val="both"/>
        <w:rPr>
          <w:rFonts w:ascii="Times New Roman" w:hAnsi="Times New Roman"/>
          <w:noProof/>
          <w:sz w:val="24"/>
          <w:u w:val="none"/>
        </w:rPr>
      </w:pPr>
      <w:r>
        <w:rPr>
          <w:rFonts w:ascii="Times New Roman" w:hAnsi="Times New Roman"/>
          <w:i/>
          <w:iCs/>
          <w:sz w:val="24"/>
          <w:u w:color="000000"/>
        </w:rPr>
        <w:t>MU</w:t>
      </w:r>
      <w:r>
        <w:rPr>
          <w:rFonts w:ascii="Times New Roman" w:hAnsi="Times New Roman"/>
          <w:sz w:val="24"/>
          <w:u w:val="none"/>
        </w:rPr>
        <w:t xml:space="preserve"> verifikācija </w:t>
      </w:r>
      <w:r>
        <w:rPr>
          <w:rFonts w:ascii="Times New Roman" w:hAnsi="Times New Roman"/>
          <w:sz w:val="24"/>
        </w:rPr>
        <w:t>laboratorijā</w:t>
      </w:r>
      <w:r>
        <w:rPr>
          <w:rFonts w:ascii="Times New Roman" w:hAnsi="Times New Roman"/>
          <w:sz w:val="24"/>
          <w:u w:val="none"/>
        </w:rPr>
        <w:t>.</w:t>
      </w:r>
    </w:p>
    <w:p w14:paraId="3A0A6C89" w14:textId="77777777" w:rsidR="00573E92" w:rsidRPr="00FB35D8" w:rsidRDefault="00573E92" w:rsidP="00FB35D8">
      <w:pPr>
        <w:jc w:val="both"/>
        <w:rPr>
          <w:rFonts w:ascii="Times New Roman" w:eastAsia="Arial" w:hAnsi="Times New Roman" w:cs="Arial"/>
          <w:noProof/>
          <w:sz w:val="24"/>
          <w:szCs w:val="18"/>
        </w:rPr>
      </w:pPr>
    </w:p>
    <w:p w14:paraId="3CF29CC9" w14:textId="26DB0725" w:rsidR="00573E92" w:rsidRPr="00FB35D8" w:rsidRDefault="00573E92" w:rsidP="00FB35D8">
      <w:pPr>
        <w:pStyle w:val="Heading1"/>
        <w:spacing w:before="0"/>
        <w:ind w:left="0"/>
        <w:jc w:val="both"/>
        <w:rPr>
          <w:rFonts w:ascii="Times New Roman" w:hAnsi="Times New Roman"/>
          <w:b w:val="0"/>
          <w:bCs w:val="0"/>
          <w:noProof/>
          <w:u w:val="none"/>
        </w:rPr>
      </w:pPr>
      <w:r>
        <w:rPr>
          <w:rFonts w:ascii="Times New Roman" w:hAnsi="Times New Roman"/>
          <w:u w:val="none"/>
        </w:rPr>
        <w:t xml:space="preserve">2.0. </w:t>
      </w:r>
      <w:r>
        <w:rPr>
          <w:rFonts w:ascii="Times New Roman" w:hAnsi="Times New Roman"/>
        </w:rPr>
        <w:t>Mērījumu nenoteiktības</w:t>
      </w:r>
      <w:r>
        <w:rPr>
          <w:rFonts w:ascii="Times New Roman" w:hAnsi="Times New Roman"/>
          <w:u w:val="none"/>
        </w:rPr>
        <w:t xml:space="preserve"> maksimālie līmeņi</w:t>
      </w:r>
    </w:p>
    <w:p w14:paraId="13A5BF00" w14:textId="77777777" w:rsidR="00FB35D8" w:rsidRDefault="00FB35D8" w:rsidP="00FB35D8">
      <w:pPr>
        <w:pStyle w:val="BodyText"/>
        <w:spacing w:before="0"/>
        <w:ind w:left="0"/>
        <w:jc w:val="both"/>
        <w:rPr>
          <w:rFonts w:ascii="Times New Roman" w:hAnsi="Times New Roman"/>
          <w:noProof/>
          <w:sz w:val="24"/>
          <w:u w:val="none"/>
        </w:rPr>
      </w:pPr>
    </w:p>
    <w:p w14:paraId="42759CC4" w14:textId="589D19EC"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Maksimāli pieļaujamā kombinētā standarta nenoteiktība (</w:t>
      </w:r>
      <w:r>
        <w:rPr>
          <w:rFonts w:ascii="Times New Roman" w:hAnsi="Times New Roman"/>
          <w:i/>
          <w:iCs/>
          <w:sz w:val="24"/>
          <w:u w:val="none"/>
        </w:rPr>
        <w:t>u</w:t>
      </w:r>
      <w:r>
        <w:rPr>
          <w:rFonts w:ascii="Times New Roman" w:hAnsi="Times New Roman"/>
          <w:i/>
          <w:iCs/>
          <w:sz w:val="24"/>
          <w:u w:val="none"/>
          <w:vertAlign w:val="subscript"/>
        </w:rPr>
        <w:t>c_Max</w:t>
      </w:r>
      <w:r>
        <w:rPr>
          <w:rFonts w:ascii="Times New Roman" w:hAnsi="Times New Roman"/>
          <w:sz w:val="24"/>
          <w:u w:val="none"/>
        </w:rPr>
        <w:t xml:space="preserve">) ir minimālā prasība, kas </w:t>
      </w:r>
      <w:r>
        <w:rPr>
          <w:rFonts w:ascii="Times New Roman" w:hAnsi="Times New Roman"/>
          <w:sz w:val="24"/>
        </w:rPr>
        <w:t>laboratorijai</w:t>
      </w:r>
      <w:r>
        <w:rPr>
          <w:rFonts w:ascii="Times New Roman" w:hAnsi="Times New Roman"/>
          <w:sz w:val="24"/>
          <w:u w:val="none"/>
        </w:rPr>
        <w:t xml:space="preserve"> jāievēro attiecībā uz mērījuma nenoteiktību, kas aplēsta līmeņos, kuri ir tuvi </w:t>
      </w:r>
      <w:r>
        <w:rPr>
          <w:rFonts w:ascii="Times New Roman" w:hAnsi="Times New Roman"/>
          <w:sz w:val="24"/>
        </w:rPr>
        <w:t>robežvērtībai</w:t>
      </w:r>
      <w:r>
        <w:rPr>
          <w:rFonts w:ascii="Times New Roman" w:hAnsi="Times New Roman"/>
          <w:sz w:val="24"/>
          <w:u w:val="none"/>
        </w:rPr>
        <w:t xml:space="preserve">, ziņojot par </w:t>
      </w:r>
      <w:r>
        <w:rPr>
          <w:rFonts w:ascii="Times New Roman" w:hAnsi="Times New Roman"/>
          <w:sz w:val="24"/>
        </w:rPr>
        <w:t>sliekšņa vielas</w:t>
      </w:r>
      <w:r>
        <w:rPr>
          <w:rFonts w:ascii="Times New Roman" w:hAnsi="Times New Roman"/>
          <w:sz w:val="24"/>
          <w:u w:val="none"/>
        </w:rPr>
        <w:t xml:space="preserve"> noteikšanas rezultātu. </w:t>
      </w:r>
      <w:r>
        <w:rPr>
          <w:rFonts w:ascii="Times New Roman" w:hAnsi="Times New Roman"/>
          <w:i/>
          <w:sz w:val="24"/>
          <w:u w:val="none"/>
        </w:rPr>
        <w:t>u</w:t>
      </w:r>
      <w:r>
        <w:rPr>
          <w:rFonts w:ascii="Times New Roman" w:hAnsi="Times New Roman"/>
          <w:i/>
          <w:sz w:val="24"/>
          <w:u w:val="none"/>
          <w:vertAlign w:val="subscript"/>
        </w:rPr>
        <w:t>c_Max</w:t>
      </w:r>
      <w:r>
        <w:rPr>
          <w:rFonts w:ascii="Times New Roman" w:hAnsi="Times New Roman"/>
          <w:sz w:val="24"/>
          <w:u w:val="none"/>
        </w:rPr>
        <w:t xml:space="preserve"> vērtības ir noteiktas tā, lai </w:t>
      </w:r>
      <w:r>
        <w:rPr>
          <w:rFonts w:ascii="Times New Roman" w:hAnsi="Times New Roman"/>
          <w:sz w:val="24"/>
        </w:rPr>
        <w:t>laboratorija</w:t>
      </w:r>
      <w:r>
        <w:rPr>
          <w:rFonts w:ascii="Times New Roman" w:hAnsi="Times New Roman"/>
          <w:sz w:val="24"/>
          <w:u w:val="none"/>
        </w:rPr>
        <w:t xml:space="preserve"> varētu pamatoti paļauties, ka varēs strādāt to ietvaros, piemērojot kvantitatīvās </w:t>
      </w:r>
      <w:r>
        <w:rPr>
          <w:rFonts w:ascii="Times New Roman" w:hAnsi="Times New Roman"/>
          <w:sz w:val="24"/>
        </w:rPr>
        <w:t>apstiprināšanas procedūras</w:t>
      </w:r>
      <w:r>
        <w:rPr>
          <w:rFonts w:ascii="Times New Roman" w:hAnsi="Times New Roman"/>
          <w:sz w:val="24"/>
          <w:u w:val="none"/>
        </w:rPr>
        <w:t xml:space="preserve"> </w:t>
      </w:r>
      <w:r>
        <w:rPr>
          <w:rFonts w:ascii="Times New Roman" w:hAnsi="Times New Roman"/>
          <w:sz w:val="24"/>
        </w:rPr>
        <w:t>sliekšņa vielu</w:t>
      </w:r>
      <w:r>
        <w:rPr>
          <w:rFonts w:ascii="Times New Roman" w:hAnsi="Times New Roman"/>
          <w:sz w:val="24"/>
          <w:u w:val="none"/>
        </w:rPr>
        <w:t xml:space="preserve"> noteikšanai.</w:t>
      </w:r>
    </w:p>
    <w:p w14:paraId="1DF8520C" w14:textId="77777777" w:rsidR="00FB35D8" w:rsidRPr="00FB35D8" w:rsidRDefault="00FB35D8" w:rsidP="00FB35D8">
      <w:pPr>
        <w:pStyle w:val="BodyText"/>
        <w:spacing w:before="0"/>
        <w:ind w:left="0"/>
        <w:jc w:val="both"/>
        <w:rPr>
          <w:rFonts w:ascii="Times New Roman" w:hAnsi="Times New Roman"/>
          <w:noProof/>
          <w:sz w:val="24"/>
          <w:u w:val="none"/>
        </w:rPr>
      </w:pPr>
    </w:p>
    <w:p w14:paraId="7D91CFF4" w14:textId="2AE82201"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Parasti </w:t>
      </w:r>
      <w:r>
        <w:rPr>
          <w:rFonts w:ascii="Times New Roman" w:hAnsi="Times New Roman"/>
          <w:i/>
          <w:sz w:val="24"/>
          <w:u w:val="none"/>
        </w:rPr>
        <w:t>u</w:t>
      </w:r>
      <w:r>
        <w:rPr>
          <w:rFonts w:ascii="Times New Roman" w:hAnsi="Times New Roman"/>
          <w:i/>
          <w:sz w:val="24"/>
          <w:u w:val="none"/>
          <w:vertAlign w:val="subscript"/>
        </w:rPr>
        <w:t>c_Max</w:t>
      </w:r>
      <w:r>
        <w:rPr>
          <w:rFonts w:ascii="Times New Roman" w:hAnsi="Times New Roman"/>
          <w:sz w:val="24"/>
          <w:u w:val="none"/>
        </w:rPr>
        <w:t xml:space="preserve"> tiek piešķirta, izmantojot stabilus </w:t>
      </w:r>
      <w:r>
        <w:rPr>
          <w:rFonts w:ascii="Times New Roman" w:hAnsi="Times New Roman"/>
          <w:sz w:val="24"/>
        </w:rPr>
        <w:t>atveidojamības</w:t>
      </w:r>
      <w:r>
        <w:rPr>
          <w:rFonts w:ascii="Times New Roman" w:hAnsi="Times New Roman"/>
          <w:sz w:val="24"/>
          <w:u w:val="none"/>
        </w:rPr>
        <w:t xml:space="preserve"> standartnovirzes (</w:t>
      </w:r>
      <w:r>
        <w:rPr>
          <w:rFonts w:ascii="Times New Roman" w:hAnsi="Times New Roman"/>
          <w:i/>
          <w:iCs/>
          <w:sz w:val="24"/>
          <w:u w:val="none"/>
        </w:rPr>
        <w:t>SD</w:t>
      </w:r>
      <w:r>
        <w:rPr>
          <w:rFonts w:ascii="Times New Roman" w:hAnsi="Times New Roman"/>
          <w:sz w:val="24"/>
          <w:u w:val="none"/>
        </w:rPr>
        <w:t xml:space="preserve">) datus, kas iegūti no kombinētiem iesaistītās </w:t>
      </w:r>
      <w:r>
        <w:rPr>
          <w:rFonts w:ascii="Times New Roman" w:hAnsi="Times New Roman"/>
          <w:sz w:val="24"/>
        </w:rPr>
        <w:t>laboratorijas</w:t>
      </w:r>
      <w:r>
        <w:rPr>
          <w:rFonts w:ascii="Times New Roman" w:hAnsi="Times New Roman"/>
          <w:sz w:val="24"/>
          <w:u w:val="none"/>
        </w:rPr>
        <w:t xml:space="preserve"> rezultātiem, kuri iegūti attiecīgās </w:t>
      </w:r>
      <w:r>
        <w:rPr>
          <w:rFonts w:ascii="Times New Roman" w:hAnsi="Times New Roman"/>
          <w:sz w:val="24"/>
        </w:rPr>
        <w:t>ārējās kvalitātes novērtēšanas shēmas</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kārtās. Gadījumos, kad jauna </w:t>
      </w:r>
      <w:r>
        <w:rPr>
          <w:rFonts w:ascii="Times New Roman" w:hAnsi="Times New Roman"/>
          <w:sz w:val="24"/>
        </w:rPr>
        <w:t>sliekšņa viela</w:t>
      </w:r>
      <w:r>
        <w:rPr>
          <w:rFonts w:ascii="Times New Roman" w:hAnsi="Times New Roman"/>
          <w:sz w:val="24"/>
          <w:u w:val="none"/>
        </w:rPr>
        <w:t xml:space="preserve"> tiek iekļauta </w:t>
      </w:r>
      <w:r>
        <w:rPr>
          <w:rFonts w:ascii="Times New Roman" w:hAnsi="Times New Roman"/>
          <w:i/>
          <w:iCs/>
          <w:sz w:val="24"/>
          <w:u w:val="none"/>
        </w:rPr>
        <w:t>aizliegto vielu sarakstā</w:t>
      </w:r>
      <w:r>
        <w:rPr>
          <w:rFonts w:ascii="Times New Roman" w:hAnsi="Times New Roman"/>
          <w:sz w:val="24"/>
          <w:u w:val="none"/>
        </w:rPr>
        <w:t xml:space="preserve">, pirms ir pieejami </w:t>
      </w:r>
      <w:r>
        <w:rPr>
          <w:rFonts w:ascii="Times New Roman" w:hAnsi="Times New Roman"/>
          <w:i/>
          <w:iCs/>
          <w:sz w:val="24"/>
        </w:rPr>
        <w:t>EQAS</w:t>
      </w:r>
      <w:r>
        <w:rPr>
          <w:rFonts w:ascii="Times New Roman" w:hAnsi="Times New Roman"/>
          <w:sz w:val="24"/>
          <w:u w:val="none"/>
        </w:rPr>
        <w:t xml:space="preserve"> darbības dati, tiks izmantotas alternatīvas pieejas, lai piešķirtu attiecīgo </w:t>
      </w:r>
      <w:r>
        <w:rPr>
          <w:rFonts w:ascii="Times New Roman" w:hAnsi="Times New Roman"/>
          <w:i/>
          <w:sz w:val="24"/>
          <w:u w:val="none"/>
        </w:rPr>
        <w:t>u</w:t>
      </w:r>
      <w:r>
        <w:rPr>
          <w:rFonts w:ascii="Times New Roman" w:hAnsi="Times New Roman"/>
          <w:i/>
          <w:sz w:val="24"/>
          <w:u w:val="none"/>
          <w:vertAlign w:val="subscript"/>
        </w:rPr>
        <w:t>c_Max</w:t>
      </w:r>
      <w:r>
        <w:rPr>
          <w:rFonts w:ascii="Times New Roman" w:hAnsi="Times New Roman"/>
          <w:i/>
          <w:sz w:val="24"/>
          <w:u w:val="none"/>
        </w:rPr>
        <w:t xml:space="preserve">. </w:t>
      </w:r>
      <w:r>
        <w:rPr>
          <w:rFonts w:ascii="Times New Roman" w:hAnsi="Times New Roman"/>
          <w:sz w:val="24"/>
          <w:u w:val="none"/>
        </w:rPr>
        <w:t xml:space="preserve">Šādā gadījumā piešķirtā </w:t>
      </w:r>
      <w:r>
        <w:rPr>
          <w:rFonts w:ascii="Times New Roman" w:hAnsi="Times New Roman"/>
          <w:i/>
          <w:sz w:val="24"/>
          <w:u w:val="none"/>
        </w:rPr>
        <w:t>u</w:t>
      </w:r>
      <w:r>
        <w:rPr>
          <w:rFonts w:ascii="Times New Roman" w:hAnsi="Times New Roman"/>
          <w:i/>
          <w:sz w:val="24"/>
          <w:u w:val="none"/>
          <w:vertAlign w:val="subscript"/>
        </w:rPr>
        <w:t xml:space="preserve">c_Max </w:t>
      </w:r>
      <w:r>
        <w:rPr>
          <w:rFonts w:ascii="Times New Roman" w:hAnsi="Times New Roman"/>
          <w:sz w:val="24"/>
          <w:u w:val="none"/>
        </w:rPr>
        <w:t xml:space="preserve">ir jāpārskata, un tā jāapstiprina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ekspertu grupai (</w:t>
      </w:r>
      <w:r>
        <w:rPr>
          <w:rFonts w:ascii="Times New Roman" w:hAnsi="Times New Roman"/>
          <w:i/>
          <w:iCs/>
          <w:sz w:val="24"/>
          <w:u w:val="none"/>
        </w:rPr>
        <w:t>LabEG</w:t>
      </w:r>
      <w:r>
        <w:rPr>
          <w:rFonts w:ascii="Times New Roman" w:hAnsi="Times New Roman"/>
          <w:sz w:val="24"/>
          <w:u w:val="none"/>
        </w:rPr>
        <w:t xml:space="preserve">). Ja kļūst pieejami dati no turpmākām </w:t>
      </w:r>
      <w:r>
        <w:rPr>
          <w:rFonts w:ascii="Times New Roman" w:hAnsi="Times New Roman"/>
          <w:i/>
          <w:iCs/>
          <w:sz w:val="24"/>
          <w:u w:color="000000"/>
        </w:rPr>
        <w:t>EQAS</w:t>
      </w:r>
      <w:r>
        <w:rPr>
          <w:rFonts w:ascii="Times New Roman" w:hAnsi="Times New Roman"/>
          <w:sz w:val="24"/>
          <w:u w:val="none"/>
        </w:rPr>
        <w:t xml:space="preserve"> kārtām, </w:t>
      </w:r>
      <w:r>
        <w:rPr>
          <w:rFonts w:ascii="Times New Roman" w:hAnsi="Times New Roman"/>
          <w:i/>
          <w:sz w:val="24"/>
          <w:u w:val="none"/>
        </w:rPr>
        <w:t>u</w:t>
      </w:r>
      <w:r>
        <w:rPr>
          <w:rFonts w:ascii="Times New Roman" w:hAnsi="Times New Roman"/>
          <w:i/>
          <w:sz w:val="24"/>
          <w:u w:val="none"/>
          <w:vertAlign w:val="subscript"/>
        </w:rPr>
        <w:t xml:space="preserve">c_Max </w:t>
      </w:r>
      <w:r>
        <w:rPr>
          <w:rFonts w:ascii="Times New Roman" w:hAnsi="Times New Roman"/>
          <w:sz w:val="24"/>
          <w:u w:val="none"/>
        </w:rPr>
        <w:t xml:space="preserve">var pārskatīt, lai tā atbilstu faktiskajai </w:t>
      </w:r>
      <w:r>
        <w:rPr>
          <w:rFonts w:ascii="Times New Roman" w:hAnsi="Times New Roman"/>
          <w:sz w:val="24"/>
        </w:rPr>
        <w:t>laboratoriju</w:t>
      </w:r>
      <w:r>
        <w:rPr>
          <w:rFonts w:ascii="Times New Roman" w:hAnsi="Times New Roman"/>
          <w:sz w:val="24"/>
          <w:u w:val="none"/>
        </w:rPr>
        <w:t xml:space="preserve"> analītiskajai veiktspējai.</w:t>
      </w:r>
    </w:p>
    <w:p w14:paraId="266D3BDC" w14:textId="77777777" w:rsidR="00C40697" w:rsidRPr="00FB35D8" w:rsidRDefault="00C40697" w:rsidP="00FB35D8">
      <w:pPr>
        <w:pStyle w:val="BodyText"/>
        <w:spacing w:before="0"/>
        <w:ind w:left="0"/>
        <w:jc w:val="both"/>
        <w:rPr>
          <w:rFonts w:ascii="Times New Roman" w:hAnsi="Times New Roman"/>
          <w:noProof/>
          <w:sz w:val="24"/>
          <w:u w:val="none"/>
        </w:rPr>
      </w:pPr>
    </w:p>
    <w:p w14:paraId="5DE3D214"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i/>
          <w:iCs/>
          <w:sz w:val="24"/>
          <w:u w:val="none"/>
        </w:rPr>
        <w:lastRenderedPageBreak/>
        <w:t xml:space="preserve">WADA </w:t>
      </w:r>
      <w:r>
        <w:rPr>
          <w:rFonts w:ascii="Times New Roman" w:hAnsi="Times New Roman"/>
          <w:sz w:val="24"/>
          <w:u w:val="none"/>
        </w:rPr>
        <w:t xml:space="preserve">iegūtie </w:t>
      </w:r>
      <w:r>
        <w:rPr>
          <w:rFonts w:ascii="Times New Roman" w:hAnsi="Times New Roman"/>
          <w:i/>
          <w:iCs/>
          <w:sz w:val="24"/>
        </w:rPr>
        <w:t>EQAS</w:t>
      </w:r>
      <w:r>
        <w:rPr>
          <w:rFonts w:ascii="Times New Roman" w:hAnsi="Times New Roman"/>
          <w:sz w:val="24"/>
          <w:u w:val="none"/>
        </w:rPr>
        <w:t xml:space="preserve"> rezultāti liecina, ka šīs minimālās prasības ir piesardzīgas. Nosakot mērķvērtības, tiek pieņemts, ka ar </w:t>
      </w:r>
      <w:r>
        <w:rPr>
          <w:rFonts w:ascii="Times New Roman" w:hAnsi="Times New Roman"/>
          <w:i/>
          <w:iCs/>
          <w:sz w:val="24"/>
        </w:rPr>
        <w:t>MU</w:t>
      </w:r>
      <w:r>
        <w:rPr>
          <w:rFonts w:ascii="Times New Roman" w:hAnsi="Times New Roman"/>
          <w:sz w:val="24"/>
          <w:u w:val="none"/>
        </w:rPr>
        <w:t xml:space="preserve"> datiem saistītās brīvības pakāpes ir augstas.</w:t>
      </w:r>
    </w:p>
    <w:p w14:paraId="18AF3DFC" w14:textId="77777777" w:rsidR="00C40697" w:rsidRDefault="00C40697" w:rsidP="00FB35D8">
      <w:pPr>
        <w:pStyle w:val="BodyText"/>
        <w:spacing w:before="0"/>
        <w:ind w:left="0"/>
        <w:jc w:val="both"/>
        <w:rPr>
          <w:rFonts w:ascii="Times New Roman" w:hAnsi="Times New Roman"/>
          <w:noProof/>
          <w:sz w:val="24"/>
          <w:u w:color="000000"/>
        </w:rPr>
      </w:pPr>
    </w:p>
    <w:p w14:paraId="07FF2EA6" w14:textId="479E22F0"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novērtē kombinēto standarta nenoteiktību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attiecībā uz rezultātu tādā līmenī, kas ir tuvs </w:t>
      </w:r>
      <w:r>
        <w:rPr>
          <w:rFonts w:ascii="Times New Roman" w:hAnsi="Times New Roman"/>
          <w:i/>
          <w:iCs/>
          <w:sz w:val="24"/>
        </w:rPr>
        <w:t>T</w:t>
      </w:r>
      <w:r>
        <w:rPr>
          <w:rFonts w:ascii="Times New Roman" w:hAnsi="Times New Roman"/>
          <w:sz w:val="24"/>
          <w:u w:val="none"/>
        </w:rPr>
        <w:t xml:space="preserve">, katrā kvantitatīvajā </w:t>
      </w:r>
      <w:r>
        <w:rPr>
          <w:rFonts w:ascii="Times New Roman" w:hAnsi="Times New Roman"/>
          <w:sz w:val="24"/>
        </w:rPr>
        <w:t>sliekšņa vielu</w:t>
      </w:r>
      <w:r>
        <w:rPr>
          <w:rFonts w:ascii="Times New Roman" w:hAnsi="Times New Roman"/>
          <w:sz w:val="24"/>
          <w:u w:val="none"/>
        </w:rPr>
        <w:t xml:space="preserve"> </w:t>
      </w:r>
      <w:r>
        <w:rPr>
          <w:rFonts w:ascii="Times New Roman" w:hAnsi="Times New Roman"/>
          <w:sz w:val="24"/>
        </w:rPr>
        <w:t>apstiprināšanas procedūrā</w:t>
      </w:r>
      <w:r>
        <w:rPr>
          <w:rFonts w:ascii="Times New Roman" w:hAnsi="Times New Roman"/>
          <w:sz w:val="24"/>
          <w:u w:val="none"/>
        </w:rPr>
        <w:t xml:space="preserve">. Aplēstais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nedrīkst būt lielāks par 1. tabulā norādīto </w:t>
      </w:r>
      <w:r>
        <w:rPr>
          <w:rFonts w:ascii="Times New Roman" w:hAnsi="Times New Roman"/>
          <w:i/>
          <w:iCs/>
          <w:sz w:val="24"/>
          <w:u w:val="none"/>
        </w:rPr>
        <w:t>u</w:t>
      </w:r>
      <w:r>
        <w:rPr>
          <w:rFonts w:ascii="Times New Roman" w:hAnsi="Times New Roman"/>
          <w:i/>
          <w:iCs/>
          <w:sz w:val="24"/>
          <w:u w:val="none"/>
          <w:vertAlign w:val="subscript"/>
        </w:rPr>
        <w:t>c_Max</w:t>
      </w:r>
      <w:r>
        <w:rPr>
          <w:rFonts w:ascii="Times New Roman" w:hAnsi="Times New Roman"/>
          <w:sz w:val="24"/>
          <w:u w:val="none"/>
        </w:rPr>
        <w:t xml:space="preserve"> vērtību, kuru lielākoties nosaka, izmantojot metodes </w:t>
      </w:r>
      <w:r>
        <w:rPr>
          <w:rFonts w:ascii="Times New Roman" w:hAnsi="Times New Roman"/>
          <w:sz w:val="24"/>
        </w:rPr>
        <w:t>atveidojamības</w:t>
      </w:r>
      <w:r>
        <w:rPr>
          <w:rFonts w:ascii="Times New Roman" w:hAnsi="Times New Roman"/>
          <w:sz w:val="24"/>
          <w:u w:val="none"/>
        </w:rPr>
        <w:t xml:space="preserve">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aplēsi, kas iegūta no </w:t>
      </w:r>
      <w:r>
        <w:rPr>
          <w:rFonts w:ascii="Times New Roman" w:hAnsi="Times New Roman"/>
          <w:i/>
          <w:iCs/>
          <w:sz w:val="24"/>
          <w:u w:val="none"/>
        </w:rPr>
        <w:t xml:space="preserve">WADA </w:t>
      </w:r>
      <w:r>
        <w:rPr>
          <w:rFonts w:ascii="Times New Roman" w:hAnsi="Times New Roman"/>
          <w:i/>
          <w:iCs/>
          <w:sz w:val="24"/>
        </w:rPr>
        <w:t>EQAS</w:t>
      </w:r>
      <w:r>
        <w:rPr>
          <w:rFonts w:ascii="Times New Roman" w:hAnsi="Times New Roman"/>
          <w:sz w:val="24"/>
          <w:u w:val="none"/>
        </w:rPr>
        <w:t xml:space="preserve"> datiem. Kā iepriekš norādīts, šīs </w:t>
      </w:r>
      <w:r>
        <w:rPr>
          <w:rFonts w:ascii="Times New Roman" w:hAnsi="Times New Roman"/>
          <w:i/>
          <w:sz w:val="24"/>
          <w:u w:val="none"/>
        </w:rPr>
        <w:t>u</w:t>
      </w:r>
      <w:r>
        <w:rPr>
          <w:rFonts w:ascii="Times New Roman" w:hAnsi="Times New Roman"/>
          <w:i/>
          <w:sz w:val="24"/>
          <w:u w:val="none"/>
          <w:vertAlign w:val="subscript"/>
        </w:rPr>
        <w:t xml:space="preserve">c_Max </w:t>
      </w:r>
      <w:r>
        <w:rPr>
          <w:rFonts w:ascii="Times New Roman" w:hAnsi="Times New Roman"/>
          <w:sz w:val="24"/>
          <w:u w:val="none"/>
        </w:rPr>
        <w:t xml:space="preserve">vērtības ir uzskatāmas par piesardzīgām, tādēļ </w:t>
      </w:r>
      <w:r>
        <w:rPr>
          <w:rFonts w:ascii="Times New Roman" w:hAnsi="Times New Roman"/>
          <w:sz w:val="24"/>
        </w:rPr>
        <w:t>laboratorijas</w:t>
      </w:r>
      <w:r>
        <w:rPr>
          <w:rFonts w:ascii="Times New Roman" w:hAnsi="Times New Roman"/>
          <w:sz w:val="24"/>
          <w:u w:val="none"/>
        </w:rPr>
        <w:t xml:space="preserve"> var ziņot arī par mazākām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 xml:space="preserve"> </w:t>
      </w:r>
      <w:r>
        <w:rPr>
          <w:rFonts w:ascii="Times New Roman" w:hAnsi="Times New Roman"/>
          <w:sz w:val="24"/>
          <w:u w:val="none"/>
        </w:rPr>
        <w:t>vērtībām.</w:t>
      </w:r>
    </w:p>
    <w:p w14:paraId="42F126B5" w14:textId="77777777" w:rsidR="00C40697" w:rsidRDefault="00C40697" w:rsidP="00FB35D8">
      <w:pPr>
        <w:pStyle w:val="BodyText"/>
        <w:spacing w:before="0"/>
        <w:ind w:left="0"/>
        <w:jc w:val="both"/>
        <w:rPr>
          <w:rFonts w:ascii="Times New Roman" w:hAnsi="Times New Roman"/>
          <w:noProof/>
          <w:sz w:val="24"/>
          <w:u w:val="none"/>
        </w:rPr>
      </w:pPr>
    </w:p>
    <w:p w14:paraId="63AD4090" w14:textId="15E9BC80"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1. papildinājumā ir izklāstītas dažādas pieejas, kā iegūt </w:t>
      </w:r>
      <w:r>
        <w:rPr>
          <w:rFonts w:ascii="Times New Roman" w:hAnsi="Times New Roman"/>
          <w:sz w:val="24"/>
        </w:rPr>
        <w:t xml:space="preserve">nolūkam atbilstīgas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aplēses saistībā ar konkrētās mērīšanas procedūras rezultātiem.</w:t>
      </w:r>
    </w:p>
    <w:p w14:paraId="0892BF3D" w14:textId="77777777" w:rsidR="00573E92" w:rsidRPr="00FB35D8" w:rsidRDefault="00573E92" w:rsidP="00FB35D8">
      <w:pPr>
        <w:jc w:val="both"/>
        <w:rPr>
          <w:rFonts w:ascii="Times New Roman" w:eastAsia="Arial" w:hAnsi="Times New Roman" w:cs="Arial"/>
          <w:noProof/>
          <w:sz w:val="24"/>
          <w:szCs w:val="21"/>
        </w:rPr>
      </w:pPr>
    </w:p>
    <w:p w14:paraId="00BF425C" w14:textId="77777777" w:rsidR="00573E92" w:rsidRPr="00FB35D8" w:rsidRDefault="00573E92" w:rsidP="00FB35D8">
      <w:pPr>
        <w:pStyle w:val="Heading2"/>
        <w:ind w:left="0" w:firstLine="0"/>
        <w:jc w:val="both"/>
        <w:rPr>
          <w:rFonts w:ascii="Times New Roman" w:hAnsi="Times New Roman"/>
          <w:noProof/>
          <w:sz w:val="24"/>
          <w:u w:val="thick" w:color="000000"/>
        </w:rPr>
      </w:pPr>
      <w:r>
        <w:rPr>
          <w:rFonts w:ascii="Times New Roman" w:hAnsi="Times New Roman"/>
          <w:sz w:val="24"/>
          <w:u w:val="thick" w:color="000000"/>
        </w:rPr>
        <w:t>1. tabula</w:t>
      </w:r>
    </w:p>
    <w:p w14:paraId="44616391" w14:textId="77777777" w:rsidR="00573E92" w:rsidRPr="00FB35D8" w:rsidRDefault="00573E92" w:rsidP="00FB35D8">
      <w:pPr>
        <w:jc w:val="both"/>
        <w:rPr>
          <w:rFonts w:ascii="Times New Roman" w:eastAsia="Arial" w:hAnsi="Times New Roman" w:cs="Arial"/>
          <w:b/>
          <w:bCs/>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2512"/>
        <w:gridCol w:w="1592"/>
        <w:gridCol w:w="1512"/>
        <w:gridCol w:w="1336"/>
        <w:gridCol w:w="1446"/>
        <w:gridCol w:w="730"/>
      </w:tblGrid>
      <w:tr w:rsidR="00573E92" w:rsidRPr="000B3E49" w14:paraId="00445CD4" w14:textId="77777777" w:rsidTr="000B3E49">
        <w:tc>
          <w:tcPr>
            <w:tcW w:w="1376" w:type="pct"/>
            <w:vMerge w:val="restart"/>
            <w:tcBorders>
              <w:top w:val="single" w:sz="5" w:space="0" w:color="000000"/>
              <w:left w:val="single" w:sz="5" w:space="0" w:color="000000"/>
              <w:right w:val="single" w:sz="5" w:space="0" w:color="000000"/>
            </w:tcBorders>
            <w:vAlign w:val="center"/>
          </w:tcPr>
          <w:p w14:paraId="475935FE" w14:textId="77777777" w:rsidR="00573E92" w:rsidRPr="000B3E49" w:rsidRDefault="00573E92" w:rsidP="000B3E49">
            <w:pPr>
              <w:pStyle w:val="TableParagraph"/>
              <w:jc w:val="center"/>
              <w:rPr>
                <w:rFonts w:ascii="Times New Roman" w:hAnsi="Times New Roman" w:cs="Times New Roman"/>
                <w:b/>
                <w:noProof/>
                <w:sz w:val="20"/>
                <w:szCs w:val="20"/>
                <w:u w:val="thick" w:color="000000"/>
              </w:rPr>
            </w:pPr>
            <w:r>
              <w:rPr>
                <w:rFonts w:ascii="Times New Roman" w:hAnsi="Times New Roman"/>
                <w:b/>
                <w:sz w:val="20"/>
                <w:u w:val="thick" w:color="000000"/>
              </w:rPr>
              <w:t>Sliekšņa viela</w:t>
            </w:r>
          </w:p>
        </w:tc>
        <w:tc>
          <w:tcPr>
            <w:tcW w:w="872" w:type="pct"/>
            <w:vMerge w:val="restart"/>
            <w:tcBorders>
              <w:top w:val="single" w:sz="5" w:space="0" w:color="000000"/>
              <w:left w:val="single" w:sz="5" w:space="0" w:color="000000"/>
              <w:right w:val="single" w:sz="5" w:space="0" w:color="000000"/>
            </w:tcBorders>
            <w:vAlign w:val="center"/>
          </w:tcPr>
          <w:p w14:paraId="76C87118"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u w:val="thick" w:color="000000"/>
              </w:rPr>
              <w:t>Robežvērtība (</w:t>
            </w:r>
            <w:r>
              <w:rPr>
                <w:rFonts w:ascii="Times New Roman" w:hAnsi="Times New Roman"/>
                <w:b/>
                <w:i/>
                <w:iCs/>
                <w:sz w:val="20"/>
                <w:u w:val="single"/>
              </w:rPr>
              <w:t>T</w:t>
            </w:r>
            <w:r>
              <w:rPr>
                <w:rFonts w:ascii="Times New Roman" w:hAnsi="Times New Roman"/>
                <w:b/>
                <w:sz w:val="20"/>
              </w:rPr>
              <w:t>)</w:t>
            </w:r>
            <w:r>
              <w:rPr>
                <w:rFonts w:ascii="Times New Roman" w:hAnsi="Times New Roman"/>
                <w:b/>
                <w:sz w:val="20"/>
                <w:vertAlign w:val="superscript"/>
              </w:rPr>
              <w:t>c</w:t>
            </w:r>
          </w:p>
        </w:tc>
        <w:tc>
          <w:tcPr>
            <w:tcW w:w="1560" w:type="pct"/>
            <w:gridSpan w:val="2"/>
            <w:vMerge w:val="restart"/>
            <w:tcBorders>
              <w:top w:val="single" w:sz="5" w:space="0" w:color="000000"/>
              <w:left w:val="single" w:sz="5" w:space="0" w:color="000000"/>
              <w:right w:val="single" w:sz="6" w:space="0" w:color="000000"/>
            </w:tcBorders>
            <w:vAlign w:val="center"/>
          </w:tcPr>
          <w:p w14:paraId="02A79451"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Maks. kombinētā standarta nenoteiktība </w:t>
            </w:r>
            <w:r>
              <w:rPr>
                <w:rFonts w:ascii="Times New Roman" w:hAnsi="Times New Roman"/>
                <w:b/>
                <w:i/>
                <w:sz w:val="20"/>
              </w:rPr>
              <w:t>(u</w:t>
            </w:r>
            <w:r>
              <w:rPr>
                <w:rFonts w:ascii="Times New Roman" w:hAnsi="Times New Roman"/>
                <w:b/>
                <w:i/>
                <w:sz w:val="20"/>
                <w:vertAlign w:val="subscript"/>
              </w:rPr>
              <w:t>c_Max</w:t>
            </w:r>
            <w:r>
              <w:rPr>
                <w:rFonts w:ascii="Times New Roman" w:hAnsi="Times New Roman"/>
                <w:b/>
                <w:i/>
                <w:sz w:val="20"/>
              </w:rPr>
              <w:t xml:space="preserve">) </w:t>
            </w:r>
            <w:r>
              <w:rPr>
                <w:rFonts w:ascii="Times New Roman" w:hAnsi="Times New Roman"/>
                <w:b/>
                <w:i/>
                <w:iCs/>
                <w:sz w:val="20"/>
                <w:u w:val="single"/>
              </w:rPr>
              <w:t>T</w:t>
            </w:r>
            <w:r>
              <w:rPr>
                <w:rFonts w:ascii="Times New Roman" w:hAnsi="Times New Roman"/>
                <w:b/>
                <w:sz w:val="20"/>
              </w:rPr>
              <w:t xml:space="preserve"> līmenī</w:t>
            </w:r>
          </w:p>
        </w:tc>
        <w:tc>
          <w:tcPr>
            <w:tcW w:w="1193" w:type="pct"/>
            <w:gridSpan w:val="2"/>
            <w:tcBorders>
              <w:top w:val="single" w:sz="6" w:space="0" w:color="000000"/>
              <w:left w:val="single" w:sz="6" w:space="0" w:color="000000"/>
              <w:right w:val="single" w:sz="6" w:space="0" w:color="000000"/>
            </w:tcBorders>
            <w:shd w:val="clear" w:color="auto" w:fill="FFF2D1"/>
            <w:vAlign w:val="center"/>
          </w:tcPr>
          <w:p w14:paraId="278A50A4"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u w:val="single"/>
              </w:rPr>
              <w:t>Izšķiršanas robeža (</w:t>
            </w:r>
            <w:r>
              <w:rPr>
                <w:rFonts w:ascii="Times New Roman" w:hAnsi="Times New Roman"/>
                <w:b/>
                <w:i/>
                <w:iCs/>
                <w:sz w:val="20"/>
                <w:u w:val="single"/>
              </w:rPr>
              <w:t>DL</w:t>
            </w:r>
            <w:r>
              <w:rPr>
                <w:rFonts w:ascii="Times New Roman" w:hAnsi="Times New Roman"/>
                <w:b/>
                <w:sz w:val="20"/>
                <w:u w:val="single"/>
              </w:rPr>
              <w:t>)</w:t>
            </w:r>
            <w:r>
              <w:rPr>
                <w:rFonts w:ascii="Times New Roman" w:hAnsi="Times New Roman"/>
                <w:sz w:val="20"/>
                <w:vertAlign w:val="superscript"/>
              </w:rPr>
              <w:t>a, c</w:t>
            </w:r>
          </w:p>
        </w:tc>
      </w:tr>
      <w:tr w:rsidR="00573E92" w:rsidRPr="000B3E49" w14:paraId="19FADB71" w14:textId="77777777" w:rsidTr="000B3E49">
        <w:trPr>
          <w:trHeight w:val="276"/>
        </w:trPr>
        <w:tc>
          <w:tcPr>
            <w:tcW w:w="1376" w:type="pct"/>
            <w:vMerge/>
            <w:tcBorders>
              <w:left w:val="single" w:sz="5" w:space="0" w:color="000000"/>
              <w:right w:val="single" w:sz="5" w:space="0" w:color="000000"/>
            </w:tcBorders>
            <w:vAlign w:val="center"/>
          </w:tcPr>
          <w:p w14:paraId="59A9DBCC" w14:textId="77777777" w:rsidR="00573E92" w:rsidRPr="000B3E49" w:rsidRDefault="00573E92" w:rsidP="000B3E49">
            <w:pPr>
              <w:jc w:val="center"/>
              <w:rPr>
                <w:rFonts w:ascii="Times New Roman" w:hAnsi="Times New Roman" w:cs="Times New Roman"/>
                <w:noProof/>
                <w:sz w:val="20"/>
                <w:szCs w:val="20"/>
              </w:rPr>
            </w:pPr>
          </w:p>
        </w:tc>
        <w:tc>
          <w:tcPr>
            <w:tcW w:w="872" w:type="pct"/>
            <w:vMerge/>
            <w:tcBorders>
              <w:left w:val="single" w:sz="5" w:space="0" w:color="000000"/>
              <w:right w:val="single" w:sz="5" w:space="0" w:color="000000"/>
            </w:tcBorders>
            <w:vAlign w:val="center"/>
          </w:tcPr>
          <w:p w14:paraId="64621672" w14:textId="77777777" w:rsidR="00573E92" w:rsidRPr="000B3E49" w:rsidRDefault="00573E92" w:rsidP="000B3E49">
            <w:pPr>
              <w:jc w:val="center"/>
              <w:rPr>
                <w:rFonts w:ascii="Times New Roman" w:hAnsi="Times New Roman" w:cs="Times New Roman"/>
                <w:noProof/>
                <w:sz w:val="20"/>
                <w:szCs w:val="20"/>
              </w:rPr>
            </w:pPr>
          </w:p>
        </w:tc>
        <w:tc>
          <w:tcPr>
            <w:tcW w:w="1560" w:type="pct"/>
            <w:gridSpan w:val="2"/>
            <w:vMerge/>
            <w:tcBorders>
              <w:left w:val="single" w:sz="5" w:space="0" w:color="000000"/>
              <w:bottom w:val="single" w:sz="5" w:space="0" w:color="000000"/>
              <w:right w:val="single" w:sz="5" w:space="0" w:color="000000"/>
            </w:tcBorders>
            <w:vAlign w:val="center"/>
          </w:tcPr>
          <w:p w14:paraId="22040CE0" w14:textId="77777777" w:rsidR="00573E92" w:rsidRPr="000B3E49" w:rsidRDefault="00573E92" w:rsidP="000B3E49">
            <w:pPr>
              <w:jc w:val="center"/>
              <w:rPr>
                <w:rFonts w:ascii="Times New Roman" w:hAnsi="Times New Roman" w:cs="Times New Roman"/>
                <w:noProof/>
                <w:sz w:val="20"/>
                <w:szCs w:val="20"/>
              </w:rPr>
            </w:pPr>
          </w:p>
        </w:tc>
        <w:tc>
          <w:tcPr>
            <w:tcW w:w="792" w:type="pct"/>
            <w:vMerge w:val="restart"/>
            <w:tcBorders>
              <w:left w:val="single" w:sz="5" w:space="0" w:color="000000"/>
              <w:right w:val="nil"/>
            </w:tcBorders>
            <w:shd w:val="clear" w:color="auto" w:fill="FFF2D1"/>
            <w:vAlign w:val="center"/>
          </w:tcPr>
          <w:p w14:paraId="106EB1B6" w14:textId="77777777" w:rsidR="00573E92" w:rsidRPr="000B3E49" w:rsidRDefault="00573E92" w:rsidP="000B3E49">
            <w:pPr>
              <w:jc w:val="center"/>
              <w:rPr>
                <w:rFonts w:ascii="Times New Roman" w:hAnsi="Times New Roman" w:cs="Times New Roman"/>
                <w:noProof/>
                <w:sz w:val="20"/>
                <w:szCs w:val="20"/>
              </w:rPr>
            </w:pPr>
          </w:p>
        </w:tc>
        <w:tc>
          <w:tcPr>
            <w:tcW w:w="401" w:type="pct"/>
            <w:vMerge w:val="restart"/>
            <w:tcBorders>
              <w:left w:val="nil"/>
              <w:right w:val="single" w:sz="5" w:space="0" w:color="000000"/>
            </w:tcBorders>
            <w:shd w:val="clear" w:color="auto" w:fill="FFF2D1"/>
          </w:tcPr>
          <w:p w14:paraId="01A45FC6" w14:textId="77777777" w:rsidR="00573E92" w:rsidRPr="000B3E49" w:rsidRDefault="00573E92" w:rsidP="00FB35D8">
            <w:pPr>
              <w:jc w:val="both"/>
              <w:rPr>
                <w:rFonts w:ascii="Times New Roman" w:hAnsi="Times New Roman" w:cs="Times New Roman"/>
                <w:noProof/>
                <w:sz w:val="20"/>
                <w:szCs w:val="20"/>
              </w:rPr>
            </w:pPr>
          </w:p>
        </w:tc>
      </w:tr>
      <w:tr w:rsidR="00573E92" w:rsidRPr="000B3E49" w14:paraId="64B1B88A" w14:textId="77777777" w:rsidTr="000B3E49">
        <w:tc>
          <w:tcPr>
            <w:tcW w:w="1376" w:type="pct"/>
            <w:vMerge/>
            <w:tcBorders>
              <w:left w:val="single" w:sz="5" w:space="0" w:color="000000"/>
              <w:bottom w:val="single" w:sz="5" w:space="0" w:color="000000"/>
              <w:right w:val="single" w:sz="5" w:space="0" w:color="000000"/>
            </w:tcBorders>
          </w:tcPr>
          <w:p w14:paraId="47C12D7B" w14:textId="77777777" w:rsidR="00573E92" w:rsidRPr="000B3E49" w:rsidRDefault="00573E92" w:rsidP="00FB35D8">
            <w:pPr>
              <w:jc w:val="both"/>
              <w:rPr>
                <w:rFonts w:ascii="Times New Roman" w:hAnsi="Times New Roman" w:cs="Times New Roman"/>
                <w:noProof/>
                <w:sz w:val="20"/>
                <w:szCs w:val="20"/>
              </w:rPr>
            </w:pPr>
          </w:p>
        </w:tc>
        <w:tc>
          <w:tcPr>
            <w:tcW w:w="872" w:type="pct"/>
            <w:vMerge/>
            <w:tcBorders>
              <w:left w:val="single" w:sz="5" w:space="0" w:color="000000"/>
              <w:bottom w:val="single" w:sz="5" w:space="0" w:color="000000"/>
              <w:right w:val="single" w:sz="5" w:space="0" w:color="000000"/>
            </w:tcBorders>
          </w:tcPr>
          <w:p w14:paraId="58FAAC33" w14:textId="77777777" w:rsidR="00573E92" w:rsidRPr="000B3E49" w:rsidRDefault="00573E92" w:rsidP="00FB35D8">
            <w:pPr>
              <w:jc w:val="both"/>
              <w:rPr>
                <w:rFonts w:ascii="Times New Roman" w:hAnsi="Times New Roman" w:cs="Times New Roman"/>
                <w:noProof/>
                <w:sz w:val="20"/>
                <w:szCs w:val="20"/>
              </w:rPr>
            </w:pPr>
          </w:p>
        </w:tc>
        <w:tc>
          <w:tcPr>
            <w:tcW w:w="828" w:type="pct"/>
            <w:tcBorders>
              <w:top w:val="single" w:sz="5" w:space="0" w:color="000000"/>
              <w:left w:val="single" w:sz="5" w:space="0" w:color="000000"/>
              <w:bottom w:val="single" w:sz="5" w:space="0" w:color="000000"/>
              <w:right w:val="single" w:sz="5" w:space="0" w:color="000000"/>
            </w:tcBorders>
            <w:vAlign w:val="center"/>
          </w:tcPr>
          <w:p w14:paraId="23AD00E3"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Absolūtā</w:t>
            </w:r>
            <w:r>
              <w:rPr>
                <w:rFonts w:ascii="Times New Roman" w:hAnsi="Times New Roman"/>
                <w:sz w:val="20"/>
                <w:vertAlign w:val="superscript"/>
              </w:rPr>
              <w:t>b</w:t>
            </w:r>
          </w:p>
        </w:tc>
        <w:tc>
          <w:tcPr>
            <w:tcW w:w="731" w:type="pct"/>
            <w:tcBorders>
              <w:top w:val="single" w:sz="5" w:space="0" w:color="000000"/>
              <w:left w:val="single" w:sz="5" w:space="0" w:color="000000"/>
              <w:bottom w:val="single" w:sz="5" w:space="0" w:color="000000"/>
              <w:right w:val="single" w:sz="5" w:space="0" w:color="000000"/>
            </w:tcBorders>
            <w:vAlign w:val="center"/>
          </w:tcPr>
          <w:p w14:paraId="3F07CE92"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Relatīvā (%)</w:t>
            </w:r>
          </w:p>
        </w:tc>
        <w:tc>
          <w:tcPr>
            <w:tcW w:w="792" w:type="pct"/>
            <w:vMerge/>
            <w:tcBorders>
              <w:left w:val="single" w:sz="5" w:space="0" w:color="000000"/>
              <w:bottom w:val="single" w:sz="5" w:space="0" w:color="000000"/>
              <w:right w:val="nil"/>
            </w:tcBorders>
            <w:shd w:val="clear" w:color="auto" w:fill="FFF2D1"/>
          </w:tcPr>
          <w:p w14:paraId="298C832B" w14:textId="77777777" w:rsidR="00573E92" w:rsidRPr="000B3E49" w:rsidRDefault="00573E92" w:rsidP="00FB35D8">
            <w:pPr>
              <w:jc w:val="both"/>
              <w:rPr>
                <w:rFonts w:ascii="Times New Roman" w:hAnsi="Times New Roman" w:cs="Times New Roman"/>
                <w:noProof/>
                <w:sz w:val="20"/>
                <w:szCs w:val="20"/>
              </w:rPr>
            </w:pPr>
          </w:p>
        </w:tc>
        <w:tc>
          <w:tcPr>
            <w:tcW w:w="401" w:type="pct"/>
            <w:vMerge/>
            <w:tcBorders>
              <w:left w:val="nil"/>
              <w:bottom w:val="single" w:sz="5" w:space="0" w:color="000000"/>
              <w:right w:val="single" w:sz="5" w:space="0" w:color="000000"/>
            </w:tcBorders>
            <w:shd w:val="clear" w:color="auto" w:fill="FFF2D1"/>
          </w:tcPr>
          <w:p w14:paraId="0E90D115" w14:textId="77777777" w:rsidR="00573E92" w:rsidRPr="000B3E49" w:rsidRDefault="00573E92" w:rsidP="00FB35D8">
            <w:pPr>
              <w:jc w:val="both"/>
              <w:rPr>
                <w:rFonts w:ascii="Times New Roman" w:hAnsi="Times New Roman" w:cs="Times New Roman"/>
                <w:noProof/>
                <w:sz w:val="20"/>
                <w:szCs w:val="20"/>
              </w:rPr>
            </w:pPr>
          </w:p>
        </w:tc>
      </w:tr>
      <w:tr w:rsidR="00573E92" w:rsidRPr="000B3E49" w14:paraId="5FF2ED39"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110182E4"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Karboksi-THC</w:t>
            </w:r>
            <w:r>
              <w:rPr>
                <w:rFonts w:ascii="Times New Roman" w:hAnsi="Times New Roman"/>
                <w:sz w:val="20"/>
                <w:vertAlign w:val="superscript"/>
              </w:rPr>
              <w:t>d</w:t>
            </w:r>
          </w:p>
        </w:tc>
        <w:tc>
          <w:tcPr>
            <w:tcW w:w="872" w:type="pct"/>
            <w:tcBorders>
              <w:top w:val="single" w:sz="5" w:space="0" w:color="000000"/>
              <w:left w:val="single" w:sz="5" w:space="0" w:color="000000"/>
              <w:bottom w:val="single" w:sz="5" w:space="0" w:color="000000"/>
              <w:right w:val="single" w:sz="5" w:space="0" w:color="000000"/>
            </w:tcBorders>
          </w:tcPr>
          <w:p w14:paraId="020728DE"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150 ng/ml</w:t>
            </w:r>
            <w:r>
              <w:rPr>
                <w:rFonts w:ascii="Times New Roman" w:hAnsi="Times New Roman"/>
                <w:sz w:val="20"/>
                <w:vertAlign w:val="superscript"/>
              </w:rPr>
              <w:t>i</w:t>
            </w:r>
          </w:p>
        </w:tc>
        <w:tc>
          <w:tcPr>
            <w:tcW w:w="828" w:type="pct"/>
            <w:tcBorders>
              <w:top w:val="single" w:sz="5" w:space="0" w:color="000000"/>
              <w:left w:val="single" w:sz="5" w:space="0" w:color="000000"/>
              <w:bottom w:val="single" w:sz="5" w:space="0" w:color="000000"/>
              <w:right w:val="single" w:sz="5" w:space="0" w:color="000000"/>
            </w:tcBorders>
          </w:tcPr>
          <w:p w14:paraId="67B77D6D"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15 ng/ml</w:t>
            </w:r>
          </w:p>
        </w:tc>
        <w:tc>
          <w:tcPr>
            <w:tcW w:w="731" w:type="pct"/>
            <w:tcBorders>
              <w:top w:val="single" w:sz="5" w:space="0" w:color="000000"/>
              <w:left w:val="single" w:sz="5" w:space="0" w:color="000000"/>
              <w:bottom w:val="single" w:sz="5" w:space="0" w:color="000000"/>
              <w:right w:val="single" w:sz="5" w:space="0" w:color="000000"/>
            </w:tcBorders>
          </w:tcPr>
          <w:p w14:paraId="0553A1F5"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10</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7478F8EF"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180 ng/ml</w:t>
            </w:r>
          </w:p>
        </w:tc>
      </w:tr>
      <w:tr w:rsidR="00573E92" w:rsidRPr="000B3E49" w14:paraId="4174C58F"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05837C0D"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Salbutamols</w:t>
            </w:r>
            <w:r>
              <w:rPr>
                <w:rFonts w:ascii="Times New Roman" w:hAnsi="Times New Roman"/>
                <w:sz w:val="20"/>
                <w:vertAlign w:val="superscript"/>
              </w:rPr>
              <w:t>e</w:t>
            </w:r>
          </w:p>
        </w:tc>
        <w:tc>
          <w:tcPr>
            <w:tcW w:w="872" w:type="pct"/>
            <w:tcBorders>
              <w:top w:val="single" w:sz="5" w:space="0" w:color="000000"/>
              <w:left w:val="single" w:sz="5" w:space="0" w:color="000000"/>
              <w:bottom w:val="single" w:sz="5" w:space="0" w:color="000000"/>
              <w:right w:val="single" w:sz="5" w:space="0" w:color="000000"/>
            </w:tcBorders>
          </w:tcPr>
          <w:p w14:paraId="203AB81F"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1,0 µg/ml</w:t>
            </w:r>
            <w:r>
              <w:rPr>
                <w:rFonts w:ascii="Times New Roman" w:hAnsi="Times New Roman"/>
                <w:sz w:val="20"/>
                <w:vertAlign w:val="superscript"/>
              </w:rPr>
              <w:t>i</w:t>
            </w:r>
          </w:p>
        </w:tc>
        <w:tc>
          <w:tcPr>
            <w:tcW w:w="828" w:type="pct"/>
            <w:tcBorders>
              <w:top w:val="single" w:sz="5" w:space="0" w:color="000000"/>
              <w:left w:val="single" w:sz="5" w:space="0" w:color="000000"/>
              <w:bottom w:val="single" w:sz="5" w:space="0" w:color="000000"/>
              <w:right w:val="single" w:sz="5" w:space="0" w:color="000000"/>
            </w:tcBorders>
          </w:tcPr>
          <w:p w14:paraId="07B635FC"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0,10 µg/ml</w:t>
            </w:r>
          </w:p>
        </w:tc>
        <w:tc>
          <w:tcPr>
            <w:tcW w:w="731" w:type="pct"/>
            <w:tcBorders>
              <w:top w:val="single" w:sz="5" w:space="0" w:color="000000"/>
              <w:left w:val="single" w:sz="5" w:space="0" w:color="000000"/>
              <w:bottom w:val="single" w:sz="5" w:space="0" w:color="000000"/>
              <w:right w:val="single" w:sz="5" w:space="0" w:color="000000"/>
            </w:tcBorders>
          </w:tcPr>
          <w:p w14:paraId="7441CB47"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10</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1B204E9E"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1,2 µg/ml</w:t>
            </w:r>
          </w:p>
        </w:tc>
      </w:tr>
      <w:tr w:rsidR="00573E92" w:rsidRPr="000B3E49" w14:paraId="23120265"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37CBE7B3"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Formoterols</w:t>
            </w:r>
            <w:r>
              <w:rPr>
                <w:rFonts w:ascii="Times New Roman" w:hAnsi="Times New Roman"/>
                <w:sz w:val="20"/>
                <w:vertAlign w:val="superscript"/>
              </w:rPr>
              <w:t>e</w:t>
            </w:r>
          </w:p>
        </w:tc>
        <w:tc>
          <w:tcPr>
            <w:tcW w:w="872" w:type="pct"/>
            <w:tcBorders>
              <w:top w:val="single" w:sz="5" w:space="0" w:color="000000"/>
              <w:left w:val="single" w:sz="5" w:space="0" w:color="000000"/>
              <w:bottom w:val="single" w:sz="5" w:space="0" w:color="000000"/>
              <w:right w:val="single" w:sz="5" w:space="0" w:color="000000"/>
            </w:tcBorders>
          </w:tcPr>
          <w:p w14:paraId="24849552"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40 ng/ml</w:t>
            </w:r>
            <w:r>
              <w:rPr>
                <w:rFonts w:ascii="Times New Roman" w:hAnsi="Times New Roman"/>
                <w:sz w:val="20"/>
                <w:vertAlign w:val="superscript"/>
              </w:rPr>
              <w:t>i</w:t>
            </w:r>
          </w:p>
        </w:tc>
        <w:tc>
          <w:tcPr>
            <w:tcW w:w="828" w:type="pct"/>
            <w:tcBorders>
              <w:top w:val="single" w:sz="5" w:space="0" w:color="000000"/>
              <w:left w:val="single" w:sz="5" w:space="0" w:color="000000"/>
              <w:bottom w:val="single" w:sz="5" w:space="0" w:color="000000"/>
              <w:right w:val="single" w:sz="5" w:space="0" w:color="000000"/>
            </w:tcBorders>
          </w:tcPr>
          <w:p w14:paraId="0D6135B9"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6,0 ng/ml</w:t>
            </w:r>
          </w:p>
        </w:tc>
        <w:tc>
          <w:tcPr>
            <w:tcW w:w="731" w:type="pct"/>
            <w:tcBorders>
              <w:top w:val="single" w:sz="5" w:space="0" w:color="000000"/>
              <w:left w:val="single" w:sz="5" w:space="0" w:color="000000"/>
              <w:bottom w:val="single" w:sz="5" w:space="0" w:color="000000"/>
              <w:right w:val="single" w:sz="5" w:space="0" w:color="000000"/>
            </w:tcBorders>
          </w:tcPr>
          <w:p w14:paraId="65569FE5"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15</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4740FC0B"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50 ng/ml</w:t>
            </w:r>
          </w:p>
        </w:tc>
      </w:tr>
      <w:tr w:rsidR="00573E92" w:rsidRPr="000B3E49" w14:paraId="38B85077"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04F2B2B7"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Morfīns</w:t>
            </w:r>
            <w:r>
              <w:rPr>
                <w:rFonts w:ascii="Times New Roman" w:hAnsi="Times New Roman"/>
                <w:sz w:val="20"/>
                <w:vertAlign w:val="superscript"/>
              </w:rPr>
              <w:t>f</w:t>
            </w:r>
          </w:p>
        </w:tc>
        <w:tc>
          <w:tcPr>
            <w:tcW w:w="872" w:type="pct"/>
            <w:tcBorders>
              <w:top w:val="single" w:sz="5" w:space="0" w:color="000000"/>
              <w:left w:val="single" w:sz="5" w:space="0" w:color="000000"/>
              <w:bottom w:val="single" w:sz="5" w:space="0" w:color="000000"/>
              <w:right w:val="single" w:sz="5" w:space="0" w:color="000000"/>
            </w:tcBorders>
          </w:tcPr>
          <w:p w14:paraId="6DBEB7AC"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1,0 µg/ml</w:t>
            </w:r>
            <w:r>
              <w:rPr>
                <w:rFonts w:ascii="Times New Roman" w:hAnsi="Times New Roman"/>
                <w:sz w:val="20"/>
                <w:vertAlign w:val="superscript"/>
              </w:rPr>
              <w:t>i</w:t>
            </w:r>
          </w:p>
        </w:tc>
        <w:tc>
          <w:tcPr>
            <w:tcW w:w="828" w:type="pct"/>
            <w:tcBorders>
              <w:top w:val="single" w:sz="5" w:space="0" w:color="000000"/>
              <w:left w:val="single" w:sz="5" w:space="0" w:color="000000"/>
              <w:bottom w:val="single" w:sz="5" w:space="0" w:color="000000"/>
              <w:right w:val="single" w:sz="5" w:space="0" w:color="000000"/>
            </w:tcBorders>
          </w:tcPr>
          <w:p w14:paraId="48992D3B"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0,15 µg/ml</w:t>
            </w:r>
          </w:p>
        </w:tc>
        <w:tc>
          <w:tcPr>
            <w:tcW w:w="731" w:type="pct"/>
            <w:tcBorders>
              <w:top w:val="single" w:sz="5" w:space="0" w:color="000000"/>
              <w:left w:val="single" w:sz="5" w:space="0" w:color="000000"/>
              <w:bottom w:val="single" w:sz="5" w:space="0" w:color="000000"/>
              <w:right w:val="single" w:sz="5" w:space="0" w:color="000000"/>
            </w:tcBorders>
          </w:tcPr>
          <w:p w14:paraId="37691211"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15</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54E6E3A7"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1,3 µg/ml</w:t>
            </w:r>
          </w:p>
        </w:tc>
      </w:tr>
      <w:tr w:rsidR="00573E92" w:rsidRPr="000B3E49" w14:paraId="59DB854B"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11F3B40F" w14:textId="45931419"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Kat</w:t>
            </w:r>
            <w:r w:rsidR="00972EC2">
              <w:rPr>
                <w:rFonts w:ascii="Times New Roman" w:hAnsi="Times New Roman"/>
                <w:sz w:val="20"/>
              </w:rPr>
              <w:t>īns</w:t>
            </w:r>
            <w:r>
              <w:rPr>
                <w:rFonts w:ascii="Times New Roman" w:hAnsi="Times New Roman"/>
                <w:sz w:val="20"/>
                <w:vertAlign w:val="superscript"/>
              </w:rPr>
              <w:t>h</w:t>
            </w:r>
          </w:p>
        </w:tc>
        <w:tc>
          <w:tcPr>
            <w:tcW w:w="872" w:type="pct"/>
            <w:tcBorders>
              <w:top w:val="single" w:sz="5" w:space="0" w:color="000000"/>
              <w:left w:val="single" w:sz="5" w:space="0" w:color="000000"/>
              <w:bottom w:val="single" w:sz="5" w:space="0" w:color="000000"/>
              <w:right w:val="single" w:sz="5" w:space="0" w:color="000000"/>
            </w:tcBorders>
          </w:tcPr>
          <w:p w14:paraId="4D4F5A39"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5,0 µg/ml</w:t>
            </w:r>
          </w:p>
        </w:tc>
        <w:tc>
          <w:tcPr>
            <w:tcW w:w="828" w:type="pct"/>
            <w:tcBorders>
              <w:top w:val="single" w:sz="5" w:space="0" w:color="000000"/>
              <w:left w:val="single" w:sz="5" w:space="0" w:color="000000"/>
              <w:bottom w:val="single" w:sz="5" w:space="0" w:color="000000"/>
              <w:right w:val="single" w:sz="5" w:space="0" w:color="000000"/>
            </w:tcBorders>
          </w:tcPr>
          <w:p w14:paraId="78450E13"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0,50 µg/ml</w:t>
            </w:r>
          </w:p>
        </w:tc>
        <w:tc>
          <w:tcPr>
            <w:tcW w:w="731" w:type="pct"/>
            <w:tcBorders>
              <w:top w:val="single" w:sz="5" w:space="0" w:color="000000"/>
              <w:left w:val="single" w:sz="5" w:space="0" w:color="000000"/>
              <w:bottom w:val="single" w:sz="5" w:space="0" w:color="000000"/>
              <w:right w:val="single" w:sz="5" w:space="0" w:color="000000"/>
            </w:tcBorders>
          </w:tcPr>
          <w:p w14:paraId="0C39F926"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10</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2717DF3A"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6,0 µg/ml</w:t>
            </w:r>
          </w:p>
        </w:tc>
      </w:tr>
      <w:tr w:rsidR="00573E92" w:rsidRPr="000B3E49" w14:paraId="714BE23C"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55956430"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Efedrīns</w:t>
            </w:r>
            <w:r>
              <w:rPr>
                <w:rFonts w:ascii="Times New Roman" w:hAnsi="Times New Roman"/>
                <w:sz w:val="20"/>
                <w:vertAlign w:val="superscript"/>
              </w:rPr>
              <w:t>g</w:t>
            </w:r>
          </w:p>
        </w:tc>
        <w:tc>
          <w:tcPr>
            <w:tcW w:w="872" w:type="pct"/>
            <w:tcBorders>
              <w:top w:val="single" w:sz="5" w:space="0" w:color="000000"/>
              <w:left w:val="single" w:sz="5" w:space="0" w:color="000000"/>
              <w:bottom w:val="single" w:sz="5" w:space="0" w:color="000000"/>
              <w:right w:val="single" w:sz="5" w:space="0" w:color="000000"/>
            </w:tcBorders>
          </w:tcPr>
          <w:p w14:paraId="5F316C63"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10 µg/ml</w:t>
            </w:r>
          </w:p>
        </w:tc>
        <w:tc>
          <w:tcPr>
            <w:tcW w:w="828" w:type="pct"/>
            <w:tcBorders>
              <w:top w:val="single" w:sz="5" w:space="0" w:color="000000"/>
              <w:left w:val="single" w:sz="5" w:space="0" w:color="000000"/>
              <w:bottom w:val="single" w:sz="5" w:space="0" w:color="000000"/>
              <w:right w:val="single" w:sz="5" w:space="0" w:color="000000"/>
            </w:tcBorders>
          </w:tcPr>
          <w:p w14:paraId="061801D6"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0,50 µg/ml</w:t>
            </w:r>
          </w:p>
        </w:tc>
        <w:tc>
          <w:tcPr>
            <w:tcW w:w="731" w:type="pct"/>
            <w:tcBorders>
              <w:top w:val="single" w:sz="5" w:space="0" w:color="000000"/>
              <w:left w:val="single" w:sz="5" w:space="0" w:color="000000"/>
              <w:bottom w:val="single" w:sz="5" w:space="0" w:color="000000"/>
              <w:right w:val="single" w:sz="5" w:space="0" w:color="000000"/>
            </w:tcBorders>
          </w:tcPr>
          <w:p w14:paraId="620B297C"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5,0</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61436378"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11 µg/ml</w:t>
            </w:r>
          </w:p>
        </w:tc>
      </w:tr>
      <w:tr w:rsidR="00573E92" w:rsidRPr="000B3E49" w14:paraId="6B367366"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07330A5E"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Metilefedrīns</w:t>
            </w:r>
            <w:r>
              <w:rPr>
                <w:rFonts w:ascii="Times New Roman" w:hAnsi="Times New Roman"/>
                <w:sz w:val="20"/>
                <w:vertAlign w:val="superscript"/>
              </w:rPr>
              <w:t>g</w:t>
            </w:r>
          </w:p>
        </w:tc>
        <w:tc>
          <w:tcPr>
            <w:tcW w:w="872" w:type="pct"/>
            <w:tcBorders>
              <w:top w:val="single" w:sz="5" w:space="0" w:color="000000"/>
              <w:left w:val="single" w:sz="5" w:space="0" w:color="000000"/>
              <w:bottom w:val="single" w:sz="5" w:space="0" w:color="000000"/>
              <w:right w:val="single" w:sz="5" w:space="0" w:color="000000"/>
            </w:tcBorders>
          </w:tcPr>
          <w:p w14:paraId="4C216149"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10 µg/ml</w:t>
            </w:r>
          </w:p>
        </w:tc>
        <w:tc>
          <w:tcPr>
            <w:tcW w:w="828" w:type="pct"/>
            <w:tcBorders>
              <w:top w:val="single" w:sz="5" w:space="0" w:color="000000"/>
              <w:left w:val="single" w:sz="5" w:space="0" w:color="000000"/>
              <w:bottom w:val="single" w:sz="5" w:space="0" w:color="000000"/>
              <w:right w:val="single" w:sz="5" w:space="0" w:color="000000"/>
            </w:tcBorders>
          </w:tcPr>
          <w:p w14:paraId="379DFCA5"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0,50 µg/ml</w:t>
            </w:r>
          </w:p>
        </w:tc>
        <w:tc>
          <w:tcPr>
            <w:tcW w:w="731" w:type="pct"/>
            <w:tcBorders>
              <w:top w:val="single" w:sz="5" w:space="0" w:color="000000"/>
              <w:left w:val="single" w:sz="5" w:space="0" w:color="000000"/>
              <w:bottom w:val="single" w:sz="5" w:space="0" w:color="000000"/>
              <w:right w:val="single" w:sz="5" w:space="0" w:color="000000"/>
            </w:tcBorders>
          </w:tcPr>
          <w:p w14:paraId="42F21896"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5,0</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5CA619BE"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11 µg/ml</w:t>
            </w:r>
          </w:p>
        </w:tc>
      </w:tr>
      <w:tr w:rsidR="00573E92" w:rsidRPr="000B3E49" w14:paraId="74D3549C" w14:textId="77777777" w:rsidTr="000B3E49">
        <w:tc>
          <w:tcPr>
            <w:tcW w:w="1376" w:type="pct"/>
            <w:tcBorders>
              <w:top w:val="single" w:sz="5" w:space="0" w:color="000000"/>
              <w:left w:val="single" w:sz="5" w:space="0" w:color="000000"/>
              <w:bottom w:val="single" w:sz="5" w:space="0" w:color="000000"/>
              <w:right w:val="single" w:sz="5" w:space="0" w:color="000000"/>
            </w:tcBorders>
          </w:tcPr>
          <w:p w14:paraId="22F6070B" w14:textId="77777777" w:rsidR="00573E92" w:rsidRPr="000B3E49" w:rsidRDefault="00573E92" w:rsidP="00FB35D8">
            <w:pPr>
              <w:pStyle w:val="TableParagraph"/>
              <w:jc w:val="both"/>
              <w:rPr>
                <w:rFonts w:ascii="Times New Roman" w:eastAsia="Arial" w:hAnsi="Times New Roman" w:cs="Times New Roman"/>
                <w:noProof/>
                <w:sz w:val="20"/>
                <w:szCs w:val="20"/>
              </w:rPr>
            </w:pPr>
            <w:r>
              <w:rPr>
                <w:rFonts w:ascii="Times New Roman" w:hAnsi="Times New Roman"/>
                <w:sz w:val="20"/>
              </w:rPr>
              <w:t>Pseidoefedrīns</w:t>
            </w:r>
            <w:r>
              <w:rPr>
                <w:rFonts w:ascii="Times New Roman" w:hAnsi="Times New Roman"/>
                <w:sz w:val="20"/>
                <w:vertAlign w:val="superscript"/>
              </w:rPr>
              <w:t>g</w:t>
            </w:r>
          </w:p>
        </w:tc>
        <w:tc>
          <w:tcPr>
            <w:tcW w:w="872" w:type="pct"/>
            <w:tcBorders>
              <w:top w:val="single" w:sz="5" w:space="0" w:color="000000"/>
              <w:left w:val="single" w:sz="5" w:space="0" w:color="000000"/>
              <w:bottom w:val="single" w:sz="5" w:space="0" w:color="000000"/>
              <w:right w:val="single" w:sz="5" w:space="0" w:color="000000"/>
            </w:tcBorders>
          </w:tcPr>
          <w:p w14:paraId="5378F58E"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150 µg/ml</w:t>
            </w:r>
          </w:p>
        </w:tc>
        <w:tc>
          <w:tcPr>
            <w:tcW w:w="828" w:type="pct"/>
            <w:tcBorders>
              <w:top w:val="single" w:sz="5" w:space="0" w:color="000000"/>
              <w:left w:val="single" w:sz="5" w:space="0" w:color="000000"/>
              <w:bottom w:val="single" w:sz="5" w:space="0" w:color="000000"/>
              <w:right w:val="single" w:sz="5" w:space="0" w:color="000000"/>
            </w:tcBorders>
          </w:tcPr>
          <w:p w14:paraId="62712A24"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7,5 µg/ml</w:t>
            </w:r>
          </w:p>
        </w:tc>
        <w:tc>
          <w:tcPr>
            <w:tcW w:w="731" w:type="pct"/>
            <w:tcBorders>
              <w:top w:val="single" w:sz="5" w:space="0" w:color="000000"/>
              <w:left w:val="single" w:sz="5" w:space="0" w:color="000000"/>
              <w:bottom w:val="single" w:sz="5" w:space="0" w:color="000000"/>
              <w:right w:val="single" w:sz="5" w:space="0" w:color="000000"/>
            </w:tcBorders>
          </w:tcPr>
          <w:p w14:paraId="2A6A93F3"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5,0</w:t>
            </w:r>
          </w:p>
        </w:tc>
        <w:tc>
          <w:tcPr>
            <w:tcW w:w="1193" w:type="pct"/>
            <w:gridSpan w:val="2"/>
            <w:tcBorders>
              <w:top w:val="single" w:sz="5" w:space="0" w:color="000000"/>
              <w:left w:val="single" w:sz="5" w:space="0" w:color="000000"/>
              <w:bottom w:val="single" w:sz="5" w:space="0" w:color="000000"/>
              <w:right w:val="single" w:sz="5" w:space="0" w:color="000000"/>
            </w:tcBorders>
            <w:shd w:val="clear" w:color="auto" w:fill="FFF2D1"/>
          </w:tcPr>
          <w:p w14:paraId="55BAA831" w14:textId="77777777" w:rsidR="00573E92" w:rsidRPr="000B3E49" w:rsidRDefault="00573E92" w:rsidP="000B3E49">
            <w:pPr>
              <w:pStyle w:val="TableParagraph"/>
              <w:jc w:val="center"/>
              <w:rPr>
                <w:rFonts w:ascii="Times New Roman" w:hAnsi="Times New Roman" w:cs="Times New Roman"/>
                <w:b/>
                <w:noProof/>
                <w:sz w:val="20"/>
                <w:szCs w:val="20"/>
              </w:rPr>
            </w:pPr>
            <w:r>
              <w:rPr>
                <w:rFonts w:ascii="Times New Roman" w:hAnsi="Times New Roman"/>
                <w:b/>
                <w:sz w:val="20"/>
              </w:rPr>
              <w:t>170 µg/ml</w:t>
            </w:r>
          </w:p>
        </w:tc>
      </w:tr>
      <w:tr w:rsidR="00573E92" w:rsidRPr="000B3E49" w14:paraId="666175FC" w14:textId="77777777" w:rsidTr="000B3E49">
        <w:tc>
          <w:tcPr>
            <w:tcW w:w="1376" w:type="pct"/>
            <w:vMerge w:val="restart"/>
            <w:tcBorders>
              <w:top w:val="single" w:sz="5" w:space="0" w:color="000000"/>
              <w:left w:val="single" w:sz="5" w:space="0" w:color="000000"/>
              <w:right w:val="single" w:sz="5" w:space="0" w:color="000000"/>
            </w:tcBorders>
          </w:tcPr>
          <w:p w14:paraId="6A61EBB1" w14:textId="77777777" w:rsidR="00573E92" w:rsidRPr="000B3E49" w:rsidRDefault="00573E92" w:rsidP="00FB35D8">
            <w:pPr>
              <w:pStyle w:val="TableParagraph"/>
              <w:jc w:val="both"/>
              <w:rPr>
                <w:rFonts w:ascii="Times New Roman" w:hAnsi="Times New Roman" w:cs="Times New Roman"/>
                <w:noProof/>
                <w:sz w:val="20"/>
                <w:szCs w:val="20"/>
              </w:rPr>
            </w:pPr>
            <w:r>
              <w:rPr>
                <w:rFonts w:ascii="Times New Roman" w:hAnsi="Times New Roman"/>
                <w:sz w:val="20"/>
              </w:rPr>
              <w:t>Cilvēka horiona gonadotropīns (</w:t>
            </w:r>
            <w:r>
              <w:rPr>
                <w:rFonts w:ascii="Times New Roman" w:hAnsi="Times New Roman"/>
                <w:i/>
                <w:iCs/>
                <w:sz w:val="20"/>
              </w:rPr>
              <w:t>hCG</w:t>
            </w:r>
            <w:r>
              <w:rPr>
                <w:rFonts w:ascii="Times New Roman" w:hAnsi="Times New Roman"/>
                <w:sz w:val="20"/>
              </w:rPr>
              <w:t>)</w:t>
            </w:r>
          </w:p>
        </w:tc>
        <w:tc>
          <w:tcPr>
            <w:tcW w:w="872" w:type="pct"/>
            <w:vMerge w:val="restart"/>
            <w:tcBorders>
              <w:top w:val="single" w:sz="5" w:space="0" w:color="000000"/>
              <w:left w:val="single" w:sz="5" w:space="0" w:color="000000"/>
              <w:right w:val="single" w:sz="5" w:space="0" w:color="000000"/>
            </w:tcBorders>
          </w:tcPr>
          <w:p w14:paraId="499BCB6E"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5,0 </w:t>
            </w:r>
            <w:r>
              <w:rPr>
                <w:rFonts w:ascii="Times New Roman" w:hAnsi="Times New Roman"/>
                <w:b/>
                <w:i/>
                <w:iCs/>
                <w:sz w:val="20"/>
              </w:rPr>
              <w:t>IU</w:t>
            </w:r>
            <w:r>
              <w:rPr>
                <w:rFonts w:ascii="Times New Roman" w:hAnsi="Times New Roman"/>
                <w:b/>
                <w:sz w:val="20"/>
              </w:rPr>
              <w:t>/l</w:t>
            </w:r>
            <w:r>
              <w:rPr>
                <w:rFonts w:ascii="Times New Roman" w:hAnsi="Times New Roman"/>
                <w:sz w:val="20"/>
                <w:vertAlign w:val="superscript"/>
              </w:rPr>
              <w:t>j, k</w:t>
            </w:r>
          </w:p>
          <w:p w14:paraId="78D8048A"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2,0 </w:t>
            </w:r>
            <w:r>
              <w:rPr>
                <w:rFonts w:ascii="Times New Roman" w:hAnsi="Times New Roman"/>
                <w:b/>
                <w:i/>
                <w:iCs/>
                <w:sz w:val="20"/>
              </w:rPr>
              <w:t>IU</w:t>
            </w:r>
            <w:r>
              <w:rPr>
                <w:rFonts w:ascii="Times New Roman" w:hAnsi="Times New Roman"/>
                <w:b/>
                <w:sz w:val="20"/>
              </w:rPr>
              <w:t>/l</w:t>
            </w:r>
            <w:r>
              <w:rPr>
                <w:rFonts w:ascii="Times New Roman" w:hAnsi="Times New Roman"/>
                <w:sz w:val="20"/>
                <w:vertAlign w:val="superscript"/>
              </w:rPr>
              <w:t>j, l</w:t>
            </w:r>
          </w:p>
        </w:tc>
        <w:tc>
          <w:tcPr>
            <w:tcW w:w="828" w:type="pct"/>
            <w:vMerge w:val="restart"/>
            <w:tcBorders>
              <w:top w:val="single" w:sz="5" w:space="0" w:color="000000"/>
              <w:left w:val="single" w:sz="5" w:space="0" w:color="000000"/>
              <w:right w:val="single" w:sz="5" w:space="0" w:color="000000"/>
            </w:tcBorders>
          </w:tcPr>
          <w:p w14:paraId="12330A36"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sz w:val="20"/>
              </w:rPr>
              <w:t>1,0 </w:t>
            </w:r>
            <w:r>
              <w:rPr>
                <w:rFonts w:ascii="Times New Roman" w:hAnsi="Times New Roman"/>
                <w:i/>
                <w:iCs/>
                <w:sz w:val="20"/>
              </w:rPr>
              <w:t>IU</w:t>
            </w:r>
            <w:r>
              <w:rPr>
                <w:rFonts w:ascii="Times New Roman" w:hAnsi="Times New Roman"/>
                <w:sz w:val="20"/>
              </w:rPr>
              <w:t>/l</w:t>
            </w:r>
            <w:r>
              <w:rPr>
                <w:rFonts w:ascii="Times New Roman" w:hAnsi="Times New Roman"/>
                <w:sz w:val="20"/>
                <w:vertAlign w:val="superscript"/>
              </w:rPr>
              <w:t>k</w:t>
            </w:r>
          </w:p>
          <w:p w14:paraId="4B1B78A2"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sz w:val="20"/>
              </w:rPr>
              <w:t>0,40 </w:t>
            </w:r>
            <w:r>
              <w:rPr>
                <w:rFonts w:ascii="Times New Roman" w:hAnsi="Times New Roman"/>
                <w:i/>
                <w:iCs/>
                <w:sz w:val="20"/>
              </w:rPr>
              <w:t>IU</w:t>
            </w:r>
            <w:r>
              <w:rPr>
                <w:rFonts w:ascii="Times New Roman" w:hAnsi="Times New Roman"/>
                <w:sz w:val="20"/>
              </w:rPr>
              <w:t>/l</w:t>
            </w:r>
            <w:r>
              <w:rPr>
                <w:rFonts w:ascii="Times New Roman" w:hAnsi="Times New Roman"/>
                <w:sz w:val="20"/>
                <w:vertAlign w:val="superscript"/>
              </w:rPr>
              <w:t>l</w:t>
            </w:r>
          </w:p>
        </w:tc>
        <w:tc>
          <w:tcPr>
            <w:tcW w:w="731" w:type="pct"/>
            <w:vMerge w:val="restart"/>
            <w:tcBorders>
              <w:top w:val="single" w:sz="5" w:space="0" w:color="000000"/>
              <w:left w:val="single" w:sz="5" w:space="0" w:color="000000"/>
              <w:right w:val="single" w:sz="5" w:space="0" w:color="000000"/>
            </w:tcBorders>
          </w:tcPr>
          <w:p w14:paraId="77EFAF79"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20</w:t>
            </w:r>
          </w:p>
          <w:p w14:paraId="412B9FE1" w14:textId="77777777" w:rsidR="00573E92" w:rsidRPr="000B3E49" w:rsidRDefault="00573E92" w:rsidP="000B3E49">
            <w:pPr>
              <w:pStyle w:val="TableParagraph"/>
              <w:jc w:val="center"/>
              <w:rPr>
                <w:rFonts w:ascii="Times New Roman" w:hAnsi="Times New Roman" w:cs="Times New Roman"/>
                <w:noProof/>
                <w:sz w:val="20"/>
                <w:szCs w:val="20"/>
              </w:rPr>
            </w:pPr>
            <w:r>
              <w:rPr>
                <w:rFonts w:ascii="Times New Roman" w:hAnsi="Times New Roman"/>
                <w:sz w:val="20"/>
              </w:rPr>
              <w:t>20</w:t>
            </w:r>
          </w:p>
        </w:tc>
        <w:tc>
          <w:tcPr>
            <w:tcW w:w="1193" w:type="pct"/>
            <w:gridSpan w:val="2"/>
            <w:tcBorders>
              <w:top w:val="single" w:sz="5" w:space="0" w:color="000000"/>
              <w:left w:val="single" w:sz="5" w:space="0" w:color="000000"/>
              <w:bottom w:val="nil"/>
              <w:right w:val="single" w:sz="5" w:space="0" w:color="000000"/>
            </w:tcBorders>
            <w:shd w:val="clear" w:color="auto" w:fill="FFF2D1"/>
          </w:tcPr>
          <w:p w14:paraId="41A15C5F" w14:textId="77777777" w:rsidR="00573E92" w:rsidRPr="000B3E49" w:rsidRDefault="00573E92" w:rsidP="000B3E49">
            <w:pPr>
              <w:pStyle w:val="TableParagraph"/>
              <w:jc w:val="center"/>
              <w:rPr>
                <w:rFonts w:ascii="Times New Roman" w:eastAsia="Arial" w:hAnsi="Times New Roman" w:cs="Times New Roman"/>
                <w:noProof/>
                <w:sz w:val="20"/>
                <w:szCs w:val="20"/>
              </w:rPr>
            </w:pPr>
            <w:r>
              <w:rPr>
                <w:rFonts w:ascii="Times New Roman" w:hAnsi="Times New Roman"/>
                <w:b/>
                <w:sz w:val="20"/>
              </w:rPr>
              <w:t>5,0 </w:t>
            </w:r>
            <w:r>
              <w:rPr>
                <w:rFonts w:ascii="Times New Roman" w:hAnsi="Times New Roman"/>
                <w:b/>
                <w:i/>
                <w:iCs/>
                <w:sz w:val="20"/>
              </w:rPr>
              <w:t>IU</w:t>
            </w:r>
            <w:r>
              <w:rPr>
                <w:rFonts w:ascii="Times New Roman" w:hAnsi="Times New Roman"/>
                <w:b/>
                <w:sz w:val="20"/>
              </w:rPr>
              <w:t>/l</w:t>
            </w:r>
            <w:r>
              <w:rPr>
                <w:rFonts w:ascii="Times New Roman" w:hAnsi="Times New Roman"/>
                <w:sz w:val="20"/>
                <w:vertAlign w:val="superscript"/>
              </w:rPr>
              <w:t>j, k</w:t>
            </w:r>
          </w:p>
        </w:tc>
      </w:tr>
      <w:tr w:rsidR="00573E92" w:rsidRPr="000B3E49" w14:paraId="01A4098E" w14:textId="77777777" w:rsidTr="000B3E49">
        <w:tc>
          <w:tcPr>
            <w:tcW w:w="1376" w:type="pct"/>
            <w:vMerge/>
            <w:tcBorders>
              <w:left w:val="single" w:sz="5" w:space="0" w:color="000000"/>
              <w:bottom w:val="single" w:sz="5" w:space="0" w:color="000000"/>
              <w:right w:val="single" w:sz="5" w:space="0" w:color="000000"/>
            </w:tcBorders>
          </w:tcPr>
          <w:p w14:paraId="43F83DB5" w14:textId="77777777" w:rsidR="00573E92" w:rsidRPr="000B3E49" w:rsidRDefault="00573E92" w:rsidP="00FB35D8">
            <w:pPr>
              <w:jc w:val="both"/>
              <w:rPr>
                <w:rFonts w:ascii="Times New Roman" w:hAnsi="Times New Roman" w:cs="Times New Roman"/>
                <w:noProof/>
                <w:sz w:val="20"/>
                <w:szCs w:val="20"/>
              </w:rPr>
            </w:pPr>
          </w:p>
        </w:tc>
        <w:tc>
          <w:tcPr>
            <w:tcW w:w="872" w:type="pct"/>
            <w:vMerge/>
            <w:tcBorders>
              <w:left w:val="single" w:sz="5" w:space="0" w:color="000000"/>
              <w:bottom w:val="single" w:sz="5" w:space="0" w:color="000000"/>
              <w:right w:val="single" w:sz="5" w:space="0" w:color="000000"/>
            </w:tcBorders>
          </w:tcPr>
          <w:p w14:paraId="25641795" w14:textId="77777777" w:rsidR="00573E92" w:rsidRPr="000B3E49" w:rsidRDefault="00573E92" w:rsidP="000B3E49">
            <w:pPr>
              <w:jc w:val="center"/>
              <w:rPr>
                <w:rFonts w:ascii="Times New Roman" w:hAnsi="Times New Roman" w:cs="Times New Roman"/>
                <w:noProof/>
                <w:sz w:val="20"/>
                <w:szCs w:val="20"/>
              </w:rPr>
            </w:pPr>
          </w:p>
        </w:tc>
        <w:tc>
          <w:tcPr>
            <w:tcW w:w="828" w:type="pct"/>
            <w:vMerge/>
            <w:tcBorders>
              <w:left w:val="single" w:sz="5" w:space="0" w:color="000000"/>
              <w:bottom w:val="single" w:sz="5" w:space="0" w:color="000000"/>
              <w:right w:val="single" w:sz="5" w:space="0" w:color="000000"/>
            </w:tcBorders>
          </w:tcPr>
          <w:p w14:paraId="0BE965E8" w14:textId="77777777" w:rsidR="00573E92" w:rsidRPr="000B3E49" w:rsidRDefault="00573E92" w:rsidP="000B3E49">
            <w:pPr>
              <w:jc w:val="center"/>
              <w:rPr>
                <w:rFonts w:ascii="Times New Roman" w:hAnsi="Times New Roman" w:cs="Times New Roman"/>
                <w:noProof/>
                <w:sz w:val="20"/>
                <w:szCs w:val="20"/>
              </w:rPr>
            </w:pPr>
          </w:p>
        </w:tc>
        <w:tc>
          <w:tcPr>
            <w:tcW w:w="731" w:type="pct"/>
            <w:vMerge/>
            <w:tcBorders>
              <w:left w:val="single" w:sz="5" w:space="0" w:color="000000"/>
              <w:bottom w:val="single" w:sz="5" w:space="0" w:color="000000"/>
              <w:right w:val="single" w:sz="5" w:space="0" w:color="000000"/>
            </w:tcBorders>
          </w:tcPr>
          <w:p w14:paraId="13F7204B" w14:textId="77777777" w:rsidR="00573E92" w:rsidRPr="000B3E49" w:rsidRDefault="00573E92" w:rsidP="000B3E49">
            <w:pPr>
              <w:jc w:val="center"/>
              <w:rPr>
                <w:rFonts w:ascii="Times New Roman" w:hAnsi="Times New Roman" w:cs="Times New Roman"/>
                <w:noProof/>
                <w:sz w:val="20"/>
                <w:szCs w:val="20"/>
              </w:rPr>
            </w:pPr>
          </w:p>
        </w:tc>
        <w:tc>
          <w:tcPr>
            <w:tcW w:w="1193" w:type="pct"/>
            <w:gridSpan w:val="2"/>
            <w:tcBorders>
              <w:top w:val="nil"/>
              <w:left w:val="single" w:sz="5" w:space="0" w:color="000000"/>
              <w:bottom w:val="single" w:sz="5" w:space="0" w:color="000000"/>
              <w:right w:val="single" w:sz="5" w:space="0" w:color="000000"/>
            </w:tcBorders>
            <w:shd w:val="clear" w:color="auto" w:fill="FFF2D1"/>
          </w:tcPr>
          <w:p w14:paraId="0A9E9AC4" w14:textId="3FC78961" w:rsidR="00573E92" w:rsidRPr="000B3E49" w:rsidRDefault="006E3E9C" w:rsidP="003430C9">
            <w:pPr>
              <w:pStyle w:val="TableParagraph"/>
              <w:jc w:val="center"/>
              <w:rPr>
                <w:rFonts w:ascii="Times New Roman" w:eastAsia="Arial" w:hAnsi="Times New Roman" w:cs="Times New Roman"/>
                <w:noProof/>
                <w:sz w:val="20"/>
                <w:szCs w:val="20"/>
              </w:rPr>
            </w:pPr>
            <w:r>
              <w:rPr>
                <w:rFonts w:ascii="Times New Roman" w:hAnsi="Times New Roman"/>
                <w:b/>
                <w:sz w:val="20"/>
              </w:rPr>
              <w:t>2,0 </w:t>
            </w:r>
            <w:r>
              <w:rPr>
                <w:rFonts w:ascii="Times New Roman" w:hAnsi="Times New Roman"/>
                <w:b/>
                <w:i/>
                <w:iCs/>
                <w:sz w:val="20"/>
              </w:rPr>
              <w:t>IU</w:t>
            </w:r>
            <w:r>
              <w:rPr>
                <w:rFonts w:ascii="Times New Roman" w:hAnsi="Times New Roman"/>
                <w:b/>
                <w:sz w:val="20"/>
              </w:rPr>
              <w:t>/l</w:t>
            </w:r>
            <w:r>
              <w:rPr>
                <w:rFonts w:ascii="Times New Roman" w:hAnsi="Times New Roman"/>
                <w:sz w:val="20"/>
                <w:vertAlign w:val="superscript"/>
              </w:rPr>
              <w:t>j, l</w:t>
            </w:r>
          </w:p>
        </w:tc>
      </w:tr>
    </w:tbl>
    <w:p w14:paraId="4F31778D" w14:textId="3F65D372" w:rsidR="000B3E49" w:rsidRDefault="000B3E49" w:rsidP="000B3E49">
      <w:pPr>
        <w:tabs>
          <w:tab w:val="left" w:pos="491"/>
        </w:tabs>
        <w:jc w:val="both"/>
        <w:rPr>
          <w:rFonts w:ascii="Times New Roman" w:eastAsia="Arial" w:hAnsi="Times New Roman" w:cs="Arial"/>
          <w:noProof/>
          <w:sz w:val="24"/>
          <w:szCs w:val="20"/>
          <w:u w:val="single" w:color="000000"/>
        </w:rPr>
      </w:pPr>
    </w:p>
    <w:p w14:paraId="0D0F307B" w14:textId="7F1D814F" w:rsidR="00573E92" w:rsidRPr="00FB35D8" w:rsidRDefault="000B3E49" w:rsidP="000B3E49">
      <w:pPr>
        <w:tabs>
          <w:tab w:val="left" w:pos="491"/>
        </w:tabs>
        <w:jc w:val="both"/>
        <w:rPr>
          <w:rFonts w:ascii="Times New Roman" w:eastAsia="Arial" w:hAnsi="Times New Roman" w:cs="Arial"/>
          <w:noProof/>
          <w:sz w:val="24"/>
          <w:szCs w:val="20"/>
        </w:rPr>
      </w:pPr>
      <w:r>
        <w:rPr>
          <w:rFonts w:ascii="Times New Roman" w:hAnsi="Times New Roman"/>
          <w:sz w:val="24"/>
          <w:u w:color="000000"/>
        </w:rPr>
        <w:t xml:space="preserve">a) Paziņotā </w:t>
      </w:r>
      <w:r>
        <w:rPr>
          <w:rFonts w:ascii="Times New Roman" w:hAnsi="Times New Roman"/>
          <w:i/>
          <w:iCs/>
          <w:sz w:val="24"/>
          <w:u w:val="single" w:color="000000"/>
        </w:rPr>
        <w:t>DL</w:t>
      </w:r>
      <w:r>
        <w:rPr>
          <w:rFonts w:ascii="Times New Roman" w:hAnsi="Times New Roman"/>
          <w:sz w:val="24"/>
        </w:rPr>
        <w:t xml:space="preserve"> atbilst </w:t>
      </w:r>
      <w:r>
        <w:rPr>
          <w:rFonts w:ascii="Times New Roman" w:hAnsi="Times New Roman"/>
          <w:i/>
          <w:iCs/>
          <w:sz w:val="24"/>
          <w:u w:val="single" w:color="000000"/>
        </w:rPr>
        <w:t>T</w:t>
      </w:r>
      <w:r>
        <w:rPr>
          <w:rFonts w:ascii="Times New Roman" w:hAnsi="Times New Roman"/>
          <w:sz w:val="24"/>
        </w:rPr>
        <w:t xml:space="preserve">, kam pieskaitīta aizsargjosla </w:t>
      </w:r>
      <w:r>
        <w:rPr>
          <w:rFonts w:ascii="Times New Roman" w:hAnsi="Times New Roman"/>
          <w:i/>
          <w:sz w:val="24"/>
        </w:rPr>
        <w:t>g</w:t>
      </w:r>
      <w:r>
        <w:rPr>
          <w:rFonts w:ascii="Times New Roman" w:hAnsi="Times New Roman"/>
          <w:sz w:val="24"/>
        </w:rPr>
        <w:t>, kas vienāda ar 1,645ꞏ</w:t>
      </w:r>
      <w:r>
        <w:rPr>
          <w:rFonts w:ascii="Times New Roman" w:hAnsi="Times New Roman"/>
          <w:i/>
          <w:sz w:val="24"/>
        </w:rPr>
        <w:t>u</w:t>
      </w:r>
      <w:r>
        <w:rPr>
          <w:rFonts w:ascii="Times New Roman" w:hAnsi="Times New Roman"/>
          <w:i/>
          <w:sz w:val="24"/>
          <w:vertAlign w:val="subscript"/>
        </w:rPr>
        <w:t>c _Max</w:t>
      </w:r>
      <w:r>
        <w:rPr>
          <w:rFonts w:ascii="Times New Roman" w:hAnsi="Times New Roman"/>
          <w:sz w:val="24"/>
        </w:rPr>
        <w:t xml:space="preserve">, noapaļojot līdz otrajam nozīmīgajam skaitlim. Aizsargjosla atbilst paplašinātajai </w:t>
      </w:r>
      <w:r>
        <w:rPr>
          <w:rFonts w:ascii="Times New Roman" w:hAnsi="Times New Roman"/>
          <w:i/>
          <w:iCs/>
          <w:sz w:val="24"/>
          <w:u w:val="single" w:color="000000"/>
        </w:rPr>
        <w:t>MU</w:t>
      </w:r>
      <w:r>
        <w:rPr>
          <w:rFonts w:ascii="Times New Roman" w:hAnsi="Times New Roman"/>
          <w:sz w:val="24"/>
        </w:rPr>
        <w:t>, kas nodrošina &gt; 95 % aptvēruma intervālu (</w:t>
      </w:r>
      <w:r>
        <w:rPr>
          <w:rFonts w:ascii="Times New Roman" w:hAnsi="Times New Roman"/>
          <w:i/>
          <w:sz w:val="24"/>
        </w:rPr>
        <w:t>U</w:t>
      </w:r>
      <w:r>
        <w:rPr>
          <w:rFonts w:ascii="Times New Roman" w:hAnsi="Times New Roman"/>
          <w:i/>
          <w:sz w:val="24"/>
          <w:vertAlign w:val="subscript"/>
        </w:rPr>
        <w:t>95 %</w:t>
      </w:r>
      <w:r>
        <w:rPr>
          <w:rFonts w:ascii="Times New Roman" w:hAnsi="Times New Roman"/>
          <w:sz w:val="24"/>
        </w:rPr>
        <w:t xml:space="preserve">) attiecībā uz rezultātu </w:t>
      </w:r>
      <w:r>
        <w:rPr>
          <w:rFonts w:ascii="Times New Roman" w:hAnsi="Times New Roman"/>
          <w:sz w:val="24"/>
          <w:u w:val="single" w:color="000000"/>
        </w:rPr>
        <w:t>robežvērtības</w:t>
      </w:r>
      <w:r>
        <w:rPr>
          <w:rFonts w:ascii="Times New Roman" w:hAnsi="Times New Roman"/>
          <w:sz w:val="24"/>
        </w:rPr>
        <w:t xml:space="preserve"> koncentrācijā, pamatojoties uz vienpusēju normālo sadalījumu.</w:t>
      </w:r>
    </w:p>
    <w:p w14:paraId="36A871B2" w14:textId="700A9AE5" w:rsidR="00FB35D8" w:rsidRPr="00FB35D8" w:rsidRDefault="000B3E49" w:rsidP="000B3E49">
      <w:pPr>
        <w:tabs>
          <w:tab w:val="left" w:pos="490"/>
        </w:tabs>
        <w:jc w:val="both"/>
        <w:rPr>
          <w:rFonts w:ascii="Times New Roman" w:eastAsia="Arial" w:hAnsi="Times New Roman" w:cs="Arial"/>
          <w:noProof/>
          <w:sz w:val="24"/>
          <w:szCs w:val="20"/>
        </w:rPr>
      </w:pPr>
      <w:r>
        <w:rPr>
          <w:rFonts w:ascii="Times New Roman" w:hAnsi="Times New Roman"/>
          <w:sz w:val="24"/>
        </w:rPr>
        <w:t xml:space="preserve">b) </w:t>
      </w:r>
      <w:r>
        <w:rPr>
          <w:rFonts w:ascii="Times New Roman" w:hAnsi="Times New Roman"/>
          <w:i/>
          <w:sz w:val="24"/>
        </w:rPr>
        <w:t>u</w:t>
      </w:r>
      <w:r>
        <w:rPr>
          <w:rFonts w:ascii="Times New Roman" w:hAnsi="Times New Roman"/>
          <w:sz w:val="24"/>
          <w:vertAlign w:val="subscript"/>
        </w:rPr>
        <w:t>c_</w:t>
      </w:r>
      <w:r>
        <w:rPr>
          <w:rFonts w:ascii="Times New Roman" w:hAnsi="Times New Roman"/>
          <w:i/>
          <w:sz w:val="24"/>
          <w:vertAlign w:val="subscript"/>
        </w:rPr>
        <w:t>Max</w:t>
      </w:r>
      <w:r>
        <w:rPr>
          <w:rFonts w:ascii="Times New Roman" w:hAnsi="Times New Roman"/>
          <w:sz w:val="24"/>
        </w:rPr>
        <w:t xml:space="preserve"> ir izteikta līdz diviem nozīmīgajiem skaitļiem.</w:t>
      </w:r>
    </w:p>
    <w:p w14:paraId="5028ABEA" w14:textId="093B9126" w:rsidR="00573E92" w:rsidRDefault="000B3E49" w:rsidP="000B3E49">
      <w:pPr>
        <w:tabs>
          <w:tab w:val="left" w:pos="490"/>
        </w:tabs>
        <w:jc w:val="both"/>
        <w:rPr>
          <w:rFonts w:ascii="Times New Roman" w:hAnsi="Times New Roman"/>
          <w:noProof/>
          <w:sz w:val="24"/>
        </w:rPr>
      </w:pPr>
      <w:r>
        <w:rPr>
          <w:rFonts w:ascii="Times New Roman" w:hAnsi="Times New Roman"/>
          <w:sz w:val="24"/>
        </w:rPr>
        <w:t xml:space="preserve">c) Ja </w:t>
      </w:r>
      <w:r>
        <w:rPr>
          <w:rFonts w:ascii="Times New Roman" w:hAnsi="Times New Roman"/>
          <w:i/>
          <w:iCs/>
          <w:sz w:val="24"/>
        </w:rPr>
        <w:t>parauga</w:t>
      </w:r>
      <w:r>
        <w:rPr>
          <w:rFonts w:ascii="Times New Roman" w:hAnsi="Times New Roman"/>
          <w:sz w:val="24"/>
        </w:rPr>
        <w:t xml:space="preserve"> īpatnējais svars (</w:t>
      </w:r>
      <w:r>
        <w:rPr>
          <w:rFonts w:ascii="Times New Roman" w:hAnsi="Times New Roman"/>
          <w:i/>
          <w:iCs/>
          <w:sz w:val="24"/>
        </w:rPr>
        <w:t>SG</w:t>
      </w:r>
      <w:r>
        <w:rPr>
          <w:rFonts w:ascii="Times New Roman" w:hAnsi="Times New Roman"/>
          <w:sz w:val="24"/>
        </w:rPr>
        <w:t>)</w:t>
      </w:r>
      <w:r w:rsidR="003430C9">
        <w:rPr>
          <w:rStyle w:val="FootnoteReference"/>
          <w:rFonts w:ascii="Times New Roman" w:hAnsi="Times New Roman"/>
          <w:noProof/>
          <w:sz w:val="24"/>
        </w:rPr>
        <w:footnoteReference w:id="1"/>
      </w:r>
      <w:r>
        <w:rPr>
          <w:rFonts w:ascii="Times New Roman" w:hAnsi="Times New Roman"/>
          <w:b/>
          <w:sz w:val="24"/>
        </w:rPr>
        <w:t xml:space="preserve"> </w:t>
      </w:r>
      <w:r>
        <w:rPr>
          <w:rFonts w:ascii="Times New Roman" w:hAnsi="Times New Roman"/>
          <w:sz w:val="24"/>
        </w:rPr>
        <w:t>(</w:t>
      </w:r>
      <w:r>
        <w:rPr>
          <w:rFonts w:ascii="Times New Roman" w:hAnsi="Times New Roman"/>
          <w:i/>
          <w:iCs/>
          <w:sz w:val="24"/>
        </w:rPr>
        <w:t>SG</w:t>
      </w:r>
      <w:r>
        <w:rPr>
          <w:rFonts w:ascii="Times New Roman" w:hAnsi="Times New Roman"/>
          <w:i/>
          <w:sz w:val="24"/>
          <w:vertAlign w:val="subscript"/>
        </w:rPr>
        <w:t>Sample</w:t>
      </w:r>
      <w:r>
        <w:rPr>
          <w:rFonts w:ascii="Times New Roman" w:hAnsi="Times New Roman"/>
          <w:sz w:val="24"/>
        </w:rPr>
        <w:t>) ir lielāks par (&gt;) 1,018</w:t>
      </w:r>
      <w:r w:rsidR="003430C9">
        <w:rPr>
          <w:rStyle w:val="FootnoteReference"/>
          <w:rFonts w:ascii="Times New Roman" w:hAnsi="Times New Roman"/>
          <w:noProof/>
          <w:sz w:val="24"/>
        </w:rPr>
        <w:footnoteReference w:id="2"/>
      </w:r>
      <w:r>
        <w:rPr>
          <w:rFonts w:ascii="Times New Roman" w:hAnsi="Times New Roman"/>
          <w:sz w:val="24"/>
        </w:rPr>
        <w:t xml:space="preserve">, koriģēto aizsargjoslu </w:t>
      </w:r>
      <w:r>
        <w:rPr>
          <w:rFonts w:ascii="Times New Roman" w:hAnsi="Times New Roman"/>
          <w:sz w:val="24"/>
        </w:rPr>
        <w:lastRenderedPageBreak/>
        <w:t>(</w:t>
      </w:r>
      <w:r>
        <w:rPr>
          <w:rFonts w:ascii="Times New Roman" w:hAnsi="Times New Roman"/>
          <w:i/>
          <w:sz w:val="24"/>
        </w:rPr>
        <w:t>g</w:t>
      </w:r>
      <w:r>
        <w:rPr>
          <w:rFonts w:ascii="Times New Roman" w:hAnsi="Times New Roman"/>
          <w:i/>
          <w:iCs/>
          <w:sz w:val="24"/>
          <w:vertAlign w:val="subscript"/>
        </w:rPr>
        <w:t>adj</w:t>
      </w:r>
      <w:r>
        <w:rPr>
          <w:rFonts w:ascii="Times New Roman" w:hAnsi="Times New Roman"/>
          <w:sz w:val="24"/>
        </w:rPr>
        <w:t xml:space="preserve">) pieskaita pie </w:t>
      </w:r>
      <w:r>
        <w:rPr>
          <w:rFonts w:ascii="Times New Roman" w:hAnsi="Times New Roman"/>
          <w:sz w:val="24"/>
          <w:u w:val="single" w:color="000000"/>
        </w:rPr>
        <w:t>robežvērtības</w:t>
      </w:r>
      <w:r>
        <w:rPr>
          <w:rFonts w:ascii="Times New Roman" w:hAnsi="Times New Roman"/>
          <w:sz w:val="24"/>
        </w:rPr>
        <w:t xml:space="preserve"> (</w:t>
      </w:r>
      <w:r>
        <w:rPr>
          <w:rFonts w:ascii="Times New Roman" w:hAnsi="Times New Roman"/>
          <w:i/>
          <w:iCs/>
          <w:sz w:val="24"/>
        </w:rPr>
        <w:t>T</w:t>
      </w:r>
      <w:r>
        <w:rPr>
          <w:rFonts w:ascii="Times New Roman" w:hAnsi="Times New Roman"/>
          <w:i/>
          <w:iCs/>
          <w:sz w:val="24"/>
          <w:vertAlign w:val="subscript"/>
        </w:rPr>
        <w:t>adj</w:t>
      </w:r>
      <w:r>
        <w:rPr>
          <w:rFonts w:ascii="Times New Roman" w:hAnsi="Times New Roman"/>
          <w:sz w:val="24"/>
        </w:rPr>
        <w:t xml:space="preserve">), kas koriģēta pēc </w:t>
      </w:r>
      <w:r>
        <w:rPr>
          <w:rFonts w:ascii="Times New Roman" w:hAnsi="Times New Roman"/>
          <w:i/>
          <w:iCs/>
          <w:sz w:val="24"/>
        </w:rPr>
        <w:t>SG</w:t>
      </w:r>
      <w:r>
        <w:rPr>
          <w:rFonts w:ascii="Times New Roman" w:hAnsi="Times New Roman"/>
          <w:sz w:val="24"/>
        </w:rPr>
        <w:t xml:space="preserve">, lai noteiktu </w:t>
      </w:r>
      <w:r>
        <w:rPr>
          <w:rFonts w:ascii="Times New Roman" w:hAnsi="Times New Roman"/>
          <w:i/>
          <w:iCs/>
          <w:sz w:val="24"/>
          <w:u w:val="single" w:color="000000"/>
        </w:rPr>
        <w:t>DL</w:t>
      </w:r>
      <w:r>
        <w:rPr>
          <w:rFonts w:ascii="Times New Roman" w:hAnsi="Times New Roman"/>
          <w:sz w:val="24"/>
        </w:rPr>
        <w:t xml:space="preserve"> atsevišķam pārbaudes rezultātam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w:t>
      </w:r>
    </w:p>
    <w:p w14:paraId="3B9715A0" w14:textId="77777777" w:rsidR="000B3E49" w:rsidRPr="00FB35D8" w:rsidRDefault="000B3E49" w:rsidP="000B3E49">
      <w:pPr>
        <w:tabs>
          <w:tab w:val="left" w:pos="490"/>
        </w:tabs>
        <w:jc w:val="both"/>
        <w:rPr>
          <w:rFonts w:ascii="Times New Roman" w:eastAsia="Arial" w:hAnsi="Times New Roman" w:cs="Arial"/>
          <w:noProof/>
          <w:sz w:val="24"/>
          <w:szCs w:val="20"/>
        </w:rPr>
      </w:pPr>
    </w:p>
    <w:p w14:paraId="435801D4" w14:textId="77777777" w:rsidR="00573E92" w:rsidRPr="00FB35D8" w:rsidRDefault="00573E92" w:rsidP="003430C9">
      <w:pPr>
        <w:ind w:left="284"/>
        <w:jc w:val="both"/>
        <w:rPr>
          <w:rFonts w:ascii="Times New Roman" w:eastAsia="Arial" w:hAnsi="Times New Roman" w:cs="Arial"/>
          <w:noProof/>
          <w:sz w:val="24"/>
          <w:szCs w:val="20"/>
        </w:rPr>
      </w:pPr>
      <w:r>
        <w:rPr>
          <w:rFonts w:ascii="Times New Roman" w:hAnsi="Times New Roman"/>
          <w:i/>
          <w:iCs/>
          <w:sz w:val="24"/>
        </w:rPr>
        <w:t>SG</w:t>
      </w:r>
      <w:r>
        <w:rPr>
          <w:rFonts w:ascii="Times New Roman" w:hAnsi="Times New Roman"/>
          <w:sz w:val="24"/>
        </w:rPr>
        <w:t xml:space="preserve"> korekcija pret </w:t>
      </w:r>
      <w:r>
        <w:rPr>
          <w:rFonts w:ascii="Times New Roman" w:hAnsi="Times New Roman"/>
          <w:i/>
          <w:iCs/>
          <w:sz w:val="24"/>
          <w:u w:val="single" w:color="000000"/>
        </w:rPr>
        <w:t>T</w:t>
      </w:r>
      <w:r>
        <w:rPr>
          <w:rFonts w:ascii="Times New Roman" w:hAnsi="Times New Roman"/>
          <w:sz w:val="24"/>
        </w:rPr>
        <w:t xml:space="preserve"> jāveic, izmantojot šādu formulu:</w:t>
      </w:r>
    </w:p>
    <w:p w14:paraId="66DA7DE7" w14:textId="7A619899" w:rsidR="00FB35D8" w:rsidRDefault="00FB35D8" w:rsidP="003430C9">
      <w:pPr>
        <w:ind w:left="284"/>
        <w:jc w:val="both"/>
        <w:rPr>
          <w:rFonts w:ascii="Times New Roman" w:hAnsi="Times New Roman"/>
          <w:noProof/>
          <w:sz w:val="24"/>
        </w:rPr>
      </w:pPr>
    </w:p>
    <w:p w14:paraId="0D282F87" w14:textId="0C9D7FBE" w:rsidR="003430C9" w:rsidRDefault="003430C9" w:rsidP="003430C9">
      <w:pPr>
        <w:ind w:left="284"/>
        <w:jc w:val="both"/>
        <w:rPr>
          <w:rFonts w:ascii="Times New Roman" w:hAnsi="Times New Roman"/>
          <w:noProof/>
          <w:sz w:val="24"/>
        </w:rPr>
      </w:pPr>
      <w:r>
        <w:rPr>
          <w:rFonts w:ascii="Times New Roman" w:hAnsi="Times New Roman"/>
          <w:noProof/>
          <w:sz w:val="24"/>
        </w:rPr>
        <w:drawing>
          <wp:inline distT="0" distB="0" distL="0" distR="0" wp14:anchorId="03BB2E42" wp14:editId="6D2562EC">
            <wp:extent cx="1836752" cy="3554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210" cy="369444"/>
                    </a:xfrm>
                    <a:prstGeom prst="rect">
                      <a:avLst/>
                    </a:prstGeom>
                    <a:noFill/>
                    <a:ln>
                      <a:noFill/>
                    </a:ln>
                  </pic:spPr>
                </pic:pic>
              </a:graphicData>
            </a:graphic>
          </wp:inline>
        </w:drawing>
      </w:r>
    </w:p>
    <w:p w14:paraId="113A484F" w14:textId="77777777" w:rsidR="003430C9" w:rsidRDefault="003430C9" w:rsidP="003430C9">
      <w:pPr>
        <w:ind w:left="284"/>
        <w:jc w:val="both"/>
        <w:rPr>
          <w:rFonts w:ascii="Times New Roman" w:hAnsi="Times New Roman"/>
          <w:noProof/>
          <w:sz w:val="24"/>
        </w:rPr>
      </w:pPr>
    </w:p>
    <w:p w14:paraId="15550188" w14:textId="087B05C9" w:rsidR="00573E92" w:rsidRDefault="00573E92" w:rsidP="003430C9">
      <w:pPr>
        <w:ind w:left="284"/>
        <w:jc w:val="both"/>
        <w:rPr>
          <w:rFonts w:ascii="Times New Roman" w:hAnsi="Times New Roman"/>
          <w:noProof/>
          <w:sz w:val="24"/>
        </w:rPr>
      </w:pPr>
      <w:r>
        <w:rPr>
          <w:rFonts w:ascii="Times New Roman" w:hAnsi="Times New Roman"/>
          <w:sz w:val="24"/>
        </w:rPr>
        <w:t xml:space="preserve">kur </w:t>
      </w:r>
      <w:r>
        <w:rPr>
          <w:rFonts w:ascii="Times New Roman" w:hAnsi="Times New Roman"/>
          <w:i/>
          <w:iCs/>
          <w:sz w:val="24"/>
        </w:rPr>
        <w:t>SG</w:t>
      </w:r>
      <w:r>
        <w:rPr>
          <w:rFonts w:ascii="Times New Roman" w:hAnsi="Times New Roman"/>
          <w:i/>
          <w:iCs/>
          <w:sz w:val="24"/>
          <w:vertAlign w:val="subscript"/>
        </w:rPr>
        <w:t>Sample_Max</w:t>
      </w:r>
      <w:r>
        <w:rPr>
          <w:rFonts w:ascii="Times New Roman" w:hAnsi="Times New Roman"/>
          <w:sz w:val="24"/>
        </w:rPr>
        <w:t xml:space="preserve"> aprēķina kā:</w:t>
      </w:r>
    </w:p>
    <w:p w14:paraId="7299AD62" w14:textId="77777777" w:rsidR="003430C9" w:rsidRDefault="003430C9" w:rsidP="003430C9">
      <w:pPr>
        <w:ind w:left="284"/>
        <w:jc w:val="both"/>
        <w:rPr>
          <w:rFonts w:ascii="Times New Roman" w:hAnsi="Times New Roman"/>
          <w:noProof/>
          <w:sz w:val="24"/>
        </w:rPr>
      </w:pPr>
    </w:p>
    <w:p w14:paraId="12FF870B" w14:textId="7E298BC4" w:rsidR="003430C9" w:rsidRPr="00FB35D8" w:rsidRDefault="00683A80" w:rsidP="003430C9">
      <w:pPr>
        <w:ind w:left="284"/>
        <w:jc w:val="both"/>
        <w:rPr>
          <w:rFonts w:ascii="Times New Roman" w:eastAsia="Arial" w:hAnsi="Times New Roman" w:cs="Arial"/>
          <w:noProof/>
          <w:sz w:val="24"/>
          <w:szCs w:val="20"/>
        </w:rPr>
      </w:pPr>
      <w:r w:rsidRPr="00683A80">
        <w:rPr>
          <w:rFonts w:ascii="Times New Roman" w:eastAsia="Arial" w:hAnsi="Times New Roman" w:cs="Arial"/>
          <w:noProof/>
          <w:sz w:val="24"/>
          <w:szCs w:val="20"/>
        </w:rPr>
        <w:drawing>
          <wp:inline distT="0" distB="0" distL="0" distR="0" wp14:anchorId="23D7017D" wp14:editId="76093EA4">
            <wp:extent cx="4124325" cy="241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3143" cy="252345"/>
                    </a:xfrm>
                    <a:prstGeom prst="rect">
                      <a:avLst/>
                    </a:prstGeom>
                    <a:noFill/>
                    <a:ln>
                      <a:noFill/>
                    </a:ln>
                  </pic:spPr>
                </pic:pic>
              </a:graphicData>
            </a:graphic>
          </wp:inline>
        </w:drawing>
      </w:r>
    </w:p>
    <w:p w14:paraId="227A1C2F" w14:textId="77777777" w:rsidR="00573E92" w:rsidRPr="00FB35D8" w:rsidRDefault="00573E92" w:rsidP="003430C9">
      <w:pPr>
        <w:ind w:left="284"/>
        <w:jc w:val="both"/>
        <w:rPr>
          <w:rFonts w:ascii="Times New Roman" w:eastAsia="Cambria" w:hAnsi="Times New Roman" w:cs="Cambria"/>
          <w:noProof/>
          <w:sz w:val="24"/>
          <w:szCs w:val="23"/>
        </w:rPr>
      </w:pPr>
    </w:p>
    <w:p w14:paraId="015AB7DB" w14:textId="0560777D" w:rsidR="00573E92" w:rsidRPr="00FB35D8" w:rsidRDefault="00573E92" w:rsidP="003430C9">
      <w:pPr>
        <w:ind w:left="284"/>
        <w:jc w:val="both"/>
        <w:rPr>
          <w:rFonts w:ascii="Times New Roman" w:eastAsia="Arial" w:hAnsi="Times New Roman" w:cs="Arial"/>
          <w:noProof/>
          <w:sz w:val="24"/>
          <w:szCs w:val="20"/>
        </w:rPr>
      </w:pPr>
      <w:r>
        <w:rPr>
          <w:rFonts w:ascii="Times New Roman" w:hAnsi="Times New Roman"/>
          <w:i/>
          <w:sz w:val="24"/>
        </w:rPr>
        <w:t>U</w:t>
      </w:r>
      <w:r>
        <w:rPr>
          <w:rFonts w:ascii="Times New Roman" w:hAnsi="Times New Roman"/>
          <w:i/>
          <w:iCs/>
          <w:sz w:val="24"/>
          <w:vertAlign w:val="subscript"/>
        </w:rPr>
        <w:t>Max_SG</w:t>
      </w:r>
      <w:r>
        <w:rPr>
          <w:rFonts w:ascii="Times New Roman" w:hAnsi="Times New Roman"/>
          <w:sz w:val="24"/>
          <w:vertAlign w:val="subscript"/>
        </w:rPr>
        <w:t xml:space="preserve"> </w:t>
      </w:r>
      <w:r>
        <w:rPr>
          <w:rFonts w:ascii="Times New Roman" w:hAnsi="Times New Roman"/>
          <w:sz w:val="24"/>
        </w:rPr>
        <w:t>= 0,002 ir maksimālā pieļaujamā paplašinātā nenoteiktība (</w:t>
      </w:r>
      <w:r>
        <w:rPr>
          <w:rFonts w:ascii="Times New Roman" w:hAnsi="Times New Roman"/>
          <w:i/>
          <w:sz w:val="24"/>
        </w:rPr>
        <w:t>U</w:t>
      </w:r>
      <w:r>
        <w:rPr>
          <w:rFonts w:ascii="Times New Roman" w:hAnsi="Times New Roman"/>
          <w:sz w:val="24"/>
          <w:vertAlign w:val="subscript"/>
        </w:rPr>
        <w:t>95 %</w:t>
      </w:r>
      <w:r>
        <w:rPr>
          <w:rFonts w:ascii="Times New Roman" w:hAnsi="Times New Roman"/>
          <w:sz w:val="24"/>
        </w:rPr>
        <w:t xml:space="preserve">, </w:t>
      </w:r>
      <w:r>
        <w:rPr>
          <w:rFonts w:ascii="Times New Roman" w:hAnsi="Times New Roman"/>
          <w:i/>
          <w:sz w:val="24"/>
        </w:rPr>
        <w:t xml:space="preserve">k </w:t>
      </w:r>
      <w:r>
        <w:rPr>
          <w:rFonts w:ascii="Times New Roman" w:hAnsi="Times New Roman"/>
          <w:sz w:val="24"/>
        </w:rPr>
        <w:t xml:space="preserve">= 2) attiecībā uz </w:t>
      </w:r>
      <w:r>
        <w:rPr>
          <w:rFonts w:ascii="Times New Roman" w:hAnsi="Times New Roman"/>
          <w:i/>
          <w:iCs/>
          <w:sz w:val="24"/>
        </w:rPr>
        <w:t>SG</w:t>
      </w:r>
      <w:r>
        <w:rPr>
          <w:rFonts w:ascii="Times New Roman" w:hAnsi="Times New Roman"/>
          <w:sz w:val="24"/>
        </w:rPr>
        <w:t xml:space="preserve">, kas noteikts no </w:t>
      </w:r>
      <w:r>
        <w:rPr>
          <w:rFonts w:ascii="Times New Roman" w:hAnsi="Times New Roman"/>
          <w:i/>
          <w:sz w:val="24"/>
        </w:rPr>
        <w:t xml:space="preserve">WADA </w:t>
      </w:r>
      <w:r>
        <w:rPr>
          <w:rFonts w:ascii="Times New Roman" w:hAnsi="Times New Roman"/>
          <w:i/>
          <w:iCs/>
          <w:sz w:val="24"/>
          <w:u w:val="single" w:color="000000"/>
        </w:rPr>
        <w:t>EQAS</w:t>
      </w:r>
      <w:r>
        <w:rPr>
          <w:rFonts w:ascii="Times New Roman" w:hAnsi="Times New Roman"/>
          <w:sz w:val="24"/>
        </w:rPr>
        <w:t>.</w:t>
      </w:r>
    </w:p>
    <w:p w14:paraId="104C0AFA" w14:textId="77777777" w:rsidR="00573E92" w:rsidRPr="00FB35D8" w:rsidRDefault="00573E92" w:rsidP="003430C9">
      <w:pPr>
        <w:ind w:left="284"/>
        <w:jc w:val="both"/>
        <w:rPr>
          <w:rFonts w:ascii="Times New Roman" w:eastAsia="Arial" w:hAnsi="Times New Roman" w:cs="Arial"/>
          <w:noProof/>
          <w:sz w:val="24"/>
          <w:szCs w:val="17"/>
        </w:rPr>
      </w:pPr>
    </w:p>
    <w:p w14:paraId="504DD80F" w14:textId="60D4BCEA" w:rsidR="00573E92" w:rsidRDefault="00573E92" w:rsidP="003430C9">
      <w:pPr>
        <w:ind w:left="284"/>
        <w:jc w:val="both"/>
        <w:rPr>
          <w:rFonts w:ascii="Times New Roman" w:hAnsi="Times New Roman"/>
          <w:noProof/>
          <w:sz w:val="24"/>
        </w:rPr>
      </w:pPr>
      <w:r>
        <w:rPr>
          <w:rFonts w:ascii="Times New Roman" w:hAnsi="Times New Roman"/>
          <w:sz w:val="24"/>
        </w:rPr>
        <w:t xml:space="preserve">Tādējādi atbilstošais koriģētais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 xml:space="preserve"> ir šāds:</w:t>
      </w:r>
    </w:p>
    <w:p w14:paraId="5C605A49" w14:textId="77777777" w:rsidR="003430C9" w:rsidRPr="00FB35D8" w:rsidRDefault="003430C9" w:rsidP="003430C9">
      <w:pPr>
        <w:ind w:left="284"/>
        <w:jc w:val="both"/>
        <w:rPr>
          <w:rFonts w:ascii="Times New Roman" w:eastAsia="Arial" w:hAnsi="Times New Roman" w:cs="Arial"/>
          <w:noProof/>
          <w:sz w:val="24"/>
          <w:szCs w:val="20"/>
        </w:rPr>
      </w:pPr>
    </w:p>
    <w:p w14:paraId="4EDE7889" w14:textId="393F33B7" w:rsidR="003430C9" w:rsidRDefault="003430C9" w:rsidP="003430C9">
      <w:pPr>
        <w:ind w:left="284"/>
        <w:jc w:val="both"/>
        <w:rPr>
          <w:rFonts w:ascii="Times New Roman" w:hAnsi="Times New Roman"/>
          <w:noProof/>
          <w:sz w:val="24"/>
        </w:rPr>
      </w:pPr>
      <w:r>
        <w:rPr>
          <w:rFonts w:ascii="Times New Roman" w:hAnsi="Times New Roman"/>
          <w:noProof/>
          <w:sz w:val="24"/>
        </w:rPr>
        <w:drawing>
          <wp:inline distT="0" distB="0" distL="0" distR="0" wp14:anchorId="48009297" wp14:editId="66AC505B">
            <wp:extent cx="3331597" cy="2788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4722" cy="290030"/>
                    </a:xfrm>
                    <a:prstGeom prst="rect">
                      <a:avLst/>
                    </a:prstGeom>
                    <a:noFill/>
                    <a:ln>
                      <a:noFill/>
                    </a:ln>
                  </pic:spPr>
                </pic:pic>
              </a:graphicData>
            </a:graphic>
          </wp:inline>
        </w:drawing>
      </w:r>
    </w:p>
    <w:p w14:paraId="38755CE7" w14:textId="77777777" w:rsidR="003430C9" w:rsidRDefault="003430C9" w:rsidP="003430C9">
      <w:pPr>
        <w:ind w:left="284"/>
        <w:jc w:val="both"/>
        <w:rPr>
          <w:rFonts w:ascii="Times New Roman" w:hAnsi="Times New Roman"/>
          <w:noProof/>
          <w:sz w:val="24"/>
        </w:rPr>
      </w:pPr>
    </w:p>
    <w:p w14:paraId="5E5A3D90" w14:textId="0CB28A6E" w:rsidR="00573E92" w:rsidRPr="00FB35D8" w:rsidRDefault="00573E92" w:rsidP="003430C9">
      <w:pPr>
        <w:ind w:left="284"/>
        <w:jc w:val="both"/>
        <w:rPr>
          <w:rFonts w:ascii="Times New Roman" w:eastAsia="Arial" w:hAnsi="Times New Roman" w:cs="Arial"/>
          <w:noProof/>
          <w:sz w:val="24"/>
          <w:szCs w:val="20"/>
        </w:rPr>
      </w:pPr>
      <w:r>
        <w:rPr>
          <w:rFonts w:ascii="Times New Roman" w:hAnsi="Times New Roman"/>
          <w:sz w:val="24"/>
        </w:rPr>
        <w:t xml:space="preserve">kur </w:t>
      </w:r>
      <w:r>
        <w:rPr>
          <w:rFonts w:ascii="Times New Roman" w:hAnsi="Times New Roman"/>
          <w:i/>
          <w:sz w:val="24"/>
        </w:rPr>
        <w:t>u</w:t>
      </w:r>
      <w:r>
        <w:rPr>
          <w:rFonts w:ascii="Times New Roman" w:hAnsi="Times New Roman"/>
          <w:i/>
          <w:sz w:val="24"/>
          <w:vertAlign w:val="subscript"/>
        </w:rPr>
        <w:t xml:space="preserve">c_Max </w:t>
      </w:r>
      <w:r>
        <w:rPr>
          <w:rFonts w:ascii="Times New Roman" w:hAnsi="Times New Roman"/>
          <w:i/>
          <w:iCs/>
          <w:sz w:val="24"/>
          <w:vertAlign w:val="subscript"/>
        </w:rPr>
        <w:t>(Tadj)</w:t>
      </w:r>
      <w:r>
        <w:rPr>
          <w:rFonts w:ascii="Times New Roman" w:hAnsi="Times New Roman"/>
          <w:sz w:val="24"/>
        </w:rPr>
        <w:t xml:space="preserve"> ir absolūtais </w:t>
      </w:r>
      <w:r>
        <w:rPr>
          <w:rFonts w:ascii="Times New Roman" w:hAnsi="Times New Roman"/>
          <w:i/>
          <w:sz w:val="24"/>
        </w:rPr>
        <w:t>u</w:t>
      </w:r>
      <w:r>
        <w:rPr>
          <w:rFonts w:ascii="Times New Roman" w:hAnsi="Times New Roman"/>
          <w:i/>
          <w:sz w:val="24"/>
          <w:vertAlign w:val="subscript"/>
        </w:rPr>
        <w:t xml:space="preserve">c_Max </w:t>
      </w:r>
      <w:r>
        <w:rPr>
          <w:rFonts w:ascii="Times New Roman" w:hAnsi="Times New Roman"/>
          <w:sz w:val="24"/>
        </w:rPr>
        <w:t xml:space="preserve">pie </w:t>
      </w:r>
      <w:r>
        <w:rPr>
          <w:rFonts w:ascii="Times New Roman" w:hAnsi="Times New Roman"/>
          <w:i/>
          <w:iCs/>
          <w:sz w:val="24"/>
        </w:rPr>
        <w:t>T</w:t>
      </w:r>
      <w:r>
        <w:rPr>
          <w:rFonts w:ascii="Times New Roman" w:hAnsi="Times New Roman"/>
          <w:i/>
          <w:iCs/>
          <w:sz w:val="24"/>
          <w:vertAlign w:val="subscript"/>
        </w:rPr>
        <w:t>adj</w:t>
      </w:r>
      <w:r>
        <w:rPr>
          <w:rFonts w:ascii="Times New Roman" w:hAnsi="Times New Roman"/>
          <w:sz w:val="24"/>
        </w:rPr>
        <w:t>, kas aprēķināts kā:</w:t>
      </w:r>
    </w:p>
    <w:p w14:paraId="46F8B712" w14:textId="2A2A376E" w:rsidR="00573E92" w:rsidRDefault="00573E92" w:rsidP="003430C9">
      <w:pPr>
        <w:ind w:left="284"/>
        <w:jc w:val="both"/>
        <w:rPr>
          <w:rFonts w:ascii="Times New Roman" w:eastAsia="Arial" w:hAnsi="Times New Roman" w:cs="Arial"/>
          <w:noProof/>
          <w:sz w:val="24"/>
          <w:szCs w:val="20"/>
        </w:rPr>
      </w:pPr>
    </w:p>
    <w:p w14:paraId="309D409E" w14:textId="75ECD925" w:rsidR="003430C9" w:rsidRDefault="003430C9" w:rsidP="003430C9">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25F7253F" wp14:editId="3B5F567A">
            <wp:extent cx="2154804" cy="29630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782" cy="302628"/>
                    </a:xfrm>
                    <a:prstGeom prst="rect">
                      <a:avLst/>
                    </a:prstGeom>
                    <a:noFill/>
                    <a:ln>
                      <a:noFill/>
                    </a:ln>
                  </pic:spPr>
                </pic:pic>
              </a:graphicData>
            </a:graphic>
          </wp:inline>
        </w:drawing>
      </w:r>
    </w:p>
    <w:p w14:paraId="1240EC98" w14:textId="77777777" w:rsidR="003430C9" w:rsidRDefault="003430C9" w:rsidP="003430C9">
      <w:pPr>
        <w:ind w:left="284"/>
        <w:jc w:val="both"/>
        <w:rPr>
          <w:rFonts w:ascii="Times New Roman" w:eastAsia="Arial" w:hAnsi="Times New Roman" w:cs="Arial"/>
          <w:noProof/>
          <w:sz w:val="24"/>
          <w:szCs w:val="20"/>
        </w:rPr>
      </w:pPr>
    </w:p>
    <w:p w14:paraId="5C1FF496" w14:textId="77777777" w:rsidR="00573E92" w:rsidRPr="00FB35D8" w:rsidRDefault="00573E92" w:rsidP="003430C9">
      <w:pPr>
        <w:ind w:left="284"/>
        <w:jc w:val="both"/>
        <w:rPr>
          <w:rFonts w:ascii="Times New Roman" w:eastAsia="Arial" w:hAnsi="Times New Roman" w:cs="Arial"/>
          <w:noProof/>
          <w:sz w:val="24"/>
          <w:szCs w:val="20"/>
        </w:rPr>
      </w:pPr>
      <w:r>
        <w:rPr>
          <w:rFonts w:ascii="Times New Roman" w:hAnsi="Times New Roman"/>
          <w:sz w:val="24"/>
        </w:rPr>
        <w:t xml:space="preserve">Līdz ar to formulu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 xml:space="preserve"> var vienkāršot šādi:</w:t>
      </w:r>
    </w:p>
    <w:p w14:paraId="50F7127B" w14:textId="5385531F" w:rsidR="00573E92" w:rsidRDefault="00573E92" w:rsidP="003430C9">
      <w:pPr>
        <w:ind w:left="284"/>
        <w:jc w:val="both"/>
        <w:rPr>
          <w:rFonts w:ascii="Times New Roman" w:eastAsia="Arial" w:hAnsi="Times New Roman" w:cs="Arial"/>
          <w:noProof/>
          <w:sz w:val="24"/>
          <w:szCs w:val="13"/>
        </w:rPr>
      </w:pPr>
    </w:p>
    <w:p w14:paraId="3CD2AD12" w14:textId="592109C1" w:rsidR="003430C9" w:rsidRDefault="003430C9" w:rsidP="003430C9">
      <w:pPr>
        <w:ind w:left="284"/>
        <w:jc w:val="both"/>
        <w:rPr>
          <w:rFonts w:ascii="Times New Roman" w:eastAsia="Arial" w:hAnsi="Times New Roman" w:cs="Arial"/>
          <w:noProof/>
          <w:sz w:val="24"/>
          <w:szCs w:val="13"/>
        </w:rPr>
      </w:pPr>
      <w:r>
        <w:rPr>
          <w:rFonts w:ascii="Times New Roman" w:hAnsi="Times New Roman"/>
          <w:noProof/>
          <w:sz w:val="24"/>
        </w:rPr>
        <w:drawing>
          <wp:inline distT="0" distB="0" distL="0" distR="0" wp14:anchorId="4646E1AE" wp14:editId="7133410B">
            <wp:extent cx="2266122" cy="3945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7500" cy="398225"/>
                    </a:xfrm>
                    <a:prstGeom prst="rect">
                      <a:avLst/>
                    </a:prstGeom>
                    <a:noFill/>
                    <a:ln>
                      <a:noFill/>
                    </a:ln>
                  </pic:spPr>
                </pic:pic>
              </a:graphicData>
            </a:graphic>
          </wp:inline>
        </w:drawing>
      </w:r>
    </w:p>
    <w:p w14:paraId="1AD4A11F" w14:textId="6A35ED1D" w:rsidR="003430C9" w:rsidRDefault="003430C9" w:rsidP="003430C9">
      <w:pPr>
        <w:ind w:left="284"/>
        <w:jc w:val="both"/>
        <w:rPr>
          <w:rFonts w:ascii="Times New Roman" w:eastAsia="Arial" w:hAnsi="Times New Roman" w:cs="Arial"/>
          <w:noProof/>
          <w:sz w:val="24"/>
          <w:szCs w:val="13"/>
        </w:rPr>
      </w:pPr>
    </w:p>
    <w:p w14:paraId="061AD408" w14:textId="56533842" w:rsidR="00573E92" w:rsidRDefault="00573E92" w:rsidP="003430C9">
      <w:pPr>
        <w:ind w:left="284"/>
        <w:jc w:val="both"/>
        <w:rPr>
          <w:rFonts w:ascii="Times New Roman" w:hAnsi="Times New Roman"/>
          <w:noProof/>
          <w:sz w:val="24"/>
        </w:rPr>
      </w:pPr>
      <w:r>
        <w:rPr>
          <w:rFonts w:ascii="Times New Roman" w:hAnsi="Times New Roman"/>
          <w:sz w:val="24"/>
        </w:rPr>
        <w:t xml:space="preserve">Noteikto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 xml:space="preserve"> bez noapaļošanas saīsina līdz tādam pašam ciparam aiz komata kā </w:t>
      </w:r>
      <w:r>
        <w:rPr>
          <w:rFonts w:ascii="Times New Roman" w:hAnsi="Times New Roman"/>
          <w:i/>
          <w:iCs/>
          <w:sz w:val="24"/>
          <w:u w:val="single"/>
        </w:rPr>
        <w:t>DL</w:t>
      </w:r>
      <w:r>
        <w:rPr>
          <w:rFonts w:ascii="Times New Roman" w:hAnsi="Times New Roman"/>
          <w:sz w:val="24"/>
        </w:rPr>
        <w:t xml:space="preserve"> (piemēram, morfīna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 xml:space="preserve">, kas ir 1,416, izsaka kā 1,4; pseidoefedrīna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 xml:space="preserve">, kas ir 189,35, izsaka kā 189; efedrīna </w:t>
      </w:r>
      <w:r>
        <w:rPr>
          <w:rFonts w:ascii="Times New Roman" w:hAnsi="Times New Roman"/>
          <w:i/>
          <w:iCs/>
          <w:sz w:val="24"/>
        </w:rPr>
        <w:t>DL</w:t>
      </w:r>
      <w:r>
        <w:rPr>
          <w:rFonts w:ascii="Times New Roman" w:hAnsi="Times New Roman"/>
          <w:i/>
          <w:iCs/>
          <w:sz w:val="24"/>
          <w:vertAlign w:val="subscript"/>
        </w:rPr>
        <w:t>adj</w:t>
      </w:r>
      <w:r>
        <w:rPr>
          <w:rFonts w:ascii="Times New Roman" w:hAnsi="Times New Roman"/>
          <w:sz w:val="24"/>
        </w:rPr>
        <w:t>, kas ir 11,8, izsaka kā 11).</w:t>
      </w:r>
    </w:p>
    <w:p w14:paraId="51A22028" w14:textId="77777777" w:rsidR="003430C9" w:rsidRPr="00FB35D8" w:rsidRDefault="003430C9" w:rsidP="00FB35D8">
      <w:pPr>
        <w:jc w:val="both"/>
        <w:rPr>
          <w:rFonts w:ascii="Times New Roman" w:eastAsia="Arial" w:hAnsi="Times New Roman" w:cs="Arial"/>
          <w:noProof/>
          <w:sz w:val="24"/>
          <w:szCs w:val="20"/>
        </w:rPr>
      </w:pPr>
    </w:p>
    <w:p w14:paraId="4E44DADF" w14:textId="51851C87" w:rsidR="00573E92" w:rsidRPr="00FB35D8" w:rsidRDefault="003430C9" w:rsidP="003430C9">
      <w:pPr>
        <w:tabs>
          <w:tab w:val="left" w:pos="491"/>
        </w:tabs>
        <w:jc w:val="both"/>
        <w:rPr>
          <w:rFonts w:ascii="Times New Roman" w:eastAsia="Arial" w:hAnsi="Times New Roman" w:cs="Arial"/>
          <w:noProof/>
          <w:sz w:val="24"/>
          <w:szCs w:val="20"/>
        </w:rPr>
      </w:pPr>
      <w:r>
        <w:rPr>
          <w:rFonts w:ascii="Times New Roman" w:hAnsi="Times New Roman"/>
          <w:sz w:val="24"/>
        </w:rPr>
        <w:t>d) 11-nor-</w:t>
      </w:r>
      <w:r>
        <w:rPr>
          <w:rFonts w:ascii="Times New Roman" w:hAnsi="Times New Roman"/>
          <w:sz w:val="24"/>
        </w:rPr>
        <w:sym w:font="Symbol" w:char="F044"/>
      </w:r>
      <w:r>
        <w:rPr>
          <w:rFonts w:ascii="Times New Roman" w:hAnsi="Times New Roman"/>
          <w:sz w:val="24"/>
        </w:rPr>
        <w:t>9-tetrahidrokanabinol-9-karbonskābe.</w:t>
      </w:r>
    </w:p>
    <w:p w14:paraId="428D7E0B" w14:textId="07354C64" w:rsidR="00573E92" w:rsidRPr="00FB35D8" w:rsidRDefault="003430C9" w:rsidP="003430C9">
      <w:pPr>
        <w:tabs>
          <w:tab w:val="left" w:pos="491"/>
        </w:tabs>
        <w:jc w:val="both"/>
        <w:rPr>
          <w:rFonts w:ascii="Times New Roman" w:eastAsia="Arial" w:hAnsi="Times New Roman" w:cs="Arial"/>
          <w:noProof/>
          <w:sz w:val="24"/>
          <w:szCs w:val="20"/>
        </w:rPr>
      </w:pPr>
      <w:r>
        <w:rPr>
          <w:rFonts w:ascii="Times New Roman" w:hAnsi="Times New Roman"/>
          <w:sz w:val="24"/>
        </w:rPr>
        <w:t xml:space="preserve">e) Ja šī eksogēnā </w:t>
      </w:r>
      <w:r>
        <w:rPr>
          <w:rFonts w:ascii="Times New Roman" w:hAnsi="Times New Roman"/>
          <w:sz w:val="24"/>
          <w:u w:val="single"/>
        </w:rPr>
        <w:t>sliekšņa viela</w:t>
      </w:r>
      <w:r>
        <w:rPr>
          <w:rFonts w:ascii="Times New Roman" w:hAnsi="Times New Roman"/>
          <w:sz w:val="24"/>
        </w:rPr>
        <w:t xml:space="preserve"> tiek konstatēta kopā ar aizliegtu diurētisku vai citu maskējošu līdzekli (kas iekļauts </w:t>
      </w:r>
      <w:r>
        <w:rPr>
          <w:rFonts w:ascii="Times New Roman" w:hAnsi="Times New Roman"/>
          <w:i/>
          <w:iCs/>
          <w:sz w:val="24"/>
        </w:rPr>
        <w:t>aizliegto vielu saraksta</w:t>
      </w:r>
      <w:r>
        <w:rPr>
          <w:rFonts w:ascii="Times New Roman" w:hAnsi="Times New Roman"/>
          <w:sz w:val="24"/>
        </w:rPr>
        <w:t xml:space="preserve"> S5 klasē), </w:t>
      </w:r>
      <w:r>
        <w:rPr>
          <w:rFonts w:ascii="Times New Roman" w:hAnsi="Times New Roman"/>
          <w:sz w:val="24"/>
          <w:u w:val="single"/>
        </w:rPr>
        <w:t>sliekšņa vielas</w:t>
      </w:r>
      <w:r>
        <w:rPr>
          <w:rFonts w:ascii="Times New Roman" w:hAnsi="Times New Roman"/>
          <w:sz w:val="24"/>
        </w:rPr>
        <w:t xml:space="preserve"> apstiprināšanai nepieciešama tikai savienojuma identificēšana, nevis tās kvantitatīva noteikšana.</w:t>
      </w:r>
      <w:r>
        <w:rPr>
          <w:rStyle w:val="FootnoteReference"/>
          <w:rFonts w:ascii="Times New Roman" w:hAnsi="Times New Roman" w:cs="Arial"/>
          <w:noProof/>
          <w:sz w:val="24"/>
        </w:rPr>
        <w:footnoteReference w:id="3"/>
      </w:r>
      <w:r>
        <w:rPr>
          <w:rFonts w:ascii="Times New Roman" w:hAnsi="Times New Roman"/>
          <w:sz w:val="24"/>
        </w:rPr>
        <w:t xml:space="preserve"> Šādos gadījumos gan eksogēno </w:t>
      </w:r>
      <w:r>
        <w:rPr>
          <w:rFonts w:ascii="Times New Roman" w:hAnsi="Times New Roman"/>
          <w:sz w:val="24"/>
          <w:u w:val="single"/>
        </w:rPr>
        <w:t>sliekšņa vielu</w:t>
      </w:r>
      <w:r>
        <w:rPr>
          <w:rFonts w:ascii="Times New Roman" w:hAnsi="Times New Roman"/>
          <w:sz w:val="24"/>
        </w:rPr>
        <w:t xml:space="preserve">, gan diurētisko/maskējošo līdzekli </w:t>
      </w:r>
      <w:r>
        <w:rPr>
          <w:rFonts w:ascii="Times New Roman" w:hAnsi="Times New Roman"/>
          <w:sz w:val="24"/>
          <w:u w:val="single"/>
        </w:rPr>
        <w:t>laboratorija</w:t>
      </w:r>
      <w:r>
        <w:rPr>
          <w:rFonts w:ascii="Times New Roman" w:hAnsi="Times New Roman"/>
          <w:sz w:val="24"/>
        </w:rPr>
        <w:t xml:space="preserve"> apstiprina un par to paziņo kā par </w:t>
      </w:r>
      <w:r>
        <w:rPr>
          <w:rFonts w:ascii="Times New Roman" w:hAnsi="Times New Roman"/>
          <w:i/>
          <w:iCs/>
          <w:sz w:val="24"/>
        </w:rPr>
        <w:t>AAF</w:t>
      </w:r>
      <w:r>
        <w:rPr>
          <w:rFonts w:ascii="Times New Roman" w:hAnsi="Times New Roman"/>
          <w:sz w:val="24"/>
        </w:rPr>
        <w:t xml:space="preserve"> (beta-2 agonists, kas vienmēr ir aizliegts, t. i., </w:t>
      </w:r>
      <w:r>
        <w:rPr>
          <w:rFonts w:ascii="Times New Roman" w:hAnsi="Times New Roman"/>
          <w:i/>
          <w:iCs/>
          <w:sz w:val="24"/>
        </w:rPr>
        <w:t>gan sacensībās</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tiek paziņos kā </w:t>
      </w:r>
      <w:r>
        <w:rPr>
          <w:rFonts w:ascii="Times New Roman" w:hAnsi="Times New Roman"/>
          <w:i/>
          <w:iCs/>
          <w:sz w:val="24"/>
        </w:rPr>
        <w:t>AAF</w:t>
      </w:r>
      <w:r>
        <w:rPr>
          <w:rFonts w:ascii="Times New Roman" w:hAnsi="Times New Roman"/>
          <w:sz w:val="24"/>
        </w:rPr>
        <w:t xml:space="preserve">, ja tiek identificēts </w:t>
      </w:r>
      <w:r>
        <w:rPr>
          <w:rFonts w:ascii="Times New Roman" w:hAnsi="Times New Roman"/>
          <w:b/>
          <w:bCs/>
          <w:sz w:val="24"/>
        </w:rPr>
        <w:t xml:space="preserve">jebkurā </w:t>
      </w:r>
      <w:r>
        <w:rPr>
          <w:rFonts w:ascii="Times New Roman" w:hAnsi="Times New Roman"/>
          <w:b/>
          <w:bCs/>
          <w:sz w:val="24"/>
        </w:rPr>
        <w:lastRenderedPageBreak/>
        <w:t>koncentrācijā</w:t>
      </w:r>
      <w:r>
        <w:rPr>
          <w:rFonts w:ascii="Times New Roman" w:hAnsi="Times New Roman"/>
          <w:sz w:val="24"/>
        </w:rPr>
        <w:t xml:space="preserve">, saskaņā ar spēkā esošo </w:t>
      </w:r>
      <w:r>
        <w:rPr>
          <w:rFonts w:ascii="Times New Roman" w:hAnsi="Times New Roman"/>
          <w:sz w:val="24"/>
          <w:u w:val="single"/>
        </w:rPr>
        <w:t>tehnisko dokumentu</w:t>
      </w:r>
      <w:r>
        <w:rPr>
          <w:rFonts w:ascii="Times New Roman" w:hAnsi="Times New Roman"/>
          <w:sz w:val="24"/>
        </w:rPr>
        <w:t xml:space="preserve"> (</w:t>
      </w:r>
      <w:r>
        <w:rPr>
          <w:rFonts w:ascii="Times New Roman" w:hAnsi="Times New Roman"/>
          <w:i/>
          <w:iCs/>
          <w:sz w:val="24"/>
        </w:rPr>
        <w:t>TD IDCR</w:t>
      </w:r>
      <w:r>
        <w:rPr>
          <w:rFonts w:ascii="Times New Roman" w:hAnsi="Times New Roman"/>
          <w:sz w:val="24"/>
        </w:rPr>
        <w:t>) [1]).</w:t>
      </w:r>
    </w:p>
    <w:p w14:paraId="49294E74" w14:textId="0F1D7CA5" w:rsidR="00573E92" w:rsidRDefault="00881018" w:rsidP="00881018">
      <w:pPr>
        <w:tabs>
          <w:tab w:val="left" w:pos="490"/>
        </w:tabs>
        <w:jc w:val="both"/>
        <w:rPr>
          <w:rFonts w:ascii="Times New Roman" w:hAnsi="Times New Roman"/>
          <w:noProof/>
          <w:sz w:val="24"/>
        </w:rPr>
      </w:pPr>
      <w:r>
        <w:rPr>
          <w:rFonts w:ascii="Times New Roman" w:hAnsi="Times New Roman"/>
          <w:sz w:val="24"/>
        </w:rPr>
        <w:t xml:space="preserve">f) Reizēm morfīna atrade var būt radusies, lietojot atļautu vielu, piemēram, kodeīnu. Tādēļ </w:t>
      </w:r>
      <w:r>
        <w:rPr>
          <w:rFonts w:ascii="Times New Roman" w:hAnsi="Times New Roman"/>
          <w:sz w:val="24"/>
          <w:u w:val="single"/>
        </w:rPr>
        <w:t>laboratorijām</w:t>
      </w:r>
      <w:r>
        <w:rPr>
          <w:rFonts w:ascii="Times New Roman" w:hAnsi="Times New Roman"/>
          <w:sz w:val="24"/>
        </w:rPr>
        <w:t xml:space="preserve"> jāziņo par morfīna </w:t>
      </w:r>
      <w:r>
        <w:rPr>
          <w:rFonts w:ascii="Times New Roman" w:hAnsi="Times New Roman"/>
          <w:i/>
          <w:iCs/>
          <w:sz w:val="24"/>
        </w:rPr>
        <w:t>AAF</w:t>
      </w:r>
      <w:r>
        <w:rPr>
          <w:rFonts w:ascii="Times New Roman" w:hAnsi="Times New Roman"/>
          <w:sz w:val="24"/>
        </w:rPr>
        <w:t xml:space="preserve"> gadījumos, kad ir izpildīti abi šādi nosacījumi:</w:t>
      </w:r>
    </w:p>
    <w:p w14:paraId="79437332" w14:textId="77777777" w:rsidR="00881018" w:rsidRPr="00FB35D8" w:rsidRDefault="00881018" w:rsidP="00881018">
      <w:pPr>
        <w:tabs>
          <w:tab w:val="left" w:pos="490"/>
        </w:tabs>
        <w:jc w:val="both"/>
        <w:rPr>
          <w:rFonts w:ascii="Times New Roman" w:eastAsia="Arial" w:hAnsi="Times New Roman" w:cs="Arial"/>
          <w:noProof/>
          <w:sz w:val="24"/>
          <w:szCs w:val="20"/>
        </w:rPr>
      </w:pPr>
    </w:p>
    <w:p w14:paraId="1216F154" w14:textId="79781B18" w:rsidR="00573E92" w:rsidRPr="00881018" w:rsidRDefault="00573E92" w:rsidP="00881018">
      <w:pPr>
        <w:numPr>
          <w:ilvl w:val="0"/>
          <w:numId w:val="10"/>
        </w:numPr>
        <w:ind w:left="709" w:hanging="425"/>
        <w:jc w:val="both"/>
        <w:rPr>
          <w:rFonts w:ascii="Times New Roman" w:eastAsia="Arial" w:hAnsi="Times New Roman" w:cs="Arial"/>
          <w:noProof/>
          <w:sz w:val="24"/>
          <w:szCs w:val="20"/>
        </w:rPr>
      </w:pPr>
      <w:r>
        <w:rPr>
          <w:rFonts w:ascii="Times New Roman" w:hAnsi="Times New Roman"/>
          <w:sz w:val="24"/>
        </w:rPr>
        <w:t xml:space="preserve">kopējā morfīna koncentrācija urīnā ir augstāka par </w:t>
      </w:r>
      <w:r>
        <w:rPr>
          <w:rFonts w:ascii="Times New Roman" w:hAnsi="Times New Roman"/>
          <w:i/>
          <w:iCs/>
          <w:sz w:val="24"/>
          <w:u w:val="single" w:color="000000"/>
        </w:rPr>
        <w:t>DL</w:t>
      </w:r>
      <w:r>
        <w:rPr>
          <w:rFonts w:ascii="Times New Roman" w:hAnsi="Times New Roman"/>
          <w:sz w:val="24"/>
        </w:rPr>
        <w:t xml:space="preserve"> (pēc korekcijas, ja </w:t>
      </w:r>
      <w:r>
        <w:rPr>
          <w:rFonts w:ascii="Times New Roman" w:hAnsi="Times New Roman"/>
          <w:i/>
          <w:iCs/>
          <w:sz w:val="24"/>
        </w:rPr>
        <w:t>SG</w:t>
      </w:r>
      <w:r>
        <w:rPr>
          <w:rFonts w:ascii="Times New Roman" w:hAnsi="Times New Roman"/>
          <w:sz w:val="24"/>
        </w:rPr>
        <w:t xml:space="preserve"> &gt; 1,018), proti, 1,3 µg/ml (</w:t>
      </w:r>
      <w:r>
        <w:rPr>
          <w:rFonts w:ascii="Times New Roman" w:hAnsi="Times New Roman"/>
          <w:i/>
          <w:iCs/>
          <w:sz w:val="24"/>
        </w:rPr>
        <w:t>M</w:t>
      </w:r>
      <w:r>
        <w:rPr>
          <w:rFonts w:ascii="Times New Roman" w:hAnsi="Times New Roman"/>
          <w:i/>
          <w:iCs/>
          <w:sz w:val="24"/>
          <w:vertAlign w:val="subscript"/>
        </w:rPr>
        <w:t>total</w:t>
      </w:r>
      <w:r>
        <w:rPr>
          <w:rFonts w:ascii="Times New Roman" w:hAnsi="Times New Roman"/>
          <w:sz w:val="24"/>
        </w:rPr>
        <w:t xml:space="preserve"> &gt; 1,3 µg/ml), un</w:t>
      </w:r>
    </w:p>
    <w:p w14:paraId="1534D01A" w14:textId="70731058" w:rsidR="00573E92" w:rsidRPr="00FB35D8" w:rsidRDefault="00573E92" w:rsidP="00881018">
      <w:pPr>
        <w:numPr>
          <w:ilvl w:val="0"/>
          <w:numId w:val="10"/>
        </w:numPr>
        <w:ind w:left="709" w:hanging="425"/>
        <w:jc w:val="both"/>
        <w:rPr>
          <w:rFonts w:ascii="Times New Roman" w:eastAsia="Arial" w:hAnsi="Times New Roman" w:cs="Arial"/>
          <w:noProof/>
          <w:sz w:val="24"/>
          <w:szCs w:val="20"/>
        </w:rPr>
      </w:pPr>
      <w:r>
        <w:rPr>
          <w:rFonts w:ascii="Times New Roman" w:hAnsi="Times New Roman"/>
          <w:sz w:val="24"/>
        </w:rPr>
        <w:t>kopējā morfīna un kopējā kodeīna (brīvā kodeīna + kodeīna-6-glikuronīda, kas izteikts kā kodeīna ekvivalents) koncentrāciju attiecība ir vienāda vai lielāka par 2,0 (</w:t>
      </w:r>
      <w:r>
        <w:rPr>
          <w:rFonts w:ascii="Times New Roman" w:hAnsi="Times New Roman"/>
          <w:i/>
          <w:iCs/>
          <w:sz w:val="24"/>
        </w:rPr>
        <w:t>M</w:t>
      </w:r>
      <w:r>
        <w:rPr>
          <w:rFonts w:ascii="Times New Roman" w:hAnsi="Times New Roman"/>
          <w:i/>
          <w:iCs/>
          <w:sz w:val="24"/>
          <w:vertAlign w:val="subscript"/>
        </w:rPr>
        <w:t>total</w:t>
      </w:r>
      <w:r>
        <w:rPr>
          <w:rFonts w:ascii="Times New Roman" w:hAnsi="Times New Roman"/>
          <w:i/>
          <w:iCs/>
          <w:sz w:val="24"/>
        </w:rPr>
        <w:t>/C</w:t>
      </w:r>
      <w:r>
        <w:rPr>
          <w:rFonts w:ascii="Times New Roman" w:hAnsi="Times New Roman"/>
          <w:i/>
          <w:iCs/>
          <w:sz w:val="24"/>
          <w:vertAlign w:val="subscript"/>
        </w:rPr>
        <w:t>total</w:t>
      </w:r>
      <w:r>
        <w:rPr>
          <w:rFonts w:ascii="Times New Roman" w:hAnsi="Times New Roman"/>
          <w:sz w:val="24"/>
        </w:rPr>
        <w:t xml:space="preserve"> </w:t>
      </w:r>
      <w:r>
        <w:rPr>
          <w:rFonts w:ascii="Times New Roman" w:hAnsi="Times New Roman"/>
          <w:sz w:val="24"/>
        </w:rPr>
        <w:sym w:font="Symbol" w:char="F0B3"/>
      </w:r>
      <w:r>
        <w:rPr>
          <w:rFonts w:ascii="Times New Roman" w:hAnsi="Times New Roman"/>
          <w:sz w:val="24"/>
        </w:rPr>
        <w:t xml:space="preserve"> 2,0, kas izteikta, noapaļojot uz leju (saīsinot) līdz vienam ciparam aiz komata), izņemot:</w:t>
      </w:r>
    </w:p>
    <w:p w14:paraId="64CA95FB" w14:textId="77777777" w:rsidR="00881018" w:rsidRDefault="00881018" w:rsidP="00FB35D8">
      <w:pPr>
        <w:jc w:val="both"/>
        <w:rPr>
          <w:rFonts w:ascii="Times New Roman" w:eastAsia="Arial" w:hAnsi="Times New Roman" w:cs="Arial"/>
          <w:noProof/>
          <w:sz w:val="24"/>
          <w:szCs w:val="20"/>
        </w:rPr>
      </w:pPr>
    </w:p>
    <w:p w14:paraId="26202BD8" w14:textId="1DAF2FD4" w:rsidR="00573E92" w:rsidRPr="00FB35D8" w:rsidRDefault="00573E92" w:rsidP="00881018">
      <w:pPr>
        <w:ind w:left="284"/>
        <w:jc w:val="both"/>
        <w:rPr>
          <w:rFonts w:ascii="Times New Roman" w:eastAsia="Arial" w:hAnsi="Times New Roman" w:cs="Arial"/>
          <w:noProof/>
          <w:sz w:val="24"/>
          <w:szCs w:val="20"/>
        </w:rPr>
      </w:pPr>
      <w:r>
        <w:rPr>
          <w:rFonts w:ascii="Times New Roman" w:hAnsi="Times New Roman"/>
          <w:sz w:val="24"/>
        </w:rPr>
        <w:t xml:space="preserve">ja </w:t>
      </w:r>
      <w:r>
        <w:rPr>
          <w:rFonts w:ascii="Times New Roman" w:hAnsi="Times New Roman"/>
          <w:i/>
          <w:iCs/>
          <w:sz w:val="24"/>
        </w:rPr>
        <w:t>C</w:t>
      </w:r>
      <w:r>
        <w:rPr>
          <w:rFonts w:ascii="Times New Roman" w:hAnsi="Times New Roman"/>
          <w:i/>
          <w:iCs/>
          <w:sz w:val="24"/>
          <w:vertAlign w:val="subscript"/>
        </w:rPr>
        <w:t>total</w:t>
      </w:r>
      <w:r>
        <w:rPr>
          <w:rFonts w:ascii="Times New Roman" w:hAnsi="Times New Roman"/>
          <w:sz w:val="24"/>
        </w:rPr>
        <w:t xml:space="preserve"> &gt; 5,0 µg/ml (kas izteikta, noapaļojot uz leju (saīsinot) līdz vienam ciparam aiz komata, un pēc koncentrācijas korekcijas, ja </w:t>
      </w:r>
      <w:r>
        <w:rPr>
          <w:rFonts w:ascii="Times New Roman" w:hAnsi="Times New Roman"/>
          <w:i/>
          <w:iCs/>
          <w:sz w:val="24"/>
        </w:rPr>
        <w:t>SG</w:t>
      </w:r>
      <w:r>
        <w:rPr>
          <w:rFonts w:ascii="Times New Roman" w:hAnsi="Times New Roman"/>
          <w:sz w:val="24"/>
        </w:rPr>
        <w:t xml:space="preserve"> &gt; 1,018), kas liecina par tīra kodeīna uzņemšanu. Šādā gadījumā morfīna kvantitatīvā noteikšana nav nepieciešama, un par rezultātu ziņo kā par “negatīvu”.</w:t>
      </w:r>
    </w:p>
    <w:p w14:paraId="49738C09" w14:textId="77777777" w:rsidR="00881018" w:rsidRDefault="00881018" w:rsidP="00881018">
      <w:pPr>
        <w:tabs>
          <w:tab w:val="left" w:pos="491"/>
        </w:tabs>
        <w:jc w:val="both"/>
        <w:rPr>
          <w:rFonts w:ascii="Times New Roman" w:hAnsi="Times New Roman"/>
          <w:noProof/>
          <w:sz w:val="24"/>
        </w:rPr>
      </w:pPr>
    </w:p>
    <w:p w14:paraId="3B3ED25D" w14:textId="69DC901B" w:rsidR="00573E92" w:rsidRPr="00FB35D8" w:rsidRDefault="00881018" w:rsidP="00881018">
      <w:pPr>
        <w:tabs>
          <w:tab w:val="left" w:pos="491"/>
        </w:tabs>
        <w:jc w:val="both"/>
        <w:rPr>
          <w:rFonts w:ascii="Times New Roman" w:eastAsia="Arial" w:hAnsi="Times New Roman" w:cs="Arial"/>
          <w:noProof/>
          <w:sz w:val="24"/>
          <w:szCs w:val="20"/>
        </w:rPr>
      </w:pPr>
      <w:r>
        <w:rPr>
          <w:rFonts w:ascii="Times New Roman" w:hAnsi="Times New Roman"/>
          <w:sz w:val="24"/>
        </w:rPr>
        <w:t xml:space="preserve">g) Ja šī eksogēnā </w:t>
      </w:r>
      <w:r>
        <w:rPr>
          <w:rFonts w:ascii="Times New Roman" w:hAnsi="Times New Roman"/>
          <w:sz w:val="24"/>
          <w:u w:val="single"/>
        </w:rPr>
        <w:t>sliekšņa viela</w:t>
      </w:r>
      <w:r>
        <w:rPr>
          <w:rFonts w:ascii="Times New Roman" w:hAnsi="Times New Roman"/>
          <w:sz w:val="24"/>
        </w:rPr>
        <w:t xml:space="preserve"> tiek konstatēta kopā ar aizliegtu diurētisku vai citu maskējošu līdzekli (kas iekļauts </w:t>
      </w:r>
      <w:r>
        <w:rPr>
          <w:rFonts w:ascii="Times New Roman" w:hAnsi="Times New Roman"/>
          <w:i/>
          <w:iCs/>
          <w:sz w:val="24"/>
        </w:rPr>
        <w:t>aizliegto vielu saraksta</w:t>
      </w:r>
      <w:r>
        <w:rPr>
          <w:rFonts w:ascii="Times New Roman" w:hAnsi="Times New Roman"/>
          <w:sz w:val="24"/>
        </w:rPr>
        <w:t xml:space="preserve"> S5 klasē), </w:t>
      </w:r>
      <w:r>
        <w:rPr>
          <w:rFonts w:ascii="Times New Roman" w:hAnsi="Times New Roman"/>
          <w:sz w:val="24"/>
          <w:u w:val="single"/>
        </w:rPr>
        <w:t>sliekšņa vielas</w:t>
      </w:r>
      <w:r>
        <w:rPr>
          <w:rFonts w:ascii="Times New Roman" w:hAnsi="Times New Roman"/>
          <w:sz w:val="24"/>
        </w:rPr>
        <w:t xml:space="preserve"> apstiprināšanai nepieciešama tikai savienojuma identificēšana, nevis tās kvantitatīva noteikšana.</w:t>
      </w:r>
      <w:r>
        <w:rPr>
          <w:rFonts w:ascii="Times New Roman" w:hAnsi="Times New Roman"/>
          <w:b/>
          <w:sz w:val="24"/>
          <w:vertAlign w:val="superscript"/>
        </w:rPr>
        <w:t>4</w:t>
      </w:r>
      <w:r>
        <w:rPr>
          <w:rFonts w:ascii="Times New Roman" w:hAnsi="Times New Roman"/>
          <w:sz w:val="24"/>
        </w:rPr>
        <w:t xml:space="preserve"> Šādos gadījumos </w:t>
      </w:r>
      <w:r>
        <w:rPr>
          <w:rFonts w:ascii="Times New Roman" w:hAnsi="Times New Roman"/>
          <w:sz w:val="24"/>
          <w:u w:val="single"/>
        </w:rPr>
        <w:t>laboratorija</w:t>
      </w:r>
      <w:r>
        <w:rPr>
          <w:rFonts w:ascii="Times New Roman" w:hAnsi="Times New Roman"/>
          <w:sz w:val="24"/>
        </w:rPr>
        <w:t xml:space="preserve"> apstiprina diurētisko/maskējošo līdzekli un ziņo par to kā par </w:t>
      </w:r>
      <w:r>
        <w:rPr>
          <w:rFonts w:ascii="Times New Roman" w:hAnsi="Times New Roman"/>
          <w:i/>
          <w:iCs/>
          <w:sz w:val="24"/>
        </w:rPr>
        <w:t>AAF</w:t>
      </w:r>
      <w:r>
        <w:rPr>
          <w:rFonts w:ascii="Times New Roman" w:hAnsi="Times New Roman"/>
          <w:sz w:val="24"/>
        </w:rPr>
        <w:t xml:space="preserve">. Par stimulantu, kas ir aizliegts tikai </w:t>
      </w:r>
      <w:r>
        <w:rPr>
          <w:rFonts w:ascii="Times New Roman" w:hAnsi="Times New Roman"/>
          <w:i/>
          <w:iCs/>
          <w:sz w:val="24"/>
        </w:rPr>
        <w:t>sacensībās</w:t>
      </w:r>
      <w:r>
        <w:rPr>
          <w:rFonts w:ascii="Times New Roman" w:hAnsi="Times New Roman"/>
          <w:sz w:val="24"/>
        </w:rPr>
        <w:t xml:space="preserve">, ziņo kā par </w:t>
      </w:r>
      <w:r>
        <w:rPr>
          <w:rFonts w:ascii="Times New Roman" w:hAnsi="Times New Roman"/>
          <w:i/>
          <w:iCs/>
          <w:sz w:val="24"/>
        </w:rPr>
        <w:t>AAF</w:t>
      </w:r>
      <w:r>
        <w:rPr>
          <w:rFonts w:ascii="Times New Roman" w:hAnsi="Times New Roman"/>
          <w:sz w:val="24"/>
        </w:rPr>
        <w:t xml:space="preserve"> tikai gadījumos, kad to konstatē saskaņā ar spēkā esošo </w:t>
      </w:r>
      <w:r>
        <w:rPr>
          <w:rFonts w:ascii="Times New Roman" w:hAnsi="Times New Roman"/>
          <w:i/>
          <w:iCs/>
          <w:sz w:val="24"/>
        </w:rPr>
        <w:t>TD IDCR</w:t>
      </w:r>
      <w:r>
        <w:rPr>
          <w:rFonts w:ascii="Times New Roman" w:hAnsi="Times New Roman"/>
          <w:sz w:val="24"/>
        </w:rPr>
        <w:t xml:space="preserve"> [1] un tā </w:t>
      </w:r>
      <w:r>
        <w:rPr>
          <w:rFonts w:ascii="Times New Roman" w:hAnsi="Times New Roman"/>
          <w:b/>
          <w:bCs/>
          <w:sz w:val="24"/>
        </w:rPr>
        <w:t>aplēstā koncentrācija ir lielāka par piemērojamo ziņojamo robežu</w:t>
      </w:r>
      <w:r>
        <w:rPr>
          <w:rFonts w:ascii="Times New Roman" w:hAnsi="Times New Roman"/>
          <w:sz w:val="24"/>
        </w:rPr>
        <w:t xml:space="preserve">, kas noteikta spēkā esošajā </w:t>
      </w:r>
      <w:r>
        <w:rPr>
          <w:rFonts w:ascii="Times New Roman" w:hAnsi="Times New Roman"/>
          <w:sz w:val="24"/>
          <w:u w:val="single"/>
        </w:rPr>
        <w:t>tehniskajā dokumentā</w:t>
      </w:r>
      <w:r>
        <w:rPr>
          <w:rFonts w:ascii="Times New Roman" w:hAnsi="Times New Roman"/>
          <w:sz w:val="24"/>
        </w:rPr>
        <w:t xml:space="preserve"> </w:t>
      </w:r>
      <w:r>
        <w:rPr>
          <w:rFonts w:ascii="Times New Roman" w:hAnsi="Times New Roman"/>
          <w:i/>
          <w:iCs/>
          <w:sz w:val="24"/>
        </w:rPr>
        <w:t>TD MRPL</w:t>
      </w:r>
      <w:r>
        <w:rPr>
          <w:rFonts w:ascii="Times New Roman" w:hAnsi="Times New Roman"/>
          <w:sz w:val="24"/>
        </w:rPr>
        <w:t xml:space="preserve"> [3].</w:t>
      </w:r>
    </w:p>
    <w:p w14:paraId="6827E8FD" w14:textId="6EF513C1" w:rsidR="00573E92" w:rsidRPr="00FB35D8" w:rsidRDefault="00881018" w:rsidP="00881018">
      <w:pPr>
        <w:tabs>
          <w:tab w:val="left" w:pos="491"/>
        </w:tabs>
        <w:jc w:val="both"/>
        <w:rPr>
          <w:rFonts w:ascii="Times New Roman" w:hAnsi="Times New Roman"/>
          <w:noProof/>
          <w:sz w:val="24"/>
        </w:rPr>
      </w:pPr>
      <w:r>
        <w:rPr>
          <w:rFonts w:ascii="Times New Roman" w:hAnsi="Times New Roman"/>
          <w:sz w:val="24"/>
        </w:rPr>
        <w:t xml:space="preserve">h) </w:t>
      </w:r>
      <w:r>
        <w:rPr>
          <w:rFonts w:ascii="Times New Roman" w:hAnsi="Times New Roman"/>
          <w:sz w:val="24"/>
          <w:u w:val="single"/>
        </w:rPr>
        <w:t>Laboratorija</w:t>
      </w:r>
      <w:r>
        <w:rPr>
          <w:rFonts w:ascii="Times New Roman" w:hAnsi="Times New Roman"/>
          <w:sz w:val="24"/>
        </w:rPr>
        <w:t xml:space="preserve"> ziņo par katīnu kā par </w:t>
      </w:r>
      <w:r>
        <w:rPr>
          <w:rFonts w:ascii="Times New Roman" w:hAnsi="Times New Roman"/>
          <w:i/>
          <w:iCs/>
          <w:sz w:val="24"/>
        </w:rPr>
        <w:t>AAF</w:t>
      </w:r>
      <w:r>
        <w:rPr>
          <w:rFonts w:ascii="Times New Roman" w:hAnsi="Times New Roman"/>
          <w:sz w:val="24"/>
        </w:rPr>
        <w:t xml:space="preserve">, ja tā koncentrācija urīnā ir lielāka par </w:t>
      </w:r>
      <w:r>
        <w:rPr>
          <w:rFonts w:ascii="Times New Roman" w:hAnsi="Times New Roman"/>
          <w:i/>
          <w:iCs/>
          <w:sz w:val="24"/>
          <w:u w:val="single"/>
        </w:rPr>
        <w:t>DL</w:t>
      </w:r>
      <w:r>
        <w:rPr>
          <w:rFonts w:ascii="Times New Roman" w:hAnsi="Times New Roman"/>
          <w:sz w:val="24"/>
        </w:rPr>
        <w:t xml:space="preserve">. Tomēr, ja </w:t>
      </w:r>
      <w:r>
        <w:rPr>
          <w:rFonts w:ascii="Times New Roman" w:hAnsi="Times New Roman"/>
          <w:i/>
          <w:iCs/>
          <w:sz w:val="24"/>
        </w:rPr>
        <w:t>paraugā</w:t>
      </w:r>
      <w:r>
        <w:rPr>
          <w:rFonts w:ascii="Times New Roman" w:hAnsi="Times New Roman"/>
          <w:sz w:val="24"/>
        </w:rPr>
        <w:t xml:space="preserve"> tiek konstatēts arī pseidoefedrīns koncentrācijās, kas zemākas par </w:t>
      </w:r>
      <w:r>
        <w:rPr>
          <w:rFonts w:ascii="Times New Roman" w:hAnsi="Times New Roman"/>
          <w:i/>
          <w:iCs/>
          <w:sz w:val="24"/>
          <w:u w:val="single"/>
        </w:rPr>
        <w:t>DL</w:t>
      </w:r>
      <w:r>
        <w:rPr>
          <w:rFonts w:ascii="Times New Roman" w:hAnsi="Times New Roman"/>
          <w:sz w:val="24"/>
        </w:rPr>
        <w:t>, paziņo arī aplēsto pseidoefedrīna koncentrāciju un pārbaudes ziņojumā sniedz piezīmi par to, vai katīna atrade varētu būt radusies, ievadot pseidoefedrīnu. Lēmumu par to, vai katīna atrade ir antidopinga noteikumu pārkāpums, pieņem rezultātu pārvaldības procesā.</w:t>
      </w:r>
    </w:p>
    <w:p w14:paraId="5E222E4A" w14:textId="5815AE90" w:rsidR="00573E92" w:rsidRPr="00FB35D8" w:rsidRDefault="00881018" w:rsidP="00881018">
      <w:pPr>
        <w:tabs>
          <w:tab w:val="left" w:pos="491"/>
        </w:tabs>
        <w:jc w:val="both"/>
        <w:rPr>
          <w:rFonts w:ascii="Times New Roman" w:hAnsi="Times New Roman"/>
          <w:noProof/>
          <w:sz w:val="24"/>
        </w:rPr>
      </w:pPr>
      <w:r>
        <w:rPr>
          <w:rFonts w:ascii="Times New Roman" w:hAnsi="Times New Roman"/>
          <w:sz w:val="24"/>
        </w:rPr>
        <w:t xml:space="preserve">i) </w:t>
      </w:r>
      <w:r>
        <w:rPr>
          <w:rFonts w:ascii="Times New Roman" w:hAnsi="Times New Roman"/>
          <w:sz w:val="24"/>
          <w:u w:val="single"/>
        </w:rPr>
        <w:t>Robežas</w:t>
      </w:r>
      <w:r>
        <w:rPr>
          <w:rFonts w:ascii="Times New Roman" w:hAnsi="Times New Roman"/>
          <w:sz w:val="24"/>
        </w:rPr>
        <w:t xml:space="preserve"> koncentrācijas pamatā ir kopējais vielas saturs, kas definēts kā brīvās vielas un tās glikurokonjugēto formu kombinācija, kura izteikta kā vielas ekvivalents (</w:t>
      </w:r>
      <w:r>
        <w:rPr>
          <w:rFonts w:ascii="Times New Roman" w:hAnsi="Times New Roman"/>
          <w:i/>
          <w:iCs/>
          <w:sz w:val="24"/>
        </w:rPr>
        <w:t>piemēram</w:t>
      </w:r>
      <w:r>
        <w:rPr>
          <w:rFonts w:ascii="Times New Roman" w:hAnsi="Times New Roman"/>
          <w:sz w:val="24"/>
        </w:rPr>
        <w:t>, kopējā morfīna pamatā ir brīvā morfīna, morfīna-3-glikuronīda un morfīna-6-glikuronīda kombinācija, un to izsaka kā morfīna ekvivalentu).</w:t>
      </w:r>
    </w:p>
    <w:p w14:paraId="6056BACD" w14:textId="5A5BE3AD" w:rsidR="00573E92" w:rsidRPr="00FB35D8" w:rsidRDefault="00881018" w:rsidP="00881018">
      <w:pPr>
        <w:tabs>
          <w:tab w:val="left" w:pos="491"/>
        </w:tabs>
        <w:jc w:val="both"/>
        <w:rPr>
          <w:rFonts w:ascii="Times New Roman" w:eastAsia="Arial" w:hAnsi="Times New Roman" w:cs="Arial"/>
          <w:noProof/>
          <w:sz w:val="24"/>
          <w:szCs w:val="20"/>
        </w:rPr>
      </w:pPr>
      <w:r>
        <w:rPr>
          <w:rFonts w:ascii="Times New Roman" w:hAnsi="Times New Roman"/>
          <w:sz w:val="24"/>
        </w:rPr>
        <w:t xml:space="preserve">j) Endogēnām </w:t>
      </w:r>
      <w:r>
        <w:rPr>
          <w:rFonts w:ascii="Times New Roman" w:hAnsi="Times New Roman"/>
          <w:sz w:val="24"/>
          <w:u w:val="single"/>
        </w:rPr>
        <w:t>sliekšņa vielām</w:t>
      </w:r>
      <w:r>
        <w:rPr>
          <w:rFonts w:ascii="Times New Roman" w:hAnsi="Times New Roman"/>
          <w:sz w:val="24"/>
        </w:rPr>
        <w:t xml:space="preserve">, kurām </w:t>
      </w:r>
      <w:r>
        <w:rPr>
          <w:rFonts w:ascii="Times New Roman" w:hAnsi="Times New Roman"/>
          <w:i/>
          <w:iCs/>
          <w:sz w:val="24"/>
          <w:u w:val="single"/>
        </w:rPr>
        <w:t>T</w:t>
      </w:r>
      <w:r>
        <w:rPr>
          <w:rFonts w:ascii="Times New Roman" w:hAnsi="Times New Roman"/>
          <w:sz w:val="24"/>
        </w:rPr>
        <w:t xml:space="preserve"> ir noteikta, pamatojoties uz atsauces kolekciju statistiku, kolekcijas </w:t>
      </w:r>
      <w:r>
        <w:rPr>
          <w:rFonts w:ascii="Times New Roman" w:hAnsi="Times New Roman"/>
          <w:i/>
          <w:iCs/>
          <w:sz w:val="24"/>
          <w:u w:val="single"/>
        </w:rPr>
        <w:t>T</w:t>
      </w:r>
      <w:r>
        <w:rPr>
          <w:rFonts w:ascii="Times New Roman" w:hAnsi="Times New Roman"/>
          <w:sz w:val="24"/>
        </w:rPr>
        <w:t xml:space="preserve"> jau ir iekļauta mērījumu nenoteiktība; tādējādi </w:t>
      </w:r>
      <w:r>
        <w:rPr>
          <w:rFonts w:ascii="Times New Roman" w:hAnsi="Times New Roman"/>
          <w:i/>
          <w:iCs/>
          <w:sz w:val="24"/>
          <w:u w:val="single" w:color="000000"/>
        </w:rPr>
        <w:t>T</w:t>
      </w:r>
      <w:r>
        <w:rPr>
          <w:rFonts w:ascii="Times New Roman" w:hAnsi="Times New Roman"/>
          <w:sz w:val="24"/>
        </w:rPr>
        <w:t xml:space="preserve"> atbilst </w:t>
      </w:r>
      <w:r>
        <w:rPr>
          <w:rFonts w:ascii="Times New Roman" w:hAnsi="Times New Roman"/>
          <w:i/>
          <w:iCs/>
          <w:sz w:val="24"/>
          <w:u w:val="single" w:color="000000"/>
        </w:rPr>
        <w:t>DL</w:t>
      </w:r>
      <w:r>
        <w:rPr>
          <w:rFonts w:ascii="Times New Roman" w:hAnsi="Times New Roman"/>
          <w:sz w:val="24"/>
        </w:rPr>
        <w:t>.</w:t>
      </w:r>
    </w:p>
    <w:p w14:paraId="7A493637" w14:textId="31562E62" w:rsidR="00573E92" w:rsidRPr="00FB35D8" w:rsidRDefault="00881018" w:rsidP="00881018">
      <w:pPr>
        <w:tabs>
          <w:tab w:val="left" w:pos="490"/>
        </w:tabs>
        <w:jc w:val="both"/>
        <w:rPr>
          <w:rFonts w:ascii="Times New Roman" w:hAnsi="Times New Roman"/>
          <w:noProof/>
          <w:sz w:val="24"/>
        </w:rPr>
      </w:pPr>
      <w:r>
        <w:rPr>
          <w:rFonts w:ascii="Times New Roman" w:hAnsi="Times New Roman"/>
          <w:sz w:val="24"/>
        </w:rPr>
        <w:t xml:space="preserve">k) Piemēro, ja heterodimēra </w:t>
      </w:r>
      <w:r>
        <w:rPr>
          <w:rFonts w:ascii="Times New Roman" w:hAnsi="Times New Roman"/>
          <w:i/>
          <w:iCs/>
          <w:sz w:val="24"/>
        </w:rPr>
        <w:t>hCG</w:t>
      </w:r>
      <w:r>
        <w:rPr>
          <w:rFonts w:ascii="Times New Roman" w:hAnsi="Times New Roman"/>
          <w:sz w:val="24"/>
        </w:rPr>
        <w:t xml:space="preserve"> kvantitatīvai noteikšanai izmanto imūntestus.</w:t>
      </w:r>
    </w:p>
    <w:p w14:paraId="747DFBA0" w14:textId="2332E59E" w:rsidR="00573E92" w:rsidRPr="00881018" w:rsidRDefault="00881018" w:rsidP="00881018">
      <w:pPr>
        <w:tabs>
          <w:tab w:val="left" w:pos="491"/>
        </w:tabs>
        <w:jc w:val="both"/>
        <w:rPr>
          <w:rFonts w:ascii="Times New Roman" w:hAnsi="Times New Roman"/>
          <w:noProof/>
          <w:sz w:val="24"/>
        </w:rPr>
      </w:pPr>
      <w:r>
        <w:rPr>
          <w:rFonts w:ascii="Times New Roman" w:hAnsi="Times New Roman"/>
          <w:sz w:val="24"/>
        </w:rPr>
        <w:t xml:space="preserve">l) Piemēro, ja heterodimēra </w:t>
      </w:r>
      <w:r>
        <w:rPr>
          <w:rFonts w:ascii="Times New Roman" w:hAnsi="Times New Roman"/>
          <w:i/>
          <w:iCs/>
          <w:sz w:val="24"/>
        </w:rPr>
        <w:t>hCG</w:t>
      </w:r>
      <w:r>
        <w:rPr>
          <w:rFonts w:ascii="Times New Roman" w:hAnsi="Times New Roman"/>
          <w:sz w:val="24"/>
        </w:rPr>
        <w:t xml:space="preserve"> kvantitatīvai noteikšanai izmanto </w:t>
      </w:r>
      <w:r>
        <w:rPr>
          <w:rFonts w:ascii="Times New Roman" w:hAnsi="Times New Roman"/>
          <w:i/>
          <w:iCs/>
          <w:sz w:val="24"/>
        </w:rPr>
        <w:t>LC-MS/MS</w:t>
      </w:r>
      <w:r>
        <w:rPr>
          <w:rFonts w:ascii="Times New Roman" w:hAnsi="Times New Roman"/>
          <w:sz w:val="24"/>
        </w:rPr>
        <w:t xml:space="preserve"> metodi. Konkrēti norādījumi par </w:t>
      </w:r>
      <w:r>
        <w:rPr>
          <w:rFonts w:ascii="Times New Roman" w:hAnsi="Times New Roman"/>
          <w:i/>
          <w:iCs/>
          <w:sz w:val="24"/>
        </w:rPr>
        <w:t>hCG</w:t>
      </w:r>
      <w:r>
        <w:rPr>
          <w:rFonts w:ascii="Times New Roman" w:hAnsi="Times New Roman"/>
          <w:sz w:val="24"/>
        </w:rPr>
        <w:t xml:space="preserve"> atražu mērīšanu un paziņošanu ir sniegti </w:t>
      </w:r>
      <w:r>
        <w:rPr>
          <w:rFonts w:ascii="Times New Roman" w:hAnsi="Times New Roman"/>
          <w:i/>
          <w:iCs/>
          <w:sz w:val="24"/>
        </w:rPr>
        <w:t>WADA</w:t>
      </w:r>
      <w:r>
        <w:rPr>
          <w:rFonts w:ascii="Times New Roman" w:hAnsi="Times New Roman"/>
          <w:sz w:val="24"/>
        </w:rPr>
        <w:t xml:space="preserve"> </w:t>
      </w:r>
      <w:r>
        <w:rPr>
          <w:rFonts w:ascii="Times New Roman" w:hAnsi="Times New Roman"/>
          <w:sz w:val="24"/>
          <w:u w:val="single"/>
        </w:rPr>
        <w:t>tehniskajā dokumentā</w:t>
      </w:r>
      <w:r>
        <w:rPr>
          <w:rFonts w:ascii="Times New Roman" w:hAnsi="Times New Roman"/>
          <w:sz w:val="24"/>
        </w:rPr>
        <w:t xml:space="preserve"> par ziņošanu par cilvēka </w:t>
      </w:r>
      <w:r>
        <w:rPr>
          <w:rFonts w:ascii="Times New Roman" w:hAnsi="Times New Roman"/>
          <w:i/>
          <w:iCs/>
          <w:sz w:val="24"/>
        </w:rPr>
        <w:t>hCG</w:t>
      </w:r>
      <w:r>
        <w:rPr>
          <w:rFonts w:ascii="Times New Roman" w:hAnsi="Times New Roman"/>
          <w:sz w:val="24"/>
        </w:rPr>
        <w:t xml:space="preserve"> un </w:t>
      </w:r>
      <w:r>
        <w:rPr>
          <w:rFonts w:ascii="Times New Roman" w:hAnsi="Times New Roman"/>
          <w:i/>
          <w:iCs/>
          <w:sz w:val="24"/>
        </w:rPr>
        <w:t>LH</w:t>
      </w:r>
      <w:r>
        <w:rPr>
          <w:rFonts w:ascii="Times New Roman" w:hAnsi="Times New Roman"/>
          <w:sz w:val="24"/>
        </w:rPr>
        <w:t xml:space="preserve"> atradēm vīriešu dzimuma </w:t>
      </w:r>
      <w:r>
        <w:rPr>
          <w:rFonts w:ascii="Times New Roman" w:hAnsi="Times New Roman"/>
          <w:i/>
          <w:iCs/>
          <w:sz w:val="24"/>
        </w:rPr>
        <w:t>sportistu</w:t>
      </w:r>
      <w:r>
        <w:rPr>
          <w:rFonts w:ascii="Times New Roman" w:hAnsi="Times New Roman"/>
          <w:sz w:val="24"/>
        </w:rPr>
        <w:t xml:space="preserve"> urīnā un to pārvaldību (</w:t>
      </w:r>
      <w:r>
        <w:rPr>
          <w:rFonts w:ascii="Times New Roman" w:hAnsi="Times New Roman"/>
          <w:i/>
          <w:iCs/>
          <w:sz w:val="24"/>
        </w:rPr>
        <w:t>TD CG/LH</w:t>
      </w:r>
      <w:r>
        <w:rPr>
          <w:rFonts w:ascii="Times New Roman" w:hAnsi="Times New Roman"/>
          <w:sz w:val="24"/>
        </w:rPr>
        <w:t>) [4].</w:t>
      </w:r>
    </w:p>
    <w:p w14:paraId="202B317F" w14:textId="77777777" w:rsidR="00573E92" w:rsidRPr="00FB35D8" w:rsidRDefault="00573E92" w:rsidP="00FB35D8">
      <w:pPr>
        <w:jc w:val="both"/>
        <w:rPr>
          <w:rFonts w:ascii="Times New Roman" w:eastAsia="Arial" w:hAnsi="Times New Roman" w:cs="Arial"/>
          <w:noProof/>
          <w:sz w:val="24"/>
          <w:szCs w:val="20"/>
        </w:rPr>
      </w:pPr>
    </w:p>
    <w:p w14:paraId="34169F18" w14:textId="77777777" w:rsidR="00573E92" w:rsidRPr="00FB35D8" w:rsidRDefault="00573E92" w:rsidP="00C06F75">
      <w:pPr>
        <w:pStyle w:val="BodyText"/>
        <w:spacing w:before="0"/>
        <w:ind w:left="0"/>
        <w:jc w:val="both"/>
        <w:rPr>
          <w:rFonts w:ascii="Times New Roman" w:hAnsi="Times New Roman"/>
          <w:noProof/>
          <w:sz w:val="24"/>
          <w:u w:val="none"/>
        </w:rPr>
      </w:pPr>
      <w:r>
        <w:rPr>
          <w:rFonts w:ascii="Times New Roman" w:hAnsi="Times New Roman"/>
          <w:sz w:val="24"/>
          <w:u w:val="none"/>
        </w:rPr>
        <w:t>Piezīme. Cilvēka augšanas hormons (</w:t>
      </w:r>
      <w:r>
        <w:rPr>
          <w:rFonts w:ascii="Times New Roman" w:hAnsi="Times New Roman"/>
          <w:i/>
          <w:iCs/>
          <w:sz w:val="24"/>
          <w:u w:val="none"/>
        </w:rPr>
        <w:t>hGH</w:t>
      </w:r>
      <w:r>
        <w:rPr>
          <w:rFonts w:ascii="Times New Roman" w:hAnsi="Times New Roman"/>
          <w:sz w:val="24"/>
          <w:u w:val="none"/>
        </w:rPr>
        <w:t xml:space="preserve">) ir arī definēts kā </w:t>
      </w:r>
      <w:r>
        <w:rPr>
          <w:rFonts w:ascii="Times New Roman" w:hAnsi="Times New Roman"/>
          <w:sz w:val="24"/>
        </w:rPr>
        <w:t>sliekšņa viela</w:t>
      </w:r>
      <w:r>
        <w:rPr>
          <w:rFonts w:ascii="Times New Roman" w:hAnsi="Times New Roman"/>
          <w:sz w:val="24"/>
          <w:u w:val="none"/>
        </w:rPr>
        <w:t xml:space="preserve">. Lai piemērotu </w:t>
      </w:r>
      <w:r>
        <w:rPr>
          <w:rFonts w:ascii="Times New Roman" w:hAnsi="Times New Roman"/>
          <w:i/>
          <w:iCs/>
          <w:sz w:val="24"/>
          <w:u w:val="none"/>
        </w:rPr>
        <w:t>hGH</w:t>
      </w:r>
      <w:r>
        <w:rPr>
          <w:rFonts w:ascii="Times New Roman" w:hAnsi="Times New Roman"/>
          <w:sz w:val="24"/>
          <w:u w:val="none"/>
        </w:rPr>
        <w:t xml:space="preserve"> diferenciālos imūntestus un/vai </w:t>
      </w:r>
      <w:r>
        <w:rPr>
          <w:rFonts w:ascii="Times New Roman" w:hAnsi="Times New Roman"/>
          <w:i/>
          <w:iCs/>
          <w:sz w:val="24"/>
          <w:u w:val="none"/>
        </w:rPr>
        <w:t>hGH</w:t>
      </w:r>
      <w:r>
        <w:rPr>
          <w:rFonts w:ascii="Times New Roman" w:hAnsi="Times New Roman"/>
          <w:sz w:val="24"/>
          <w:u w:val="none"/>
        </w:rPr>
        <w:t xml:space="preserve"> biomarķieru pārbaudi, piemērojamās </w:t>
      </w:r>
      <w:r>
        <w:rPr>
          <w:rFonts w:ascii="Times New Roman" w:hAnsi="Times New Roman"/>
          <w:i/>
          <w:iCs/>
          <w:sz w:val="24"/>
          <w:u w:val="none"/>
        </w:rPr>
        <w:t>u</w:t>
      </w:r>
      <w:r>
        <w:rPr>
          <w:rFonts w:ascii="Times New Roman" w:hAnsi="Times New Roman"/>
          <w:i/>
          <w:iCs/>
          <w:sz w:val="24"/>
          <w:u w:val="none"/>
          <w:vertAlign w:val="subscript"/>
        </w:rPr>
        <w:t>c_Max</w:t>
      </w:r>
      <w:r>
        <w:rPr>
          <w:rFonts w:ascii="Times New Roman" w:hAnsi="Times New Roman"/>
          <w:sz w:val="24"/>
          <w:u w:val="none"/>
        </w:rPr>
        <w:t xml:space="preserve"> vērtības un atbilstošās </w:t>
      </w:r>
      <w:r>
        <w:rPr>
          <w:rFonts w:ascii="Times New Roman" w:hAnsi="Times New Roman"/>
          <w:i/>
          <w:iCs/>
          <w:sz w:val="24"/>
        </w:rPr>
        <w:t>DL</w:t>
      </w:r>
      <w:r>
        <w:rPr>
          <w:rFonts w:ascii="Times New Roman" w:hAnsi="Times New Roman"/>
          <w:sz w:val="24"/>
          <w:u w:val="none"/>
        </w:rPr>
        <w:t xml:space="preserve"> tiek norādītas attiecīgajā </w:t>
      </w:r>
      <w:r>
        <w:rPr>
          <w:rFonts w:ascii="Times New Roman" w:hAnsi="Times New Roman"/>
          <w:sz w:val="24"/>
        </w:rPr>
        <w:t>tehniskajā dokumentā</w:t>
      </w:r>
      <w:r>
        <w:rPr>
          <w:rFonts w:ascii="Times New Roman" w:hAnsi="Times New Roman"/>
          <w:sz w:val="24"/>
          <w:u w:val="none"/>
        </w:rPr>
        <w:t xml:space="preserve">, proti, </w:t>
      </w:r>
      <w:r>
        <w:rPr>
          <w:rFonts w:ascii="Times New Roman" w:hAnsi="Times New Roman"/>
          <w:i/>
          <w:iCs/>
          <w:sz w:val="24"/>
          <w:u w:val="none"/>
        </w:rPr>
        <w:t>TD GH</w:t>
      </w:r>
      <w:r>
        <w:rPr>
          <w:rFonts w:ascii="Times New Roman" w:hAnsi="Times New Roman"/>
          <w:sz w:val="24"/>
          <w:u w:val="none"/>
        </w:rPr>
        <w:t xml:space="preserve"> [5], vai </w:t>
      </w:r>
      <w:r>
        <w:rPr>
          <w:rFonts w:ascii="Times New Roman" w:hAnsi="Times New Roman"/>
          <w:sz w:val="24"/>
        </w:rPr>
        <w:t>laboratorijas pamatnostādnēs</w:t>
      </w:r>
      <w:r>
        <w:rPr>
          <w:rFonts w:ascii="Times New Roman" w:hAnsi="Times New Roman"/>
          <w:sz w:val="24"/>
          <w:u w:val="none"/>
        </w:rPr>
        <w:t xml:space="preserve"> [6].</w:t>
      </w:r>
    </w:p>
    <w:p w14:paraId="62E219E8" w14:textId="77777777" w:rsidR="00573E92" w:rsidRPr="00FB35D8" w:rsidRDefault="00573E92" w:rsidP="00FB35D8">
      <w:pPr>
        <w:jc w:val="both"/>
        <w:rPr>
          <w:rFonts w:ascii="Times New Roman" w:eastAsia="Arial" w:hAnsi="Times New Roman" w:cs="Arial"/>
          <w:noProof/>
          <w:sz w:val="24"/>
          <w:szCs w:val="14"/>
        </w:rPr>
      </w:pPr>
    </w:p>
    <w:p w14:paraId="1708D058"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i/>
          <w:iCs/>
          <w:sz w:val="24"/>
          <w:u w:color="000000"/>
        </w:rPr>
        <w:t>ISL</w:t>
      </w:r>
      <w:r>
        <w:rPr>
          <w:rFonts w:ascii="Times New Roman" w:hAnsi="Times New Roman"/>
          <w:sz w:val="24"/>
          <w:u w:val="none"/>
        </w:rPr>
        <w:t xml:space="preserve"> [2] ir noteikta prasība, lai </w:t>
      </w:r>
      <w:r>
        <w:rPr>
          <w:rFonts w:ascii="Times New Roman" w:hAnsi="Times New Roman"/>
          <w:sz w:val="24"/>
        </w:rPr>
        <w:t>sliekšņa vielām</w:t>
      </w:r>
      <w:r>
        <w:rPr>
          <w:rFonts w:ascii="Times New Roman" w:hAnsi="Times New Roman"/>
          <w:sz w:val="24"/>
          <w:u w:val="none"/>
        </w:rPr>
        <w:t xml:space="preserve"> piemēroto kvantitatīvo </w:t>
      </w:r>
      <w:r>
        <w:rPr>
          <w:rFonts w:ascii="Times New Roman" w:hAnsi="Times New Roman"/>
          <w:sz w:val="24"/>
        </w:rPr>
        <w:t>apstiprināšanas procedūru</w:t>
      </w:r>
      <w:r>
        <w:rPr>
          <w:rFonts w:ascii="Times New Roman" w:hAnsi="Times New Roman"/>
          <w:sz w:val="24"/>
          <w:u w:val="none"/>
        </w:rPr>
        <w:t xml:space="preserve"> rezultātu pamatā būtu vidējais rādītājs no trim neatkarīgiem iegūtajiem rezultātiem. Rezultātā iegūtā relatīvā standartnovirze (</w:t>
      </w:r>
      <w:r>
        <w:rPr>
          <w:rFonts w:ascii="Times New Roman" w:hAnsi="Times New Roman"/>
          <w:i/>
          <w:iCs/>
          <w:sz w:val="24"/>
          <w:u w:val="none"/>
        </w:rPr>
        <w:t>RSD</w:t>
      </w:r>
      <w:r>
        <w:rPr>
          <w:rFonts w:ascii="Times New Roman" w:hAnsi="Times New Roman"/>
          <w:sz w:val="24"/>
          <w:u w:val="none"/>
        </w:rPr>
        <w:t xml:space="preserve">, %) atbilst kvantitatīvās </w:t>
      </w:r>
      <w:r>
        <w:rPr>
          <w:rFonts w:ascii="Times New Roman" w:hAnsi="Times New Roman"/>
          <w:sz w:val="24"/>
        </w:rPr>
        <w:t>apstiprināšanas procedūras</w:t>
      </w:r>
      <w:r>
        <w:rPr>
          <w:rFonts w:ascii="Times New Roman" w:hAnsi="Times New Roman"/>
          <w:sz w:val="24"/>
          <w:u w:val="none"/>
        </w:rPr>
        <w:t xml:space="preserve"> metodes validācijas datiem. </w:t>
      </w:r>
      <w:r>
        <w:rPr>
          <w:rFonts w:ascii="Times New Roman" w:hAnsi="Times New Roman"/>
          <w:sz w:val="24"/>
        </w:rPr>
        <w:t>Laboratorijas</w:t>
      </w:r>
      <w:r>
        <w:rPr>
          <w:rFonts w:ascii="Times New Roman" w:hAnsi="Times New Roman"/>
          <w:sz w:val="24"/>
          <w:u w:val="none"/>
        </w:rPr>
        <w:t xml:space="preserve"> mērījumu procedūras </w:t>
      </w:r>
      <w:r>
        <w:rPr>
          <w:rFonts w:ascii="Times New Roman" w:hAnsi="Times New Roman"/>
          <w:i/>
          <w:iCs/>
          <w:sz w:val="24"/>
        </w:rPr>
        <w:t>MU</w:t>
      </w:r>
      <w:r>
        <w:rPr>
          <w:rFonts w:ascii="Times New Roman" w:hAnsi="Times New Roman"/>
          <w:sz w:val="24"/>
          <w:u w:val="none"/>
        </w:rPr>
        <w:t xml:space="preserve">, kas aplēsts pēc </w:t>
      </w:r>
      <w:r>
        <w:rPr>
          <w:rFonts w:ascii="Times New Roman" w:hAnsi="Times New Roman"/>
          <w:sz w:val="24"/>
        </w:rPr>
        <w:t>analītiskās metodes</w:t>
      </w:r>
      <w:r>
        <w:rPr>
          <w:rFonts w:ascii="Times New Roman" w:hAnsi="Times New Roman"/>
          <w:sz w:val="24"/>
          <w:u w:val="none"/>
        </w:rPr>
        <w:t xml:space="preserve"> validācijas datiem, ir tāds, lai nodrošinātu lēmuma pieņemšanu par </w:t>
      </w:r>
      <w:r>
        <w:rPr>
          <w:rFonts w:ascii="Times New Roman" w:hAnsi="Times New Roman"/>
          <w:i/>
          <w:iCs/>
          <w:sz w:val="24"/>
          <w:u w:val="none"/>
        </w:rPr>
        <w:lastRenderedPageBreak/>
        <w:t>AAF</w:t>
      </w:r>
      <w:r>
        <w:rPr>
          <w:rFonts w:ascii="Times New Roman" w:hAnsi="Times New Roman"/>
          <w:sz w:val="24"/>
          <w:u w:val="none"/>
        </w:rPr>
        <w:t xml:space="preserve"> neatbilstību gadījumos, kad iegūto datu vidējais rādītājs pārsniedz 1. tabulā norādīto atbilstošo </w:t>
      </w:r>
      <w:r>
        <w:rPr>
          <w:rFonts w:ascii="Times New Roman" w:hAnsi="Times New Roman"/>
          <w:i/>
          <w:iCs/>
          <w:sz w:val="24"/>
        </w:rPr>
        <w:t>DL</w:t>
      </w:r>
      <w:r>
        <w:rPr>
          <w:rFonts w:ascii="Times New Roman" w:hAnsi="Times New Roman"/>
          <w:sz w:val="24"/>
          <w:u w:val="none"/>
        </w:rPr>
        <w:t>.</w:t>
      </w:r>
    </w:p>
    <w:p w14:paraId="08AC7435" w14:textId="77777777" w:rsidR="00881018" w:rsidRPr="00FB35D8" w:rsidRDefault="00881018" w:rsidP="00FB35D8">
      <w:pPr>
        <w:jc w:val="both"/>
        <w:rPr>
          <w:rFonts w:ascii="Times New Roman" w:hAnsi="Times New Roman"/>
          <w:noProof/>
          <w:sz w:val="24"/>
        </w:rPr>
      </w:pPr>
    </w:p>
    <w:p w14:paraId="0134D621" w14:textId="3E0EECC6" w:rsidR="00573E92" w:rsidRPr="00FB35D8" w:rsidRDefault="00881018" w:rsidP="00881018">
      <w:pPr>
        <w:pStyle w:val="Heading1"/>
        <w:tabs>
          <w:tab w:val="left" w:pos="671"/>
        </w:tabs>
        <w:spacing w:before="0"/>
        <w:ind w:left="0"/>
        <w:jc w:val="both"/>
        <w:rPr>
          <w:rFonts w:ascii="Times New Roman" w:hAnsi="Times New Roman"/>
          <w:b w:val="0"/>
          <w:bCs w:val="0"/>
          <w:noProof/>
          <w:u w:val="none"/>
        </w:rPr>
      </w:pPr>
      <w:r>
        <w:rPr>
          <w:rFonts w:ascii="Times New Roman" w:hAnsi="Times New Roman"/>
          <w:u w:val="none"/>
        </w:rPr>
        <w:t xml:space="preserve">3.0. </w:t>
      </w:r>
      <w:r>
        <w:rPr>
          <w:rFonts w:ascii="Times New Roman" w:hAnsi="Times New Roman"/>
        </w:rPr>
        <w:t>Izšķiršanas robežu</w:t>
      </w:r>
      <w:r>
        <w:rPr>
          <w:rFonts w:ascii="Times New Roman" w:hAnsi="Times New Roman"/>
          <w:u w:val="none"/>
        </w:rPr>
        <w:t xml:space="preserve"> noteikšana </w:t>
      </w:r>
      <w:r>
        <w:rPr>
          <w:rFonts w:ascii="Times New Roman" w:hAnsi="Times New Roman"/>
        </w:rPr>
        <w:t>sliekšņa vielām</w:t>
      </w:r>
    </w:p>
    <w:p w14:paraId="1DA472AD" w14:textId="77777777" w:rsidR="00881018" w:rsidRDefault="00881018" w:rsidP="00FB35D8">
      <w:pPr>
        <w:pStyle w:val="BodyText"/>
        <w:spacing w:before="0"/>
        <w:ind w:left="0"/>
        <w:jc w:val="both"/>
        <w:rPr>
          <w:rFonts w:ascii="Times New Roman" w:hAnsi="Times New Roman"/>
          <w:noProof/>
          <w:sz w:val="24"/>
          <w:u w:val="none"/>
        </w:rPr>
      </w:pPr>
    </w:p>
    <w:p w14:paraId="63075F31" w14:textId="5ADE4FB3"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aizliegtajai vielai</w:t>
      </w:r>
      <w:r>
        <w:rPr>
          <w:rFonts w:ascii="Times New Roman" w:hAnsi="Times New Roman"/>
          <w:sz w:val="24"/>
          <w:u w:val="none"/>
        </w:rPr>
        <w:t xml:space="preserve"> ir noteikta </w:t>
      </w:r>
      <w:r>
        <w:rPr>
          <w:rFonts w:ascii="Times New Roman" w:hAnsi="Times New Roman"/>
          <w:i/>
          <w:iCs/>
          <w:sz w:val="24"/>
        </w:rPr>
        <w:t>T</w:t>
      </w:r>
      <w:r>
        <w:rPr>
          <w:rFonts w:ascii="Times New Roman" w:hAnsi="Times New Roman"/>
          <w:sz w:val="24"/>
          <w:u w:val="none"/>
        </w:rPr>
        <w:t xml:space="preserve">, </w:t>
      </w:r>
      <w:r>
        <w:rPr>
          <w:rFonts w:ascii="Times New Roman" w:hAnsi="Times New Roman"/>
          <w:i/>
          <w:iCs/>
          <w:sz w:val="24"/>
        </w:rPr>
        <w:t>DL</w:t>
      </w:r>
      <w:r>
        <w:rPr>
          <w:rFonts w:ascii="Times New Roman" w:hAnsi="Times New Roman"/>
          <w:sz w:val="24"/>
          <w:u w:val="none"/>
        </w:rPr>
        <w:t xml:space="preserve"> ir šīs </w:t>
      </w:r>
      <w:r>
        <w:rPr>
          <w:rFonts w:ascii="Times New Roman" w:hAnsi="Times New Roman"/>
          <w:i/>
          <w:iCs/>
          <w:sz w:val="24"/>
          <w:u w:val="none"/>
        </w:rPr>
        <w:t>aizliegtās vielas</w:t>
      </w:r>
      <w:r>
        <w:rPr>
          <w:rFonts w:ascii="Times New Roman" w:hAnsi="Times New Roman"/>
          <w:sz w:val="24"/>
          <w:u w:val="none"/>
        </w:rPr>
        <w:t xml:space="preserve"> rezultāta vērtība noteiktā </w:t>
      </w:r>
      <w:r>
        <w:rPr>
          <w:rFonts w:ascii="Times New Roman" w:hAnsi="Times New Roman"/>
          <w:i/>
          <w:iCs/>
          <w:sz w:val="24"/>
          <w:u w:val="none"/>
        </w:rPr>
        <w:t>paraugā</w:t>
      </w:r>
      <w:r>
        <w:rPr>
          <w:rFonts w:ascii="Times New Roman" w:hAnsi="Times New Roman"/>
          <w:sz w:val="24"/>
          <w:u w:val="none"/>
        </w:rPr>
        <w:t xml:space="preserve">, kas iegūta apstiprinātā mērīšanas procedūrā, un, pārsniedzot šo </w:t>
      </w:r>
      <w:r>
        <w:rPr>
          <w:rFonts w:ascii="Times New Roman" w:hAnsi="Times New Roman"/>
          <w:i/>
          <w:iCs/>
          <w:sz w:val="24"/>
        </w:rPr>
        <w:t>DL</w:t>
      </w:r>
      <w:r>
        <w:rPr>
          <w:rFonts w:ascii="Times New Roman" w:hAnsi="Times New Roman"/>
          <w:sz w:val="24"/>
          <w:u w:val="none"/>
        </w:rPr>
        <w:t xml:space="preserve">, var pieņemt lēmumu, ka </w:t>
      </w:r>
      <w:r>
        <w:rPr>
          <w:rFonts w:ascii="Times New Roman" w:hAnsi="Times New Roman"/>
          <w:i/>
          <w:iCs/>
          <w:sz w:val="24"/>
        </w:rPr>
        <w:t>T</w:t>
      </w:r>
      <w:r>
        <w:rPr>
          <w:rFonts w:ascii="Times New Roman" w:hAnsi="Times New Roman"/>
          <w:sz w:val="24"/>
          <w:u w:val="none"/>
        </w:rPr>
        <w:t xml:space="preserve"> ir pārsniegta ar statistisko ticamības pakāpi vismaz 95 %, un tādējādi </w:t>
      </w:r>
      <w:r>
        <w:rPr>
          <w:rFonts w:ascii="Times New Roman" w:hAnsi="Times New Roman"/>
          <w:i/>
          <w:iCs/>
          <w:sz w:val="24"/>
          <w:u w:val="none"/>
        </w:rPr>
        <w:t>AAF</w:t>
      </w:r>
      <w:r>
        <w:rPr>
          <w:rFonts w:ascii="Times New Roman" w:hAnsi="Times New Roman"/>
          <w:sz w:val="24"/>
          <w:u w:val="none"/>
        </w:rPr>
        <w:t xml:space="preserve"> ir pamatots. Tas ir ilustrēts 1. attēlā.</w:t>
      </w:r>
    </w:p>
    <w:p w14:paraId="2CDBC547" w14:textId="77777777" w:rsidR="00573E92" w:rsidRPr="00FB35D8" w:rsidRDefault="00573E92" w:rsidP="00FB35D8">
      <w:pPr>
        <w:jc w:val="both"/>
        <w:rPr>
          <w:rFonts w:ascii="Times New Roman" w:hAnsi="Times New Roman"/>
          <w:noProof/>
          <w:sz w:val="24"/>
        </w:rPr>
      </w:pPr>
    </w:p>
    <w:p w14:paraId="062BF802" w14:textId="68428059" w:rsidR="00573E92" w:rsidRDefault="00683A80" w:rsidP="00881018">
      <w:pPr>
        <w:jc w:val="center"/>
        <w:rPr>
          <w:rFonts w:ascii="Times New Roman" w:eastAsia="Arial" w:hAnsi="Times New Roman" w:cs="Arial"/>
          <w:noProof/>
          <w:sz w:val="24"/>
          <w:szCs w:val="20"/>
        </w:rPr>
      </w:pPr>
      <w:r>
        <w:rPr>
          <w:rFonts w:ascii="Times New Roman" w:eastAsia="Arial" w:hAnsi="Times New Roman" w:cs="Arial"/>
          <w:noProof/>
          <w:sz w:val="24"/>
          <w:szCs w:val="20"/>
        </w:rPr>
        <w:drawing>
          <wp:inline distT="0" distB="0" distL="0" distR="0" wp14:anchorId="023856FB" wp14:editId="6582DC18">
            <wp:extent cx="5760720" cy="1920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14:paraId="5FD61594" w14:textId="77777777" w:rsidR="00573E92" w:rsidRPr="00FB35D8" w:rsidRDefault="00573E92" w:rsidP="00FB35D8">
      <w:pPr>
        <w:jc w:val="both"/>
        <w:rPr>
          <w:rFonts w:ascii="Times New Roman" w:eastAsia="Arial" w:hAnsi="Times New Roman" w:cs="Arial"/>
          <w:noProof/>
          <w:sz w:val="24"/>
          <w:szCs w:val="24"/>
        </w:rPr>
      </w:pPr>
    </w:p>
    <w:p w14:paraId="3306B917"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b/>
          <w:sz w:val="24"/>
          <w:u w:val="none"/>
        </w:rPr>
        <w:t>1. attēls.</w:t>
      </w:r>
      <w:r>
        <w:rPr>
          <w:rFonts w:ascii="Times New Roman" w:hAnsi="Times New Roman"/>
          <w:sz w:val="24"/>
          <w:u w:val="none"/>
        </w:rPr>
        <w:t xml:space="preserve"> Aizsargjoslas (</w:t>
      </w:r>
      <w:r>
        <w:rPr>
          <w:rFonts w:ascii="Times New Roman" w:hAnsi="Times New Roman"/>
          <w:i/>
          <w:iCs/>
          <w:sz w:val="24"/>
          <w:u w:val="none"/>
        </w:rPr>
        <w:t>g</w:t>
      </w:r>
      <w:r>
        <w:rPr>
          <w:rFonts w:ascii="Times New Roman" w:hAnsi="Times New Roman"/>
          <w:sz w:val="24"/>
          <w:u w:val="none"/>
        </w:rPr>
        <w:t xml:space="preserve">) izmantošana, lai noteiktu </w:t>
      </w:r>
      <w:r>
        <w:rPr>
          <w:rFonts w:ascii="Times New Roman" w:hAnsi="Times New Roman"/>
          <w:i/>
          <w:iCs/>
          <w:sz w:val="24"/>
        </w:rPr>
        <w:t>DL</w:t>
      </w:r>
      <w:r>
        <w:rPr>
          <w:rFonts w:ascii="Times New Roman" w:hAnsi="Times New Roman"/>
          <w:sz w:val="24"/>
          <w:u w:val="none"/>
        </w:rPr>
        <w:t xml:space="preserve"> attiecībā pret </w:t>
      </w:r>
      <w:r>
        <w:rPr>
          <w:rFonts w:ascii="Times New Roman" w:hAnsi="Times New Roman"/>
          <w:sz w:val="24"/>
        </w:rPr>
        <w:t>robežvērtības</w:t>
      </w:r>
      <w:r>
        <w:rPr>
          <w:rFonts w:ascii="Times New Roman" w:hAnsi="Times New Roman"/>
          <w:sz w:val="24"/>
          <w:u w:val="none"/>
        </w:rPr>
        <w:t xml:space="preserve"> robežu un lai diferencētu atbilstības un neatbilstības zonas.</w:t>
      </w:r>
    </w:p>
    <w:p w14:paraId="2D88C557" w14:textId="77777777" w:rsidR="00BF39B8" w:rsidRDefault="00BF39B8" w:rsidP="00FB35D8">
      <w:pPr>
        <w:pStyle w:val="BodyText"/>
        <w:spacing w:before="0"/>
        <w:ind w:left="0"/>
        <w:jc w:val="both"/>
        <w:rPr>
          <w:rFonts w:ascii="Times New Roman" w:hAnsi="Times New Roman"/>
          <w:noProof/>
          <w:sz w:val="24"/>
          <w:u w:val="none"/>
        </w:rPr>
      </w:pPr>
    </w:p>
    <w:p w14:paraId="23F77788" w14:textId="73076921"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i/>
          <w:iCs/>
          <w:sz w:val="24"/>
        </w:rPr>
        <w:t>DL</w:t>
      </w:r>
      <w:r>
        <w:rPr>
          <w:rFonts w:ascii="Times New Roman" w:hAnsi="Times New Roman"/>
          <w:sz w:val="24"/>
          <w:u w:val="none"/>
        </w:rPr>
        <w:t xml:space="preserve"> vērtību aprēķina kā </w:t>
      </w:r>
      <w:r>
        <w:rPr>
          <w:rFonts w:ascii="Times New Roman" w:hAnsi="Times New Roman"/>
          <w:i/>
          <w:iCs/>
          <w:sz w:val="24"/>
        </w:rPr>
        <w:t>T</w:t>
      </w:r>
      <w:r>
        <w:rPr>
          <w:rFonts w:ascii="Times New Roman" w:hAnsi="Times New Roman"/>
          <w:sz w:val="24"/>
          <w:u w:val="none"/>
        </w:rPr>
        <w:t xml:space="preserve"> vērtības un aizsargjoslas (</w:t>
      </w:r>
      <w:r>
        <w:rPr>
          <w:rFonts w:ascii="Times New Roman" w:hAnsi="Times New Roman"/>
          <w:i/>
          <w:iCs/>
          <w:sz w:val="24"/>
          <w:u w:val="none"/>
        </w:rPr>
        <w:t>g</w:t>
      </w:r>
      <w:r>
        <w:rPr>
          <w:rFonts w:ascii="Times New Roman" w:hAnsi="Times New Roman"/>
          <w:sz w:val="24"/>
          <w:u w:val="none"/>
        </w:rPr>
        <w:t xml:space="preserve">) summu, kur </w:t>
      </w:r>
      <w:r>
        <w:rPr>
          <w:rFonts w:ascii="Times New Roman" w:hAnsi="Times New Roman"/>
          <w:i/>
          <w:iCs/>
          <w:sz w:val="24"/>
          <w:u w:val="none"/>
        </w:rPr>
        <w:t>g</w:t>
      </w:r>
      <w:r>
        <w:rPr>
          <w:rFonts w:ascii="Times New Roman" w:hAnsi="Times New Roman"/>
          <w:sz w:val="24"/>
          <w:u w:val="none"/>
        </w:rPr>
        <w:t xml:space="preserve"> aprēķina, pamatojoties uz attiecīgo </w:t>
      </w:r>
      <w:r>
        <w:rPr>
          <w:rFonts w:ascii="Times New Roman" w:hAnsi="Times New Roman"/>
          <w:i/>
          <w:iCs/>
          <w:sz w:val="24"/>
          <w:u w:val="none"/>
        </w:rPr>
        <w:t>WADA</w:t>
      </w:r>
      <w:r>
        <w:rPr>
          <w:rFonts w:ascii="Times New Roman" w:hAnsi="Times New Roman"/>
          <w:sz w:val="24"/>
          <w:u w:val="none"/>
        </w:rPr>
        <w:t xml:space="preserve"> maksimālo pieņemamo vērtību (vienība/ml) kombinētajai standarta nenoteiktībai (</w:t>
      </w:r>
      <w:r>
        <w:rPr>
          <w:rFonts w:ascii="Times New Roman" w:hAnsi="Times New Roman"/>
          <w:i/>
          <w:iCs/>
          <w:sz w:val="24"/>
          <w:u w:val="none"/>
        </w:rPr>
        <w:t>u</w:t>
      </w:r>
      <w:r>
        <w:rPr>
          <w:rFonts w:ascii="Times New Roman" w:hAnsi="Times New Roman"/>
          <w:i/>
          <w:iCs/>
          <w:sz w:val="24"/>
          <w:u w:val="none"/>
          <w:vertAlign w:val="subscript"/>
        </w:rPr>
        <w:t>c_Max</w:t>
      </w:r>
      <w:r>
        <w:rPr>
          <w:rFonts w:ascii="Times New Roman" w:hAnsi="Times New Roman"/>
          <w:sz w:val="24"/>
          <w:u w:val="none"/>
        </w:rPr>
        <w:t xml:space="preserve">), kas norādīta 1. tabulā, izmantojot aptvēruma koeficientu </w:t>
      </w:r>
      <w:r>
        <w:rPr>
          <w:rFonts w:ascii="Times New Roman" w:hAnsi="Times New Roman"/>
          <w:i/>
          <w:iCs/>
          <w:sz w:val="24"/>
          <w:u w:val="none"/>
        </w:rPr>
        <w:t>k</w:t>
      </w:r>
      <w:r>
        <w:rPr>
          <w:rFonts w:ascii="Times New Roman" w:hAnsi="Times New Roman"/>
          <w:sz w:val="24"/>
          <w:u w:val="none"/>
        </w:rPr>
        <w:t>, kas ir 1,645 (95 % aptvēruma diapazons, vienpusējs normālais sadalījums).</w:t>
      </w:r>
    </w:p>
    <w:p w14:paraId="7E58FE9C" w14:textId="372CAEF8" w:rsidR="00BF39B8" w:rsidRDefault="00BF39B8" w:rsidP="00FB35D8">
      <w:pPr>
        <w:pStyle w:val="BodyText"/>
        <w:spacing w:before="0"/>
        <w:ind w:left="0"/>
        <w:jc w:val="both"/>
        <w:rPr>
          <w:rFonts w:ascii="Times New Roman" w:hAnsi="Times New Roman"/>
          <w:noProof/>
          <w:sz w:val="24"/>
          <w:u w:val="none"/>
        </w:rPr>
      </w:pPr>
    </w:p>
    <w:p w14:paraId="48412328" w14:textId="069A1AA7" w:rsidR="00BF39B8" w:rsidRPr="00FB35D8" w:rsidRDefault="00BF39B8" w:rsidP="00BF39B8">
      <w:pPr>
        <w:pStyle w:val="BodyText"/>
        <w:spacing w:before="0"/>
        <w:ind w:left="284"/>
        <w:jc w:val="both"/>
        <w:rPr>
          <w:rFonts w:ascii="Times New Roman" w:hAnsi="Times New Roman"/>
          <w:noProof/>
          <w:sz w:val="24"/>
          <w:u w:val="none"/>
        </w:rPr>
      </w:pPr>
      <w:r>
        <w:rPr>
          <w:rFonts w:ascii="Times New Roman" w:hAnsi="Times New Roman"/>
          <w:noProof/>
          <w:sz w:val="24"/>
          <w:u w:val="none"/>
        </w:rPr>
        <w:drawing>
          <wp:inline distT="0" distB="0" distL="0" distR="0" wp14:anchorId="056B35F8" wp14:editId="6F9C6BEF">
            <wp:extent cx="1701580" cy="6572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7655" cy="667356"/>
                    </a:xfrm>
                    <a:prstGeom prst="rect">
                      <a:avLst/>
                    </a:prstGeom>
                    <a:noFill/>
                    <a:ln>
                      <a:noFill/>
                    </a:ln>
                  </pic:spPr>
                </pic:pic>
              </a:graphicData>
            </a:graphic>
          </wp:inline>
        </w:drawing>
      </w:r>
    </w:p>
    <w:p w14:paraId="0EB7F932" w14:textId="77777777" w:rsidR="00BF39B8" w:rsidRDefault="00BF39B8" w:rsidP="00FB35D8">
      <w:pPr>
        <w:pStyle w:val="BodyText"/>
        <w:spacing w:before="0"/>
        <w:ind w:left="0"/>
        <w:jc w:val="both"/>
        <w:rPr>
          <w:rFonts w:ascii="Times New Roman" w:hAnsi="Times New Roman"/>
          <w:noProof/>
          <w:sz w:val="24"/>
          <w:u w:color="000000"/>
        </w:rPr>
      </w:pPr>
    </w:p>
    <w:p w14:paraId="2A935FEB" w14:textId="13B15C24"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paraugā</w:t>
      </w:r>
      <w:r>
        <w:rPr>
          <w:rFonts w:ascii="Times New Roman" w:hAnsi="Times New Roman"/>
          <w:sz w:val="24"/>
          <w:u w:val="none"/>
        </w:rPr>
        <w:t xml:space="preserve"> konstatētā vērtība pārsniedz </w:t>
      </w:r>
      <w:r>
        <w:rPr>
          <w:rFonts w:ascii="Times New Roman" w:hAnsi="Times New Roman"/>
          <w:i/>
          <w:iCs/>
          <w:sz w:val="24"/>
        </w:rPr>
        <w:t>T</w:t>
      </w:r>
      <w:r>
        <w:rPr>
          <w:rFonts w:ascii="Times New Roman" w:hAnsi="Times New Roman"/>
          <w:sz w:val="24"/>
          <w:u w:val="none"/>
        </w:rPr>
        <w:t xml:space="preserve"> vērtību, bet ir mazāka par </w:t>
      </w:r>
      <w:r>
        <w:rPr>
          <w:rFonts w:ascii="Times New Roman" w:hAnsi="Times New Roman"/>
          <w:i/>
          <w:iCs/>
          <w:sz w:val="24"/>
        </w:rPr>
        <w:t>DL</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paziņo šo rezultātu kā </w:t>
      </w:r>
      <w:r>
        <w:rPr>
          <w:rFonts w:ascii="Times New Roman" w:hAnsi="Times New Roman"/>
          <w:sz w:val="24"/>
        </w:rPr>
        <w:t>negatīvu rezultātu</w:t>
      </w:r>
      <w:r>
        <w:rPr>
          <w:rFonts w:ascii="Times New Roman" w:hAnsi="Times New Roman"/>
          <w:sz w:val="24"/>
          <w:u w:val="none"/>
        </w:rPr>
        <w:t xml:space="preserve"> un iekļauj ieteikumu (</w:t>
      </w:r>
      <w:r>
        <w:rPr>
          <w:rFonts w:ascii="Times New Roman" w:hAnsi="Times New Roman"/>
          <w:i/>
          <w:iCs/>
          <w:sz w:val="24"/>
          <w:u w:val="none"/>
        </w:rPr>
        <w:t>piemēram</w:t>
      </w:r>
      <w:r>
        <w:rPr>
          <w:rFonts w:ascii="Times New Roman" w:hAnsi="Times New Roman"/>
          <w:sz w:val="24"/>
          <w:u w:val="none"/>
        </w:rPr>
        <w:t xml:space="preserve">, pārbaudes ziņojuma sadaļā “Atzinums”) </w:t>
      </w:r>
      <w:r>
        <w:rPr>
          <w:rFonts w:ascii="Times New Roman" w:hAnsi="Times New Roman"/>
          <w:sz w:val="24"/>
        </w:rPr>
        <w:t>rezultātu pārvaldības iestādei</w:t>
      </w:r>
      <w:r>
        <w:rPr>
          <w:rFonts w:ascii="Times New Roman" w:hAnsi="Times New Roman"/>
          <w:sz w:val="24"/>
          <w:u w:val="none"/>
        </w:rPr>
        <w:t xml:space="preserve"> ņemt vērā šo rezultātu nākotnes “mērķa un izl</w:t>
      </w:r>
      <w:r w:rsidR="00972EC2">
        <w:rPr>
          <w:rFonts w:ascii="Times New Roman" w:hAnsi="Times New Roman"/>
          <w:sz w:val="24"/>
          <w:u w:val="none"/>
        </w:rPr>
        <w:t>ūkdatu</w:t>
      </w:r>
      <w:r>
        <w:rPr>
          <w:rFonts w:ascii="Times New Roman" w:hAnsi="Times New Roman"/>
          <w:sz w:val="24"/>
          <w:u w:val="none"/>
        </w:rPr>
        <w:t xml:space="preserve">” pārbaudes plānošanā. Šis rezultāts nav </w:t>
      </w:r>
      <w:r>
        <w:rPr>
          <w:rFonts w:ascii="Times New Roman" w:hAnsi="Times New Roman"/>
          <w:i/>
          <w:iCs/>
          <w:sz w:val="24"/>
          <w:u w:val="none"/>
        </w:rPr>
        <w:t>AAF</w:t>
      </w:r>
      <w:r>
        <w:rPr>
          <w:rFonts w:ascii="Times New Roman" w:hAnsi="Times New Roman"/>
          <w:sz w:val="24"/>
          <w:u w:val="none"/>
        </w:rPr>
        <w:t xml:space="preserve"> neatkarīgi no </w:t>
      </w:r>
      <w:r>
        <w:rPr>
          <w:rFonts w:ascii="Times New Roman" w:hAnsi="Times New Roman"/>
          <w:i/>
          <w:iCs/>
          <w:sz w:val="24"/>
        </w:rPr>
        <w:t>MU</w:t>
      </w:r>
      <w:r>
        <w:rPr>
          <w:rFonts w:ascii="Times New Roman" w:hAnsi="Times New Roman"/>
          <w:sz w:val="24"/>
          <w:u w:val="none"/>
        </w:rPr>
        <w:t xml:space="preserve"> vērtības, ko </w:t>
      </w:r>
      <w:r>
        <w:rPr>
          <w:rFonts w:ascii="Times New Roman" w:hAnsi="Times New Roman"/>
          <w:sz w:val="24"/>
        </w:rPr>
        <w:t>laboratorija</w:t>
      </w:r>
      <w:r>
        <w:rPr>
          <w:rFonts w:ascii="Times New Roman" w:hAnsi="Times New Roman"/>
          <w:sz w:val="24"/>
          <w:u w:val="none"/>
        </w:rPr>
        <w:t xml:space="preserve"> paziņo attiecībā uz rezultātu.</w:t>
      </w:r>
    </w:p>
    <w:p w14:paraId="72D3915C" w14:textId="77777777" w:rsidR="00573E92" w:rsidRPr="00FB35D8" w:rsidRDefault="00573E92" w:rsidP="00FB35D8">
      <w:pPr>
        <w:jc w:val="both"/>
        <w:rPr>
          <w:rFonts w:ascii="Times New Roman" w:eastAsia="Arial" w:hAnsi="Times New Roman" w:cs="Arial"/>
          <w:noProof/>
          <w:sz w:val="24"/>
          <w:szCs w:val="14"/>
        </w:rPr>
      </w:pPr>
    </w:p>
    <w:p w14:paraId="397C7234" w14:textId="71AB2F91" w:rsidR="00573E92" w:rsidRDefault="00573E92" w:rsidP="00C06F75">
      <w:pPr>
        <w:pStyle w:val="BodyText"/>
        <w:spacing w:before="0"/>
        <w:ind w:left="0"/>
        <w:jc w:val="both"/>
        <w:rPr>
          <w:rFonts w:ascii="Times New Roman" w:hAnsi="Times New Roman"/>
          <w:noProof/>
          <w:sz w:val="24"/>
          <w:u w:val="none"/>
        </w:rPr>
      </w:pPr>
      <w:r>
        <w:rPr>
          <w:rFonts w:ascii="Times New Roman" w:hAnsi="Times New Roman"/>
          <w:sz w:val="24"/>
          <w:u w:val="none"/>
        </w:rPr>
        <w:t xml:space="preserve">Piezīme. Atbilstības lēmuma noteikums, ko piemēro testiem, kurus izmanto tādu endogēno </w:t>
      </w:r>
      <w:r>
        <w:rPr>
          <w:rFonts w:ascii="Times New Roman" w:hAnsi="Times New Roman"/>
          <w:sz w:val="24"/>
        </w:rPr>
        <w:t>sliekšņa vielu</w:t>
      </w:r>
      <w:r>
        <w:rPr>
          <w:rFonts w:ascii="Times New Roman" w:hAnsi="Times New Roman"/>
          <w:sz w:val="24"/>
          <w:u w:val="none"/>
        </w:rPr>
        <w:t xml:space="preserve"> kvantitatīvai noteikšanai, kurām </w:t>
      </w:r>
      <w:r>
        <w:rPr>
          <w:rFonts w:ascii="Times New Roman" w:hAnsi="Times New Roman"/>
          <w:i/>
          <w:iCs/>
          <w:sz w:val="24"/>
        </w:rPr>
        <w:t>T</w:t>
      </w:r>
      <w:r>
        <w:rPr>
          <w:rFonts w:ascii="Times New Roman" w:hAnsi="Times New Roman"/>
          <w:sz w:val="24"/>
          <w:u w:val="none"/>
        </w:rPr>
        <w:t xml:space="preserve"> ir noteikta atsauces kolekcijas statistikā (piemēram, </w:t>
      </w:r>
      <w:r>
        <w:rPr>
          <w:rFonts w:ascii="Times New Roman" w:hAnsi="Times New Roman"/>
          <w:i/>
          <w:iCs/>
          <w:sz w:val="24"/>
          <w:u w:val="none"/>
        </w:rPr>
        <w:t>hCG</w:t>
      </w:r>
      <w:r>
        <w:rPr>
          <w:rFonts w:ascii="Times New Roman" w:hAnsi="Times New Roman"/>
          <w:sz w:val="24"/>
          <w:u w:val="none"/>
        </w:rPr>
        <w:t xml:space="preserve">, </w:t>
      </w:r>
      <w:r>
        <w:rPr>
          <w:rFonts w:ascii="Times New Roman" w:hAnsi="Times New Roman"/>
          <w:i/>
          <w:iCs/>
          <w:sz w:val="24"/>
          <w:u w:val="none"/>
        </w:rPr>
        <w:t>hGH</w:t>
      </w:r>
      <w:r>
        <w:rPr>
          <w:rFonts w:ascii="Times New Roman" w:hAnsi="Times New Roman"/>
          <w:sz w:val="24"/>
          <w:u w:val="none"/>
        </w:rPr>
        <w:t xml:space="preserve"> diferenciālie imūntesti un </w:t>
      </w:r>
      <w:r>
        <w:rPr>
          <w:rFonts w:ascii="Times New Roman" w:hAnsi="Times New Roman"/>
          <w:i/>
          <w:iCs/>
          <w:sz w:val="24"/>
          <w:u w:val="none"/>
        </w:rPr>
        <w:t>hGH</w:t>
      </w:r>
      <w:r>
        <w:rPr>
          <w:rFonts w:ascii="Times New Roman" w:hAnsi="Times New Roman"/>
          <w:sz w:val="24"/>
          <w:u w:val="none"/>
        </w:rPr>
        <w:t xml:space="preserve"> biomarķieru metode), neparedz iekļaut aizsargjoslu, jo </w:t>
      </w:r>
      <w:r>
        <w:rPr>
          <w:rFonts w:ascii="Times New Roman" w:hAnsi="Times New Roman"/>
          <w:i/>
          <w:iCs/>
          <w:sz w:val="24"/>
        </w:rPr>
        <w:t>MU</w:t>
      </w:r>
      <w:r>
        <w:rPr>
          <w:rFonts w:ascii="Times New Roman" w:hAnsi="Times New Roman"/>
          <w:sz w:val="24"/>
          <w:u w:val="none"/>
        </w:rPr>
        <w:t xml:space="preserve"> jau ir iekļauta </w:t>
      </w:r>
      <w:r>
        <w:rPr>
          <w:rFonts w:ascii="Times New Roman" w:hAnsi="Times New Roman"/>
          <w:i/>
          <w:iCs/>
          <w:sz w:val="24"/>
        </w:rPr>
        <w:t>T</w:t>
      </w:r>
      <w:r>
        <w:rPr>
          <w:rFonts w:ascii="Times New Roman" w:hAnsi="Times New Roman"/>
          <w:sz w:val="24"/>
          <w:u w:val="none"/>
        </w:rPr>
        <w:t xml:space="preserve"> vērtībā.</w:t>
      </w:r>
    </w:p>
    <w:p w14:paraId="4F4CD0F3" w14:textId="77777777" w:rsidR="00BF39B8" w:rsidRPr="00FB35D8" w:rsidRDefault="00BF39B8" w:rsidP="00BF39B8">
      <w:pPr>
        <w:pStyle w:val="BodyText"/>
        <w:spacing w:before="0"/>
        <w:ind w:left="0"/>
        <w:jc w:val="both"/>
        <w:rPr>
          <w:rFonts w:ascii="Times New Roman" w:hAnsi="Times New Roman"/>
          <w:noProof/>
          <w:sz w:val="24"/>
          <w:u w:val="none"/>
        </w:rPr>
      </w:pPr>
    </w:p>
    <w:p w14:paraId="16F7F5DB" w14:textId="483AD0BA" w:rsidR="00573E92" w:rsidRPr="00FB35D8" w:rsidRDefault="00573E92" w:rsidP="00FB35D8">
      <w:pPr>
        <w:pStyle w:val="Heading1"/>
        <w:spacing w:before="0"/>
        <w:ind w:left="0"/>
        <w:jc w:val="both"/>
        <w:rPr>
          <w:rFonts w:ascii="Times New Roman" w:hAnsi="Times New Roman"/>
          <w:noProof/>
          <w:u w:val="none"/>
        </w:rPr>
      </w:pPr>
      <w:r>
        <w:rPr>
          <w:rFonts w:ascii="Times New Roman" w:hAnsi="Times New Roman"/>
          <w:u w:val="none"/>
        </w:rPr>
        <w:t>4.0. Ziņošana</w:t>
      </w:r>
    </w:p>
    <w:p w14:paraId="419F86EF" w14:textId="77777777" w:rsidR="00573E92" w:rsidRPr="00FB35D8" w:rsidRDefault="00573E92" w:rsidP="00FB35D8">
      <w:pPr>
        <w:jc w:val="both"/>
        <w:rPr>
          <w:rFonts w:ascii="Times New Roman" w:eastAsia="Arial" w:hAnsi="Times New Roman" w:cs="Arial"/>
          <w:b/>
          <w:bCs/>
          <w:noProof/>
          <w:sz w:val="24"/>
        </w:rPr>
      </w:pPr>
    </w:p>
    <w:p w14:paraId="20085764" w14:textId="4854663D" w:rsidR="00573E92" w:rsidRPr="00FB35D8" w:rsidRDefault="00BF39B8" w:rsidP="00BF39B8">
      <w:pPr>
        <w:pStyle w:val="BodyText"/>
        <w:tabs>
          <w:tab w:val="left" w:pos="671"/>
        </w:tabs>
        <w:spacing w:before="0"/>
        <w:ind w:left="0"/>
        <w:jc w:val="both"/>
        <w:rPr>
          <w:rFonts w:ascii="Times New Roman" w:hAnsi="Times New Roman"/>
          <w:noProof/>
          <w:sz w:val="24"/>
          <w:u w:color="000000"/>
        </w:rPr>
      </w:pPr>
      <w:r>
        <w:rPr>
          <w:rFonts w:ascii="Times New Roman" w:hAnsi="Times New Roman"/>
          <w:sz w:val="24"/>
          <w:u w:val="none" w:color="000000"/>
        </w:rPr>
        <w:t xml:space="preserve">4.1. </w:t>
      </w:r>
      <w:r>
        <w:rPr>
          <w:rFonts w:ascii="Times New Roman" w:hAnsi="Times New Roman"/>
          <w:sz w:val="24"/>
          <w:u w:color="000000"/>
        </w:rPr>
        <w:t>Pārbaudes ziņojums</w:t>
      </w:r>
    </w:p>
    <w:p w14:paraId="69364ED5" w14:textId="77777777" w:rsidR="00BF39B8" w:rsidRDefault="00BF39B8" w:rsidP="00FB35D8">
      <w:pPr>
        <w:pStyle w:val="BodyText"/>
        <w:spacing w:before="0"/>
        <w:ind w:left="0"/>
        <w:jc w:val="both"/>
        <w:rPr>
          <w:rFonts w:ascii="Times New Roman" w:hAnsi="Times New Roman"/>
          <w:noProof/>
          <w:sz w:val="24"/>
          <w:u w:val="none"/>
        </w:rPr>
      </w:pPr>
    </w:p>
    <w:p w14:paraId="7B0D65A0" w14:textId="637B3FDB"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Par </w:t>
      </w:r>
      <w:r>
        <w:rPr>
          <w:rFonts w:ascii="Times New Roman" w:hAnsi="Times New Roman"/>
          <w:sz w:val="24"/>
        </w:rPr>
        <w:t>sliekšņa vielas</w:t>
      </w:r>
      <w:r>
        <w:rPr>
          <w:rFonts w:ascii="Times New Roman" w:hAnsi="Times New Roman"/>
          <w:sz w:val="24"/>
          <w:u w:val="none"/>
        </w:rPr>
        <w:t xml:space="preserve"> koncentrāciju </w:t>
      </w:r>
      <w:r>
        <w:rPr>
          <w:rFonts w:ascii="Times New Roman" w:hAnsi="Times New Roman"/>
          <w:i/>
          <w:iCs/>
          <w:sz w:val="24"/>
          <w:u w:val="none"/>
        </w:rPr>
        <w:t>paraugā</w:t>
      </w:r>
      <w:r>
        <w:rPr>
          <w:rFonts w:ascii="Times New Roman" w:hAnsi="Times New Roman"/>
          <w:sz w:val="24"/>
          <w:u w:val="none"/>
        </w:rPr>
        <w:t xml:space="preserve"> paziņo </w:t>
      </w:r>
      <w:r>
        <w:rPr>
          <w:rFonts w:ascii="Times New Roman" w:hAnsi="Times New Roman"/>
          <w:i/>
          <w:iCs/>
          <w:sz w:val="24"/>
          <w:u w:val="none"/>
        </w:rPr>
        <w:t>ADAMS</w:t>
      </w:r>
      <w:r>
        <w:rPr>
          <w:rFonts w:ascii="Times New Roman" w:hAnsi="Times New Roman"/>
          <w:sz w:val="24"/>
          <w:u w:val="none"/>
        </w:rPr>
        <w:t xml:space="preserve"> kā par vidējo vērtību no trīsreiz </w:t>
      </w:r>
      <w:r>
        <w:rPr>
          <w:rFonts w:ascii="Times New Roman" w:hAnsi="Times New Roman"/>
          <w:sz w:val="24"/>
          <w:u w:val="none"/>
        </w:rPr>
        <w:lastRenderedPageBreak/>
        <w:t xml:space="preserve">iegūtiem rezultātiem, noapaļojot </w:t>
      </w:r>
      <w:r>
        <w:rPr>
          <w:rFonts w:ascii="Times New Roman" w:hAnsi="Times New Roman"/>
          <w:b/>
          <w:bCs/>
          <w:sz w:val="24"/>
          <w:u w:val="none"/>
        </w:rPr>
        <w:t>uz leju</w:t>
      </w:r>
      <w:r>
        <w:rPr>
          <w:rFonts w:ascii="Times New Roman" w:hAnsi="Times New Roman"/>
          <w:sz w:val="24"/>
          <w:u w:val="none"/>
        </w:rPr>
        <w:t xml:space="preserve"> (saīsinot) līdz tādam pašam ciparu skaitam aiz komata kā piemērojamajā </w:t>
      </w:r>
      <w:r>
        <w:rPr>
          <w:rFonts w:ascii="Times New Roman" w:hAnsi="Times New Roman"/>
          <w:i/>
          <w:iCs/>
          <w:sz w:val="24"/>
        </w:rPr>
        <w:t>DL</w:t>
      </w:r>
      <w:r>
        <w:rPr>
          <w:rFonts w:ascii="Times New Roman" w:hAnsi="Times New Roman"/>
          <w:sz w:val="24"/>
          <w:u w:val="none"/>
        </w:rPr>
        <w:t xml:space="preserve">, lai novērtētu atbilstību </w:t>
      </w:r>
      <w:r>
        <w:rPr>
          <w:rFonts w:ascii="Times New Roman" w:hAnsi="Times New Roman"/>
          <w:i/>
          <w:iCs/>
          <w:sz w:val="24"/>
        </w:rPr>
        <w:t>DL</w:t>
      </w:r>
      <w:r>
        <w:rPr>
          <w:rFonts w:ascii="Times New Roman" w:hAnsi="Times New Roman"/>
          <w:sz w:val="24"/>
          <w:u w:val="none"/>
        </w:rPr>
        <w:t xml:space="preserve"> un izmantotu to kā pamatu, paziņojot </w:t>
      </w:r>
      <w:r>
        <w:rPr>
          <w:rFonts w:ascii="Times New Roman" w:hAnsi="Times New Roman"/>
          <w:i/>
          <w:iCs/>
          <w:sz w:val="24"/>
          <w:u w:val="none"/>
        </w:rPr>
        <w:t>AAF</w:t>
      </w:r>
      <w:r>
        <w:rPr>
          <w:rFonts w:ascii="Times New Roman" w:hAnsi="Times New Roman"/>
          <w:sz w:val="24"/>
          <w:u w:val="none"/>
        </w:rPr>
        <w:t>.</w:t>
      </w:r>
    </w:p>
    <w:p w14:paraId="0A4DA5C7" w14:textId="77777777" w:rsidR="00BF39B8" w:rsidRPr="00FB35D8" w:rsidRDefault="00BF39B8" w:rsidP="00FB35D8">
      <w:pPr>
        <w:pStyle w:val="BodyText"/>
        <w:spacing w:before="0"/>
        <w:ind w:left="0"/>
        <w:jc w:val="both"/>
        <w:rPr>
          <w:rFonts w:ascii="Times New Roman" w:hAnsi="Times New Roman"/>
          <w:noProof/>
          <w:sz w:val="24"/>
          <w:u w:val="none"/>
        </w:rPr>
      </w:pPr>
    </w:p>
    <w:p w14:paraId="4C00A435" w14:textId="5FDD8860"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[Piemēram, formoterola daudzumu 5</w:t>
      </w:r>
      <w:r>
        <w:rPr>
          <w:rFonts w:ascii="Times New Roman" w:hAnsi="Times New Roman"/>
          <w:sz w:val="24"/>
        </w:rPr>
        <w:t>2</w:t>
      </w:r>
      <w:r>
        <w:rPr>
          <w:rFonts w:ascii="Times New Roman" w:hAnsi="Times New Roman"/>
          <w:sz w:val="24"/>
          <w:u w:val="none"/>
        </w:rPr>
        <w:t>,7 ng/ml paziņo kā “5</w:t>
      </w:r>
      <w:r>
        <w:rPr>
          <w:rFonts w:ascii="Times New Roman" w:hAnsi="Times New Roman"/>
          <w:sz w:val="24"/>
        </w:rPr>
        <w:t>2</w:t>
      </w:r>
      <w:r>
        <w:rPr>
          <w:rFonts w:ascii="Times New Roman" w:hAnsi="Times New Roman"/>
          <w:sz w:val="24"/>
          <w:u w:val="none"/>
        </w:rPr>
        <w:t> ng/ml”; katīna rezultātu 7,</w:t>
      </w:r>
      <w:r>
        <w:rPr>
          <w:rFonts w:ascii="Times New Roman" w:hAnsi="Times New Roman"/>
          <w:sz w:val="24"/>
        </w:rPr>
        <w:t>5</w:t>
      </w:r>
      <w:r>
        <w:rPr>
          <w:rFonts w:ascii="Times New Roman" w:hAnsi="Times New Roman"/>
          <w:sz w:val="24"/>
          <w:u w:val="none"/>
        </w:rPr>
        <w:t>7 µg/ml paziņo kā “7,</w:t>
      </w:r>
      <w:r>
        <w:rPr>
          <w:rFonts w:ascii="Times New Roman" w:hAnsi="Times New Roman"/>
          <w:sz w:val="24"/>
        </w:rPr>
        <w:t>5</w:t>
      </w:r>
      <w:r>
        <w:rPr>
          <w:rFonts w:ascii="Times New Roman" w:hAnsi="Times New Roman"/>
          <w:sz w:val="24"/>
          <w:u w:val="none"/>
        </w:rPr>
        <w:t> µg/ml”; efedrīna rezultātu 1</w:t>
      </w:r>
      <w:r>
        <w:rPr>
          <w:rFonts w:ascii="Times New Roman" w:hAnsi="Times New Roman"/>
          <w:sz w:val="24"/>
        </w:rPr>
        <w:t>2</w:t>
      </w:r>
      <w:r>
        <w:rPr>
          <w:rFonts w:ascii="Times New Roman" w:hAnsi="Times New Roman"/>
          <w:sz w:val="24"/>
          <w:u w:val="none"/>
        </w:rPr>
        <w:t>,2 µg/ml norāda kā “1</w:t>
      </w:r>
      <w:r>
        <w:rPr>
          <w:rFonts w:ascii="Times New Roman" w:hAnsi="Times New Roman"/>
          <w:sz w:val="24"/>
        </w:rPr>
        <w:t>2</w:t>
      </w:r>
      <w:r>
        <w:rPr>
          <w:rFonts w:ascii="Times New Roman" w:hAnsi="Times New Roman"/>
          <w:sz w:val="24"/>
          <w:u w:val="none"/>
        </w:rPr>
        <w:t> µg/ml”; pseidoefedrīna rezultātu 17</w:t>
      </w:r>
      <w:r>
        <w:rPr>
          <w:rFonts w:ascii="Times New Roman" w:hAnsi="Times New Roman"/>
          <w:sz w:val="24"/>
        </w:rPr>
        <w:t>3</w:t>
      </w:r>
      <w:r>
        <w:rPr>
          <w:rFonts w:ascii="Times New Roman" w:hAnsi="Times New Roman"/>
          <w:sz w:val="24"/>
          <w:u w:val="none"/>
        </w:rPr>
        <w:t>,7 µg/ml norāda kā “17</w:t>
      </w:r>
      <w:r>
        <w:rPr>
          <w:rFonts w:ascii="Times New Roman" w:hAnsi="Times New Roman"/>
          <w:sz w:val="24"/>
        </w:rPr>
        <w:t>3</w:t>
      </w:r>
      <w:r>
        <w:rPr>
          <w:rFonts w:ascii="Times New Roman" w:hAnsi="Times New Roman"/>
          <w:sz w:val="24"/>
          <w:u w:val="none"/>
        </w:rPr>
        <w:t> µg/ml”; morfīna rezultātu 1,</w:t>
      </w:r>
      <w:r>
        <w:rPr>
          <w:rFonts w:ascii="Times New Roman" w:hAnsi="Times New Roman"/>
          <w:sz w:val="24"/>
        </w:rPr>
        <w:t>3</w:t>
      </w:r>
      <w:r>
        <w:rPr>
          <w:rFonts w:ascii="Times New Roman" w:hAnsi="Times New Roman"/>
          <w:sz w:val="24"/>
          <w:u w:val="none"/>
        </w:rPr>
        <w:t>5 µg/ml paziņo kā “1,</w:t>
      </w:r>
      <w:r>
        <w:rPr>
          <w:rFonts w:ascii="Times New Roman" w:hAnsi="Times New Roman"/>
          <w:sz w:val="24"/>
        </w:rPr>
        <w:t>3</w:t>
      </w:r>
      <w:r>
        <w:rPr>
          <w:rFonts w:ascii="Times New Roman" w:hAnsi="Times New Roman"/>
          <w:sz w:val="24"/>
          <w:u w:val="none"/>
        </w:rPr>
        <w:t xml:space="preserve"> µg/ml” un </w:t>
      </w:r>
      <w:r>
        <w:rPr>
          <w:rFonts w:ascii="Times New Roman" w:hAnsi="Times New Roman"/>
          <w:i/>
          <w:iCs/>
          <w:sz w:val="24"/>
          <w:u w:val="none"/>
        </w:rPr>
        <w:t>hCG</w:t>
      </w:r>
      <w:r>
        <w:rPr>
          <w:rFonts w:ascii="Times New Roman" w:hAnsi="Times New Roman"/>
          <w:sz w:val="24"/>
          <w:u w:val="none"/>
        </w:rPr>
        <w:t xml:space="preserve"> koncentrāciju 7,</w:t>
      </w:r>
      <w:r>
        <w:rPr>
          <w:rFonts w:ascii="Times New Roman" w:hAnsi="Times New Roman"/>
          <w:sz w:val="24"/>
        </w:rPr>
        <w:t>3</w:t>
      </w:r>
      <w:r>
        <w:rPr>
          <w:rFonts w:ascii="Times New Roman" w:hAnsi="Times New Roman"/>
          <w:sz w:val="24"/>
          <w:u w:val="none"/>
        </w:rPr>
        <w:t xml:space="preserve">8 </w:t>
      </w:r>
      <w:r>
        <w:rPr>
          <w:rFonts w:ascii="Times New Roman" w:hAnsi="Times New Roman"/>
          <w:i/>
          <w:iCs/>
          <w:sz w:val="24"/>
          <w:u w:val="none"/>
        </w:rPr>
        <w:t>IU</w:t>
      </w:r>
      <w:r>
        <w:rPr>
          <w:rFonts w:ascii="Times New Roman" w:hAnsi="Times New Roman"/>
          <w:sz w:val="24"/>
          <w:u w:val="none"/>
        </w:rPr>
        <w:t>/l paziņo kā “7,</w:t>
      </w:r>
      <w:r>
        <w:rPr>
          <w:rFonts w:ascii="Times New Roman" w:hAnsi="Times New Roman"/>
          <w:sz w:val="24"/>
        </w:rPr>
        <w:t>3</w:t>
      </w:r>
      <w:r>
        <w:rPr>
          <w:rFonts w:ascii="Times New Roman" w:hAnsi="Times New Roman"/>
          <w:sz w:val="24"/>
          <w:u w:val="none"/>
        </w:rPr>
        <w:t> </w:t>
      </w:r>
      <w:r>
        <w:rPr>
          <w:rFonts w:ascii="Times New Roman" w:hAnsi="Times New Roman"/>
          <w:i/>
          <w:iCs/>
          <w:sz w:val="24"/>
          <w:u w:val="none"/>
        </w:rPr>
        <w:t>IU</w:t>
      </w:r>
      <w:r>
        <w:rPr>
          <w:rFonts w:ascii="Times New Roman" w:hAnsi="Times New Roman"/>
          <w:sz w:val="24"/>
          <w:u w:val="none"/>
        </w:rPr>
        <w:t>/l”].</w:t>
      </w:r>
    </w:p>
    <w:p w14:paraId="50C5B6D9" w14:textId="77777777" w:rsidR="00BF39B8" w:rsidRPr="00FB35D8" w:rsidRDefault="00BF39B8" w:rsidP="00FB35D8">
      <w:pPr>
        <w:pStyle w:val="BodyText"/>
        <w:spacing w:before="0"/>
        <w:ind w:left="0"/>
        <w:jc w:val="both"/>
        <w:rPr>
          <w:rFonts w:ascii="Times New Roman" w:hAnsi="Times New Roman"/>
          <w:noProof/>
          <w:sz w:val="24"/>
          <w:u w:val="none"/>
        </w:rPr>
      </w:pPr>
    </w:p>
    <w:p w14:paraId="4FA87379" w14:textId="4C0472DB"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Minimālās prasības, paziņojot </w:t>
      </w:r>
      <w:r>
        <w:rPr>
          <w:rFonts w:ascii="Times New Roman" w:hAnsi="Times New Roman"/>
          <w:i/>
          <w:iCs/>
          <w:sz w:val="24"/>
          <w:u w:val="none"/>
        </w:rPr>
        <w:t xml:space="preserve">AAF </w:t>
      </w:r>
      <w:r>
        <w:rPr>
          <w:rFonts w:ascii="Times New Roman" w:hAnsi="Times New Roman"/>
          <w:sz w:val="24"/>
        </w:rPr>
        <w:t>sliekšņa vielai</w:t>
      </w:r>
      <w:r>
        <w:rPr>
          <w:rFonts w:ascii="Times New Roman" w:hAnsi="Times New Roman"/>
          <w:sz w:val="24"/>
          <w:u w:val="none"/>
        </w:rPr>
        <w:t>, ir šādas:</w:t>
      </w:r>
    </w:p>
    <w:p w14:paraId="61B71519" w14:textId="77777777" w:rsidR="00BF39B8" w:rsidRPr="00FB35D8" w:rsidRDefault="00BF39B8" w:rsidP="00FB35D8">
      <w:pPr>
        <w:pStyle w:val="BodyText"/>
        <w:spacing w:before="0"/>
        <w:ind w:left="0"/>
        <w:jc w:val="both"/>
        <w:rPr>
          <w:rFonts w:ascii="Times New Roman" w:hAnsi="Times New Roman"/>
          <w:noProof/>
          <w:sz w:val="24"/>
          <w:u w:val="none"/>
        </w:rPr>
      </w:pPr>
    </w:p>
    <w:p w14:paraId="0C62CA38" w14:textId="77777777" w:rsidR="00573E92" w:rsidRPr="00FB35D8" w:rsidRDefault="00573E92" w:rsidP="00BF39B8">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rezultāts (kas piešķirts un paziņots, kā norādīts iepriekš);</w:t>
      </w:r>
    </w:p>
    <w:p w14:paraId="44F470FA" w14:textId="77777777" w:rsidR="00573E92" w:rsidRPr="00FB35D8" w:rsidRDefault="00573E92" w:rsidP="00BF39B8">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paziņojums, ka rezultāts pārsniedz (&gt;) attiecīgo </w:t>
      </w:r>
      <w:r>
        <w:rPr>
          <w:rFonts w:ascii="Times New Roman" w:hAnsi="Times New Roman"/>
          <w:i/>
          <w:iCs/>
          <w:sz w:val="24"/>
          <w:u w:color="000000"/>
        </w:rPr>
        <w:t>D</w:t>
      </w:r>
      <w:r>
        <w:rPr>
          <w:rFonts w:ascii="Times New Roman" w:hAnsi="Times New Roman"/>
          <w:i/>
          <w:iCs/>
          <w:sz w:val="24"/>
        </w:rPr>
        <w:t>L</w:t>
      </w:r>
      <w:r>
        <w:rPr>
          <w:rFonts w:ascii="Times New Roman" w:hAnsi="Times New Roman"/>
          <w:sz w:val="24"/>
          <w:u w:val="none"/>
        </w:rPr>
        <w:t>, un</w:t>
      </w:r>
    </w:p>
    <w:p w14:paraId="709F0E38" w14:textId="77777777" w:rsidR="00573E92" w:rsidRPr="00FB35D8" w:rsidRDefault="00573E92" w:rsidP="00BF39B8">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relatīvā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 xml:space="preserve"> </w:t>
      </w:r>
      <w:r>
        <w:rPr>
          <w:rFonts w:ascii="Times New Roman" w:hAnsi="Times New Roman"/>
          <w:sz w:val="24"/>
          <w:u w:val="none"/>
        </w:rPr>
        <w:t xml:space="preserve">(%), kas saistīta ar rezultātu līmeņos, kuri ir tuvi </w:t>
      </w:r>
      <w:r>
        <w:rPr>
          <w:rFonts w:ascii="Times New Roman" w:hAnsi="Times New Roman"/>
          <w:i/>
          <w:iCs/>
          <w:sz w:val="24"/>
        </w:rPr>
        <w:t>T</w:t>
      </w:r>
      <w:r>
        <w:rPr>
          <w:rFonts w:ascii="Times New Roman" w:hAnsi="Times New Roman"/>
          <w:sz w:val="24"/>
          <w:u w:val="none"/>
        </w:rPr>
        <w:t xml:space="preserve"> vērtībai, kas noteikta kvantitatīvās </w:t>
      </w:r>
      <w:r>
        <w:rPr>
          <w:rFonts w:ascii="Times New Roman" w:hAnsi="Times New Roman"/>
          <w:sz w:val="24"/>
        </w:rPr>
        <w:t>apstiprināšanas procedūras</w:t>
      </w:r>
      <w:r>
        <w:rPr>
          <w:rFonts w:ascii="Times New Roman" w:hAnsi="Times New Roman"/>
          <w:sz w:val="24"/>
          <w:u w:val="none"/>
        </w:rPr>
        <w:t xml:space="preserve"> metodes validācijas laikā.</w:t>
      </w:r>
    </w:p>
    <w:p w14:paraId="75610065" w14:textId="77777777" w:rsidR="00BF39B8" w:rsidRDefault="00BF39B8" w:rsidP="00FB35D8">
      <w:pPr>
        <w:pStyle w:val="BodyText"/>
        <w:spacing w:before="0"/>
        <w:ind w:left="0"/>
        <w:jc w:val="both"/>
        <w:rPr>
          <w:rFonts w:ascii="Times New Roman" w:hAnsi="Times New Roman"/>
          <w:noProof/>
          <w:sz w:val="24"/>
          <w:u w:val="none"/>
        </w:rPr>
      </w:pPr>
    </w:p>
    <w:p w14:paraId="20F16DA9" w14:textId="2F9421D5"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Ar iepriekš minētās informācijas sniegšanu pietiek, lai būtu izpildītas </w:t>
      </w:r>
      <w:r>
        <w:rPr>
          <w:rFonts w:ascii="Times New Roman" w:hAnsi="Times New Roman"/>
          <w:i/>
          <w:iCs/>
          <w:sz w:val="24"/>
          <w:u w:val="none"/>
        </w:rPr>
        <w:t>WADA</w:t>
      </w:r>
      <w:r>
        <w:rPr>
          <w:rFonts w:ascii="Times New Roman" w:hAnsi="Times New Roman"/>
          <w:sz w:val="24"/>
          <w:u w:val="none"/>
        </w:rPr>
        <w:t xml:space="preserve"> prasības par </w:t>
      </w:r>
      <w:r>
        <w:rPr>
          <w:rFonts w:ascii="Times New Roman" w:hAnsi="Times New Roman"/>
          <w:i/>
          <w:iCs/>
          <w:sz w:val="24"/>
          <w:u w:val="none"/>
        </w:rPr>
        <w:t>AAF</w:t>
      </w:r>
      <w:r>
        <w:rPr>
          <w:rFonts w:ascii="Times New Roman" w:hAnsi="Times New Roman"/>
          <w:sz w:val="24"/>
          <w:u w:val="none"/>
        </w:rPr>
        <w:t xml:space="preserve"> paziņošanu </w:t>
      </w:r>
      <w:r>
        <w:rPr>
          <w:rFonts w:ascii="Times New Roman" w:hAnsi="Times New Roman"/>
          <w:sz w:val="24"/>
        </w:rPr>
        <w:t>sliekšņa vielai</w:t>
      </w:r>
      <w:r>
        <w:rPr>
          <w:rFonts w:ascii="Times New Roman" w:hAnsi="Times New Roman"/>
          <w:sz w:val="24"/>
          <w:u w:val="none"/>
        </w:rPr>
        <w:t>.</w:t>
      </w:r>
    </w:p>
    <w:p w14:paraId="60E2C60A" w14:textId="77777777" w:rsidR="00BF39B8" w:rsidRPr="00FB35D8" w:rsidRDefault="00BF39B8" w:rsidP="00FB35D8">
      <w:pPr>
        <w:pStyle w:val="BodyText"/>
        <w:spacing w:before="0"/>
        <w:ind w:left="0"/>
        <w:jc w:val="both"/>
        <w:rPr>
          <w:rFonts w:ascii="Times New Roman" w:hAnsi="Times New Roman"/>
          <w:noProof/>
          <w:sz w:val="24"/>
          <w:u w:val="none"/>
        </w:rPr>
      </w:pPr>
    </w:p>
    <w:p w14:paraId="6908B4D9" w14:textId="76D4496B" w:rsidR="00573E92" w:rsidRDefault="00573E92" w:rsidP="00FB35D8">
      <w:pPr>
        <w:jc w:val="both"/>
        <w:rPr>
          <w:rFonts w:ascii="Times New Roman" w:hAnsi="Times New Roman"/>
          <w:noProof/>
          <w:sz w:val="24"/>
        </w:rPr>
      </w:pPr>
      <w:r>
        <w:rPr>
          <w:rFonts w:ascii="Times New Roman" w:hAnsi="Times New Roman"/>
          <w:sz w:val="24"/>
        </w:rPr>
        <w:t>[Ziņošanas piemērs pārbaudes ziņojumā.</w:t>
      </w:r>
    </w:p>
    <w:p w14:paraId="49117B44" w14:textId="77777777" w:rsidR="00BF39B8" w:rsidRPr="00FB35D8" w:rsidRDefault="00BF39B8" w:rsidP="00FB35D8">
      <w:pPr>
        <w:jc w:val="both"/>
        <w:rPr>
          <w:rFonts w:ascii="Times New Roman" w:hAnsi="Times New Roman"/>
          <w:noProof/>
          <w:sz w:val="24"/>
        </w:rPr>
      </w:pPr>
    </w:p>
    <w:p w14:paraId="0E0EDB7A" w14:textId="3EB2C109" w:rsidR="00573E92" w:rsidRDefault="00573E92" w:rsidP="00FB35D8">
      <w:pPr>
        <w:jc w:val="both"/>
        <w:rPr>
          <w:rFonts w:ascii="Times New Roman" w:eastAsia="Arial" w:hAnsi="Times New Roman" w:cs="Arial"/>
          <w:i/>
          <w:noProof/>
          <w:sz w:val="24"/>
          <w:szCs w:val="20"/>
        </w:rPr>
      </w:pPr>
      <w:r>
        <w:rPr>
          <w:rFonts w:ascii="Times New Roman" w:hAnsi="Times New Roman"/>
          <w:sz w:val="24"/>
        </w:rPr>
        <w:t>“</w:t>
      </w:r>
      <w:r>
        <w:rPr>
          <w:rFonts w:ascii="Times New Roman" w:hAnsi="Times New Roman"/>
          <w:i/>
          <w:iCs/>
          <w:sz w:val="24"/>
        </w:rPr>
        <w:t>Aizliegtās vielas</w:t>
      </w:r>
      <w:r>
        <w:rPr>
          <w:rFonts w:ascii="Times New Roman" w:hAnsi="Times New Roman"/>
          <w:sz w:val="24"/>
        </w:rPr>
        <w:t xml:space="preserve"> A” koncentrācija </w:t>
      </w:r>
      <w:r>
        <w:rPr>
          <w:rFonts w:ascii="Times New Roman" w:hAnsi="Times New Roman"/>
          <w:i/>
          <w:iCs/>
          <w:sz w:val="24"/>
        </w:rPr>
        <w:t>paraugā</w:t>
      </w:r>
      <w:r>
        <w:rPr>
          <w:rFonts w:ascii="Times New Roman" w:hAnsi="Times New Roman"/>
          <w:sz w:val="24"/>
        </w:rPr>
        <w:t xml:space="preserve">, kas iegūta, izmantojot kvantitatīvās </w:t>
      </w:r>
      <w:r>
        <w:rPr>
          <w:rFonts w:ascii="Times New Roman" w:hAnsi="Times New Roman"/>
          <w:sz w:val="24"/>
          <w:u w:val="single"/>
        </w:rPr>
        <w:t>apstiprināšanas procedūru</w:t>
      </w:r>
      <w:r>
        <w:rPr>
          <w:rFonts w:ascii="Times New Roman" w:hAnsi="Times New Roman"/>
          <w:sz w:val="24"/>
        </w:rPr>
        <w:t xml:space="preserve">, un norādīta saskaņā ar </w:t>
      </w:r>
      <w:r>
        <w:rPr>
          <w:rFonts w:ascii="Times New Roman" w:hAnsi="Times New Roman"/>
          <w:i/>
          <w:iCs/>
          <w:sz w:val="24"/>
        </w:rPr>
        <w:t>WADA TD DL</w:t>
      </w:r>
      <w:r>
        <w:rPr>
          <w:rFonts w:ascii="Times New Roman" w:hAnsi="Times New Roman"/>
          <w:sz w:val="24"/>
        </w:rPr>
        <w:t xml:space="preserve"> ziņošanas noteikumiem, ir X (vienības). Tā pārsniedz </w:t>
      </w:r>
      <w:r>
        <w:rPr>
          <w:rFonts w:ascii="Times New Roman" w:hAnsi="Times New Roman"/>
          <w:i/>
          <w:iCs/>
          <w:sz w:val="24"/>
          <w:u w:val="single"/>
        </w:rPr>
        <w:t>DL</w:t>
      </w:r>
      <w:r>
        <w:rPr>
          <w:rFonts w:ascii="Times New Roman" w:hAnsi="Times New Roman"/>
          <w:sz w:val="24"/>
        </w:rPr>
        <w:t xml:space="preserve"> (pēc korekcijas attiecībā uz </w:t>
      </w:r>
      <w:r>
        <w:rPr>
          <w:rFonts w:ascii="Times New Roman" w:hAnsi="Times New Roman"/>
          <w:i/>
          <w:iCs/>
          <w:sz w:val="24"/>
        </w:rPr>
        <w:t>SG</w:t>
      </w:r>
      <w:r>
        <w:rPr>
          <w:rFonts w:ascii="Times New Roman" w:hAnsi="Times New Roman"/>
          <w:sz w:val="24"/>
        </w:rPr>
        <w:t>, ja piemērojams) attiecībā uz A no Y (vienības). Relatīvā kombinētā standarta nenoteiktība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ko </w:t>
      </w:r>
      <w:r>
        <w:rPr>
          <w:rFonts w:ascii="Times New Roman" w:hAnsi="Times New Roman"/>
          <w:sz w:val="24"/>
          <w:u w:val="single"/>
        </w:rPr>
        <w:t>laboratorija</w:t>
      </w:r>
      <w:r>
        <w:rPr>
          <w:rFonts w:ascii="Times New Roman" w:hAnsi="Times New Roman"/>
          <w:sz w:val="24"/>
        </w:rPr>
        <w:t xml:space="preserve"> aplēsusi rezultātam pie </w:t>
      </w:r>
      <w:r>
        <w:rPr>
          <w:rFonts w:ascii="Times New Roman" w:hAnsi="Times New Roman"/>
          <w:sz w:val="24"/>
          <w:u w:val="single" w:color="000000"/>
        </w:rPr>
        <w:t>robežvērtības</w:t>
      </w:r>
      <w:r>
        <w:rPr>
          <w:rFonts w:ascii="Times New Roman" w:hAnsi="Times New Roman"/>
          <w:sz w:val="24"/>
        </w:rPr>
        <w:t xml:space="preserve"> Z (pēc korekcijas attiecībā uz </w:t>
      </w:r>
      <w:r>
        <w:rPr>
          <w:rFonts w:ascii="Times New Roman" w:hAnsi="Times New Roman"/>
          <w:i/>
          <w:iCs/>
          <w:sz w:val="24"/>
        </w:rPr>
        <w:t>SG</w:t>
      </w:r>
      <w:r>
        <w:rPr>
          <w:rFonts w:ascii="Times New Roman" w:hAnsi="Times New Roman"/>
          <w:sz w:val="24"/>
        </w:rPr>
        <w:t>, ja piemērojams) [vienības], ir “</w:t>
      </w:r>
      <w:r>
        <w:rPr>
          <w:rFonts w:ascii="Times New Roman" w:hAnsi="Times New Roman"/>
          <w:i/>
          <w:sz w:val="24"/>
        </w:rPr>
        <w:t>b</w:t>
      </w:r>
      <w:r>
        <w:rPr>
          <w:rFonts w:ascii="Times New Roman" w:hAnsi="Times New Roman"/>
          <w:sz w:val="24"/>
        </w:rPr>
        <w:t xml:space="preserve">” (%), un tā nepārsniedz relatīvo </w:t>
      </w:r>
      <w:r>
        <w:rPr>
          <w:rFonts w:ascii="Times New Roman" w:hAnsi="Times New Roman"/>
          <w:i/>
          <w:sz w:val="24"/>
        </w:rPr>
        <w:t>u</w:t>
      </w:r>
      <w:r>
        <w:rPr>
          <w:rFonts w:ascii="Times New Roman" w:hAnsi="Times New Roman"/>
          <w:i/>
          <w:sz w:val="24"/>
          <w:vertAlign w:val="subscript"/>
        </w:rPr>
        <w:t xml:space="preserve">c Max </w:t>
      </w:r>
      <w:r>
        <w:rPr>
          <w:rFonts w:ascii="Times New Roman" w:hAnsi="Times New Roman"/>
          <w:sz w:val="24"/>
        </w:rPr>
        <w:t xml:space="preserve">(“c”, %), kas norādīta </w:t>
      </w:r>
      <w:r>
        <w:rPr>
          <w:rFonts w:ascii="Times New Roman" w:hAnsi="Times New Roman"/>
          <w:i/>
          <w:sz w:val="24"/>
        </w:rPr>
        <w:t xml:space="preserve">WADA </w:t>
      </w:r>
      <w:r>
        <w:rPr>
          <w:rFonts w:ascii="Times New Roman" w:hAnsi="Times New Roman"/>
          <w:i/>
          <w:iCs/>
          <w:sz w:val="24"/>
        </w:rPr>
        <w:t>TD DL</w:t>
      </w:r>
      <w:r>
        <w:rPr>
          <w:rFonts w:ascii="Times New Roman" w:hAnsi="Times New Roman"/>
          <w:i/>
          <w:sz w:val="24"/>
        </w:rPr>
        <w:t>.</w:t>
      </w:r>
    </w:p>
    <w:p w14:paraId="6AA44E3C" w14:textId="77777777" w:rsidR="00BF39B8" w:rsidRPr="00FB35D8" w:rsidRDefault="00BF39B8" w:rsidP="00FB35D8">
      <w:pPr>
        <w:jc w:val="both"/>
        <w:rPr>
          <w:rFonts w:ascii="Times New Roman" w:eastAsia="Arial" w:hAnsi="Times New Roman" w:cs="Arial"/>
          <w:noProof/>
          <w:sz w:val="24"/>
          <w:szCs w:val="20"/>
        </w:rPr>
      </w:pPr>
    </w:p>
    <w:p w14:paraId="6B068759" w14:textId="77777777" w:rsidR="00573E92" w:rsidRPr="00FB35D8" w:rsidRDefault="00573E92" w:rsidP="00FB35D8">
      <w:pPr>
        <w:jc w:val="both"/>
        <w:rPr>
          <w:rFonts w:ascii="Times New Roman" w:eastAsia="Arial" w:hAnsi="Times New Roman" w:cs="Arial"/>
          <w:noProof/>
          <w:sz w:val="24"/>
          <w:szCs w:val="20"/>
        </w:rPr>
      </w:pPr>
      <w:r>
        <w:rPr>
          <w:rFonts w:ascii="Times New Roman" w:hAnsi="Times New Roman"/>
          <w:sz w:val="24"/>
        </w:rPr>
        <w:t xml:space="preserve">Šis rezultāts atbilst </w:t>
      </w:r>
      <w:r>
        <w:rPr>
          <w:rFonts w:ascii="Times New Roman" w:hAnsi="Times New Roman"/>
          <w:i/>
          <w:iCs/>
          <w:sz w:val="24"/>
        </w:rPr>
        <w:t>WADA TD DL</w:t>
      </w:r>
      <w:r>
        <w:rPr>
          <w:rFonts w:ascii="Times New Roman" w:hAnsi="Times New Roman"/>
          <w:sz w:val="24"/>
        </w:rPr>
        <w:t xml:space="preserve"> prasībām attiecībā uz nelabvēlīgo analīžu rezultātu, kas liecina par A klātbūtni </w:t>
      </w:r>
      <w:r>
        <w:rPr>
          <w:rFonts w:ascii="Times New Roman" w:hAnsi="Times New Roman"/>
          <w:i/>
          <w:iCs/>
          <w:sz w:val="24"/>
        </w:rPr>
        <w:t>paraugā</w:t>
      </w:r>
      <w:r>
        <w:rPr>
          <w:rFonts w:ascii="Times New Roman" w:hAnsi="Times New Roman"/>
          <w:sz w:val="24"/>
        </w:rPr>
        <w:t xml:space="preserve"> tādā koncentrācijā, kas pārsniedz Z (vienību) </w:t>
      </w:r>
      <w:r>
        <w:rPr>
          <w:rFonts w:ascii="Times New Roman" w:hAnsi="Times New Roman"/>
          <w:sz w:val="24"/>
          <w:u w:val="single"/>
        </w:rPr>
        <w:t>robežvērtību</w:t>
      </w:r>
      <w:r>
        <w:rPr>
          <w:rFonts w:ascii="Times New Roman" w:hAnsi="Times New Roman"/>
          <w:sz w:val="24"/>
        </w:rPr>
        <w:t xml:space="preserve"> (pēc korekcijas attiecībā uz </w:t>
      </w:r>
      <w:r>
        <w:rPr>
          <w:rFonts w:ascii="Times New Roman" w:hAnsi="Times New Roman"/>
          <w:i/>
          <w:iCs/>
          <w:sz w:val="24"/>
        </w:rPr>
        <w:t>SG</w:t>
      </w:r>
      <w:r>
        <w:rPr>
          <w:rFonts w:ascii="Times New Roman" w:hAnsi="Times New Roman"/>
          <w:sz w:val="24"/>
        </w:rPr>
        <w:t>, ja piemērojams)].</w:t>
      </w:r>
    </w:p>
    <w:p w14:paraId="74834BBA" w14:textId="77777777" w:rsidR="00573E92" w:rsidRPr="00FB35D8" w:rsidRDefault="00573E92" w:rsidP="00FB35D8">
      <w:pPr>
        <w:jc w:val="both"/>
        <w:rPr>
          <w:rFonts w:ascii="Times New Roman" w:eastAsia="Arial" w:hAnsi="Times New Roman" w:cs="Arial"/>
          <w:noProof/>
          <w:sz w:val="24"/>
          <w:szCs w:val="14"/>
        </w:rPr>
      </w:pPr>
    </w:p>
    <w:p w14:paraId="6BFD1C13" w14:textId="3F5D0623" w:rsidR="00573E92" w:rsidRPr="00FB35D8" w:rsidRDefault="00BF39B8" w:rsidP="00BF39B8">
      <w:pPr>
        <w:pStyle w:val="BodyText"/>
        <w:tabs>
          <w:tab w:val="left" w:pos="671"/>
        </w:tabs>
        <w:spacing w:before="0"/>
        <w:ind w:left="0"/>
        <w:jc w:val="both"/>
        <w:rPr>
          <w:rFonts w:ascii="Times New Roman" w:hAnsi="Times New Roman"/>
          <w:noProof/>
          <w:sz w:val="24"/>
          <w:u w:color="000000"/>
        </w:rPr>
      </w:pPr>
      <w:r>
        <w:rPr>
          <w:rFonts w:ascii="Times New Roman" w:hAnsi="Times New Roman"/>
          <w:sz w:val="24"/>
          <w:u w:val="none" w:color="000000"/>
        </w:rPr>
        <w:t xml:space="preserve">4.2. </w:t>
      </w:r>
      <w:r>
        <w:rPr>
          <w:rFonts w:ascii="Times New Roman" w:hAnsi="Times New Roman"/>
          <w:sz w:val="24"/>
          <w:u w:color="000000"/>
        </w:rPr>
        <w:t>Laboratoriskās dokumentācijas pakete</w:t>
      </w:r>
    </w:p>
    <w:p w14:paraId="14BA9F7E" w14:textId="77777777" w:rsidR="00BF39B8" w:rsidRDefault="00BF39B8" w:rsidP="00FB35D8">
      <w:pPr>
        <w:pStyle w:val="BodyText"/>
        <w:spacing w:before="0"/>
        <w:ind w:left="0"/>
        <w:jc w:val="both"/>
        <w:rPr>
          <w:rFonts w:ascii="Times New Roman" w:hAnsi="Times New Roman"/>
          <w:noProof/>
          <w:sz w:val="24"/>
          <w:u w:val="none"/>
        </w:rPr>
      </w:pPr>
    </w:p>
    <w:p w14:paraId="682AE854" w14:textId="22E70BC1"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Informācijas avots lēmuma pieņemšanai par </w:t>
      </w:r>
      <w:r>
        <w:rPr>
          <w:rFonts w:ascii="Times New Roman" w:hAnsi="Times New Roman"/>
          <w:i/>
          <w:iCs/>
          <w:sz w:val="24"/>
          <w:u w:val="none"/>
        </w:rPr>
        <w:t>AAF</w:t>
      </w:r>
      <w:r>
        <w:rPr>
          <w:rFonts w:ascii="Times New Roman" w:hAnsi="Times New Roman"/>
          <w:sz w:val="24"/>
          <w:u w:val="none"/>
        </w:rPr>
        <w:t xml:space="preserve"> ir mērījumu rezultāts, ko </w:t>
      </w:r>
      <w:r>
        <w:rPr>
          <w:rFonts w:ascii="Times New Roman" w:hAnsi="Times New Roman"/>
          <w:sz w:val="24"/>
        </w:rPr>
        <w:t>laboratorija</w:t>
      </w:r>
      <w:r>
        <w:rPr>
          <w:rFonts w:ascii="Times New Roman" w:hAnsi="Times New Roman"/>
          <w:sz w:val="24"/>
          <w:u w:val="none"/>
        </w:rPr>
        <w:t xml:space="preserve"> noteikusi, izmantojot savu kvantitatīvās </w:t>
      </w:r>
      <w:r>
        <w:rPr>
          <w:rFonts w:ascii="Times New Roman" w:hAnsi="Times New Roman"/>
          <w:sz w:val="24"/>
        </w:rPr>
        <w:t>apstiprināšanas procedūru</w:t>
      </w:r>
      <w:r>
        <w:rPr>
          <w:rFonts w:ascii="Times New Roman" w:hAnsi="Times New Roman"/>
          <w:sz w:val="24"/>
          <w:u w:val="none"/>
        </w:rPr>
        <w:t xml:space="preserve">. Šo informāciju iekļauj </w:t>
      </w:r>
      <w:r>
        <w:rPr>
          <w:rFonts w:ascii="Times New Roman" w:hAnsi="Times New Roman"/>
          <w:sz w:val="24"/>
        </w:rPr>
        <w:t>laboratoriskās dokumentācijas paketē</w:t>
      </w:r>
      <w:r>
        <w:rPr>
          <w:rFonts w:ascii="Times New Roman" w:hAnsi="Times New Roman"/>
          <w:sz w:val="24"/>
          <w:u w:val="none"/>
        </w:rPr>
        <w:t xml:space="preserve">. Rezultātu paziņošana ar saistīto paplašināto </w:t>
      </w:r>
      <w:r>
        <w:rPr>
          <w:rFonts w:ascii="Times New Roman" w:hAnsi="Times New Roman"/>
          <w:i/>
          <w:iCs/>
          <w:sz w:val="24"/>
        </w:rPr>
        <w:t>MU</w:t>
      </w:r>
      <w:r>
        <w:rPr>
          <w:rFonts w:ascii="Times New Roman" w:hAnsi="Times New Roman"/>
          <w:sz w:val="24"/>
          <w:u w:val="none"/>
        </w:rPr>
        <w:t>, izmantojot aptvēruma koeficientu (</w:t>
      </w:r>
      <w:r>
        <w:rPr>
          <w:rFonts w:ascii="Times New Roman" w:hAnsi="Times New Roman"/>
          <w:i/>
          <w:iCs/>
          <w:sz w:val="24"/>
          <w:u w:val="none"/>
        </w:rPr>
        <w:t>k</w:t>
      </w:r>
      <w:r>
        <w:rPr>
          <w:rFonts w:ascii="Times New Roman" w:hAnsi="Times New Roman"/>
          <w:sz w:val="24"/>
          <w:u w:val="none"/>
        </w:rPr>
        <w:t xml:space="preserve">), kas ir 2, ir izplatīta prakse. Tā nodrošina paplašinātu </w:t>
      </w:r>
      <w:r>
        <w:rPr>
          <w:rFonts w:ascii="Times New Roman" w:hAnsi="Times New Roman"/>
          <w:i/>
          <w:iCs/>
          <w:sz w:val="24"/>
        </w:rPr>
        <w:t>MU</w:t>
      </w:r>
      <w:r>
        <w:rPr>
          <w:rFonts w:ascii="Times New Roman" w:hAnsi="Times New Roman"/>
          <w:sz w:val="24"/>
          <w:u w:val="none"/>
        </w:rPr>
        <w:t xml:space="preserve"> (</w:t>
      </w:r>
      <w:r>
        <w:rPr>
          <w:rFonts w:ascii="Times New Roman" w:hAnsi="Times New Roman"/>
          <w:i/>
          <w:iCs/>
          <w:sz w:val="24"/>
          <w:u w:val="none"/>
        </w:rPr>
        <w:t>U</w:t>
      </w:r>
      <w:r>
        <w:rPr>
          <w:rFonts w:ascii="Times New Roman" w:hAnsi="Times New Roman"/>
          <w:i/>
          <w:iCs/>
          <w:sz w:val="24"/>
          <w:u w:val="none"/>
          <w:vertAlign w:val="subscript"/>
        </w:rPr>
        <w:t>95 %</w:t>
      </w:r>
      <w:r>
        <w:rPr>
          <w:rFonts w:ascii="Times New Roman" w:hAnsi="Times New Roman"/>
          <w:sz w:val="24"/>
          <w:u w:val="none"/>
        </w:rPr>
        <w:t xml:space="preserve">) rezultātam, kas ir līdzvērtīgs 95 % aptvēruma intervālam attiecībā uz </w:t>
      </w:r>
      <w:r>
        <w:rPr>
          <w:rFonts w:ascii="Times New Roman" w:hAnsi="Times New Roman"/>
          <w:sz w:val="24"/>
        </w:rPr>
        <w:t>sliekšņa vielas</w:t>
      </w:r>
      <w:r>
        <w:rPr>
          <w:rFonts w:ascii="Times New Roman" w:hAnsi="Times New Roman"/>
          <w:sz w:val="24"/>
          <w:u w:val="none"/>
        </w:rPr>
        <w:t xml:space="preserve"> vērtību </w:t>
      </w:r>
      <w:r>
        <w:rPr>
          <w:rFonts w:ascii="Times New Roman" w:hAnsi="Times New Roman"/>
          <w:i/>
          <w:iCs/>
          <w:sz w:val="24"/>
          <w:u w:val="none"/>
        </w:rPr>
        <w:t>paraugā</w:t>
      </w:r>
      <w:r>
        <w:rPr>
          <w:rFonts w:ascii="Times New Roman" w:hAnsi="Times New Roman"/>
          <w:sz w:val="24"/>
          <w:u w:val="none"/>
        </w:rPr>
        <w:t>, pamatojoties uz divpusējo normālo sadalījumu.</w:t>
      </w:r>
    </w:p>
    <w:p w14:paraId="435C8614" w14:textId="77777777" w:rsidR="00FB35D8" w:rsidRPr="00FB35D8" w:rsidRDefault="00FB35D8" w:rsidP="00FB35D8">
      <w:pPr>
        <w:jc w:val="both"/>
        <w:rPr>
          <w:rFonts w:ascii="Times New Roman" w:hAnsi="Times New Roman"/>
          <w:noProof/>
          <w:sz w:val="24"/>
        </w:rPr>
      </w:pPr>
    </w:p>
    <w:p w14:paraId="21D502F1" w14:textId="568556F9"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rPr>
        <w:t>Laboratoriskās dokumentācijas paketē</w:t>
      </w:r>
      <w:r>
        <w:rPr>
          <w:rFonts w:ascii="Times New Roman" w:hAnsi="Times New Roman"/>
          <w:sz w:val="24"/>
          <w:u w:val="none"/>
        </w:rPr>
        <w:t xml:space="preserve"> iekļauj šādu informāciju:</w:t>
      </w:r>
    </w:p>
    <w:p w14:paraId="5466831F" w14:textId="77777777" w:rsidR="00BF39B8" w:rsidRPr="00FB35D8" w:rsidRDefault="00BF39B8" w:rsidP="00FB35D8">
      <w:pPr>
        <w:pStyle w:val="BodyText"/>
        <w:spacing w:before="0"/>
        <w:ind w:left="0"/>
        <w:jc w:val="both"/>
        <w:rPr>
          <w:rFonts w:ascii="Times New Roman" w:hAnsi="Times New Roman"/>
          <w:noProof/>
          <w:sz w:val="24"/>
          <w:u w:val="none"/>
        </w:rPr>
      </w:pPr>
    </w:p>
    <w:p w14:paraId="03DE9286" w14:textId="77777777" w:rsidR="00573E92" w:rsidRPr="00FB35D8" w:rsidRDefault="00573E92" w:rsidP="00537490">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ja ir nepieciešama korekcija attiecībā uz </w:t>
      </w:r>
      <w:r>
        <w:rPr>
          <w:rFonts w:ascii="Times New Roman" w:hAnsi="Times New Roman"/>
          <w:i/>
          <w:iCs/>
          <w:sz w:val="24"/>
          <w:u w:val="none"/>
        </w:rPr>
        <w:t>SG</w:t>
      </w:r>
      <w:r>
        <w:rPr>
          <w:rFonts w:ascii="Times New Roman" w:hAnsi="Times New Roman"/>
          <w:sz w:val="24"/>
          <w:u w:val="none"/>
        </w:rPr>
        <w:t xml:space="preserve">, </w:t>
      </w:r>
      <w:r>
        <w:rPr>
          <w:rFonts w:ascii="Times New Roman" w:hAnsi="Times New Roman"/>
          <w:i/>
          <w:iCs/>
          <w:sz w:val="24"/>
          <w:u w:val="none"/>
        </w:rPr>
        <w:t>parauga</w:t>
      </w:r>
      <w:r>
        <w:rPr>
          <w:rFonts w:ascii="Times New Roman" w:hAnsi="Times New Roman"/>
          <w:sz w:val="24"/>
          <w:u w:val="none"/>
        </w:rPr>
        <w:t xml:space="preserve"> </w:t>
      </w:r>
      <w:r>
        <w:rPr>
          <w:rFonts w:ascii="Times New Roman" w:hAnsi="Times New Roman"/>
          <w:i/>
          <w:iCs/>
          <w:sz w:val="24"/>
          <w:u w:val="none"/>
        </w:rPr>
        <w:t>SG</w:t>
      </w:r>
      <w:r>
        <w:rPr>
          <w:rFonts w:ascii="Times New Roman" w:hAnsi="Times New Roman"/>
          <w:sz w:val="24"/>
          <w:u w:val="none"/>
        </w:rPr>
        <w:t xml:space="preserve">, koriģēto </w:t>
      </w:r>
      <w:r>
        <w:rPr>
          <w:rFonts w:ascii="Times New Roman" w:hAnsi="Times New Roman"/>
          <w:sz w:val="24"/>
        </w:rPr>
        <w:t>robežvērtību</w:t>
      </w:r>
      <w:r>
        <w:rPr>
          <w:rFonts w:ascii="Times New Roman" w:hAnsi="Times New Roman"/>
          <w:sz w:val="24"/>
          <w:u w:val="none"/>
        </w:rPr>
        <w:t xml:space="preserve"> un rezultātā iegūto koriģēto </w:t>
      </w:r>
      <w:r>
        <w:rPr>
          <w:rFonts w:ascii="Times New Roman" w:hAnsi="Times New Roman"/>
          <w:i/>
          <w:iCs/>
          <w:sz w:val="24"/>
        </w:rPr>
        <w:t>DL</w:t>
      </w:r>
      <w:r>
        <w:rPr>
          <w:rFonts w:ascii="Times New Roman" w:hAnsi="Times New Roman"/>
          <w:sz w:val="24"/>
          <w:u w:val="none"/>
        </w:rPr>
        <w:t>;</w:t>
      </w:r>
    </w:p>
    <w:p w14:paraId="0CA7D049" w14:textId="77777777" w:rsidR="00573E92" w:rsidRPr="00FB35D8" w:rsidRDefault="00573E92" w:rsidP="00537490">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paziņojumu, ka relatīvā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 xml:space="preserve"> </w:t>
      </w:r>
      <w:r>
        <w:rPr>
          <w:rFonts w:ascii="Times New Roman" w:hAnsi="Times New Roman"/>
          <w:sz w:val="24"/>
          <w:u w:val="none"/>
        </w:rPr>
        <w:t xml:space="preserve">(%) attiecībā uz rezultātiem pie </w:t>
      </w:r>
      <w:r>
        <w:rPr>
          <w:rFonts w:ascii="Times New Roman" w:hAnsi="Times New Roman"/>
          <w:sz w:val="24"/>
          <w:u w:color="000000"/>
        </w:rPr>
        <w:t>robežvērtības</w:t>
      </w:r>
      <w:r>
        <w:rPr>
          <w:rFonts w:ascii="Times New Roman" w:hAnsi="Times New Roman"/>
          <w:sz w:val="24"/>
          <w:u w:val="none"/>
        </w:rPr>
        <w:t xml:space="preserve"> nepārsniedz maksimālo pieļaujamo relatīvo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sz w:val="24"/>
          <w:u w:val="none"/>
          <w:vertAlign w:val="subscript"/>
        </w:rPr>
        <w:t>_</w:t>
      </w:r>
      <w:r>
        <w:rPr>
          <w:rFonts w:ascii="Times New Roman" w:hAnsi="Times New Roman"/>
          <w:i/>
          <w:sz w:val="24"/>
          <w:u w:val="none"/>
          <w:vertAlign w:val="subscript"/>
        </w:rPr>
        <w:t xml:space="preserve">Max </w:t>
      </w:r>
      <w:r>
        <w:rPr>
          <w:rFonts w:ascii="Times New Roman" w:hAnsi="Times New Roman"/>
          <w:sz w:val="24"/>
          <w:u w:val="none"/>
        </w:rPr>
        <w:t xml:space="preserve">(%), kas norādīta </w:t>
      </w:r>
      <w:r>
        <w:rPr>
          <w:rFonts w:ascii="Times New Roman" w:hAnsi="Times New Roman"/>
          <w:i/>
          <w:iCs/>
          <w:sz w:val="24"/>
          <w:u w:val="none"/>
        </w:rPr>
        <w:t>TD DL</w:t>
      </w:r>
      <w:r>
        <w:rPr>
          <w:rFonts w:ascii="Times New Roman" w:hAnsi="Times New Roman"/>
          <w:sz w:val="24"/>
          <w:u w:val="none"/>
        </w:rPr>
        <w:t xml:space="preserve"> 1. tabulā vai spēkā esošā </w:t>
      </w:r>
      <w:r>
        <w:rPr>
          <w:rFonts w:ascii="Times New Roman" w:hAnsi="Times New Roman"/>
          <w:sz w:val="24"/>
          <w:u w:color="000000"/>
        </w:rPr>
        <w:t>tehniskajā dokumentā</w:t>
      </w:r>
      <w:r>
        <w:rPr>
          <w:rFonts w:ascii="Times New Roman" w:hAnsi="Times New Roman"/>
          <w:sz w:val="24"/>
          <w:u w:val="none"/>
        </w:rPr>
        <w:t xml:space="preserve">, vai </w:t>
      </w:r>
      <w:r>
        <w:rPr>
          <w:rFonts w:ascii="Times New Roman" w:hAnsi="Times New Roman"/>
          <w:sz w:val="24"/>
          <w:u w:color="000000"/>
        </w:rPr>
        <w:t>laboratorijas</w:t>
      </w:r>
      <w:r>
        <w:rPr>
          <w:rFonts w:ascii="Times New Roman" w:hAnsi="Times New Roman"/>
          <w:sz w:val="24"/>
          <w:u w:val="none"/>
        </w:rPr>
        <w:t xml:space="preserve"> pamatnostādnēs;</w:t>
      </w:r>
    </w:p>
    <w:p w14:paraId="1CEE3D70" w14:textId="12043A8A" w:rsidR="00573E92" w:rsidRPr="00FB35D8" w:rsidRDefault="00573E92" w:rsidP="00537490">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rezultātu </w:t>
      </w:r>
      <w:r>
        <w:rPr>
          <w:rFonts w:ascii="Times New Roman" w:hAnsi="Times New Roman"/>
          <w:sz w:val="24"/>
        </w:rPr>
        <w:t>sliekšņa vielai</w:t>
      </w:r>
      <w:r>
        <w:rPr>
          <w:rFonts w:ascii="Times New Roman" w:hAnsi="Times New Roman"/>
          <w:sz w:val="24"/>
          <w:u w:val="none"/>
        </w:rPr>
        <w:t xml:space="preserve"> </w:t>
      </w:r>
      <w:r>
        <w:rPr>
          <w:rFonts w:ascii="Times New Roman" w:hAnsi="Times New Roman"/>
          <w:i/>
          <w:iCs/>
          <w:sz w:val="24"/>
          <w:u w:val="none"/>
        </w:rPr>
        <w:t>paraugā</w:t>
      </w:r>
      <w:r>
        <w:rPr>
          <w:rFonts w:ascii="Times New Roman" w:hAnsi="Times New Roman"/>
          <w:sz w:val="24"/>
          <w:u w:val="none"/>
        </w:rPr>
        <w:t xml:space="preserve"> (vienības), kā noteikts un bez saīsināšanas, ar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kas saistīta ar rezultātu. Parasti to iesniedz, paziņojot </w:t>
      </w:r>
      <w:r>
        <w:rPr>
          <w:rFonts w:ascii="Times New Roman" w:hAnsi="Times New Roman"/>
          <w:i/>
          <w:sz w:val="24"/>
          <w:u w:val="none"/>
        </w:rPr>
        <w:t>U</w:t>
      </w:r>
      <w:r>
        <w:rPr>
          <w:rFonts w:ascii="Times New Roman" w:hAnsi="Times New Roman"/>
          <w:i/>
          <w:sz w:val="24"/>
          <w:u w:val="none"/>
          <w:vertAlign w:val="subscript"/>
        </w:rPr>
        <w:t>95 %</w:t>
      </w:r>
      <w:r>
        <w:rPr>
          <w:rFonts w:ascii="Times New Roman" w:hAnsi="Times New Roman"/>
          <w:i/>
          <w:sz w:val="24"/>
          <w:u w:val="none"/>
        </w:rPr>
        <w:t xml:space="preserve"> </w:t>
      </w:r>
      <w:r>
        <w:rPr>
          <w:rFonts w:ascii="Times New Roman" w:hAnsi="Times New Roman"/>
          <w:sz w:val="24"/>
          <w:u w:val="none"/>
        </w:rPr>
        <w:lastRenderedPageBreak/>
        <w:t>(vienības</w:t>
      </w:r>
      <w:r w:rsidR="00537490">
        <w:rPr>
          <w:rStyle w:val="FootnoteReference"/>
          <w:rFonts w:ascii="Times New Roman" w:hAnsi="Times New Roman" w:cs="Arial"/>
          <w:noProof/>
          <w:sz w:val="24"/>
          <w:u w:val="none"/>
        </w:rPr>
        <w:footnoteReference w:id="4"/>
      </w:r>
      <w:r>
        <w:rPr>
          <w:rFonts w:ascii="Times New Roman" w:hAnsi="Times New Roman"/>
          <w:sz w:val="24"/>
          <w:u w:val="none"/>
        </w:rPr>
        <w:t xml:space="preserve">), ko </w:t>
      </w:r>
      <w:r>
        <w:rPr>
          <w:rFonts w:ascii="Times New Roman" w:hAnsi="Times New Roman"/>
          <w:sz w:val="24"/>
        </w:rPr>
        <w:t>laboratorija</w:t>
      </w:r>
      <w:r>
        <w:rPr>
          <w:rFonts w:ascii="Times New Roman" w:hAnsi="Times New Roman"/>
          <w:sz w:val="24"/>
          <w:u w:val="none"/>
        </w:rPr>
        <w:t xml:space="preserve"> noteikusi, pamatojoties uz divpusējo 95 % aptvēruma intervālu (</w:t>
      </w:r>
      <w:r>
        <w:rPr>
          <w:rFonts w:ascii="Times New Roman" w:hAnsi="Times New Roman"/>
          <w:i/>
          <w:sz w:val="24"/>
          <w:u w:val="none"/>
        </w:rPr>
        <w:t xml:space="preserve">k </w:t>
      </w:r>
      <w:r>
        <w:rPr>
          <w:rFonts w:ascii="Times New Roman" w:hAnsi="Times New Roman"/>
          <w:sz w:val="24"/>
          <w:u w:val="none"/>
        </w:rPr>
        <w:t xml:space="preserve">= 2), un kas izteikta kā </w:t>
      </w:r>
      <w:r>
        <w:rPr>
          <w:rFonts w:ascii="Times New Roman" w:hAnsi="Times New Roman"/>
          <w:i/>
          <w:sz w:val="24"/>
          <w:u w:val="none"/>
        </w:rPr>
        <w:t xml:space="preserve">x </w:t>
      </w:r>
      <w:r>
        <w:rPr>
          <w:rFonts w:ascii="Times New Roman" w:hAnsi="Times New Roman"/>
          <w:sz w:val="24"/>
          <w:u w:val="none"/>
        </w:rPr>
        <w:t xml:space="preserve">± </w:t>
      </w:r>
      <w:r>
        <w:rPr>
          <w:rFonts w:ascii="Times New Roman" w:hAnsi="Times New Roman"/>
          <w:i/>
          <w:sz w:val="24"/>
          <w:u w:val="none"/>
        </w:rPr>
        <w:t>U</w:t>
      </w:r>
      <w:r>
        <w:rPr>
          <w:rFonts w:ascii="Times New Roman" w:hAnsi="Times New Roman"/>
          <w:i/>
          <w:sz w:val="24"/>
          <w:u w:val="none"/>
          <w:vertAlign w:val="subscript"/>
        </w:rPr>
        <w:t>95 %</w:t>
      </w:r>
      <w:r>
        <w:rPr>
          <w:rFonts w:ascii="Times New Roman" w:hAnsi="Times New Roman"/>
          <w:sz w:val="24"/>
          <w:u w:val="none"/>
          <w:vertAlign w:val="subscript"/>
        </w:rPr>
        <w:t>.</w:t>
      </w:r>
    </w:p>
    <w:p w14:paraId="3868A167" w14:textId="77777777" w:rsidR="00BF39B8" w:rsidRDefault="00BF39B8" w:rsidP="00FB35D8">
      <w:pPr>
        <w:jc w:val="both"/>
        <w:rPr>
          <w:rFonts w:ascii="Times New Roman" w:hAnsi="Times New Roman"/>
          <w:noProof/>
          <w:sz w:val="24"/>
        </w:rPr>
      </w:pPr>
    </w:p>
    <w:p w14:paraId="7AB7BF03" w14:textId="7BC10EFB" w:rsidR="00573E92" w:rsidRPr="00FB35D8" w:rsidRDefault="00573E92" w:rsidP="00FB35D8">
      <w:pPr>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i/>
          <w:iCs/>
          <w:sz w:val="24"/>
        </w:rPr>
        <w:t>AAF</w:t>
      </w:r>
      <w:r>
        <w:rPr>
          <w:rFonts w:ascii="Times New Roman" w:hAnsi="Times New Roman"/>
          <w:sz w:val="24"/>
        </w:rPr>
        <w:t xml:space="preserve"> paziņošanas piemērs </w:t>
      </w:r>
      <w:r>
        <w:rPr>
          <w:rFonts w:ascii="Times New Roman" w:hAnsi="Times New Roman"/>
          <w:sz w:val="24"/>
          <w:u w:val="single"/>
        </w:rPr>
        <w:t>laboratoriskās dokumentācijas paketē</w:t>
      </w:r>
      <w:r>
        <w:rPr>
          <w:rFonts w:ascii="Times New Roman" w:hAnsi="Times New Roman"/>
          <w:sz w:val="24"/>
        </w:rPr>
        <w:t>,</w:t>
      </w:r>
    </w:p>
    <w:p w14:paraId="78B5E5B6" w14:textId="77777777" w:rsidR="00537490" w:rsidRDefault="00537490" w:rsidP="00FB35D8">
      <w:pPr>
        <w:jc w:val="both"/>
        <w:rPr>
          <w:rFonts w:ascii="Times New Roman" w:eastAsia="Arial" w:hAnsi="Times New Roman" w:cs="Arial"/>
          <w:noProof/>
          <w:sz w:val="24"/>
          <w:szCs w:val="20"/>
        </w:rPr>
      </w:pPr>
    </w:p>
    <w:p w14:paraId="7627C14F" w14:textId="0A68FCC6" w:rsidR="00573E92" w:rsidRPr="00FB35D8" w:rsidRDefault="00573E92" w:rsidP="00FB35D8">
      <w:pPr>
        <w:jc w:val="both"/>
        <w:rPr>
          <w:rFonts w:ascii="Times New Roman" w:eastAsia="Arial" w:hAnsi="Times New Roman" w:cs="Arial"/>
          <w:noProof/>
          <w:sz w:val="24"/>
          <w:szCs w:val="20"/>
        </w:rPr>
      </w:pPr>
      <w:r>
        <w:rPr>
          <w:rFonts w:ascii="Times New Roman" w:hAnsi="Times New Roman"/>
          <w:i/>
          <w:iCs/>
          <w:sz w:val="24"/>
        </w:rPr>
        <w:t>Aizliegtās vielas</w:t>
      </w:r>
      <w:r>
        <w:rPr>
          <w:rFonts w:ascii="Times New Roman" w:hAnsi="Times New Roman"/>
          <w:sz w:val="24"/>
        </w:rPr>
        <w:t xml:space="preserve"> A koncentrācija </w:t>
      </w:r>
      <w:r>
        <w:rPr>
          <w:rFonts w:ascii="Times New Roman" w:hAnsi="Times New Roman"/>
          <w:i/>
          <w:iCs/>
          <w:sz w:val="24"/>
        </w:rPr>
        <w:t>paraugā</w:t>
      </w:r>
      <w:r>
        <w:rPr>
          <w:rFonts w:ascii="Times New Roman" w:hAnsi="Times New Roman"/>
          <w:sz w:val="24"/>
        </w:rPr>
        <w:t xml:space="preserve">, kas iegūta, izmantojot kvantitatīvās </w:t>
      </w:r>
      <w:r>
        <w:rPr>
          <w:rFonts w:ascii="Times New Roman" w:hAnsi="Times New Roman"/>
          <w:sz w:val="24"/>
          <w:u w:val="single"/>
        </w:rPr>
        <w:t>apstiprināšanas procedūru</w:t>
      </w:r>
      <w:r>
        <w:rPr>
          <w:rFonts w:ascii="Times New Roman" w:hAnsi="Times New Roman"/>
          <w:sz w:val="24"/>
        </w:rPr>
        <w:t xml:space="preserve">, un norādīta saskaņā ar </w:t>
      </w:r>
      <w:r>
        <w:rPr>
          <w:rFonts w:ascii="Times New Roman" w:hAnsi="Times New Roman"/>
          <w:i/>
          <w:iCs/>
          <w:sz w:val="24"/>
        </w:rPr>
        <w:t>WADA TD DL</w:t>
      </w:r>
      <w:r>
        <w:rPr>
          <w:rFonts w:ascii="Times New Roman" w:hAnsi="Times New Roman"/>
          <w:sz w:val="24"/>
        </w:rPr>
        <w:t xml:space="preserve"> ziņošanas noteikumiem, ir X (vienības). Tā pārsniedz </w:t>
      </w:r>
      <w:r>
        <w:rPr>
          <w:rFonts w:ascii="Times New Roman" w:hAnsi="Times New Roman"/>
          <w:i/>
          <w:iCs/>
          <w:sz w:val="24"/>
          <w:u w:val="single"/>
        </w:rPr>
        <w:t>DL</w:t>
      </w:r>
      <w:r>
        <w:rPr>
          <w:rFonts w:ascii="Times New Roman" w:hAnsi="Times New Roman"/>
          <w:sz w:val="24"/>
        </w:rPr>
        <w:t xml:space="preserve"> (pēc korekcijas attiecībā uz </w:t>
      </w:r>
      <w:r>
        <w:rPr>
          <w:rFonts w:ascii="Times New Roman" w:hAnsi="Times New Roman"/>
          <w:i/>
          <w:iCs/>
          <w:sz w:val="24"/>
        </w:rPr>
        <w:t>SG</w:t>
      </w:r>
      <w:r>
        <w:rPr>
          <w:rFonts w:ascii="Times New Roman" w:hAnsi="Times New Roman"/>
          <w:sz w:val="24"/>
        </w:rPr>
        <w:t>, ja piemērojams) attiecībā uz A no Y (vienības). Relatīvā kombinētā standarta nenoteiktība (</w:t>
      </w:r>
      <w:r>
        <w:rPr>
          <w:rFonts w:ascii="Times New Roman" w:hAnsi="Times New Roman"/>
          <w:i/>
          <w:iCs/>
          <w:sz w:val="24"/>
        </w:rPr>
        <w:t>u</w:t>
      </w:r>
      <w:r>
        <w:rPr>
          <w:rFonts w:ascii="Times New Roman" w:hAnsi="Times New Roman"/>
          <w:i/>
          <w:sz w:val="24"/>
          <w:vertAlign w:val="subscript"/>
        </w:rPr>
        <w:t>c</w:t>
      </w:r>
      <w:r>
        <w:rPr>
          <w:rFonts w:ascii="Times New Roman" w:hAnsi="Times New Roman"/>
          <w:sz w:val="24"/>
        </w:rPr>
        <w:t xml:space="preserve">, %), ko </w:t>
      </w:r>
      <w:r>
        <w:rPr>
          <w:rFonts w:ascii="Times New Roman" w:hAnsi="Times New Roman"/>
          <w:sz w:val="24"/>
          <w:u w:val="single"/>
        </w:rPr>
        <w:t>laboratorija</w:t>
      </w:r>
      <w:r>
        <w:rPr>
          <w:rFonts w:ascii="Times New Roman" w:hAnsi="Times New Roman"/>
          <w:sz w:val="24"/>
        </w:rPr>
        <w:t xml:space="preserve"> aplēsusi rezultātam pie </w:t>
      </w:r>
      <w:r>
        <w:rPr>
          <w:rFonts w:ascii="Times New Roman" w:hAnsi="Times New Roman"/>
          <w:sz w:val="24"/>
          <w:u w:val="single" w:color="000000"/>
        </w:rPr>
        <w:t>robežvērtības</w:t>
      </w:r>
      <w:r>
        <w:rPr>
          <w:rFonts w:ascii="Times New Roman" w:hAnsi="Times New Roman"/>
          <w:sz w:val="24"/>
        </w:rPr>
        <w:t xml:space="preserve"> Z (pēc korekcijas attiecībā uz </w:t>
      </w:r>
      <w:r>
        <w:rPr>
          <w:rFonts w:ascii="Times New Roman" w:hAnsi="Times New Roman"/>
          <w:i/>
          <w:iCs/>
          <w:sz w:val="24"/>
        </w:rPr>
        <w:t>SG</w:t>
      </w:r>
      <w:r>
        <w:rPr>
          <w:rFonts w:ascii="Times New Roman" w:hAnsi="Times New Roman"/>
          <w:sz w:val="24"/>
        </w:rPr>
        <w:t>, ja piemērojams) [vienības], ir “</w:t>
      </w:r>
      <w:r>
        <w:rPr>
          <w:rFonts w:ascii="Times New Roman" w:hAnsi="Times New Roman"/>
          <w:i/>
          <w:sz w:val="24"/>
        </w:rPr>
        <w:t>b</w:t>
      </w:r>
      <w:r>
        <w:rPr>
          <w:rFonts w:ascii="Times New Roman" w:hAnsi="Times New Roman"/>
          <w:sz w:val="24"/>
        </w:rPr>
        <w:t xml:space="preserve">” (%), un tā nepārsniedz relatīvo </w:t>
      </w:r>
      <w:r>
        <w:rPr>
          <w:rFonts w:ascii="Times New Roman" w:hAnsi="Times New Roman"/>
          <w:i/>
          <w:sz w:val="24"/>
        </w:rPr>
        <w:t>u</w:t>
      </w:r>
      <w:r>
        <w:rPr>
          <w:rFonts w:ascii="Times New Roman" w:hAnsi="Times New Roman"/>
          <w:i/>
          <w:sz w:val="24"/>
          <w:vertAlign w:val="subscript"/>
        </w:rPr>
        <w:t xml:space="preserve">c Max </w:t>
      </w:r>
      <w:r>
        <w:rPr>
          <w:rFonts w:ascii="Times New Roman" w:hAnsi="Times New Roman"/>
          <w:sz w:val="24"/>
        </w:rPr>
        <w:t xml:space="preserve">(“c”, %), kas norādīta </w:t>
      </w:r>
      <w:r>
        <w:rPr>
          <w:rFonts w:ascii="Times New Roman" w:hAnsi="Times New Roman"/>
          <w:i/>
          <w:sz w:val="24"/>
        </w:rPr>
        <w:t xml:space="preserve">WADA </w:t>
      </w:r>
      <w:r>
        <w:rPr>
          <w:rFonts w:ascii="Times New Roman" w:hAnsi="Times New Roman"/>
          <w:i/>
          <w:iCs/>
          <w:sz w:val="24"/>
        </w:rPr>
        <w:t>TD DL</w:t>
      </w:r>
      <w:r>
        <w:rPr>
          <w:rFonts w:ascii="Times New Roman" w:hAnsi="Times New Roman"/>
          <w:i/>
          <w:sz w:val="24"/>
        </w:rPr>
        <w:t>.</w:t>
      </w:r>
    </w:p>
    <w:p w14:paraId="5C98D633" w14:textId="77777777" w:rsidR="00537490" w:rsidRDefault="00537490" w:rsidP="00FB35D8">
      <w:pPr>
        <w:jc w:val="both"/>
        <w:rPr>
          <w:rFonts w:ascii="Times New Roman" w:hAnsi="Times New Roman"/>
          <w:noProof/>
          <w:sz w:val="24"/>
        </w:rPr>
      </w:pPr>
    </w:p>
    <w:p w14:paraId="6E2FF134" w14:textId="6E5E4069" w:rsidR="00573E92" w:rsidRDefault="00573E92" w:rsidP="00FB35D8">
      <w:pPr>
        <w:jc w:val="both"/>
        <w:rPr>
          <w:rFonts w:ascii="Times New Roman" w:hAnsi="Times New Roman"/>
          <w:noProof/>
          <w:sz w:val="24"/>
        </w:rPr>
      </w:pPr>
      <w:r>
        <w:rPr>
          <w:rFonts w:ascii="Times New Roman" w:hAnsi="Times New Roman"/>
          <w:sz w:val="24"/>
        </w:rPr>
        <w:t xml:space="preserve">Šis rezultāts atbilst </w:t>
      </w:r>
      <w:r>
        <w:rPr>
          <w:rFonts w:ascii="Times New Roman" w:hAnsi="Times New Roman"/>
          <w:i/>
          <w:iCs/>
          <w:sz w:val="24"/>
        </w:rPr>
        <w:t>WADA TD DL</w:t>
      </w:r>
      <w:r>
        <w:rPr>
          <w:rFonts w:ascii="Times New Roman" w:hAnsi="Times New Roman"/>
          <w:sz w:val="24"/>
        </w:rPr>
        <w:t xml:space="preserve"> prasībām attiecībā uz </w:t>
      </w:r>
      <w:r>
        <w:rPr>
          <w:rFonts w:ascii="Times New Roman" w:hAnsi="Times New Roman"/>
          <w:i/>
          <w:iCs/>
          <w:sz w:val="24"/>
        </w:rPr>
        <w:t>nelabvēlīgo analīžu rezultātu</w:t>
      </w:r>
      <w:r>
        <w:rPr>
          <w:rFonts w:ascii="Times New Roman" w:hAnsi="Times New Roman"/>
          <w:sz w:val="24"/>
        </w:rPr>
        <w:t xml:space="preserve">, kas liecina par A klātbūtni </w:t>
      </w:r>
      <w:r>
        <w:rPr>
          <w:rFonts w:ascii="Times New Roman" w:hAnsi="Times New Roman"/>
          <w:i/>
          <w:iCs/>
          <w:sz w:val="24"/>
        </w:rPr>
        <w:t>paraugā</w:t>
      </w:r>
      <w:r>
        <w:rPr>
          <w:rFonts w:ascii="Times New Roman" w:hAnsi="Times New Roman"/>
          <w:sz w:val="24"/>
        </w:rPr>
        <w:t xml:space="preserve">, koncentrācijā, kas pārsniedz Z (vienības) </w:t>
      </w:r>
      <w:r>
        <w:rPr>
          <w:rFonts w:ascii="Times New Roman" w:hAnsi="Times New Roman"/>
          <w:sz w:val="24"/>
          <w:u w:val="single"/>
        </w:rPr>
        <w:t>robežvērtību</w:t>
      </w:r>
      <w:r>
        <w:rPr>
          <w:rFonts w:ascii="Times New Roman" w:hAnsi="Times New Roman"/>
          <w:sz w:val="24"/>
        </w:rPr>
        <w:t xml:space="preserve"> (pēc korekcijas attiecībā uz </w:t>
      </w:r>
      <w:r>
        <w:rPr>
          <w:rFonts w:ascii="Times New Roman" w:hAnsi="Times New Roman"/>
          <w:i/>
          <w:iCs/>
          <w:sz w:val="24"/>
        </w:rPr>
        <w:t>SG</w:t>
      </w:r>
      <w:r>
        <w:rPr>
          <w:rFonts w:ascii="Times New Roman" w:hAnsi="Times New Roman"/>
          <w:sz w:val="24"/>
        </w:rPr>
        <w:t>, ja piemērojams)].</w:t>
      </w:r>
    </w:p>
    <w:p w14:paraId="30D9ECD7" w14:textId="77777777" w:rsidR="00537490" w:rsidRPr="00FB35D8" w:rsidRDefault="00537490" w:rsidP="00FB35D8">
      <w:pPr>
        <w:jc w:val="both"/>
        <w:rPr>
          <w:rFonts w:ascii="Times New Roman" w:eastAsia="Arial" w:hAnsi="Times New Roman" w:cs="Arial"/>
          <w:noProof/>
          <w:sz w:val="24"/>
          <w:szCs w:val="20"/>
        </w:rPr>
      </w:pPr>
    </w:p>
    <w:p w14:paraId="40453B52" w14:textId="77777777" w:rsidR="00573E92" w:rsidRPr="00FB35D8" w:rsidRDefault="00573E92" w:rsidP="00FB35D8">
      <w:pPr>
        <w:jc w:val="both"/>
        <w:rPr>
          <w:rFonts w:ascii="Times New Roman" w:eastAsia="Arial" w:hAnsi="Times New Roman" w:cs="Arial"/>
          <w:noProof/>
          <w:sz w:val="24"/>
          <w:szCs w:val="20"/>
        </w:rPr>
      </w:pPr>
      <w:r>
        <w:rPr>
          <w:rFonts w:ascii="Times New Roman" w:hAnsi="Times New Roman"/>
          <w:sz w:val="24"/>
          <w:u w:val="single" w:color="000000"/>
        </w:rPr>
        <w:t>Laboratorijas</w:t>
      </w:r>
      <w:r>
        <w:rPr>
          <w:rFonts w:ascii="Times New Roman" w:hAnsi="Times New Roman"/>
          <w:sz w:val="24"/>
        </w:rPr>
        <w:t xml:space="preserve"> rezultāts attiecībā uz A, ietverot saistīto paplašināto nenoteiktību </w:t>
      </w:r>
      <w:r>
        <w:rPr>
          <w:rFonts w:ascii="Times New Roman" w:hAnsi="Times New Roman"/>
          <w:i/>
          <w:sz w:val="24"/>
        </w:rPr>
        <w:t>U</w:t>
      </w:r>
      <w:r>
        <w:rPr>
          <w:rFonts w:ascii="Times New Roman" w:hAnsi="Times New Roman"/>
          <w:i/>
          <w:sz w:val="24"/>
          <w:vertAlign w:val="subscript"/>
        </w:rPr>
        <w:t>95 %</w:t>
      </w:r>
      <w:r>
        <w:rPr>
          <w:rFonts w:ascii="Times New Roman" w:hAnsi="Times New Roman"/>
          <w:sz w:val="24"/>
        </w:rPr>
        <w:t>, kas līdzvērtīga divpusēja 95 % aptvēruma intervālam (</w:t>
      </w:r>
      <w:r>
        <w:rPr>
          <w:rFonts w:ascii="Times New Roman" w:hAnsi="Times New Roman"/>
          <w:i/>
          <w:sz w:val="24"/>
        </w:rPr>
        <w:t xml:space="preserve">k </w:t>
      </w:r>
      <w:r>
        <w:rPr>
          <w:rFonts w:ascii="Times New Roman" w:hAnsi="Times New Roman"/>
          <w:sz w:val="24"/>
        </w:rPr>
        <w:t>= 2), ir “</w:t>
      </w:r>
      <w:r>
        <w:rPr>
          <w:rFonts w:ascii="Times New Roman" w:hAnsi="Times New Roman"/>
          <w:i/>
          <w:sz w:val="24"/>
        </w:rPr>
        <w:t>d ± e</w:t>
      </w:r>
      <w:r>
        <w:rPr>
          <w:rFonts w:ascii="Times New Roman" w:hAnsi="Times New Roman"/>
          <w:sz w:val="24"/>
        </w:rPr>
        <w:t>” (vienības).]</w:t>
      </w:r>
    </w:p>
    <w:p w14:paraId="3B019421" w14:textId="77777777" w:rsidR="00573E92" w:rsidRPr="00FB35D8" w:rsidRDefault="00573E92" w:rsidP="00FB35D8">
      <w:pPr>
        <w:jc w:val="both"/>
        <w:rPr>
          <w:rFonts w:ascii="Times New Roman" w:eastAsia="Arial" w:hAnsi="Times New Roman" w:cs="Arial"/>
          <w:noProof/>
          <w:sz w:val="24"/>
          <w:szCs w:val="20"/>
        </w:rPr>
      </w:pPr>
    </w:p>
    <w:p w14:paraId="469C7993" w14:textId="5FD0D4D3" w:rsidR="00573E92" w:rsidRPr="00FB35D8" w:rsidRDefault="00537490" w:rsidP="00537490">
      <w:pPr>
        <w:pStyle w:val="BodyText"/>
        <w:tabs>
          <w:tab w:val="left" w:pos="671"/>
        </w:tabs>
        <w:spacing w:before="0"/>
        <w:ind w:left="0"/>
        <w:jc w:val="both"/>
        <w:rPr>
          <w:rFonts w:ascii="Times New Roman" w:hAnsi="Times New Roman"/>
          <w:noProof/>
          <w:sz w:val="24"/>
          <w:u w:color="000000"/>
        </w:rPr>
      </w:pPr>
      <w:r>
        <w:rPr>
          <w:rFonts w:ascii="Times New Roman" w:hAnsi="Times New Roman"/>
          <w:sz w:val="24"/>
          <w:u w:val="none" w:color="000000"/>
        </w:rPr>
        <w:t xml:space="preserve">4.3. </w:t>
      </w:r>
      <w:r>
        <w:rPr>
          <w:rFonts w:ascii="Times New Roman" w:hAnsi="Times New Roman"/>
          <w:sz w:val="24"/>
          <w:u w:color="000000"/>
        </w:rPr>
        <w:t>Interpretācijas piemēri</w:t>
      </w:r>
    </w:p>
    <w:p w14:paraId="7BF0D018" w14:textId="77777777" w:rsidR="00573E92" w:rsidRPr="00FB35D8" w:rsidRDefault="00573E92" w:rsidP="00FB35D8">
      <w:pPr>
        <w:jc w:val="both"/>
        <w:rPr>
          <w:rFonts w:ascii="Times New Roman" w:eastAsia="Arial" w:hAnsi="Times New Roman" w:cs="Arial"/>
          <w:noProof/>
          <w:sz w:val="24"/>
          <w:szCs w:val="18"/>
        </w:rPr>
      </w:pPr>
    </w:p>
    <w:p w14:paraId="606C24CC" w14:textId="783B2720" w:rsidR="00573E92" w:rsidRPr="00FB35D8" w:rsidRDefault="00537490" w:rsidP="00537490">
      <w:pPr>
        <w:pStyle w:val="BodyText"/>
        <w:tabs>
          <w:tab w:val="left" w:pos="671"/>
        </w:tabs>
        <w:spacing w:before="0"/>
        <w:ind w:left="0"/>
        <w:jc w:val="both"/>
        <w:rPr>
          <w:rFonts w:ascii="Times New Roman" w:hAnsi="Times New Roman"/>
          <w:noProof/>
          <w:sz w:val="24"/>
          <w:u w:val="none"/>
        </w:rPr>
      </w:pPr>
      <w:r>
        <w:rPr>
          <w:rFonts w:ascii="Times New Roman" w:hAnsi="Times New Roman"/>
          <w:sz w:val="24"/>
          <w:u w:val="none"/>
        </w:rPr>
        <w:t xml:space="preserve">4.3.1. Efedrīns ir noteikts </w:t>
      </w:r>
      <w:r>
        <w:rPr>
          <w:rFonts w:ascii="Times New Roman" w:hAnsi="Times New Roman"/>
          <w:i/>
          <w:iCs/>
          <w:sz w:val="24"/>
          <w:u w:val="none"/>
        </w:rPr>
        <w:t>paraugā</w:t>
      </w:r>
      <w:r>
        <w:rPr>
          <w:rFonts w:ascii="Times New Roman" w:hAnsi="Times New Roman"/>
          <w:sz w:val="24"/>
          <w:u w:val="none"/>
        </w:rPr>
        <w:t xml:space="preserve"> ar </w:t>
      </w:r>
      <w:r>
        <w:rPr>
          <w:rFonts w:ascii="Times New Roman" w:hAnsi="Times New Roman"/>
          <w:i/>
          <w:iCs/>
          <w:sz w:val="24"/>
          <w:u w:val="none"/>
        </w:rPr>
        <w:t>SG</w:t>
      </w:r>
      <w:r>
        <w:rPr>
          <w:rFonts w:ascii="Times New Roman" w:hAnsi="Times New Roman"/>
          <w:sz w:val="24"/>
          <w:u w:val="none"/>
        </w:rPr>
        <w:t xml:space="preserve"> vērtību 1,018 koncentrācijā 12,2 µg/ml, izmantojot mērīšanas procedūru, kur relatīvā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ir 3,6 % attiecībā uz rezultātu pie </w:t>
      </w:r>
      <w:r>
        <w:rPr>
          <w:rFonts w:ascii="Times New Roman" w:hAnsi="Times New Roman"/>
          <w:sz w:val="24"/>
        </w:rPr>
        <w:t>robežvērtības</w:t>
      </w:r>
      <w:r>
        <w:rPr>
          <w:rFonts w:ascii="Times New Roman" w:hAnsi="Times New Roman"/>
          <w:sz w:val="24"/>
          <w:u w:val="none"/>
        </w:rPr>
        <w:t xml:space="preserve"> 10 µg/ml.</w:t>
      </w:r>
    </w:p>
    <w:p w14:paraId="065E6643" w14:textId="77777777" w:rsidR="00537490" w:rsidRDefault="00537490" w:rsidP="00FB35D8">
      <w:pPr>
        <w:pStyle w:val="BodyText"/>
        <w:spacing w:before="0"/>
        <w:ind w:left="0"/>
        <w:jc w:val="both"/>
        <w:rPr>
          <w:rFonts w:ascii="Times New Roman" w:hAnsi="Times New Roman"/>
          <w:noProof/>
          <w:sz w:val="24"/>
          <w:u w:val="none"/>
        </w:rPr>
      </w:pPr>
    </w:p>
    <w:p w14:paraId="2FCC9E85" w14:textId="6E85D388"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Šis rezultāts ir </w:t>
      </w:r>
      <w:r>
        <w:rPr>
          <w:rFonts w:ascii="Times New Roman" w:hAnsi="Times New Roman"/>
          <w:i/>
          <w:iCs/>
          <w:sz w:val="24"/>
          <w:u w:val="none"/>
        </w:rPr>
        <w:t>AAF</w:t>
      </w:r>
      <w:r>
        <w:rPr>
          <w:rFonts w:ascii="Times New Roman" w:hAnsi="Times New Roman"/>
          <w:sz w:val="24"/>
          <w:u w:val="none"/>
        </w:rPr>
        <w:t xml:space="preserve">, jo efedrīna koncentrācija </w:t>
      </w:r>
      <w:r>
        <w:rPr>
          <w:rFonts w:ascii="Times New Roman" w:hAnsi="Times New Roman"/>
          <w:i/>
          <w:iCs/>
          <w:sz w:val="24"/>
          <w:u w:val="none"/>
        </w:rPr>
        <w:t>paraugā</w:t>
      </w:r>
      <w:r>
        <w:rPr>
          <w:rFonts w:ascii="Times New Roman" w:hAnsi="Times New Roman"/>
          <w:sz w:val="24"/>
          <w:u w:val="none"/>
        </w:rPr>
        <w:t xml:space="preserve">, kas piešķirta saskaņā ar iepriekš 4.1. punktā noteiktajiem ziņošanas noteikumiem, ir 12 µg/ml un tādējādi pārsniedz attiecīgo efedrīna </w:t>
      </w:r>
      <w:r>
        <w:rPr>
          <w:rFonts w:ascii="Times New Roman" w:hAnsi="Times New Roman"/>
          <w:i/>
          <w:iCs/>
          <w:sz w:val="24"/>
        </w:rPr>
        <w:t>DL</w:t>
      </w:r>
      <w:r>
        <w:rPr>
          <w:rFonts w:ascii="Times New Roman" w:hAnsi="Times New Roman"/>
          <w:sz w:val="24"/>
          <w:u w:val="none"/>
        </w:rPr>
        <w:t xml:space="preserve"> 11 µg/ml. Novērotā rezultāta standarta nenoteiktība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sz w:val="24"/>
          <w:u w:val="none"/>
        </w:rPr>
        <w:t xml:space="preserve">, kas atbilst relatīvajai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 xml:space="preserve"> </w:t>
      </w:r>
      <w:r>
        <w:rPr>
          <w:rFonts w:ascii="Times New Roman" w:hAnsi="Times New Roman"/>
          <w:sz w:val="24"/>
          <w:u w:val="none"/>
        </w:rPr>
        <w:t>3,6 %, ir 0,44 µg/ml. Šādus gadījumus paziņo tā, kā norādīts turpmāk.</w:t>
      </w:r>
    </w:p>
    <w:p w14:paraId="1F10F548" w14:textId="77777777" w:rsidR="00537490" w:rsidRPr="00FB35D8" w:rsidRDefault="00537490" w:rsidP="00FB35D8">
      <w:pPr>
        <w:pStyle w:val="BodyText"/>
        <w:spacing w:before="0"/>
        <w:ind w:left="0"/>
        <w:jc w:val="both"/>
        <w:rPr>
          <w:rFonts w:ascii="Times New Roman" w:hAnsi="Times New Roman"/>
          <w:noProof/>
          <w:sz w:val="24"/>
          <w:u w:val="none"/>
        </w:rPr>
      </w:pPr>
    </w:p>
    <w:p w14:paraId="57EA2A2F" w14:textId="77777777" w:rsidR="00573E92" w:rsidRPr="00FB35D8" w:rsidRDefault="00573E92" w:rsidP="00FB35D8">
      <w:pPr>
        <w:jc w:val="both"/>
        <w:rPr>
          <w:rFonts w:ascii="Times New Roman" w:hAnsi="Times New Roman"/>
          <w:noProof/>
          <w:sz w:val="24"/>
        </w:rPr>
      </w:pPr>
      <w:r>
        <w:rPr>
          <w:rFonts w:ascii="Times New Roman" w:hAnsi="Times New Roman"/>
          <w:sz w:val="24"/>
        </w:rPr>
        <w:t>[Pārbaudes ziņojums.</w:t>
      </w:r>
    </w:p>
    <w:p w14:paraId="22FFA371" w14:textId="77777777" w:rsidR="00537490" w:rsidRDefault="00537490" w:rsidP="00FB35D8">
      <w:pPr>
        <w:jc w:val="both"/>
        <w:rPr>
          <w:rFonts w:ascii="Times New Roman" w:hAnsi="Times New Roman"/>
          <w:noProof/>
          <w:sz w:val="24"/>
        </w:rPr>
      </w:pPr>
    </w:p>
    <w:p w14:paraId="4AAFF825" w14:textId="7EDE9903" w:rsidR="00573E92" w:rsidRPr="006E3E4D" w:rsidRDefault="00573E92" w:rsidP="00FB35D8">
      <w:pPr>
        <w:jc w:val="both"/>
        <w:rPr>
          <w:rFonts w:ascii="Times New Roman" w:eastAsia="Arial" w:hAnsi="Times New Roman" w:cs="Arial"/>
          <w:noProof/>
          <w:sz w:val="24"/>
          <w:szCs w:val="20"/>
        </w:rPr>
      </w:pPr>
      <w:r>
        <w:rPr>
          <w:rFonts w:ascii="Times New Roman" w:hAnsi="Times New Roman"/>
          <w:sz w:val="24"/>
        </w:rPr>
        <w:t xml:space="preserve">Efedrīna koncentrācija </w:t>
      </w:r>
      <w:r>
        <w:rPr>
          <w:rFonts w:ascii="Times New Roman" w:hAnsi="Times New Roman"/>
          <w:i/>
          <w:iCs/>
          <w:sz w:val="24"/>
        </w:rPr>
        <w:t>paraugā</w:t>
      </w:r>
      <w:r>
        <w:rPr>
          <w:rFonts w:ascii="Times New Roman" w:hAnsi="Times New Roman"/>
          <w:sz w:val="24"/>
        </w:rPr>
        <w:t xml:space="preserve">, kas iegūta, izmantojot kvantitatīvās </w:t>
      </w:r>
      <w:r>
        <w:rPr>
          <w:rFonts w:ascii="Times New Roman" w:hAnsi="Times New Roman"/>
          <w:sz w:val="24"/>
          <w:u w:val="single"/>
        </w:rPr>
        <w:t>apstiprināšanas procedūru</w:t>
      </w:r>
      <w:r>
        <w:rPr>
          <w:rFonts w:ascii="Times New Roman" w:hAnsi="Times New Roman"/>
          <w:sz w:val="24"/>
        </w:rPr>
        <w:t xml:space="preserve">, un norādīta saskaņā ar </w:t>
      </w:r>
      <w:r>
        <w:rPr>
          <w:rFonts w:ascii="Times New Roman" w:hAnsi="Times New Roman"/>
          <w:i/>
          <w:iCs/>
          <w:sz w:val="24"/>
        </w:rPr>
        <w:t>WADA TD DL</w:t>
      </w:r>
      <w:r>
        <w:rPr>
          <w:rFonts w:ascii="Times New Roman" w:hAnsi="Times New Roman"/>
          <w:sz w:val="24"/>
        </w:rPr>
        <w:t xml:space="preserve"> ziņošanas noteikumiem, ir 12 µg/ml. Tā pārsniedz attiecīgo efedrīna </w:t>
      </w:r>
      <w:r>
        <w:rPr>
          <w:rFonts w:ascii="Times New Roman" w:hAnsi="Times New Roman"/>
          <w:i/>
          <w:iCs/>
          <w:sz w:val="24"/>
          <w:u w:val="single" w:color="000000"/>
        </w:rPr>
        <w:t>DL</w:t>
      </w:r>
      <w:r>
        <w:rPr>
          <w:rFonts w:ascii="Times New Roman" w:hAnsi="Times New Roman"/>
          <w:sz w:val="24"/>
        </w:rPr>
        <w:t xml:space="preserve"> 11 µg/ml. Relatīvā kombinētā standarta nenoteiktība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 ko </w:t>
      </w:r>
      <w:r>
        <w:rPr>
          <w:rFonts w:ascii="Times New Roman" w:hAnsi="Times New Roman"/>
          <w:sz w:val="24"/>
          <w:u w:val="single"/>
        </w:rPr>
        <w:t>laboratorija</w:t>
      </w:r>
      <w:r>
        <w:rPr>
          <w:rFonts w:ascii="Times New Roman" w:hAnsi="Times New Roman"/>
          <w:sz w:val="24"/>
        </w:rPr>
        <w:t xml:space="preserve"> aplēsa attiecībā uz rezultātu pie </w:t>
      </w:r>
      <w:r>
        <w:rPr>
          <w:rFonts w:ascii="Times New Roman" w:hAnsi="Times New Roman"/>
          <w:sz w:val="24"/>
          <w:u w:val="single"/>
        </w:rPr>
        <w:t>robežvērtības</w:t>
      </w:r>
      <w:r>
        <w:rPr>
          <w:rFonts w:ascii="Times New Roman" w:hAnsi="Times New Roman"/>
          <w:sz w:val="24"/>
        </w:rPr>
        <w:t xml:space="preserve"> (10 µg/ml), ir 3,6 %</w:t>
      </w:r>
      <w:r>
        <w:rPr>
          <w:rFonts w:ascii="Times New Roman" w:hAnsi="Times New Roman"/>
          <w:i/>
          <w:sz w:val="24"/>
        </w:rPr>
        <w:t xml:space="preserve">. </w:t>
      </w:r>
      <w:r>
        <w:rPr>
          <w:rFonts w:ascii="Times New Roman" w:hAnsi="Times New Roman"/>
          <w:sz w:val="24"/>
        </w:rPr>
        <w:t xml:space="preserve">Šis rezultāts atbilst </w:t>
      </w:r>
      <w:r>
        <w:rPr>
          <w:rFonts w:ascii="Times New Roman" w:hAnsi="Times New Roman"/>
          <w:i/>
          <w:iCs/>
          <w:sz w:val="24"/>
        </w:rPr>
        <w:t>WADA TD DL</w:t>
      </w:r>
      <w:r>
        <w:rPr>
          <w:rFonts w:ascii="Times New Roman" w:hAnsi="Times New Roman"/>
          <w:sz w:val="24"/>
        </w:rPr>
        <w:t xml:space="preserve"> prasībām attiecībā uz </w:t>
      </w:r>
      <w:r>
        <w:rPr>
          <w:rFonts w:ascii="Times New Roman" w:hAnsi="Times New Roman"/>
          <w:i/>
          <w:iCs/>
          <w:sz w:val="24"/>
        </w:rPr>
        <w:t>nelabvēlīgo</w:t>
      </w:r>
      <w:r w:rsidR="006E3E4D">
        <w:rPr>
          <w:rFonts w:ascii="Times New Roman" w:eastAsia="Arial" w:hAnsi="Times New Roman" w:cs="Arial"/>
          <w:noProof/>
          <w:sz w:val="24"/>
          <w:szCs w:val="20"/>
        </w:rPr>
        <w:t xml:space="preserve"> </w:t>
      </w:r>
      <w:r>
        <w:rPr>
          <w:rFonts w:ascii="Times New Roman" w:hAnsi="Times New Roman"/>
          <w:i/>
          <w:iCs/>
          <w:sz w:val="24"/>
        </w:rPr>
        <w:t>analīžu rezultātu</w:t>
      </w:r>
      <w:r>
        <w:rPr>
          <w:rFonts w:ascii="Times New Roman" w:hAnsi="Times New Roman"/>
          <w:sz w:val="24"/>
        </w:rPr>
        <w:t xml:space="preserve">, kas liecina par efedrīna klātbūtni </w:t>
      </w:r>
      <w:r>
        <w:rPr>
          <w:rFonts w:ascii="Times New Roman" w:hAnsi="Times New Roman"/>
          <w:i/>
          <w:iCs/>
          <w:sz w:val="24"/>
        </w:rPr>
        <w:t>paraugā</w:t>
      </w:r>
      <w:r>
        <w:rPr>
          <w:rFonts w:ascii="Times New Roman" w:hAnsi="Times New Roman"/>
          <w:sz w:val="24"/>
        </w:rPr>
        <w:t xml:space="preserve"> tādā koncentrācijā, kas pārsniedz </w:t>
      </w:r>
      <w:r>
        <w:rPr>
          <w:rFonts w:ascii="Times New Roman" w:hAnsi="Times New Roman"/>
          <w:sz w:val="24"/>
          <w:u w:val="single"/>
        </w:rPr>
        <w:t>robežvērtību</w:t>
      </w:r>
      <w:r>
        <w:rPr>
          <w:rFonts w:ascii="Times New Roman" w:hAnsi="Times New Roman"/>
          <w:sz w:val="24"/>
        </w:rPr>
        <w:t xml:space="preserve"> 10 µg/ml.]</w:t>
      </w:r>
    </w:p>
    <w:p w14:paraId="05E8ED54" w14:textId="77777777" w:rsidR="00537490" w:rsidRPr="00FB35D8" w:rsidRDefault="00537490" w:rsidP="00FB35D8">
      <w:pPr>
        <w:jc w:val="both"/>
        <w:rPr>
          <w:rFonts w:ascii="Times New Roman" w:eastAsia="Arial" w:hAnsi="Times New Roman" w:cs="Arial"/>
          <w:noProof/>
          <w:sz w:val="24"/>
          <w:szCs w:val="20"/>
        </w:rPr>
      </w:pPr>
    </w:p>
    <w:p w14:paraId="5BCF92DC" w14:textId="77777777" w:rsidR="00573E92" w:rsidRPr="00FB35D8" w:rsidRDefault="00573E92" w:rsidP="00FB35D8">
      <w:pPr>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sz w:val="24"/>
          <w:u w:val="single"/>
        </w:rPr>
        <w:t>Laboratoriskās dokumentācijas pakete</w:t>
      </w:r>
      <w:r>
        <w:rPr>
          <w:rFonts w:ascii="Times New Roman" w:hAnsi="Times New Roman"/>
          <w:sz w:val="24"/>
        </w:rPr>
        <w:t>.</w:t>
      </w:r>
    </w:p>
    <w:p w14:paraId="2360ECF2" w14:textId="77777777" w:rsidR="00537490" w:rsidRDefault="00537490" w:rsidP="00FB35D8">
      <w:pPr>
        <w:jc w:val="both"/>
        <w:rPr>
          <w:rFonts w:ascii="Times New Roman" w:hAnsi="Times New Roman"/>
          <w:noProof/>
          <w:sz w:val="24"/>
        </w:rPr>
      </w:pPr>
    </w:p>
    <w:p w14:paraId="4541DF95" w14:textId="586EC79F" w:rsidR="00573E92" w:rsidRDefault="00573E92" w:rsidP="00FB35D8">
      <w:pPr>
        <w:jc w:val="both"/>
        <w:rPr>
          <w:rFonts w:ascii="Times New Roman" w:hAnsi="Times New Roman"/>
          <w:i/>
          <w:noProof/>
          <w:sz w:val="24"/>
        </w:rPr>
      </w:pPr>
      <w:r>
        <w:rPr>
          <w:rFonts w:ascii="Times New Roman" w:hAnsi="Times New Roman"/>
          <w:sz w:val="24"/>
        </w:rPr>
        <w:t xml:space="preserve">Efedrīna koncentrācija </w:t>
      </w:r>
      <w:r>
        <w:rPr>
          <w:rFonts w:ascii="Times New Roman" w:hAnsi="Times New Roman"/>
          <w:i/>
          <w:iCs/>
          <w:sz w:val="24"/>
        </w:rPr>
        <w:t>paraugā</w:t>
      </w:r>
      <w:r>
        <w:rPr>
          <w:rFonts w:ascii="Times New Roman" w:hAnsi="Times New Roman"/>
          <w:sz w:val="24"/>
        </w:rPr>
        <w:t xml:space="preserve">, kas iegūta, izmantojot kvantitatīvās </w:t>
      </w:r>
      <w:r>
        <w:rPr>
          <w:rFonts w:ascii="Times New Roman" w:hAnsi="Times New Roman"/>
          <w:sz w:val="24"/>
          <w:u w:val="single"/>
        </w:rPr>
        <w:t>apstiprināšanas procedūru</w:t>
      </w:r>
      <w:r>
        <w:rPr>
          <w:rFonts w:ascii="Times New Roman" w:hAnsi="Times New Roman"/>
          <w:sz w:val="24"/>
        </w:rPr>
        <w:t xml:space="preserve">, un norādīta saskaņā ar </w:t>
      </w:r>
      <w:r>
        <w:rPr>
          <w:rFonts w:ascii="Times New Roman" w:hAnsi="Times New Roman"/>
          <w:i/>
          <w:iCs/>
          <w:sz w:val="24"/>
        </w:rPr>
        <w:t>WADA TD DL</w:t>
      </w:r>
      <w:r>
        <w:rPr>
          <w:rFonts w:ascii="Times New Roman" w:hAnsi="Times New Roman"/>
          <w:sz w:val="24"/>
        </w:rPr>
        <w:t xml:space="preserve"> ziņošanas noteikumiem, ir 12 µg/ml. Tā pārsniedz attiecīgo efedrīna </w:t>
      </w:r>
      <w:r>
        <w:rPr>
          <w:rFonts w:ascii="Times New Roman" w:hAnsi="Times New Roman"/>
          <w:i/>
          <w:iCs/>
          <w:sz w:val="24"/>
          <w:u w:val="single" w:color="000000"/>
        </w:rPr>
        <w:t>DL</w:t>
      </w:r>
      <w:r>
        <w:rPr>
          <w:rFonts w:ascii="Times New Roman" w:hAnsi="Times New Roman"/>
          <w:sz w:val="24"/>
        </w:rPr>
        <w:t xml:space="preserve"> 11 µg/ml. Relatīvā kombinētā standarta nenoteiktība (</w:t>
      </w:r>
      <w:r>
        <w:rPr>
          <w:rFonts w:ascii="Times New Roman" w:hAnsi="Times New Roman"/>
          <w:i/>
          <w:iCs/>
          <w:sz w:val="24"/>
        </w:rPr>
        <w:t>u</w:t>
      </w:r>
      <w:r>
        <w:rPr>
          <w:rFonts w:ascii="Times New Roman" w:hAnsi="Times New Roman"/>
          <w:i/>
          <w:iCs/>
          <w:sz w:val="24"/>
          <w:vertAlign w:val="subscript"/>
        </w:rPr>
        <w:t>c</w:t>
      </w:r>
      <w:r>
        <w:rPr>
          <w:rFonts w:ascii="Times New Roman" w:hAnsi="Times New Roman"/>
          <w:sz w:val="24"/>
        </w:rPr>
        <w:t xml:space="preserve">, %), ko </w:t>
      </w:r>
      <w:r>
        <w:rPr>
          <w:rFonts w:ascii="Times New Roman" w:hAnsi="Times New Roman"/>
          <w:sz w:val="24"/>
          <w:u w:val="single"/>
        </w:rPr>
        <w:t>laboratorija</w:t>
      </w:r>
      <w:r>
        <w:rPr>
          <w:rFonts w:ascii="Times New Roman" w:hAnsi="Times New Roman"/>
          <w:sz w:val="24"/>
        </w:rPr>
        <w:t xml:space="preserve"> aplēsa attiecībā uz rezultātu pie </w:t>
      </w:r>
      <w:r>
        <w:rPr>
          <w:rFonts w:ascii="Times New Roman" w:hAnsi="Times New Roman"/>
          <w:sz w:val="24"/>
          <w:u w:val="single"/>
        </w:rPr>
        <w:t>robežvērtības</w:t>
      </w:r>
      <w:r>
        <w:rPr>
          <w:rFonts w:ascii="Times New Roman" w:hAnsi="Times New Roman"/>
          <w:sz w:val="24"/>
        </w:rPr>
        <w:t xml:space="preserve"> (10 µg/ml), ir 3,6 %</w:t>
      </w:r>
      <w:r>
        <w:rPr>
          <w:rFonts w:ascii="Times New Roman" w:hAnsi="Times New Roman"/>
          <w:i/>
          <w:sz w:val="24"/>
        </w:rPr>
        <w:t>.</w:t>
      </w:r>
    </w:p>
    <w:p w14:paraId="2CECF215" w14:textId="77777777" w:rsidR="00537490" w:rsidRPr="00FB35D8" w:rsidRDefault="00537490" w:rsidP="00FB35D8">
      <w:pPr>
        <w:jc w:val="both"/>
        <w:rPr>
          <w:rFonts w:ascii="Times New Roman" w:eastAsia="Arial" w:hAnsi="Times New Roman" w:cs="Arial"/>
          <w:noProof/>
          <w:sz w:val="24"/>
          <w:szCs w:val="20"/>
        </w:rPr>
      </w:pPr>
    </w:p>
    <w:p w14:paraId="0B2B32EB" w14:textId="190FE8DF" w:rsidR="00573E92" w:rsidRDefault="00573E92" w:rsidP="00FB35D8">
      <w:pPr>
        <w:jc w:val="both"/>
        <w:rPr>
          <w:rFonts w:ascii="Times New Roman" w:hAnsi="Times New Roman"/>
          <w:i/>
          <w:noProof/>
          <w:sz w:val="24"/>
        </w:rPr>
      </w:pPr>
      <w:r>
        <w:rPr>
          <w:rFonts w:ascii="Times New Roman" w:hAnsi="Times New Roman"/>
          <w:sz w:val="24"/>
        </w:rPr>
        <w:t xml:space="preserve">Relatīvā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(3,6 %) nepārsniedz relatīvo </w:t>
      </w:r>
      <w:r>
        <w:rPr>
          <w:rFonts w:ascii="Times New Roman" w:hAnsi="Times New Roman"/>
          <w:i/>
          <w:sz w:val="24"/>
        </w:rPr>
        <w:t>u</w:t>
      </w:r>
      <w:r>
        <w:rPr>
          <w:rFonts w:ascii="Times New Roman" w:hAnsi="Times New Roman"/>
          <w:i/>
          <w:sz w:val="24"/>
          <w:vertAlign w:val="subscript"/>
        </w:rPr>
        <w:t xml:space="preserve">c_Max </w:t>
      </w:r>
      <w:r>
        <w:rPr>
          <w:rFonts w:ascii="Times New Roman" w:hAnsi="Times New Roman"/>
          <w:sz w:val="24"/>
        </w:rPr>
        <w:t xml:space="preserve">(5,0 %), kas norādīta spēkā esošajā </w:t>
      </w:r>
      <w:r>
        <w:rPr>
          <w:rFonts w:ascii="Times New Roman" w:hAnsi="Times New Roman"/>
          <w:i/>
          <w:iCs/>
          <w:sz w:val="24"/>
        </w:rPr>
        <w:t>TD DL</w:t>
      </w:r>
      <w:r>
        <w:rPr>
          <w:rFonts w:ascii="Times New Roman" w:hAnsi="Times New Roman"/>
          <w:sz w:val="24"/>
        </w:rPr>
        <w:t xml:space="preserve"> attiecībā uz efedrīna koncentrācijām pie </w:t>
      </w:r>
      <w:r>
        <w:rPr>
          <w:rFonts w:ascii="Times New Roman" w:hAnsi="Times New Roman"/>
          <w:sz w:val="24"/>
          <w:u w:val="single" w:color="000000"/>
        </w:rPr>
        <w:t>robežvērtības</w:t>
      </w:r>
      <w:r>
        <w:rPr>
          <w:rFonts w:ascii="Times New Roman" w:hAnsi="Times New Roman"/>
          <w:i/>
          <w:sz w:val="24"/>
        </w:rPr>
        <w:t>.</w:t>
      </w:r>
    </w:p>
    <w:p w14:paraId="1265734E" w14:textId="77777777" w:rsidR="00537490" w:rsidRPr="00FB35D8" w:rsidRDefault="00537490" w:rsidP="00FB35D8">
      <w:pPr>
        <w:jc w:val="both"/>
        <w:rPr>
          <w:rFonts w:ascii="Times New Roman" w:eastAsia="Arial" w:hAnsi="Times New Roman" w:cs="Arial"/>
          <w:noProof/>
          <w:sz w:val="24"/>
          <w:szCs w:val="20"/>
        </w:rPr>
      </w:pPr>
    </w:p>
    <w:p w14:paraId="134D2868" w14:textId="590524F7" w:rsidR="00573E92" w:rsidRDefault="00573E92" w:rsidP="00FB35D8">
      <w:pPr>
        <w:jc w:val="both"/>
        <w:rPr>
          <w:rFonts w:ascii="Times New Roman" w:eastAsia="Arial" w:hAnsi="Times New Roman" w:cs="Arial"/>
          <w:noProof/>
          <w:sz w:val="24"/>
          <w:szCs w:val="20"/>
        </w:rPr>
      </w:pPr>
      <w:r>
        <w:rPr>
          <w:rFonts w:ascii="Times New Roman" w:hAnsi="Times New Roman"/>
          <w:sz w:val="24"/>
        </w:rPr>
        <w:t xml:space="preserve">Efedrīna rezultāts, ietverot saistīto paplašināto nenoteiktību </w:t>
      </w:r>
      <w:r>
        <w:rPr>
          <w:rFonts w:ascii="Times New Roman" w:hAnsi="Times New Roman"/>
          <w:i/>
          <w:sz w:val="24"/>
        </w:rPr>
        <w:t>U</w:t>
      </w:r>
      <w:r>
        <w:rPr>
          <w:rFonts w:ascii="Times New Roman" w:hAnsi="Times New Roman"/>
          <w:i/>
          <w:sz w:val="24"/>
          <w:vertAlign w:val="subscript"/>
        </w:rPr>
        <w:t>95 %</w:t>
      </w:r>
      <w:r>
        <w:rPr>
          <w:rFonts w:ascii="Times New Roman" w:hAnsi="Times New Roman"/>
          <w:sz w:val="24"/>
        </w:rPr>
        <w:t xml:space="preserve">, kas līdzvērtīga divpusējam </w:t>
      </w:r>
      <w:r>
        <w:rPr>
          <w:rFonts w:ascii="Times New Roman" w:hAnsi="Times New Roman"/>
          <w:sz w:val="24"/>
        </w:rPr>
        <w:lastRenderedPageBreak/>
        <w:t>95 % aptvēruma intervālam (</w:t>
      </w:r>
      <w:r>
        <w:rPr>
          <w:rFonts w:ascii="Times New Roman" w:hAnsi="Times New Roman"/>
          <w:i/>
          <w:sz w:val="24"/>
        </w:rPr>
        <w:t xml:space="preserve">k </w:t>
      </w:r>
      <w:r>
        <w:rPr>
          <w:rFonts w:ascii="Times New Roman" w:hAnsi="Times New Roman"/>
          <w:sz w:val="24"/>
        </w:rPr>
        <w:t>= 2), ir 12,2 ± 0,88 µg/ml.</w:t>
      </w:r>
    </w:p>
    <w:p w14:paraId="35680953" w14:textId="77777777" w:rsidR="00537490" w:rsidRPr="00FB35D8" w:rsidRDefault="00537490" w:rsidP="00FB35D8">
      <w:pPr>
        <w:jc w:val="both"/>
        <w:rPr>
          <w:rFonts w:ascii="Times New Roman" w:eastAsia="Arial" w:hAnsi="Times New Roman" w:cs="Arial"/>
          <w:noProof/>
          <w:sz w:val="24"/>
          <w:szCs w:val="20"/>
        </w:rPr>
      </w:pPr>
    </w:p>
    <w:p w14:paraId="1213D8C1" w14:textId="77777777" w:rsidR="00573E92" w:rsidRPr="00FB35D8" w:rsidRDefault="00573E92" w:rsidP="00FB35D8">
      <w:pPr>
        <w:jc w:val="both"/>
        <w:rPr>
          <w:rFonts w:ascii="Times New Roman" w:eastAsia="Arial" w:hAnsi="Times New Roman" w:cs="Arial"/>
          <w:noProof/>
          <w:sz w:val="24"/>
          <w:szCs w:val="20"/>
        </w:rPr>
      </w:pPr>
      <w:r>
        <w:rPr>
          <w:rFonts w:ascii="Times New Roman" w:hAnsi="Times New Roman"/>
          <w:sz w:val="24"/>
        </w:rPr>
        <w:t xml:space="preserve">Šis rezultāts atbilst </w:t>
      </w:r>
      <w:r>
        <w:rPr>
          <w:rFonts w:ascii="Times New Roman" w:hAnsi="Times New Roman"/>
          <w:i/>
          <w:iCs/>
          <w:sz w:val="24"/>
        </w:rPr>
        <w:t>WADA TD DL</w:t>
      </w:r>
      <w:r>
        <w:rPr>
          <w:rFonts w:ascii="Times New Roman" w:hAnsi="Times New Roman"/>
          <w:sz w:val="24"/>
        </w:rPr>
        <w:t xml:space="preserve"> prasībām attiecībā uz </w:t>
      </w:r>
      <w:r>
        <w:rPr>
          <w:rFonts w:ascii="Times New Roman" w:hAnsi="Times New Roman"/>
          <w:i/>
          <w:iCs/>
          <w:sz w:val="24"/>
        </w:rPr>
        <w:t>nelabvēlīgo analīžu rezultātu</w:t>
      </w:r>
      <w:r>
        <w:rPr>
          <w:rFonts w:ascii="Times New Roman" w:hAnsi="Times New Roman"/>
          <w:sz w:val="24"/>
        </w:rPr>
        <w:t xml:space="preserve">, kas liecina par efedrīna klātbūtni </w:t>
      </w:r>
      <w:r>
        <w:rPr>
          <w:rFonts w:ascii="Times New Roman" w:hAnsi="Times New Roman"/>
          <w:i/>
          <w:iCs/>
          <w:sz w:val="24"/>
        </w:rPr>
        <w:t>paraugā</w:t>
      </w:r>
      <w:r>
        <w:rPr>
          <w:rFonts w:ascii="Times New Roman" w:hAnsi="Times New Roman"/>
          <w:sz w:val="24"/>
        </w:rPr>
        <w:t xml:space="preserve"> tādā koncentrācijā, kas pārsniedz </w:t>
      </w:r>
      <w:r>
        <w:rPr>
          <w:rFonts w:ascii="Times New Roman" w:hAnsi="Times New Roman"/>
          <w:sz w:val="24"/>
          <w:u w:val="single"/>
        </w:rPr>
        <w:t>robežvērtību</w:t>
      </w:r>
      <w:r>
        <w:rPr>
          <w:rFonts w:ascii="Times New Roman" w:hAnsi="Times New Roman"/>
          <w:sz w:val="24"/>
        </w:rPr>
        <w:t xml:space="preserve"> 10 µg/ml.]</w:t>
      </w:r>
    </w:p>
    <w:p w14:paraId="1E6F15B8" w14:textId="77777777" w:rsidR="00573E92" w:rsidRPr="00FB35D8" w:rsidRDefault="00573E92" w:rsidP="00FB35D8">
      <w:pPr>
        <w:jc w:val="both"/>
        <w:rPr>
          <w:rFonts w:ascii="Times New Roman" w:eastAsia="Arial" w:hAnsi="Times New Roman" w:cs="Arial"/>
          <w:noProof/>
          <w:sz w:val="24"/>
          <w:szCs w:val="14"/>
        </w:rPr>
      </w:pPr>
    </w:p>
    <w:p w14:paraId="26A0F0C3" w14:textId="6AB5FC41" w:rsidR="00573E92" w:rsidRPr="00FB35D8" w:rsidRDefault="00537490" w:rsidP="00537490">
      <w:pPr>
        <w:pStyle w:val="BodyText"/>
        <w:tabs>
          <w:tab w:val="left" w:pos="671"/>
        </w:tabs>
        <w:spacing w:before="0"/>
        <w:ind w:left="0"/>
        <w:jc w:val="both"/>
        <w:rPr>
          <w:rFonts w:ascii="Times New Roman" w:hAnsi="Times New Roman"/>
          <w:noProof/>
          <w:sz w:val="24"/>
          <w:u w:val="none"/>
        </w:rPr>
      </w:pPr>
      <w:r>
        <w:rPr>
          <w:rFonts w:ascii="Times New Roman" w:hAnsi="Times New Roman"/>
          <w:sz w:val="24"/>
          <w:u w:val="none"/>
        </w:rPr>
        <w:t xml:space="preserve">4.3.2. Morfīns ir noteikts </w:t>
      </w:r>
      <w:r>
        <w:rPr>
          <w:rFonts w:ascii="Times New Roman" w:hAnsi="Times New Roman"/>
          <w:i/>
          <w:iCs/>
          <w:sz w:val="24"/>
          <w:u w:val="none"/>
        </w:rPr>
        <w:t>paraugā</w:t>
      </w:r>
      <w:r>
        <w:rPr>
          <w:rFonts w:ascii="Times New Roman" w:hAnsi="Times New Roman"/>
          <w:sz w:val="24"/>
          <w:u w:val="none"/>
        </w:rPr>
        <w:t xml:space="preserve"> ar </w:t>
      </w:r>
      <w:r>
        <w:rPr>
          <w:rFonts w:ascii="Times New Roman" w:hAnsi="Times New Roman"/>
          <w:i/>
          <w:iCs/>
          <w:sz w:val="24"/>
          <w:u w:val="none"/>
        </w:rPr>
        <w:t>SG</w:t>
      </w:r>
      <w:r>
        <w:rPr>
          <w:rFonts w:ascii="Times New Roman" w:hAnsi="Times New Roman"/>
          <w:sz w:val="24"/>
          <w:u w:val="none"/>
        </w:rPr>
        <w:t xml:space="preserve"> vērtību 1,022 koncentrācijā 1,47 µg/ml, izmantojot mērīšanas procedūru, kur relatīvā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ir 14 % attiecībā uz rezultātu pie </w:t>
      </w:r>
      <w:r>
        <w:rPr>
          <w:rFonts w:ascii="Times New Roman" w:hAnsi="Times New Roman"/>
          <w:sz w:val="24"/>
        </w:rPr>
        <w:t>robežvērtības</w:t>
      </w:r>
      <w:r>
        <w:rPr>
          <w:rFonts w:ascii="Times New Roman" w:hAnsi="Times New Roman"/>
          <w:sz w:val="24"/>
          <w:u w:val="none"/>
        </w:rPr>
        <w:t xml:space="preserve"> 1,0 µg/ml. </w:t>
      </w:r>
      <w:r>
        <w:rPr>
          <w:rFonts w:ascii="Times New Roman" w:hAnsi="Times New Roman"/>
          <w:i/>
          <w:iCs/>
          <w:sz w:val="24"/>
          <w:u w:val="none"/>
        </w:rPr>
        <w:t>DL</w:t>
      </w:r>
      <w:r>
        <w:rPr>
          <w:rFonts w:ascii="Times New Roman" w:hAnsi="Times New Roman"/>
          <w:i/>
          <w:iCs/>
          <w:sz w:val="24"/>
          <w:u w:val="none"/>
          <w:vertAlign w:val="subscript"/>
        </w:rPr>
        <w:t>adj</w:t>
      </w:r>
      <w:r>
        <w:rPr>
          <w:rFonts w:ascii="Times New Roman" w:hAnsi="Times New Roman"/>
          <w:sz w:val="24"/>
          <w:u w:val="none"/>
        </w:rPr>
        <w:t>, kas aprēķināta saskaņā ar formulu (5), ir 1,56 µg/ml.</w:t>
      </w:r>
    </w:p>
    <w:p w14:paraId="4B25C704" w14:textId="77777777" w:rsidR="00537490" w:rsidRDefault="00537490" w:rsidP="00FB35D8">
      <w:pPr>
        <w:pStyle w:val="BodyText"/>
        <w:spacing w:before="0"/>
        <w:ind w:left="0"/>
        <w:jc w:val="both"/>
        <w:rPr>
          <w:rFonts w:ascii="Times New Roman" w:hAnsi="Times New Roman"/>
          <w:noProof/>
          <w:sz w:val="24"/>
          <w:u w:val="none"/>
        </w:rPr>
      </w:pPr>
    </w:p>
    <w:p w14:paraId="0741362B" w14:textId="0350C590"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Šis rezultāts nav </w:t>
      </w:r>
      <w:r>
        <w:rPr>
          <w:rFonts w:ascii="Times New Roman" w:hAnsi="Times New Roman"/>
          <w:i/>
          <w:iCs/>
          <w:sz w:val="24"/>
          <w:u w:val="none"/>
        </w:rPr>
        <w:t>AAF</w:t>
      </w:r>
      <w:r>
        <w:rPr>
          <w:rFonts w:ascii="Times New Roman" w:hAnsi="Times New Roman"/>
          <w:sz w:val="24"/>
          <w:u w:val="none"/>
        </w:rPr>
        <w:t xml:space="preserve">, jo morfīna koncentrācija </w:t>
      </w:r>
      <w:r>
        <w:rPr>
          <w:rFonts w:ascii="Times New Roman" w:hAnsi="Times New Roman"/>
          <w:i/>
          <w:iCs/>
          <w:sz w:val="24"/>
          <w:u w:val="none"/>
        </w:rPr>
        <w:t>paraugā</w:t>
      </w:r>
      <w:r>
        <w:rPr>
          <w:rFonts w:ascii="Times New Roman" w:hAnsi="Times New Roman"/>
          <w:sz w:val="24"/>
          <w:u w:val="none"/>
        </w:rPr>
        <w:t xml:space="preserve">, kas piešķirta saskaņā ar iepriekš 4.1. punktā noteiktajiem ziņošanas noteikumiem, ir 1,4 µg/ml un tādējādi nepārsniedz </w:t>
      </w:r>
      <w:r>
        <w:rPr>
          <w:rFonts w:ascii="Times New Roman" w:hAnsi="Times New Roman"/>
          <w:i/>
          <w:iCs/>
          <w:sz w:val="24"/>
          <w:u w:val="none"/>
        </w:rPr>
        <w:t>DL</w:t>
      </w:r>
      <w:r>
        <w:rPr>
          <w:rFonts w:ascii="Times New Roman" w:hAnsi="Times New Roman"/>
          <w:i/>
          <w:iCs/>
          <w:sz w:val="24"/>
          <w:u w:val="none"/>
          <w:vertAlign w:val="subscript"/>
        </w:rPr>
        <w:t>adj</w:t>
      </w:r>
      <w:r>
        <w:rPr>
          <w:rFonts w:ascii="Times New Roman" w:hAnsi="Times New Roman"/>
          <w:sz w:val="24"/>
          <w:u w:val="none"/>
        </w:rPr>
        <w:t xml:space="preserve"> morfīnam, izsakot ar vienu ciparu aiz komata kā 1,5 μg/ml. Novērotā rezultāta standarta nenoteiktība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sz w:val="24"/>
          <w:u w:val="none"/>
        </w:rPr>
        <w:t xml:space="preserve">, kas atbilst relatīvajai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 xml:space="preserve"> </w:t>
      </w:r>
      <w:r>
        <w:rPr>
          <w:rFonts w:ascii="Times New Roman" w:hAnsi="Times New Roman"/>
          <w:sz w:val="24"/>
          <w:u w:val="none"/>
        </w:rPr>
        <w:t>14 %, ir 0,20 µg/ml.</w:t>
      </w:r>
    </w:p>
    <w:p w14:paraId="4CB7E85F" w14:textId="77777777" w:rsidR="00537490" w:rsidRPr="00FB35D8" w:rsidRDefault="00537490" w:rsidP="00FB35D8">
      <w:pPr>
        <w:pStyle w:val="BodyText"/>
        <w:spacing w:before="0"/>
        <w:ind w:left="0"/>
        <w:jc w:val="both"/>
        <w:rPr>
          <w:rFonts w:ascii="Times New Roman" w:hAnsi="Times New Roman"/>
          <w:noProof/>
          <w:sz w:val="24"/>
          <w:u w:val="none"/>
        </w:rPr>
      </w:pPr>
    </w:p>
    <w:p w14:paraId="6BC7D47A" w14:textId="37E3BB4E"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Tā kā morfīna koncentrācija pārsniedz koriģēto </w:t>
      </w:r>
      <w:r>
        <w:rPr>
          <w:rFonts w:ascii="Times New Roman" w:hAnsi="Times New Roman"/>
          <w:i/>
          <w:iCs/>
          <w:sz w:val="24"/>
        </w:rPr>
        <w:t>T</w:t>
      </w:r>
      <w:r>
        <w:rPr>
          <w:rFonts w:ascii="Times New Roman" w:hAnsi="Times New Roman"/>
          <w:sz w:val="24"/>
          <w:u w:val="none"/>
        </w:rPr>
        <w:t xml:space="preserve"> vērtību (1,2 µg/ml), bet nepārsniedz koriģēto </w:t>
      </w:r>
      <w:r>
        <w:rPr>
          <w:rFonts w:ascii="Times New Roman" w:hAnsi="Times New Roman"/>
          <w:i/>
          <w:iCs/>
          <w:sz w:val="24"/>
        </w:rPr>
        <w:t>DL</w:t>
      </w:r>
      <w:r>
        <w:rPr>
          <w:rFonts w:ascii="Times New Roman" w:hAnsi="Times New Roman"/>
          <w:sz w:val="24"/>
          <w:u w:val="none"/>
        </w:rPr>
        <w:t xml:space="preserve"> (1,5 µg/ml), </w:t>
      </w:r>
      <w:r>
        <w:rPr>
          <w:rFonts w:ascii="Times New Roman" w:hAnsi="Times New Roman"/>
          <w:sz w:val="24"/>
        </w:rPr>
        <w:t>laboratorija</w:t>
      </w:r>
      <w:r>
        <w:rPr>
          <w:rFonts w:ascii="Times New Roman" w:hAnsi="Times New Roman"/>
          <w:sz w:val="24"/>
          <w:u w:val="none"/>
        </w:rPr>
        <w:t xml:space="preserve"> paziņo šo rezultātu kā </w:t>
      </w:r>
      <w:r>
        <w:rPr>
          <w:rFonts w:ascii="Times New Roman" w:hAnsi="Times New Roman"/>
          <w:sz w:val="24"/>
        </w:rPr>
        <w:t>negatīvu rezultātu</w:t>
      </w:r>
      <w:r>
        <w:rPr>
          <w:rFonts w:ascii="Times New Roman" w:hAnsi="Times New Roman"/>
          <w:sz w:val="24"/>
          <w:u w:val="none"/>
        </w:rPr>
        <w:t xml:space="preserve"> un iekļauj ieteikumu (</w:t>
      </w:r>
      <w:r>
        <w:rPr>
          <w:rFonts w:ascii="Times New Roman" w:hAnsi="Times New Roman"/>
          <w:i/>
          <w:iCs/>
          <w:sz w:val="24"/>
          <w:u w:val="none"/>
        </w:rPr>
        <w:t>piemēram</w:t>
      </w:r>
      <w:r>
        <w:rPr>
          <w:rFonts w:ascii="Times New Roman" w:hAnsi="Times New Roman"/>
          <w:sz w:val="24"/>
          <w:u w:val="none"/>
        </w:rPr>
        <w:t xml:space="preserve">, pārbaudes ziņojuma sadaļā “Atzinums”) </w:t>
      </w:r>
      <w:r>
        <w:rPr>
          <w:rFonts w:ascii="Times New Roman" w:hAnsi="Times New Roman"/>
          <w:sz w:val="24"/>
        </w:rPr>
        <w:t>rezultātu pārvaldības iestādei</w:t>
      </w:r>
      <w:r>
        <w:rPr>
          <w:rFonts w:ascii="Times New Roman" w:hAnsi="Times New Roman"/>
          <w:sz w:val="24"/>
          <w:u w:val="none"/>
        </w:rPr>
        <w:t xml:space="preserve"> ņemt vērā šo rezultātu nākotnes “mērķa un izlūk</w:t>
      </w:r>
      <w:r w:rsidR="00A40D69">
        <w:rPr>
          <w:rFonts w:ascii="Times New Roman" w:hAnsi="Times New Roman"/>
          <w:sz w:val="24"/>
          <w:u w:val="none"/>
        </w:rPr>
        <w:t>datu</w:t>
      </w:r>
      <w:r>
        <w:rPr>
          <w:rFonts w:ascii="Times New Roman" w:hAnsi="Times New Roman"/>
          <w:sz w:val="24"/>
          <w:u w:val="none"/>
        </w:rPr>
        <w:t>” pārbaudes plānošanā.</w:t>
      </w:r>
    </w:p>
    <w:p w14:paraId="6C2F49BF" w14:textId="77777777" w:rsidR="00573E92" w:rsidRPr="00FB35D8" w:rsidRDefault="00573E92" w:rsidP="00FB35D8">
      <w:pPr>
        <w:jc w:val="both"/>
        <w:rPr>
          <w:rFonts w:ascii="Times New Roman" w:eastAsia="Arial" w:hAnsi="Times New Roman" w:cs="Arial"/>
          <w:noProof/>
          <w:sz w:val="24"/>
          <w:szCs w:val="14"/>
        </w:rPr>
      </w:pPr>
    </w:p>
    <w:p w14:paraId="6D2D2749" w14:textId="77777777" w:rsidR="00573E92" w:rsidRPr="00FB35D8" w:rsidRDefault="00573E92" w:rsidP="00C06F75">
      <w:pPr>
        <w:pStyle w:val="BodyText"/>
        <w:spacing w:before="0"/>
        <w:ind w:left="0"/>
        <w:jc w:val="both"/>
        <w:rPr>
          <w:rFonts w:ascii="Times New Roman" w:hAnsi="Times New Roman"/>
          <w:noProof/>
          <w:sz w:val="24"/>
          <w:u w:val="none"/>
        </w:rPr>
      </w:pPr>
      <w:r>
        <w:rPr>
          <w:rFonts w:ascii="Times New Roman" w:hAnsi="Times New Roman"/>
          <w:sz w:val="24"/>
          <w:u w:val="none"/>
        </w:rPr>
        <w:t xml:space="preserve">Piezīme. Ja </w:t>
      </w:r>
      <w:r>
        <w:rPr>
          <w:rFonts w:ascii="Times New Roman" w:hAnsi="Times New Roman"/>
          <w:i/>
          <w:iCs/>
          <w:sz w:val="24"/>
          <w:u w:val="none"/>
        </w:rPr>
        <w:t>aizliegtas vielas</w:t>
      </w:r>
      <w:r>
        <w:rPr>
          <w:rFonts w:ascii="Times New Roman" w:hAnsi="Times New Roman"/>
          <w:sz w:val="24"/>
          <w:u w:val="none"/>
        </w:rPr>
        <w:t xml:space="preserve"> rezultāts </w:t>
      </w:r>
      <w:r>
        <w:rPr>
          <w:rFonts w:ascii="Times New Roman" w:hAnsi="Times New Roman"/>
          <w:i/>
          <w:iCs/>
          <w:sz w:val="24"/>
          <w:u w:val="none"/>
        </w:rPr>
        <w:t>paraugā</w:t>
      </w:r>
      <w:r>
        <w:rPr>
          <w:rFonts w:ascii="Times New Roman" w:hAnsi="Times New Roman"/>
          <w:sz w:val="24"/>
          <w:u w:val="none"/>
        </w:rPr>
        <w:t xml:space="preserve"> nedaudz pārsniedz </w:t>
      </w:r>
      <w:r>
        <w:rPr>
          <w:rFonts w:ascii="Times New Roman" w:hAnsi="Times New Roman"/>
          <w:i/>
          <w:iCs/>
          <w:sz w:val="24"/>
        </w:rPr>
        <w:t>DL</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rezultāta paplašinātā nenoteiktība </w:t>
      </w:r>
      <w:r>
        <w:rPr>
          <w:rFonts w:ascii="Times New Roman" w:hAnsi="Times New Roman"/>
          <w:i/>
          <w:iCs/>
          <w:sz w:val="24"/>
          <w:u w:val="none"/>
        </w:rPr>
        <w:t>U</w:t>
      </w:r>
      <w:r>
        <w:rPr>
          <w:rFonts w:ascii="Times New Roman" w:hAnsi="Times New Roman"/>
          <w:i/>
          <w:iCs/>
          <w:sz w:val="24"/>
          <w:u w:val="none"/>
          <w:vertAlign w:val="subscript"/>
        </w:rPr>
        <w:t>95 %</w:t>
      </w:r>
      <w:r>
        <w:rPr>
          <w:rFonts w:ascii="Times New Roman" w:hAnsi="Times New Roman"/>
          <w:sz w:val="24"/>
          <w:u w:val="none"/>
        </w:rPr>
        <w:t xml:space="preserve"> (</w:t>
      </w:r>
      <w:r>
        <w:rPr>
          <w:rFonts w:ascii="Times New Roman" w:hAnsi="Times New Roman"/>
          <w:i/>
          <w:iCs/>
          <w:sz w:val="24"/>
          <w:u w:val="none"/>
        </w:rPr>
        <w:t>k</w:t>
      </w:r>
      <w:r>
        <w:rPr>
          <w:rFonts w:ascii="Times New Roman" w:hAnsi="Times New Roman"/>
          <w:sz w:val="24"/>
          <w:u w:val="none"/>
        </w:rPr>
        <w:t xml:space="preserve"> = 2) var paplašināties zemāk par </w:t>
      </w:r>
      <w:r>
        <w:rPr>
          <w:rFonts w:ascii="Times New Roman" w:hAnsi="Times New Roman"/>
          <w:i/>
          <w:iCs/>
          <w:sz w:val="24"/>
        </w:rPr>
        <w:t>DL</w:t>
      </w:r>
      <w:r>
        <w:rPr>
          <w:rFonts w:ascii="Times New Roman" w:hAnsi="Times New Roman"/>
          <w:sz w:val="24"/>
          <w:u w:val="none"/>
        </w:rPr>
        <w:t xml:space="preserve">. Svarīgi atzīmēt, ka tādēļ netiek anulēts </w:t>
      </w:r>
      <w:r>
        <w:rPr>
          <w:rFonts w:ascii="Times New Roman" w:hAnsi="Times New Roman"/>
          <w:i/>
          <w:iCs/>
          <w:sz w:val="24"/>
          <w:u w:val="none"/>
        </w:rPr>
        <w:t>AAF</w:t>
      </w:r>
      <w:r>
        <w:rPr>
          <w:rFonts w:ascii="Times New Roman" w:hAnsi="Times New Roman"/>
          <w:sz w:val="24"/>
          <w:u w:val="none"/>
        </w:rPr>
        <w:t xml:space="preserve">. Atbilstošs </w:t>
      </w:r>
      <w:r>
        <w:rPr>
          <w:rFonts w:ascii="Times New Roman" w:hAnsi="Times New Roman"/>
          <w:sz w:val="24"/>
        </w:rPr>
        <w:t>laboratorijas</w:t>
      </w:r>
      <w:r>
        <w:rPr>
          <w:rFonts w:ascii="Times New Roman" w:hAnsi="Times New Roman"/>
          <w:sz w:val="24"/>
          <w:u w:val="none"/>
        </w:rPr>
        <w:t xml:space="preserve"> vērtības statistiskais salīdzinājums ar </w:t>
      </w:r>
      <w:r>
        <w:rPr>
          <w:rFonts w:ascii="Times New Roman" w:hAnsi="Times New Roman"/>
          <w:i/>
          <w:iCs/>
          <w:sz w:val="24"/>
        </w:rPr>
        <w:t>T</w:t>
      </w:r>
      <w:r>
        <w:rPr>
          <w:rFonts w:ascii="Times New Roman" w:hAnsi="Times New Roman"/>
          <w:sz w:val="24"/>
          <w:u w:val="none"/>
        </w:rPr>
        <w:t xml:space="preserve"> (nevis </w:t>
      </w:r>
      <w:r>
        <w:rPr>
          <w:rFonts w:ascii="Times New Roman" w:hAnsi="Times New Roman"/>
          <w:i/>
          <w:iCs/>
          <w:sz w:val="24"/>
        </w:rPr>
        <w:t>DL</w:t>
      </w:r>
      <w:r>
        <w:rPr>
          <w:rFonts w:ascii="Times New Roman" w:hAnsi="Times New Roman"/>
          <w:sz w:val="24"/>
          <w:u w:val="none"/>
        </w:rPr>
        <w:t>), izmantojot vienpusēja sadalījuma (</w:t>
      </w:r>
      <w:r>
        <w:rPr>
          <w:rFonts w:ascii="Times New Roman" w:hAnsi="Times New Roman"/>
          <w:i/>
          <w:iCs/>
          <w:sz w:val="24"/>
          <w:u w:val="none"/>
        </w:rPr>
        <w:t>k</w:t>
      </w:r>
      <w:r>
        <w:rPr>
          <w:rFonts w:ascii="Times New Roman" w:hAnsi="Times New Roman"/>
          <w:sz w:val="24"/>
          <w:u w:val="none"/>
        </w:rPr>
        <w:t xml:space="preserve"> = 1,645) aptvēruma koeficientu un ņemot vērā rezultāta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parāda, ka šis rezultāts ar vairāk nekā 95 % ticamību atbilst </w:t>
      </w:r>
      <w:r>
        <w:rPr>
          <w:rFonts w:ascii="Times New Roman" w:hAnsi="Times New Roman"/>
          <w:i/>
          <w:iCs/>
          <w:sz w:val="24"/>
          <w:u w:val="none"/>
        </w:rPr>
        <w:t>aizliegtās vielas</w:t>
      </w:r>
      <w:r>
        <w:rPr>
          <w:rFonts w:ascii="Times New Roman" w:hAnsi="Times New Roman"/>
          <w:sz w:val="24"/>
          <w:u w:val="none"/>
        </w:rPr>
        <w:t xml:space="preserve"> līmenim </w:t>
      </w:r>
      <w:r>
        <w:rPr>
          <w:rFonts w:ascii="Times New Roman" w:hAnsi="Times New Roman"/>
          <w:i/>
          <w:iCs/>
          <w:sz w:val="24"/>
          <w:u w:val="none"/>
        </w:rPr>
        <w:t>paraugā</w:t>
      </w:r>
      <w:r>
        <w:rPr>
          <w:rFonts w:ascii="Times New Roman" w:hAnsi="Times New Roman"/>
          <w:sz w:val="24"/>
          <w:u w:val="none"/>
        </w:rPr>
        <w:t xml:space="preserve">, kas pārsniedz </w:t>
      </w:r>
      <w:r>
        <w:rPr>
          <w:rFonts w:ascii="Times New Roman" w:hAnsi="Times New Roman"/>
          <w:i/>
          <w:iCs/>
          <w:sz w:val="24"/>
        </w:rPr>
        <w:t>T</w:t>
      </w:r>
      <w:r>
        <w:rPr>
          <w:rFonts w:ascii="Times New Roman" w:hAnsi="Times New Roman"/>
          <w:sz w:val="24"/>
          <w:u w:val="none"/>
        </w:rPr>
        <w:t xml:space="preserve"> vērtību.</w:t>
      </w:r>
    </w:p>
    <w:p w14:paraId="73DBA82A" w14:textId="2B86B2FF" w:rsidR="00537490" w:rsidRDefault="00537490">
      <w:pPr>
        <w:rPr>
          <w:rFonts w:ascii="Times New Roman" w:hAnsi="Times New Roman"/>
          <w:noProof/>
          <w:sz w:val="24"/>
        </w:rPr>
      </w:pPr>
      <w:r>
        <w:br w:type="page"/>
      </w:r>
    </w:p>
    <w:p w14:paraId="698D9935" w14:textId="77777777" w:rsidR="00FB35D8" w:rsidRPr="00FB35D8" w:rsidRDefault="00FB35D8" w:rsidP="00FB35D8">
      <w:pPr>
        <w:jc w:val="both"/>
        <w:rPr>
          <w:rFonts w:ascii="Times New Roman" w:hAnsi="Times New Roman"/>
          <w:noProof/>
          <w:sz w:val="24"/>
        </w:rPr>
      </w:pPr>
    </w:p>
    <w:p w14:paraId="3E3574C7" w14:textId="77777777" w:rsidR="00573E92" w:rsidRPr="00FB35D8" w:rsidRDefault="00573E92" w:rsidP="00FB35D8">
      <w:pPr>
        <w:pStyle w:val="Heading1"/>
        <w:spacing w:before="0"/>
        <w:ind w:left="0"/>
        <w:jc w:val="both"/>
        <w:rPr>
          <w:rFonts w:ascii="Times New Roman" w:hAnsi="Times New Roman"/>
          <w:noProof/>
          <w:u w:val="none"/>
        </w:rPr>
      </w:pPr>
      <w:r>
        <w:rPr>
          <w:rFonts w:ascii="Times New Roman" w:hAnsi="Times New Roman"/>
          <w:u w:val="none"/>
        </w:rPr>
        <w:t>1. PAPILDINĀJUMS</w:t>
      </w:r>
    </w:p>
    <w:p w14:paraId="19AE6136" w14:textId="77777777" w:rsidR="00537490" w:rsidRDefault="00537490" w:rsidP="00537490">
      <w:pPr>
        <w:tabs>
          <w:tab w:val="left" w:pos="491"/>
        </w:tabs>
        <w:jc w:val="both"/>
        <w:rPr>
          <w:rFonts w:ascii="Times New Roman" w:hAnsi="Times New Roman"/>
          <w:b/>
          <w:noProof/>
          <w:sz w:val="24"/>
        </w:rPr>
      </w:pPr>
    </w:p>
    <w:p w14:paraId="23CDC80B" w14:textId="40598F62" w:rsidR="00573E92" w:rsidRPr="00FB35D8" w:rsidRDefault="00537490" w:rsidP="00537490">
      <w:pPr>
        <w:tabs>
          <w:tab w:val="left" w:pos="491"/>
        </w:tabs>
        <w:jc w:val="both"/>
        <w:rPr>
          <w:rFonts w:ascii="Times New Roman" w:eastAsia="Arial" w:hAnsi="Times New Roman" w:cs="Arial"/>
          <w:noProof/>
          <w:sz w:val="24"/>
          <w:szCs w:val="24"/>
        </w:rPr>
      </w:pPr>
      <w:r>
        <w:rPr>
          <w:rFonts w:ascii="Times New Roman" w:hAnsi="Times New Roman"/>
          <w:b/>
          <w:sz w:val="24"/>
        </w:rPr>
        <w:t xml:space="preserve">1. </w:t>
      </w:r>
      <w:r>
        <w:rPr>
          <w:rFonts w:ascii="Times New Roman" w:hAnsi="Times New Roman"/>
          <w:b/>
          <w:sz w:val="24"/>
          <w:u w:val="single"/>
        </w:rPr>
        <w:t>Mērījumu nenoteiktības</w:t>
      </w:r>
      <w:r>
        <w:rPr>
          <w:rFonts w:ascii="Times New Roman" w:hAnsi="Times New Roman"/>
          <w:b/>
          <w:sz w:val="24"/>
        </w:rPr>
        <w:t xml:space="preserve"> (</w:t>
      </w:r>
      <w:r>
        <w:rPr>
          <w:rFonts w:ascii="Times New Roman" w:hAnsi="Times New Roman"/>
          <w:b/>
          <w:i/>
          <w:iCs/>
          <w:sz w:val="24"/>
          <w:u w:val="single"/>
        </w:rPr>
        <w:t>MU</w:t>
      </w:r>
      <w:r>
        <w:rPr>
          <w:rFonts w:ascii="Times New Roman" w:hAnsi="Times New Roman"/>
          <w:b/>
          <w:sz w:val="24"/>
        </w:rPr>
        <w:t>) aplēšana</w:t>
      </w:r>
    </w:p>
    <w:p w14:paraId="288007FE" w14:textId="77777777" w:rsidR="00573E92" w:rsidRPr="00FB35D8" w:rsidRDefault="00573E92" w:rsidP="00FB35D8">
      <w:pPr>
        <w:jc w:val="both"/>
        <w:rPr>
          <w:rFonts w:ascii="Times New Roman" w:eastAsia="Arial" w:hAnsi="Times New Roman" w:cs="Arial"/>
          <w:b/>
          <w:bCs/>
          <w:noProof/>
          <w:sz w:val="24"/>
          <w:szCs w:val="18"/>
        </w:rPr>
      </w:pPr>
    </w:p>
    <w:p w14:paraId="52BF6560" w14:textId="4FF1CF3F"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Starptautiskajā metroloģijas vārdnīcā (</w:t>
      </w:r>
      <w:r>
        <w:rPr>
          <w:rFonts w:ascii="Times New Roman" w:hAnsi="Times New Roman"/>
          <w:i/>
          <w:iCs/>
          <w:sz w:val="24"/>
          <w:u w:val="none"/>
        </w:rPr>
        <w:t>ISO/IEC Guide 99:2007</w:t>
      </w:r>
      <w:r>
        <w:rPr>
          <w:rFonts w:ascii="Times New Roman" w:hAnsi="Times New Roman"/>
          <w:sz w:val="24"/>
          <w:u w:val="none"/>
        </w:rPr>
        <w:t xml:space="preserve"> [ISO/</w:t>
      </w:r>
      <w:r>
        <w:rPr>
          <w:rFonts w:ascii="Times New Roman" w:hAnsi="Times New Roman"/>
          <w:i/>
          <w:iCs/>
          <w:sz w:val="24"/>
          <w:u w:val="none"/>
        </w:rPr>
        <w:t>IEC</w:t>
      </w:r>
      <w:r>
        <w:rPr>
          <w:rFonts w:ascii="Times New Roman" w:hAnsi="Times New Roman"/>
          <w:sz w:val="24"/>
          <w:u w:val="none"/>
        </w:rPr>
        <w:t xml:space="preserve"> Rokasgrāmata 99:2007]) [7] </w:t>
      </w:r>
      <w:r>
        <w:rPr>
          <w:rFonts w:ascii="Times New Roman" w:hAnsi="Times New Roman"/>
          <w:i/>
          <w:iCs/>
          <w:sz w:val="24"/>
        </w:rPr>
        <w:t>MU</w:t>
      </w:r>
      <w:r>
        <w:rPr>
          <w:rFonts w:ascii="Times New Roman" w:hAnsi="Times New Roman"/>
          <w:sz w:val="24"/>
          <w:u w:val="none"/>
        </w:rPr>
        <w:t xml:space="preserve"> formāli definēta kā parametrs, kas raksturo izmērāmajam lielumam piesaistīto daudzuma vērtību izkliedi.</w:t>
      </w:r>
    </w:p>
    <w:p w14:paraId="0AA89721" w14:textId="77777777" w:rsidR="00537490" w:rsidRPr="00FB35D8" w:rsidRDefault="00537490" w:rsidP="00FB35D8">
      <w:pPr>
        <w:pStyle w:val="BodyText"/>
        <w:spacing w:before="0"/>
        <w:ind w:left="0"/>
        <w:jc w:val="both"/>
        <w:rPr>
          <w:rFonts w:ascii="Times New Roman" w:hAnsi="Times New Roman"/>
          <w:noProof/>
          <w:sz w:val="24"/>
          <w:u w:val="none"/>
        </w:rPr>
      </w:pPr>
    </w:p>
    <w:p w14:paraId="13A1065E" w14:textId="01D3F753"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Vienkāršāk sakot, rezultāta kombinētā standarta </w:t>
      </w:r>
      <w:r>
        <w:rPr>
          <w:rFonts w:ascii="Times New Roman" w:hAnsi="Times New Roman"/>
          <w:i/>
          <w:iCs/>
          <w:sz w:val="24"/>
        </w:rPr>
        <w:t>MU</w:t>
      </w:r>
      <w:r>
        <w:rPr>
          <w:rFonts w:ascii="Times New Roman" w:hAnsi="Times New Roman"/>
          <w:sz w:val="24"/>
          <w:u w:val="none"/>
        </w:rPr>
        <w:t xml:space="preserve">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i/>
          <w:iCs/>
          <w:sz w:val="24"/>
          <w:u w:val="none"/>
        </w:rPr>
        <w:t>(y)</w:t>
      </w:r>
      <w:r>
        <w:rPr>
          <w:rFonts w:ascii="Times New Roman" w:hAnsi="Times New Roman"/>
          <w:sz w:val="24"/>
          <w:u w:val="none"/>
        </w:rPr>
        <w:t>] ir ekvivalenta standartnovirzes (</w:t>
      </w:r>
      <w:r>
        <w:rPr>
          <w:rFonts w:ascii="Times New Roman" w:hAnsi="Times New Roman"/>
          <w:i/>
          <w:iCs/>
          <w:sz w:val="24"/>
          <w:u w:val="none"/>
        </w:rPr>
        <w:t>SD</w:t>
      </w:r>
      <w:r>
        <w:rPr>
          <w:rFonts w:ascii="Times New Roman" w:hAnsi="Times New Roman"/>
          <w:sz w:val="24"/>
          <w:u w:val="none"/>
        </w:rPr>
        <w:t>) aplēsei, kas saistīta ar rezultātu (</w:t>
      </w:r>
      <w:r>
        <w:rPr>
          <w:rFonts w:ascii="Times New Roman" w:hAnsi="Times New Roman"/>
          <w:i/>
          <w:iCs/>
          <w:sz w:val="24"/>
          <w:u w:val="none"/>
        </w:rPr>
        <w:t>y</w:t>
      </w:r>
      <w:r>
        <w:rPr>
          <w:rFonts w:ascii="Times New Roman" w:hAnsi="Times New Roman"/>
          <w:sz w:val="24"/>
          <w:u w:val="none"/>
        </w:rPr>
        <w:t xml:space="preserve">), kurš iegūts attiecībā uz analizējamo paraugu. Reizinot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(y)</w:t>
      </w:r>
      <w:r>
        <w:rPr>
          <w:rFonts w:ascii="Times New Roman" w:hAnsi="Times New Roman"/>
          <w:sz w:val="24"/>
          <w:u w:val="none"/>
        </w:rPr>
        <w:t xml:space="preserve"> ar aptvēruma koeficientu (</w:t>
      </w:r>
      <w:r>
        <w:rPr>
          <w:rFonts w:ascii="Times New Roman" w:hAnsi="Times New Roman"/>
          <w:i/>
          <w:sz w:val="24"/>
          <w:u w:val="none"/>
        </w:rPr>
        <w:t>k</w:t>
      </w:r>
      <w:r>
        <w:rPr>
          <w:rFonts w:ascii="Times New Roman" w:hAnsi="Times New Roman"/>
          <w:sz w:val="24"/>
          <w:u w:val="none"/>
        </w:rPr>
        <w:t xml:space="preserve">), iegūst paplašināto </w:t>
      </w:r>
      <w:r>
        <w:rPr>
          <w:rFonts w:ascii="Times New Roman" w:hAnsi="Times New Roman"/>
          <w:i/>
          <w:iCs/>
          <w:sz w:val="24"/>
          <w:u w:color="000000"/>
        </w:rPr>
        <w:t>MU</w:t>
      </w:r>
      <w:r>
        <w:rPr>
          <w:rFonts w:ascii="Times New Roman" w:hAnsi="Times New Roman"/>
          <w:sz w:val="24"/>
          <w:u w:val="none"/>
        </w:rPr>
        <w:t xml:space="preserve"> (</w:t>
      </w:r>
      <w:r>
        <w:rPr>
          <w:rFonts w:ascii="Times New Roman" w:hAnsi="Times New Roman"/>
          <w:i/>
          <w:sz w:val="24"/>
          <w:u w:val="none"/>
        </w:rPr>
        <w:t>U</w:t>
      </w:r>
      <w:r>
        <w:rPr>
          <w:rFonts w:ascii="Times New Roman" w:hAnsi="Times New Roman"/>
          <w:sz w:val="24"/>
          <w:u w:val="none"/>
        </w:rPr>
        <w:t>), kas saistīta ar rezultātu (</w:t>
      </w:r>
      <w:r>
        <w:rPr>
          <w:rFonts w:ascii="Times New Roman" w:hAnsi="Times New Roman"/>
          <w:i/>
          <w:sz w:val="24"/>
          <w:u w:val="none"/>
        </w:rPr>
        <w:t>y</w:t>
      </w:r>
      <w:r>
        <w:rPr>
          <w:rFonts w:ascii="Times New Roman" w:hAnsi="Times New Roman"/>
          <w:sz w:val="24"/>
          <w:u w:val="none"/>
        </w:rPr>
        <w:t>). Konkrētam paraugam rezultāta (</w:t>
      </w:r>
      <w:r>
        <w:rPr>
          <w:rFonts w:ascii="Times New Roman" w:hAnsi="Times New Roman"/>
          <w:i/>
          <w:iCs/>
          <w:sz w:val="24"/>
          <w:u w:val="none"/>
        </w:rPr>
        <w:t>y</w:t>
      </w:r>
      <w:r>
        <w:rPr>
          <w:rFonts w:ascii="Times New Roman" w:hAnsi="Times New Roman"/>
          <w:sz w:val="24"/>
          <w:u w:val="none"/>
        </w:rPr>
        <w:t xml:space="preserve">) un ar to saistītā </w:t>
      </w:r>
      <w:r>
        <w:rPr>
          <w:rFonts w:ascii="Times New Roman" w:hAnsi="Times New Roman"/>
          <w:i/>
          <w:iCs/>
          <w:sz w:val="24"/>
          <w:u w:val="none"/>
        </w:rPr>
        <w:t>U</w:t>
      </w:r>
      <w:r>
        <w:rPr>
          <w:rFonts w:ascii="Times New Roman" w:hAnsi="Times New Roman"/>
          <w:sz w:val="24"/>
          <w:u w:val="none"/>
        </w:rPr>
        <w:t xml:space="preserve"> kombinācija norāda aptvēruma diapazonu, kurā paredzams konstatēt parauga patieso vērtību norādītajā aptvēruma līmenī. Attiecībā uz lielāko daļu dopinga kontroles mērķu minimālā prasība rezultātu paziņošanai ir </w:t>
      </w:r>
      <w:r>
        <w:rPr>
          <w:rFonts w:ascii="Times New Roman" w:hAnsi="Times New Roman"/>
          <w:i/>
          <w:iCs/>
          <w:sz w:val="24"/>
          <w:u w:val="none"/>
        </w:rPr>
        <w:t>U vērtība</w:t>
      </w:r>
      <w:r>
        <w:rPr>
          <w:rFonts w:ascii="Times New Roman" w:hAnsi="Times New Roman"/>
          <w:sz w:val="24"/>
          <w:u w:val="none"/>
        </w:rPr>
        <w:t>, kas atbilst 95 % aptvēruma diapazonam.</w:t>
      </w:r>
    </w:p>
    <w:p w14:paraId="3BC3CC45" w14:textId="77777777" w:rsidR="006E5CD4" w:rsidRPr="00FB35D8" w:rsidRDefault="006E5CD4" w:rsidP="00FB35D8">
      <w:pPr>
        <w:pStyle w:val="BodyText"/>
        <w:spacing w:before="0"/>
        <w:ind w:left="0"/>
        <w:jc w:val="both"/>
        <w:rPr>
          <w:rFonts w:ascii="Times New Roman" w:hAnsi="Times New Roman"/>
          <w:noProof/>
          <w:sz w:val="24"/>
          <w:u w:val="none"/>
        </w:rPr>
      </w:pPr>
    </w:p>
    <w:p w14:paraId="237E0C9B" w14:textId="618057D8"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Akreditācijai saskaņā ar ISO/IEC 17025 [8], kā arī atbilstībai </w:t>
      </w:r>
      <w:r>
        <w:rPr>
          <w:rFonts w:ascii="Times New Roman" w:hAnsi="Times New Roman"/>
          <w:i/>
          <w:iCs/>
          <w:sz w:val="24"/>
          <w:u w:val="none"/>
        </w:rPr>
        <w:t>ISL</w:t>
      </w:r>
      <w:r>
        <w:rPr>
          <w:rFonts w:ascii="Times New Roman" w:hAnsi="Times New Roman"/>
          <w:sz w:val="24"/>
          <w:u w:val="none"/>
        </w:rPr>
        <w:t xml:space="preserve"> [2], ir nepieciešams, lai </w:t>
      </w:r>
      <w:r>
        <w:rPr>
          <w:rFonts w:ascii="Times New Roman" w:hAnsi="Times New Roman"/>
          <w:sz w:val="24"/>
        </w:rPr>
        <w:t>laboratorijas</w:t>
      </w:r>
      <w:r>
        <w:rPr>
          <w:rFonts w:ascii="Times New Roman" w:hAnsi="Times New Roman"/>
          <w:sz w:val="24"/>
          <w:u w:val="none"/>
        </w:rPr>
        <w:t xml:space="preserve"> novērtē ar saviem rezultātiem saistīto </w:t>
      </w:r>
      <w:r>
        <w:rPr>
          <w:rFonts w:ascii="Times New Roman" w:hAnsi="Times New Roman"/>
          <w:i/>
          <w:iCs/>
          <w:sz w:val="24"/>
        </w:rPr>
        <w:t>MU</w:t>
      </w:r>
      <w:r>
        <w:rPr>
          <w:rFonts w:ascii="Times New Roman" w:hAnsi="Times New Roman"/>
          <w:sz w:val="24"/>
          <w:u w:val="none"/>
        </w:rPr>
        <w:t xml:space="preserve"> un attiecīgā gadījumā paziņo nenoteiktību. </w:t>
      </w:r>
      <w:r>
        <w:rPr>
          <w:rFonts w:ascii="Times New Roman" w:hAnsi="Times New Roman"/>
          <w:sz w:val="24"/>
          <w:u w:val="none" w:color="000000"/>
        </w:rPr>
        <w:t>ISO</w:t>
      </w:r>
      <w:r>
        <w:rPr>
          <w:rFonts w:ascii="Times New Roman" w:hAnsi="Times New Roman"/>
          <w:sz w:val="24"/>
          <w:u w:val="none"/>
        </w:rPr>
        <w:t xml:space="preserve">/IEC 17025 ir ieteikts aplēst </w:t>
      </w:r>
      <w:r>
        <w:rPr>
          <w:rFonts w:ascii="Times New Roman" w:hAnsi="Times New Roman"/>
          <w:i/>
          <w:iCs/>
          <w:sz w:val="24"/>
        </w:rPr>
        <w:t>MU</w:t>
      </w:r>
      <w:r>
        <w:rPr>
          <w:rFonts w:ascii="Times New Roman" w:hAnsi="Times New Roman"/>
          <w:sz w:val="24"/>
          <w:u w:val="none"/>
        </w:rPr>
        <w:t xml:space="preserve">, izmantojot pieeju, kas atbilst principiem, kuri aprakstīti rokasgrāmatā </w:t>
      </w:r>
      <w:r>
        <w:rPr>
          <w:rFonts w:ascii="Times New Roman" w:hAnsi="Times New Roman"/>
          <w:i/>
          <w:iCs/>
          <w:sz w:val="24"/>
          <w:u w:val="none"/>
        </w:rPr>
        <w:t>ISO/IEC Guide to the Expression of Uncertainty in Measurement</w:t>
      </w:r>
      <w:r>
        <w:rPr>
          <w:rFonts w:ascii="Times New Roman" w:hAnsi="Times New Roman"/>
          <w:sz w:val="24"/>
          <w:u w:val="none"/>
        </w:rPr>
        <w:t xml:space="preserve"> [ISO/</w:t>
      </w:r>
      <w:r>
        <w:rPr>
          <w:rFonts w:ascii="Times New Roman" w:hAnsi="Times New Roman"/>
          <w:i/>
          <w:iCs/>
          <w:sz w:val="24"/>
          <w:u w:val="none"/>
        </w:rPr>
        <w:t>IEC</w:t>
      </w:r>
      <w:r>
        <w:rPr>
          <w:rFonts w:ascii="Times New Roman" w:hAnsi="Times New Roman"/>
          <w:sz w:val="24"/>
          <w:u w:val="none"/>
        </w:rPr>
        <w:t xml:space="preserve"> Rokasgrāmata par nenoteiktības izteikšanu mērījumos] (</w:t>
      </w:r>
      <w:r>
        <w:rPr>
          <w:rFonts w:ascii="Times New Roman" w:hAnsi="Times New Roman"/>
          <w:i/>
          <w:iCs/>
          <w:sz w:val="24"/>
          <w:u w:val="none"/>
        </w:rPr>
        <w:t>GUM</w:t>
      </w:r>
      <w:r>
        <w:rPr>
          <w:rFonts w:ascii="Times New Roman" w:hAnsi="Times New Roman"/>
          <w:sz w:val="24"/>
          <w:u w:val="none"/>
        </w:rPr>
        <w:t>) [9].</w:t>
      </w:r>
    </w:p>
    <w:p w14:paraId="13B6F614" w14:textId="77777777" w:rsidR="006E5CD4" w:rsidRPr="00FB35D8" w:rsidRDefault="006E5CD4" w:rsidP="00FB35D8">
      <w:pPr>
        <w:pStyle w:val="BodyText"/>
        <w:spacing w:before="0"/>
        <w:ind w:left="0"/>
        <w:jc w:val="both"/>
        <w:rPr>
          <w:rFonts w:ascii="Times New Roman" w:hAnsi="Times New Roman"/>
          <w:noProof/>
          <w:sz w:val="24"/>
          <w:u w:val="none"/>
        </w:rPr>
      </w:pPr>
    </w:p>
    <w:p w14:paraId="35B66296" w14:textId="6D0B135D"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Minimālās prasības, kas jāpiemēro jebkurai pieejai, lai aplēstu </w:t>
      </w:r>
      <w:r>
        <w:rPr>
          <w:rFonts w:ascii="Times New Roman" w:hAnsi="Times New Roman"/>
          <w:i/>
          <w:iCs/>
          <w:sz w:val="24"/>
        </w:rPr>
        <w:t>MU</w:t>
      </w:r>
      <w:r>
        <w:rPr>
          <w:rFonts w:ascii="Times New Roman" w:hAnsi="Times New Roman"/>
          <w:sz w:val="24"/>
          <w:u w:val="none"/>
        </w:rPr>
        <w:t xml:space="preserve"> </w:t>
      </w:r>
      <w:r>
        <w:rPr>
          <w:rFonts w:ascii="Times New Roman" w:hAnsi="Times New Roman"/>
          <w:sz w:val="24"/>
        </w:rPr>
        <w:t>sliekšņa vielu</w:t>
      </w:r>
      <w:r>
        <w:rPr>
          <w:rFonts w:ascii="Times New Roman" w:hAnsi="Times New Roman"/>
          <w:sz w:val="24"/>
          <w:u w:val="none"/>
        </w:rPr>
        <w:t xml:space="preserve"> kvantitatīvās </w:t>
      </w:r>
      <w:r>
        <w:rPr>
          <w:rFonts w:ascii="Times New Roman" w:hAnsi="Times New Roman"/>
          <w:sz w:val="24"/>
        </w:rPr>
        <w:t>apstiprināšanas procedūrā</w:t>
      </w:r>
      <w:r>
        <w:rPr>
          <w:rFonts w:ascii="Times New Roman" w:hAnsi="Times New Roman"/>
          <w:sz w:val="24"/>
          <w:u w:val="none"/>
        </w:rPr>
        <w:t>, ir:</w:t>
      </w:r>
    </w:p>
    <w:p w14:paraId="5CF2B62B" w14:textId="77777777" w:rsidR="006E5CD4" w:rsidRPr="00FB35D8" w:rsidRDefault="006E5CD4" w:rsidP="00FB35D8">
      <w:pPr>
        <w:pStyle w:val="BodyText"/>
        <w:spacing w:before="0"/>
        <w:ind w:left="0"/>
        <w:jc w:val="both"/>
        <w:rPr>
          <w:rFonts w:ascii="Times New Roman" w:hAnsi="Times New Roman"/>
          <w:noProof/>
          <w:sz w:val="24"/>
          <w:u w:val="none"/>
        </w:rPr>
      </w:pPr>
    </w:p>
    <w:p w14:paraId="30F0EAE3" w14:textId="77777777" w:rsidR="00573E92" w:rsidRPr="00FB35D8" w:rsidRDefault="00573E92" w:rsidP="006E5CD4">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visaptverošs nenoteiktības novērtējums, kurā ņem vērā visus attiecīgos mērījumu kļūdas avotus;</w:t>
      </w:r>
    </w:p>
    <w:p w14:paraId="256FCA80" w14:textId="77777777" w:rsidR="00573E92" w:rsidRPr="00FB35D8" w:rsidRDefault="00573E92" w:rsidP="006E5CD4">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nenoteiktības, ko rada nejauša un sistemātiska ietekme, jāapstrādā līdzīgi, </w:t>
      </w:r>
      <w:r>
        <w:rPr>
          <w:rFonts w:ascii="Times New Roman" w:hAnsi="Times New Roman"/>
          <w:i/>
          <w:iCs/>
          <w:sz w:val="24"/>
          <w:u w:val="none"/>
        </w:rPr>
        <w:t>t. i.</w:t>
      </w:r>
      <w:r>
        <w:rPr>
          <w:rFonts w:ascii="Times New Roman" w:hAnsi="Times New Roman"/>
          <w:sz w:val="24"/>
          <w:u w:val="none"/>
        </w:rPr>
        <w:t>, tās jāizsaka un jākombinē kā saistīto varbūtības sadalījumu variācijas;</w:t>
      </w:r>
    </w:p>
    <w:p w14:paraId="4CB867A4" w14:textId="77777777" w:rsidR="00573E92" w:rsidRPr="00FB35D8" w:rsidRDefault="00573E92" w:rsidP="006E5CD4">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nenoteiktības novērtējums, ko veic ar mērījumu rezultātu statistisko analīzi (A tips), vai alternatīvās metodes, kuru pamatā ir citi dati/informācija (B tips), tiek atzītas par vienādi derīgiem rīkiem, un</w:t>
      </w:r>
    </w:p>
    <w:p w14:paraId="596CE1EF" w14:textId="77777777" w:rsidR="00573E92" w:rsidRPr="00FB35D8" w:rsidRDefault="00573E92" w:rsidP="006E5CD4">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nenoteiktības, kas saistītas ar gala rezultātiem, izsaka vai nu kā </w:t>
      </w:r>
      <w:r>
        <w:rPr>
          <w:rFonts w:ascii="Times New Roman" w:hAnsi="Times New Roman"/>
          <w:i/>
          <w:iCs/>
          <w:sz w:val="24"/>
          <w:u w:val="none"/>
        </w:rPr>
        <w:t>SD</w:t>
      </w:r>
      <w:r>
        <w:rPr>
          <w:rFonts w:ascii="Times New Roman" w:hAnsi="Times New Roman"/>
          <w:sz w:val="24"/>
          <w:u w:val="none"/>
        </w:rPr>
        <w:t xml:space="preserve"> (standarta nenoteiktība,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vai kā </w:t>
      </w:r>
      <w:r>
        <w:rPr>
          <w:rFonts w:ascii="Times New Roman" w:hAnsi="Times New Roman"/>
          <w:i/>
          <w:iCs/>
          <w:sz w:val="24"/>
          <w:u w:val="none"/>
        </w:rPr>
        <w:t>SD</w:t>
      </w:r>
      <w:r>
        <w:rPr>
          <w:rFonts w:ascii="Times New Roman" w:hAnsi="Times New Roman"/>
          <w:sz w:val="24"/>
          <w:u w:val="none"/>
        </w:rPr>
        <w:t xml:space="preserve"> reizinājumu (paplašinātā nenoteiktība, </w:t>
      </w:r>
      <w:r>
        <w:rPr>
          <w:rFonts w:ascii="Times New Roman" w:hAnsi="Times New Roman"/>
          <w:i/>
          <w:iCs/>
          <w:sz w:val="24"/>
          <w:u w:val="none"/>
        </w:rPr>
        <w:t>U</w:t>
      </w:r>
      <w:r>
        <w:rPr>
          <w:rFonts w:ascii="Times New Roman" w:hAnsi="Times New Roman"/>
          <w:sz w:val="24"/>
          <w:u w:val="none"/>
        </w:rPr>
        <w:t xml:space="preserve">), izmantojot noteiktu skaitlisko koeficientu (aptvēruma koeficients, </w:t>
      </w:r>
      <w:r>
        <w:rPr>
          <w:rFonts w:ascii="Times New Roman" w:hAnsi="Times New Roman"/>
          <w:i/>
          <w:iCs/>
          <w:sz w:val="24"/>
          <w:u w:val="none"/>
        </w:rPr>
        <w:t>k</w:t>
      </w:r>
      <w:r>
        <w:rPr>
          <w:rFonts w:ascii="Times New Roman" w:hAnsi="Times New Roman"/>
          <w:sz w:val="24"/>
          <w:u w:val="none"/>
        </w:rPr>
        <w:t>).</w:t>
      </w:r>
    </w:p>
    <w:p w14:paraId="4484D647" w14:textId="77777777" w:rsidR="006E5CD4" w:rsidRDefault="006E5CD4" w:rsidP="00FB35D8">
      <w:pPr>
        <w:pStyle w:val="BodyText"/>
        <w:spacing w:before="0"/>
        <w:ind w:left="0"/>
        <w:jc w:val="both"/>
        <w:rPr>
          <w:rFonts w:ascii="Times New Roman" w:hAnsi="Times New Roman"/>
          <w:noProof/>
          <w:sz w:val="24"/>
          <w:u w:val="none"/>
        </w:rPr>
      </w:pPr>
    </w:p>
    <w:p w14:paraId="32BA9452" w14:textId="6BD63F6E"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i/>
          <w:iCs/>
          <w:sz w:val="24"/>
          <w:u w:val="none"/>
        </w:rPr>
        <w:t>GUM</w:t>
      </w:r>
      <w:r>
        <w:rPr>
          <w:rFonts w:ascii="Times New Roman" w:hAnsi="Times New Roman"/>
          <w:sz w:val="24"/>
          <w:u w:val="none"/>
        </w:rPr>
        <w:t xml:space="preserve"> citētie piemēri nenoteiktības novērtēšanai ir saistīti ar vienu metodi, kas citur tiek dēvēta par “analītisko”, “modelēšanas” vai “augšupvērsto” pieeju. </w:t>
      </w:r>
      <w:r>
        <w:rPr>
          <w:rFonts w:ascii="Times New Roman" w:hAnsi="Times New Roman"/>
          <w:i/>
          <w:iCs/>
          <w:sz w:val="24"/>
          <w:u w:val="none"/>
        </w:rPr>
        <w:t>GUM</w:t>
      </w:r>
      <w:r>
        <w:rPr>
          <w:rFonts w:ascii="Times New Roman" w:hAnsi="Times New Roman"/>
          <w:sz w:val="24"/>
          <w:u w:val="none"/>
        </w:rPr>
        <w:t xml:space="preserve"> pamatprincipi ļauj izmantot arī vairāk vispārējas pieejas </w:t>
      </w:r>
      <w:r>
        <w:rPr>
          <w:rFonts w:ascii="Times New Roman" w:hAnsi="Times New Roman"/>
          <w:i/>
          <w:iCs/>
          <w:sz w:val="24"/>
        </w:rPr>
        <w:t>MU</w:t>
      </w:r>
      <w:r>
        <w:rPr>
          <w:rFonts w:ascii="Times New Roman" w:hAnsi="Times New Roman"/>
          <w:sz w:val="24"/>
          <w:u w:val="none"/>
        </w:rPr>
        <w:t xml:space="preserve"> avotu novērtēšanai, kuras parasti dēvē par “lejupvērstām” vai “empīriskām” pieejām, kurās izmanto datus, kas iegūti no laboratorijas iekšējiem vai starplaboratoriju metodes validācijas pētījumiem, iekšējās kvalitātes kontroles procedūrām vai no </w:t>
      </w:r>
      <w:r>
        <w:rPr>
          <w:rFonts w:ascii="Times New Roman" w:hAnsi="Times New Roman"/>
          <w:i/>
          <w:iCs/>
          <w:sz w:val="24"/>
        </w:rPr>
        <w:t>EQAS</w:t>
      </w:r>
      <w:r>
        <w:rPr>
          <w:rFonts w:ascii="Times New Roman" w:hAnsi="Times New Roman"/>
          <w:sz w:val="24"/>
          <w:u w:val="none"/>
        </w:rPr>
        <w:t xml:space="preserve"> rezultātiem. Visas šīs pieejas potenciāli atbilst </w:t>
      </w:r>
      <w:r>
        <w:rPr>
          <w:rFonts w:ascii="Times New Roman" w:hAnsi="Times New Roman"/>
          <w:i/>
          <w:iCs/>
          <w:sz w:val="24"/>
          <w:u w:val="none"/>
        </w:rPr>
        <w:t>GUM</w:t>
      </w:r>
      <w:r>
        <w:rPr>
          <w:rFonts w:ascii="Times New Roman" w:hAnsi="Times New Roman"/>
          <w:sz w:val="24"/>
          <w:u w:val="none"/>
        </w:rPr>
        <w:t xml:space="preserve"> principiem, ja iepriekš uzskaitītās minimālās prasības tiek pienācīgi (bet ne vienmēr izsmeļoši) risinātas un iegūtā </w:t>
      </w:r>
      <w:r>
        <w:rPr>
          <w:rFonts w:ascii="Times New Roman" w:hAnsi="Times New Roman"/>
          <w:i/>
          <w:iCs/>
          <w:sz w:val="24"/>
        </w:rPr>
        <w:t>MU</w:t>
      </w:r>
      <w:r>
        <w:rPr>
          <w:rFonts w:ascii="Times New Roman" w:hAnsi="Times New Roman"/>
          <w:sz w:val="24"/>
          <w:u w:val="none"/>
        </w:rPr>
        <w:t xml:space="preserve"> aplēse ir piemērota mērījuma paredzētajam mērķim. Ir pieejamas dažādas atsauces, kas sniedz derīgus piemērus par “augšupvērstām” un “lejupvērstām” pieejām </w:t>
      </w:r>
      <w:r>
        <w:rPr>
          <w:rFonts w:ascii="Times New Roman" w:hAnsi="Times New Roman"/>
          <w:i/>
          <w:iCs/>
          <w:sz w:val="24"/>
        </w:rPr>
        <w:t>MU</w:t>
      </w:r>
      <w:r>
        <w:rPr>
          <w:rFonts w:ascii="Times New Roman" w:hAnsi="Times New Roman"/>
          <w:sz w:val="24"/>
          <w:u w:val="none"/>
        </w:rPr>
        <w:t xml:space="preserve"> aplēšanai [10, 11].</w:t>
      </w:r>
    </w:p>
    <w:p w14:paraId="154C49A9" w14:textId="77777777" w:rsidR="006E5CD4" w:rsidRPr="00FB35D8" w:rsidRDefault="006E5CD4" w:rsidP="00FB35D8">
      <w:pPr>
        <w:pStyle w:val="BodyText"/>
        <w:spacing w:before="0"/>
        <w:ind w:left="0"/>
        <w:jc w:val="both"/>
        <w:rPr>
          <w:rFonts w:ascii="Times New Roman" w:hAnsi="Times New Roman"/>
          <w:noProof/>
          <w:sz w:val="24"/>
          <w:u w:val="none"/>
        </w:rPr>
      </w:pPr>
    </w:p>
    <w:p w14:paraId="3AD8CBAE" w14:textId="2AB2A50C"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Četras atsevišķas pieejas, ko piemēro kombinētās standarta mērījumu nenoteiktības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i/>
          <w:iCs/>
          <w:sz w:val="24"/>
          <w:u w:val="none"/>
        </w:rPr>
        <w:t>(y)</w:t>
      </w:r>
      <w:r>
        <w:rPr>
          <w:rFonts w:ascii="Times New Roman" w:hAnsi="Times New Roman"/>
          <w:sz w:val="24"/>
          <w:u w:val="none"/>
        </w:rPr>
        <w:t xml:space="preserve"> aplēšanai un kas ir saistītas ar individuālo rezultātu (</w:t>
      </w:r>
      <w:r>
        <w:rPr>
          <w:rFonts w:ascii="Times New Roman" w:hAnsi="Times New Roman"/>
          <w:i/>
          <w:iCs/>
          <w:sz w:val="24"/>
          <w:u w:val="none"/>
        </w:rPr>
        <w:t>y</w:t>
      </w:r>
      <w:r>
        <w:rPr>
          <w:rFonts w:ascii="Times New Roman" w:hAnsi="Times New Roman"/>
          <w:sz w:val="24"/>
          <w:u w:val="none"/>
        </w:rPr>
        <w:t>), ir sīkāk aprakstītas turpmāk. Tās attiecīgi izmanto:</w:t>
      </w:r>
    </w:p>
    <w:p w14:paraId="2272903B" w14:textId="77777777" w:rsidR="006E5CD4" w:rsidRPr="00FB35D8" w:rsidRDefault="006E5CD4" w:rsidP="00FB35D8">
      <w:pPr>
        <w:pStyle w:val="BodyText"/>
        <w:spacing w:before="0"/>
        <w:ind w:left="0"/>
        <w:jc w:val="both"/>
        <w:rPr>
          <w:rFonts w:ascii="Times New Roman" w:hAnsi="Times New Roman"/>
          <w:noProof/>
          <w:sz w:val="24"/>
          <w:u w:val="none"/>
        </w:rPr>
      </w:pPr>
    </w:p>
    <w:p w14:paraId="2A0AAD66" w14:textId="58D9E4BD" w:rsidR="00573E92" w:rsidRPr="00FB35D8" w:rsidRDefault="006E5CD4" w:rsidP="006E5CD4">
      <w:pPr>
        <w:pStyle w:val="BodyText"/>
        <w:tabs>
          <w:tab w:val="left" w:pos="851"/>
        </w:tabs>
        <w:spacing w:before="0"/>
        <w:ind w:left="284"/>
        <w:jc w:val="both"/>
        <w:rPr>
          <w:rFonts w:ascii="Times New Roman" w:hAnsi="Times New Roman"/>
          <w:noProof/>
          <w:sz w:val="24"/>
          <w:u w:val="none"/>
        </w:rPr>
      </w:pPr>
      <w:r>
        <w:rPr>
          <w:rFonts w:ascii="Times New Roman" w:hAnsi="Times New Roman"/>
          <w:sz w:val="24"/>
          <w:u w:val="none"/>
        </w:rPr>
        <w:t xml:space="preserve">A) modelēšanas pieeju, kuras pamatā ir </w:t>
      </w:r>
      <w:r>
        <w:rPr>
          <w:rFonts w:ascii="Times New Roman" w:hAnsi="Times New Roman"/>
          <w:i/>
          <w:iCs/>
          <w:sz w:val="24"/>
          <w:u w:val="none"/>
        </w:rPr>
        <w:t>GUM</w:t>
      </w:r>
      <w:r>
        <w:rPr>
          <w:rFonts w:ascii="Times New Roman" w:hAnsi="Times New Roman"/>
          <w:sz w:val="24"/>
          <w:u w:val="none"/>
        </w:rPr>
        <w:t xml:space="preserve"> aprakstītie principi;</w:t>
      </w:r>
    </w:p>
    <w:p w14:paraId="76AAFE10" w14:textId="602280CA" w:rsidR="00573E92" w:rsidRPr="00FB35D8" w:rsidRDefault="006E5CD4" w:rsidP="006E5CD4">
      <w:pPr>
        <w:pStyle w:val="BodyText"/>
        <w:tabs>
          <w:tab w:val="left" w:pos="851"/>
        </w:tabs>
        <w:spacing w:before="0"/>
        <w:ind w:left="284"/>
        <w:jc w:val="both"/>
        <w:rPr>
          <w:rFonts w:ascii="Times New Roman" w:hAnsi="Times New Roman"/>
          <w:noProof/>
          <w:sz w:val="24"/>
          <w:u w:val="none"/>
        </w:rPr>
      </w:pPr>
      <w:r>
        <w:rPr>
          <w:rFonts w:ascii="Times New Roman" w:hAnsi="Times New Roman"/>
          <w:sz w:val="24"/>
          <w:u w:val="none"/>
        </w:rPr>
        <w:t>B) iekšējo metodes validāciju datu kombinēšanai ar kvalitātes kontroles datiem;</w:t>
      </w:r>
    </w:p>
    <w:p w14:paraId="18E1AE1E" w14:textId="6C672DD5" w:rsidR="00573E92" w:rsidRPr="00FB35D8" w:rsidRDefault="006E5CD4" w:rsidP="006E5CD4">
      <w:pPr>
        <w:pStyle w:val="BodyText"/>
        <w:tabs>
          <w:tab w:val="left" w:pos="851"/>
        </w:tabs>
        <w:spacing w:before="0"/>
        <w:ind w:left="284"/>
        <w:jc w:val="both"/>
        <w:rPr>
          <w:rFonts w:ascii="Times New Roman" w:hAnsi="Times New Roman"/>
          <w:noProof/>
          <w:sz w:val="24"/>
          <w:u w:val="none"/>
        </w:rPr>
      </w:pPr>
      <w:r>
        <w:rPr>
          <w:rFonts w:ascii="Times New Roman" w:hAnsi="Times New Roman"/>
          <w:sz w:val="24"/>
          <w:u w:val="none"/>
        </w:rPr>
        <w:t>C) datus, kas iegūti sadarbības ietvaros veiktos izmēģinājumos;</w:t>
      </w:r>
    </w:p>
    <w:p w14:paraId="24E16395" w14:textId="28DCE834" w:rsidR="00573E92" w:rsidRPr="00FB35D8" w:rsidRDefault="006E5CD4" w:rsidP="006E5CD4">
      <w:pPr>
        <w:pStyle w:val="BodyText"/>
        <w:tabs>
          <w:tab w:val="left" w:pos="851"/>
        </w:tabs>
        <w:spacing w:before="0"/>
        <w:ind w:left="284"/>
        <w:jc w:val="both"/>
        <w:rPr>
          <w:rFonts w:ascii="Times New Roman" w:hAnsi="Times New Roman"/>
          <w:noProof/>
          <w:sz w:val="24"/>
          <w:u w:val="none"/>
        </w:rPr>
      </w:pPr>
      <w:r>
        <w:rPr>
          <w:rFonts w:ascii="Times New Roman" w:hAnsi="Times New Roman"/>
          <w:sz w:val="24"/>
          <w:u w:val="none"/>
        </w:rPr>
        <w:t xml:space="preserve">D) datus, kas iegūti no </w:t>
      </w:r>
      <w:r>
        <w:rPr>
          <w:rFonts w:ascii="Times New Roman" w:hAnsi="Times New Roman"/>
          <w:i/>
          <w:iCs/>
          <w:sz w:val="24"/>
          <w:u w:color="000000"/>
        </w:rPr>
        <w:t>E</w:t>
      </w:r>
      <w:r>
        <w:rPr>
          <w:rFonts w:ascii="Times New Roman" w:hAnsi="Times New Roman"/>
          <w:i/>
          <w:iCs/>
          <w:sz w:val="24"/>
        </w:rPr>
        <w:t>QAS</w:t>
      </w:r>
      <w:r>
        <w:rPr>
          <w:rFonts w:ascii="Times New Roman" w:hAnsi="Times New Roman"/>
          <w:sz w:val="24"/>
          <w:u w:val="none"/>
        </w:rPr>
        <w:t>.</w:t>
      </w:r>
    </w:p>
    <w:p w14:paraId="2DDD1147" w14:textId="77777777" w:rsidR="006E5CD4" w:rsidRDefault="006E5CD4" w:rsidP="00FB35D8">
      <w:pPr>
        <w:pStyle w:val="BodyText"/>
        <w:spacing w:before="0"/>
        <w:ind w:left="0"/>
        <w:jc w:val="both"/>
        <w:rPr>
          <w:rFonts w:ascii="Times New Roman" w:hAnsi="Times New Roman"/>
          <w:noProof/>
          <w:sz w:val="24"/>
          <w:u w:val="none"/>
        </w:rPr>
      </w:pPr>
    </w:p>
    <w:p w14:paraId="75B604D2" w14:textId="07CDCF80"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Nenoteiktības aplēšanai izmantotajai stratēģijai nav jāatbilst tikai vienam ekskluzīvam modelim, un praksē var izmantot divās vai vairākās dažādās pieejās iegūto datu kombināciju.</w:t>
      </w:r>
    </w:p>
    <w:p w14:paraId="7D9E08D5" w14:textId="77777777" w:rsidR="006E5CD4" w:rsidRPr="00FB35D8" w:rsidRDefault="006E5CD4" w:rsidP="00FB35D8">
      <w:pPr>
        <w:pStyle w:val="BodyText"/>
        <w:spacing w:before="0"/>
        <w:ind w:left="0"/>
        <w:jc w:val="both"/>
        <w:rPr>
          <w:rFonts w:ascii="Times New Roman" w:hAnsi="Times New Roman"/>
          <w:noProof/>
          <w:sz w:val="24"/>
          <w:u w:val="none"/>
        </w:rPr>
      </w:pPr>
    </w:p>
    <w:p w14:paraId="62E3E73F"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Visas šīs pieejas atbilst </w:t>
      </w:r>
      <w:r>
        <w:rPr>
          <w:rFonts w:ascii="Times New Roman" w:hAnsi="Times New Roman"/>
          <w:i/>
          <w:iCs/>
          <w:sz w:val="24"/>
          <w:u w:val="none"/>
        </w:rPr>
        <w:t>GUM</w:t>
      </w:r>
      <w:r>
        <w:rPr>
          <w:rFonts w:ascii="Times New Roman" w:hAnsi="Times New Roman"/>
          <w:sz w:val="24"/>
          <w:u w:val="none"/>
        </w:rPr>
        <w:t xml:space="preserve"> un tiek uzskatītas par pieņemamām. Jebkuru no šīm pieejām </w:t>
      </w:r>
      <w:r>
        <w:rPr>
          <w:rFonts w:ascii="Times New Roman" w:hAnsi="Times New Roman"/>
          <w:sz w:val="24"/>
        </w:rPr>
        <w:t>laboratorija</w:t>
      </w:r>
      <w:r>
        <w:rPr>
          <w:rFonts w:ascii="Times New Roman" w:hAnsi="Times New Roman"/>
          <w:sz w:val="24"/>
          <w:u w:val="none"/>
        </w:rPr>
        <w:t xml:space="preserve"> var izmantot, lai aplēstu </w:t>
      </w:r>
      <w:r>
        <w:rPr>
          <w:rFonts w:ascii="Times New Roman" w:hAnsi="Times New Roman"/>
          <w:i/>
          <w:iCs/>
          <w:sz w:val="24"/>
        </w:rPr>
        <w:t>MU</w:t>
      </w:r>
      <w:r>
        <w:rPr>
          <w:rFonts w:ascii="Times New Roman" w:hAnsi="Times New Roman"/>
          <w:sz w:val="24"/>
          <w:u w:val="none"/>
        </w:rPr>
        <w:t xml:space="preserve">, kas saistīta ar mērījumu rezultātiem, ar nosacījumu, ka </w:t>
      </w:r>
      <w:r>
        <w:rPr>
          <w:rFonts w:ascii="Times New Roman" w:hAnsi="Times New Roman"/>
          <w:sz w:val="24"/>
        </w:rPr>
        <w:t>laboratorijas</w:t>
      </w:r>
      <w:r>
        <w:rPr>
          <w:rFonts w:ascii="Times New Roman" w:hAnsi="Times New Roman"/>
          <w:sz w:val="24"/>
          <w:u w:val="none"/>
        </w:rPr>
        <w:t xml:space="preserve"> aplēses nepārsniedz maksimāli pieļaujamo (mērķa) </w:t>
      </w:r>
      <w:r>
        <w:rPr>
          <w:rFonts w:ascii="Times New Roman" w:hAnsi="Times New Roman"/>
          <w:i/>
          <w:iCs/>
          <w:sz w:val="24"/>
        </w:rPr>
        <w:t>MU</w:t>
      </w:r>
      <w:r>
        <w:rPr>
          <w:rFonts w:ascii="Times New Roman" w:hAnsi="Times New Roman"/>
          <w:sz w:val="24"/>
          <w:u w:val="none"/>
        </w:rPr>
        <w:t xml:space="preserve">, kas saistīta ar konkrēto </w:t>
      </w:r>
      <w:r>
        <w:rPr>
          <w:rFonts w:ascii="Times New Roman" w:hAnsi="Times New Roman"/>
          <w:i/>
          <w:iCs/>
          <w:sz w:val="24"/>
          <w:u w:val="none"/>
        </w:rPr>
        <w:t>WADA</w:t>
      </w:r>
      <w:r>
        <w:rPr>
          <w:rFonts w:ascii="Times New Roman" w:hAnsi="Times New Roman"/>
          <w:sz w:val="24"/>
          <w:u w:val="none"/>
        </w:rPr>
        <w:t xml:space="preserve"> norādīto </w:t>
      </w:r>
      <w:r>
        <w:rPr>
          <w:rFonts w:ascii="Times New Roman" w:hAnsi="Times New Roman"/>
          <w:sz w:val="24"/>
        </w:rPr>
        <w:t>sliekšņa vielu</w:t>
      </w:r>
      <w:r>
        <w:rPr>
          <w:rFonts w:ascii="Times New Roman" w:hAnsi="Times New Roman"/>
          <w:sz w:val="24"/>
          <w:u w:val="none"/>
        </w:rPr>
        <w:t xml:space="preserve"> noteikšanu. Šīs maksimāli pieļaujamās </w:t>
      </w:r>
      <w:r>
        <w:rPr>
          <w:rFonts w:ascii="Times New Roman" w:hAnsi="Times New Roman"/>
          <w:i/>
          <w:iCs/>
          <w:sz w:val="24"/>
        </w:rPr>
        <w:t>MU</w:t>
      </w:r>
      <w:r>
        <w:rPr>
          <w:rFonts w:ascii="Times New Roman" w:hAnsi="Times New Roman"/>
          <w:sz w:val="24"/>
          <w:u w:val="none"/>
        </w:rPr>
        <w:t xml:space="preserve"> ir iegūtas piesardzīgos aprēķinos, pamatojoties uz </w:t>
      </w:r>
      <w:r>
        <w:rPr>
          <w:rFonts w:ascii="Times New Roman" w:hAnsi="Times New Roman"/>
          <w:i/>
          <w:iCs/>
          <w:sz w:val="24"/>
          <w:u w:val="none"/>
        </w:rPr>
        <w:t>EQAS</w:t>
      </w:r>
      <w:r>
        <w:rPr>
          <w:rFonts w:ascii="Times New Roman" w:hAnsi="Times New Roman"/>
          <w:sz w:val="24"/>
          <w:u w:val="none"/>
        </w:rPr>
        <w:t xml:space="preserve"> darbības datiem.</w:t>
      </w:r>
    </w:p>
    <w:p w14:paraId="5C2B3892" w14:textId="77777777" w:rsidR="00573E92" w:rsidRPr="00FB35D8" w:rsidRDefault="00573E92" w:rsidP="00FB35D8">
      <w:pPr>
        <w:jc w:val="both"/>
        <w:rPr>
          <w:rFonts w:ascii="Times New Roman" w:eastAsia="Arial" w:hAnsi="Times New Roman" w:cs="Arial"/>
          <w:noProof/>
          <w:sz w:val="24"/>
          <w:szCs w:val="14"/>
        </w:rPr>
      </w:pPr>
    </w:p>
    <w:p w14:paraId="01262D55" w14:textId="4281408F" w:rsidR="00573E92" w:rsidRPr="00FB35D8" w:rsidRDefault="006E5CD4" w:rsidP="006E5CD4">
      <w:pPr>
        <w:pStyle w:val="BodyText"/>
        <w:tabs>
          <w:tab w:val="left" w:pos="581"/>
        </w:tabs>
        <w:spacing w:before="0"/>
        <w:ind w:left="0"/>
        <w:jc w:val="both"/>
        <w:rPr>
          <w:rFonts w:ascii="Times New Roman" w:hAnsi="Times New Roman"/>
          <w:noProof/>
          <w:sz w:val="24"/>
          <w:u w:val="none"/>
        </w:rPr>
      </w:pPr>
      <w:r>
        <w:rPr>
          <w:rFonts w:ascii="Times New Roman" w:hAnsi="Times New Roman"/>
          <w:sz w:val="24"/>
          <w:u w:val="none"/>
        </w:rPr>
        <w:t>A) Modelēšanas pieeja</w:t>
      </w:r>
    </w:p>
    <w:p w14:paraId="734B4660" w14:textId="77777777" w:rsidR="006E5CD4" w:rsidRDefault="006E5CD4" w:rsidP="00FB35D8">
      <w:pPr>
        <w:pStyle w:val="BodyText"/>
        <w:spacing w:before="0"/>
        <w:ind w:left="0"/>
        <w:jc w:val="both"/>
        <w:rPr>
          <w:rFonts w:ascii="Times New Roman" w:hAnsi="Times New Roman"/>
          <w:noProof/>
          <w:sz w:val="24"/>
          <w:u w:val="none"/>
        </w:rPr>
      </w:pPr>
    </w:p>
    <w:p w14:paraId="30A5C5C2" w14:textId="29D7D114"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Šajā gadījumā </w:t>
      </w:r>
      <w:r>
        <w:rPr>
          <w:rFonts w:ascii="Times New Roman" w:hAnsi="Times New Roman"/>
          <w:sz w:val="24"/>
        </w:rPr>
        <w:t>laboratorija</w:t>
      </w:r>
      <w:r>
        <w:rPr>
          <w:rFonts w:ascii="Times New Roman" w:hAnsi="Times New Roman"/>
          <w:sz w:val="24"/>
          <w:u w:val="none"/>
        </w:rPr>
        <w:t xml:space="preserve"> izstrādā mērījumu vienādojumu vai modeli, kurā rezultāts (</w:t>
      </w:r>
      <w:r>
        <w:rPr>
          <w:rFonts w:ascii="Times New Roman" w:hAnsi="Times New Roman"/>
          <w:i/>
          <w:iCs/>
          <w:sz w:val="24"/>
          <w:u w:val="none"/>
        </w:rPr>
        <w:t>y</w:t>
      </w:r>
      <w:r>
        <w:rPr>
          <w:rFonts w:ascii="Times New Roman" w:hAnsi="Times New Roman"/>
          <w:sz w:val="24"/>
          <w:u w:val="none"/>
        </w:rPr>
        <w:t xml:space="preserve">) ir neatkarīgu ievades parametru </w:t>
      </w:r>
      <w:r>
        <w:rPr>
          <w:rFonts w:ascii="Times New Roman" w:hAnsi="Times New Roman"/>
          <w:i/>
          <w:iCs/>
          <w:sz w:val="24"/>
          <w:u w:val="none"/>
        </w:rPr>
        <w:t>x</w:t>
      </w:r>
      <w:r>
        <w:rPr>
          <w:rFonts w:ascii="Times New Roman" w:hAnsi="Times New Roman"/>
          <w:i/>
          <w:iCs/>
          <w:sz w:val="24"/>
          <w:u w:val="none"/>
          <w:vertAlign w:val="subscript"/>
        </w:rPr>
        <w:t>1</w:t>
      </w:r>
      <w:r>
        <w:rPr>
          <w:rFonts w:ascii="Times New Roman" w:hAnsi="Times New Roman"/>
          <w:i/>
          <w:iCs/>
          <w:sz w:val="24"/>
          <w:u w:val="none"/>
        </w:rPr>
        <w:t>, x</w:t>
      </w:r>
      <w:r>
        <w:rPr>
          <w:rFonts w:ascii="Times New Roman" w:hAnsi="Times New Roman"/>
          <w:i/>
          <w:iCs/>
          <w:sz w:val="24"/>
          <w:u w:val="none"/>
          <w:vertAlign w:val="subscript"/>
        </w:rPr>
        <w:t>2</w:t>
      </w:r>
      <w:r>
        <w:rPr>
          <w:rFonts w:ascii="Times New Roman" w:hAnsi="Times New Roman"/>
          <w:i/>
          <w:iCs/>
          <w:sz w:val="24"/>
          <w:u w:val="none"/>
        </w:rPr>
        <w:t>, x</w:t>
      </w:r>
      <w:r>
        <w:rPr>
          <w:rFonts w:ascii="Times New Roman" w:hAnsi="Times New Roman"/>
          <w:i/>
          <w:iCs/>
          <w:sz w:val="24"/>
          <w:u w:val="none"/>
          <w:vertAlign w:val="subscript"/>
        </w:rPr>
        <w:t>3</w:t>
      </w:r>
      <w:r>
        <w:rPr>
          <w:rFonts w:ascii="Times New Roman" w:hAnsi="Times New Roman"/>
          <w:i/>
          <w:iCs/>
          <w:sz w:val="24"/>
          <w:u w:val="none"/>
        </w:rPr>
        <w:t>… .x</w:t>
      </w:r>
      <w:r>
        <w:rPr>
          <w:rFonts w:ascii="Times New Roman" w:hAnsi="Times New Roman"/>
          <w:i/>
          <w:iCs/>
          <w:sz w:val="24"/>
          <w:u w:val="none"/>
          <w:vertAlign w:val="subscript"/>
        </w:rPr>
        <w:t>n</w:t>
      </w:r>
      <w:r>
        <w:rPr>
          <w:rFonts w:ascii="Times New Roman" w:hAnsi="Times New Roman"/>
          <w:sz w:val="24"/>
          <w:u w:val="none"/>
        </w:rPr>
        <w:t xml:space="preserve"> funkcija, un tie visi ietekmē mērījumu rezultātu.</w:t>
      </w:r>
    </w:p>
    <w:p w14:paraId="577CBE03" w14:textId="77777777" w:rsidR="006E5CD4" w:rsidRPr="00FB35D8" w:rsidRDefault="006E5CD4" w:rsidP="00FB35D8">
      <w:pPr>
        <w:pStyle w:val="BodyText"/>
        <w:spacing w:before="0"/>
        <w:ind w:left="0"/>
        <w:jc w:val="both"/>
        <w:rPr>
          <w:rFonts w:ascii="Times New Roman" w:hAnsi="Times New Roman"/>
          <w:noProof/>
          <w:sz w:val="24"/>
          <w:u w:val="none"/>
        </w:rPr>
      </w:pPr>
    </w:p>
    <w:p w14:paraId="62A07FF0"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matemātiskais modelis ir saskaitīšanas/atņemšanas un reizināšanas/saskaitīšanas darbību kombinācija, tad, lai aprēķinātu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(y)</w:t>
      </w:r>
      <w:r>
        <w:rPr>
          <w:rFonts w:ascii="Times New Roman" w:hAnsi="Times New Roman"/>
          <w:sz w:val="24"/>
          <w:u w:val="none"/>
        </w:rPr>
        <w:t>, izmanto atbilstošu kvadrātisku kombināciju. Šo pieeju sauc arī par “augšupvērstu” jeb “</w:t>
      </w:r>
      <w:r>
        <w:rPr>
          <w:rFonts w:ascii="Times New Roman" w:hAnsi="Times New Roman"/>
          <w:i/>
          <w:iCs/>
          <w:sz w:val="24"/>
          <w:u w:val="none"/>
        </w:rPr>
        <w:t>GUM</w:t>
      </w:r>
      <w:r>
        <w:rPr>
          <w:rFonts w:ascii="Times New Roman" w:hAnsi="Times New Roman"/>
          <w:sz w:val="24"/>
          <w:u w:val="none"/>
        </w:rPr>
        <w:t>” pieeju.</w:t>
      </w:r>
    </w:p>
    <w:p w14:paraId="3E31CF00" w14:textId="77777777" w:rsidR="006E5CD4" w:rsidRDefault="006E5CD4" w:rsidP="00FB35D8">
      <w:pPr>
        <w:pStyle w:val="BodyText"/>
        <w:spacing w:before="0"/>
        <w:ind w:left="0"/>
        <w:jc w:val="both"/>
        <w:rPr>
          <w:rFonts w:ascii="Times New Roman" w:hAnsi="Times New Roman"/>
          <w:noProof/>
          <w:sz w:val="24"/>
          <w:u w:val="none"/>
        </w:rPr>
      </w:pPr>
    </w:p>
    <w:p w14:paraId="42590513" w14:textId="1B3E4034"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Ja vienādojums ir šāds:</w:t>
      </w:r>
    </w:p>
    <w:p w14:paraId="6C2474D4" w14:textId="77777777" w:rsidR="00573E92" w:rsidRPr="00FB35D8" w:rsidRDefault="00573E92" w:rsidP="00FB35D8">
      <w:pPr>
        <w:jc w:val="both"/>
        <w:rPr>
          <w:rFonts w:ascii="Times New Roman" w:eastAsia="Arial" w:hAnsi="Times New Roman" w:cs="Arial"/>
          <w:noProof/>
          <w:sz w:val="24"/>
          <w:szCs w:val="13"/>
        </w:rPr>
      </w:pPr>
    </w:p>
    <w:p w14:paraId="4DA2DB6E" w14:textId="4F14C8C1" w:rsidR="00573E92" w:rsidRDefault="006E5CD4" w:rsidP="006E5CD4">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74C34F5B" wp14:editId="177B1592">
            <wp:extent cx="1447138" cy="2299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8595" cy="231750"/>
                    </a:xfrm>
                    <a:prstGeom prst="rect">
                      <a:avLst/>
                    </a:prstGeom>
                    <a:noFill/>
                    <a:ln>
                      <a:noFill/>
                    </a:ln>
                  </pic:spPr>
                </pic:pic>
              </a:graphicData>
            </a:graphic>
          </wp:inline>
        </w:drawing>
      </w:r>
    </w:p>
    <w:p w14:paraId="2E715C3B" w14:textId="77777777" w:rsidR="006E5CD4" w:rsidRPr="00FB35D8" w:rsidRDefault="006E5CD4" w:rsidP="00FB35D8">
      <w:pPr>
        <w:jc w:val="both"/>
        <w:rPr>
          <w:rFonts w:ascii="Times New Roman" w:eastAsia="Arial" w:hAnsi="Times New Roman" w:cs="Arial"/>
          <w:noProof/>
          <w:sz w:val="24"/>
          <w:szCs w:val="20"/>
        </w:rPr>
      </w:pPr>
    </w:p>
    <w:p w14:paraId="7BC8F2E2"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tad ar rezultātu saistītā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(y)</w:t>
      </w:r>
      <w:r>
        <w:rPr>
          <w:rFonts w:ascii="Times New Roman" w:hAnsi="Times New Roman"/>
          <w:sz w:val="24"/>
          <w:u w:val="none"/>
        </w:rPr>
        <w:t xml:space="preserve"> ir šāda:</w:t>
      </w:r>
    </w:p>
    <w:p w14:paraId="671AC5D4" w14:textId="77777777" w:rsidR="00573E92" w:rsidRPr="00FB35D8" w:rsidRDefault="00573E92" w:rsidP="00FB35D8">
      <w:pPr>
        <w:jc w:val="both"/>
        <w:rPr>
          <w:rFonts w:ascii="Times New Roman" w:eastAsia="Arial" w:hAnsi="Times New Roman" w:cs="Arial"/>
          <w:noProof/>
          <w:sz w:val="24"/>
          <w:szCs w:val="13"/>
        </w:rPr>
      </w:pPr>
    </w:p>
    <w:p w14:paraId="09244E6E" w14:textId="595E5563" w:rsidR="00573E92" w:rsidRDefault="006E5CD4" w:rsidP="006E5CD4">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6741A5D2" wp14:editId="25F316ED">
            <wp:extent cx="2417197" cy="33747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5518" cy="356786"/>
                    </a:xfrm>
                    <a:prstGeom prst="rect">
                      <a:avLst/>
                    </a:prstGeom>
                    <a:noFill/>
                    <a:ln>
                      <a:noFill/>
                    </a:ln>
                  </pic:spPr>
                </pic:pic>
              </a:graphicData>
            </a:graphic>
          </wp:inline>
        </w:drawing>
      </w:r>
    </w:p>
    <w:p w14:paraId="3618088B" w14:textId="77777777" w:rsidR="006E5CD4" w:rsidRPr="00FB35D8" w:rsidRDefault="006E5CD4" w:rsidP="00FB35D8">
      <w:pPr>
        <w:jc w:val="both"/>
        <w:rPr>
          <w:rFonts w:ascii="Times New Roman" w:eastAsia="Arial" w:hAnsi="Times New Roman" w:cs="Arial"/>
          <w:noProof/>
          <w:sz w:val="24"/>
          <w:szCs w:val="20"/>
        </w:rPr>
      </w:pPr>
    </w:p>
    <w:p w14:paraId="50E18177"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Ja vienādojums ir šāds:</w:t>
      </w:r>
    </w:p>
    <w:p w14:paraId="76309236" w14:textId="77777777" w:rsidR="00573E92" w:rsidRPr="00FB35D8" w:rsidRDefault="00573E92" w:rsidP="00FB35D8">
      <w:pPr>
        <w:jc w:val="both"/>
        <w:rPr>
          <w:rFonts w:ascii="Times New Roman" w:eastAsia="Arial" w:hAnsi="Times New Roman" w:cs="Arial"/>
          <w:noProof/>
          <w:sz w:val="24"/>
          <w:szCs w:val="13"/>
        </w:rPr>
      </w:pPr>
    </w:p>
    <w:p w14:paraId="4066159B" w14:textId="542645F0" w:rsidR="00573E92" w:rsidRDefault="006E5CD4" w:rsidP="006E5CD4">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7B778E35" wp14:editId="40A8A94A">
            <wp:extent cx="3140766" cy="43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5560" cy="452614"/>
                    </a:xfrm>
                    <a:prstGeom prst="rect">
                      <a:avLst/>
                    </a:prstGeom>
                    <a:noFill/>
                    <a:ln>
                      <a:noFill/>
                    </a:ln>
                  </pic:spPr>
                </pic:pic>
              </a:graphicData>
            </a:graphic>
          </wp:inline>
        </w:drawing>
      </w:r>
    </w:p>
    <w:p w14:paraId="403F6585" w14:textId="77777777" w:rsidR="006E5CD4" w:rsidRPr="00FB35D8" w:rsidRDefault="006E5CD4" w:rsidP="00FB35D8">
      <w:pPr>
        <w:jc w:val="both"/>
        <w:rPr>
          <w:rFonts w:ascii="Times New Roman" w:eastAsia="Arial" w:hAnsi="Times New Roman" w:cs="Arial"/>
          <w:noProof/>
          <w:sz w:val="24"/>
          <w:szCs w:val="20"/>
        </w:rPr>
      </w:pPr>
    </w:p>
    <w:p w14:paraId="3AAA961E"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tad ar rezultātu saistīto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i/>
          <w:sz w:val="24"/>
          <w:u w:val="none"/>
        </w:rPr>
        <w:t>(y)</w:t>
      </w:r>
      <w:r>
        <w:rPr>
          <w:rFonts w:ascii="Times New Roman" w:hAnsi="Times New Roman"/>
          <w:sz w:val="24"/>
          <w:u w:val="none"/>
        </w:rPr>
        <w:t xml:space="preserve"> nodrošina:</w:t>
      </w:r>
    </w:p>
    <w:p w14:paraId="3D4DD95C" w14:textId="77777777" w:rsidR="00573E92" w:rsidRPr="00FB35D8" w:rsidRDefault="00573E92" w:rsidP="00FB35D8">
      <w:pPr>
        <w:jc w:val="both"/>
        <w:rPr>
          <w:rFonts w:ascii="Times New Roman" w:eastAsia="Arial" w:hAnsi="Times New Roman" w:cs="Arial"/>
          <w:noProof/>
          <w:sz w:val="24"/>
          <w:szCs w:val="13"/>
        </w:rPr>
      </w:pPr>
    </w:p>
    <w:p w14:paraId="6E987DCE" w14:textId="1CE77DE0" w:rsidR="00573E92" w:rsidRDefault="006E5CD4" w:rsidP="006E5CD4">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25A03A2B" wp14:editId="192CDFCC">
            <wp:extent cx="3617844" cy="54489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682" cy="558127"/>
                    </a:xfrm>
                    <a:prstGeom prst="rect">
                      <a:avLst/>
                    </a:prstGeom>
                    <a:noFill/>
                    <a:ln>
                      <a:noFill/>
                    </a:ln>
                  </pic:spPr>
                </pic:pic>
              </a:graphicData>
            </a:graphic>
          </wp:inline>
        </w:drawing>
      </w:r>
    </w:p>
    <w:p w14:paraId="647A27D2" w14:textId="77777777" w:rsidR="006E5CD4" w:rsidRPr="00FB35D8" w:rsidRDefault="006E5CD4" w:rsidP="00FB35D8">
      <w:pPr>
        <w:jc w:val="both"/>
        <w:rPr>
          <w:rFonts w:ascii="Times New Roman" w:eastAsia="Arial" w:hAnsi="Times New Roman" w:cs="Arial"/>
          <w:noProof/>
          <w:sz w:val="24"/>
          <w:szCs w:val="20"/>
        </w:rPr>
      </w:pPr>
    </w:p>
    <w:p w14:paraId="6B1F2A70" w14:textId="77777777" w:rsidR="00573E92" w:rsidRPr="00FB35D8" w:rsidRDefault="00573E92" w:rsidP="00C06F75">
      <w:pPr>
        <w:pStyle w:val="BodyText"/>
        <w:spacing w:before="0"/>
        <w:ind w:left="0"/>
        <w:jc w:val="both"/>
        <w:rPr>
          <w:rFonts w:ascii="Times New Roman" w:hAnsi="Times New Roman"/>
          <w:noProof/>
          <w:sz w:val="24"/>
          <w:u w:val="none"/>
        </w:rPr>
      </w:pPr>
      <w:r>
        <w:rPr>
          <w:rFonts w:ascii="Times New Roman" w:hAnsi="Times New Roman"/>
          <w:sz w:val="24"/>
          <w:u w:val="none"/>
        </w:rPr>
        <w:t xml:space="preserve">Piezīme. Nenoteiktības budžets, kas iegūts, izmantojot šo pieeju, norāda dažādu nenoteiktības avotu relatīvo lielumu, bet rada risku, ka pietrūks kāda veicinoša faktora, kas var būtiski ietekmēt vispārējo </w:t>
      </w:r>
      <w:r>
        <w:rPr>
          <w:rFonts w:ascii="Times New Roman" w:hAnsi="Times New Roman"/>
          <w:i/>
          <w:iCs/>
          <w:sz w:val="24"/>
        </w:rPr>
        <w:t>MU</w:t>
      </w:r>
      <w:r>
        <w:rPr>
          <w:rFonts w:ascii="Times New Roman" w:hAnsi="Times New Roman"/>
          <w:sz w:val="24"/>
          <w:u w:val="none"/>
        </w:rPr>
        <w:t xml:space="preserve"> aplēsi. Tomēr tas ir vērtīgs līdzeklis, lai noteiktu, kur kvantitatīvās </w:t>
      </w:r>
      <w:r>
        <w:rPr>
          <w:rFonts w:ascii="Times New Roman" w:hAnsi="Times New Roman"/>
          <w:sz w:val="24"/>
        </w:rPr>
        <w:t>apstiprināšanas procedūrā</w:t>
      </w:r>
      <w:r>
        <w:rPr>
          <w:rFonts w:ascii="Times New Roman" w:hAnsi="Times New Roman"/>
          <w:sz w:val="24"/>
          <w:u w:val="none"/>
        </w:rPr>
        <w:t xml:space="preserve"> ir atrodami galvenie nenoteiktības avoti, un lai noteiktu, kam jāpievēršas, ja ir vēlams samazināt rezultātu vispārējo </w:t>
      </w:r>
      <w:r>
        <w:rPr>
          <w:rFonts w:ascii="Times New Roman" w:hAnsi="Times New Roman"/>
          <w:i/>
          <w:iCs/>
          <w:sz w:val="24"/>
        </w:rPr>
        <w:t>MU</w:t>
      </w:r>
      <w:r>
        <w:rPr>
          <w:rFonts w:ascii="Times New Roman" w:hAnsi="Times New Roman"/>
          <w:sz w:val="24"/>
          <w:u w:val="none"/>
        </w:rPr>
        <w:t xml:space="preserve">, kas iegūta, izmantojot kvantitatīvās </w:t>
      </w:r>
      <w:r>
        <w:rPr>
          <w:rFonts w:ascii="Times New Roman" w:hAnsi="Times New Roman"/>
          <w:sz w:val="24"/>
        </w:rPr>
        <w:t>apstiprināšanas procedūru</w:t>
      </w:r>
      <w:r>
        <w:rPr>
          <w:rFonts w:ascii="Times New Roman" w:hAnsi="Times New Roman"/>
          <w:sz w:val="24"/>
          <w:u w:val="none"/>
        </w:rPr>
        <w:t>.</w:t>
      </w:r>
    </w:p>
    <w:p w14:paraId="25AC0C64" w14:textId="77777777" w:rsidR="00573E92" w:rsidRPr="00FB35D8" w:rsidRDefault="00573E92" w:rsidP="00FB35D8">
      <w:pPr>
        <w:jc w:val="both"/>
        <w:rPr>
          <w:rFonts w:ascii="Times New Roman" w:eastAsia="Arial" w:hAnsi="Times New Roman" w:cs="Arial"/>
          <w:noProof/>
          <w:sz w:val="24"/>
          <w:szCs w:val="14"/>
        </w:rPr>
      </w:pPr>
    </w:p>
    <w:p w14:paraId="54641BFD" w14:textId="6C341A08" w:rsidR="00573E92" w:rsidRPr="00FB35D8" w:rsidRDefault="006E5CD4" w:rsidP="006E5CD4">
      <w:pPr>
        <w:pStyle w:val="BodyText"/>
        <w:tabs>
          <w:tab w:val="left" w:pos="581"/>
        </w:tabs>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rPr>
        <w:t>Laboratorijas</w:t>
      </w:r>
      <w:r>
        <w:rPr>
          <w:rFonts w:ascii="Times New Roman" w:hAnsi="Times New Roman"/>
          <w:sz w:val="24"/>
          <w:u w:val="none"/>
        </w:rPr>
        <w:t xml:space="preserve"> iekšējā datu pieeja</w:t>
      </w:r>
    </w:p>
    <w:p w14:paraId="21B394EC" w14:textId="77777777" w:rsidR="006E5CD4" w:rsidRDefault="006E5CD4" w:rsidP="00FB35D8">
      <w:pPr>
        <w:pStyle w:val="BodyText"/>
        <w:spacing w:before="0"/>
        <w:ind w:left="0"/>
        <w:jc w:val="both"/>
        <w:rPr>
          <w:rFonts w:ascii="Times New Roman" w:hAnsi="Times New Roman"/>
          <w:noProof/>
          <w:sz w:val="24"/>
          <w:u w:val="none"/>
        </w:rPr>
      </w:pPr>
    </w:p>
    <w:p w14:paraId="1F929393" w14:textId="420700B9"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Šajā pieejā pieņem, ka kvantitatīvā </w:t>
      </w:r>
      <w:r>
        <w:rPr>
          <w:rFonts w:ascii="Times New Roman" w:hAnsi="Times New Roman"/>
          <w:sz w:val="24"/>
        </w:rPr>
        <w:t>apstiprināšanas procedūra</w:t>
      </w:r>
      <w:r>
        <w:rPr>
          <w:rFonts w:ascii="Times New Roman" w:hAnsi="Times New Roman"/>
          <w:sz w:val="24"/>
          <w:u w:val="none"/>
        </w:rPr>
        <w:t xml:space="preserve"> ir veikta laboratorijas iekšējā validācijā, tostarp veicot </w:t>
      </w:r>
      <w:r>
        <w:rPr>
          <w:rFonts w:ascii="Times New Roman" w:hAnsi="Times New Roman"/>
          <w:sz w:val="24"/>
        </w:rPr>
        <w:t>laboratorijas</w:t>
      </w:r>
      <w:r>
        <w:rPr>
          <w:rFonts w:ascii="Times New Roman" w:hAnsi="Times New Roman"/>
          <w:sz w:val="24"/>
          <w:u w:val="none"/>
        </w:rPr>
        <w:t xml:space="preserve"> iekšējās </w:t>
      </w:r>
      <w:r>
        <w:rPr>
          <w:rFonts w:ascii="Times New Roman" w:hAnsi="Times New Roman"/>
          <w:sz w:val="24"/>
        </w:rPr>
        <w:t>atveidojamības</w:t>
      </w:r>
      <w:r>
        <w:rPr>
          <w:rFonts w:ascii="Times New Roman" w:hAnsi="Times New Roman"/>
          <w:sz w:val="24"/>
          <w:u w:val="none"/>
        </w:rPr>
        <w:t xml:space="preserve"> aplēsi (to sauc arī par </w:t>
      </w:r>
      <w:r>
        <w:rPr>
          <w:rFonts w:ascii="Times New Roman" w:hAnsi="Times New Roman"/>
          <w:sz w:val="24"/>
        </w:rPr>
        <w:t>starpposma precizitāti</w:t>
      </w:r>
      <w:r>
        <w:rPr>
          <w:rFonts w:ascii="Times New Roman" w:hAnsi="Times New Roman"/>
          <w:sz w:val="24"/>
          <w:u w:val="none"/>
        </w:rPr>
        <w:t xml:space="preserve"> vai neprecizitāti). Tās pamatā ir trīs komponentu mērīšanas modelis:</w:t>
      </w:r>
    </w:p>
    <w:p w14:paraId="55344000" w14:textId="77777777" w:rsidR="00573E92" w:rsidRPr="00FB35D8" w:rsidRDefault="00573E92" w:rsidP="00FB35D8">
      <w:pPr>
        <w:jc w:val="both"/>
        <w:rPr>
          <w:rFonts w:ascii="Times New Roman" w:hAnsi="Times New Roman"/>
          <w:noProof/>
          <w:sz w:val="24"/>
        </w:rPr>
      </w:pPr>
    </w:p>
    <w:p w14:paraId="5088126C" w14:textId="413A95B2" w:rsidR="00573E92" w:rsidRDefault="006E5CD4" w:rsidP="006E5CD4">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59CDA394" wp14:editId="0FA654F2">
            <wp:extent cx="978011" cy="21788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295" cy="224859"/>
                    </a:xfrm>
                    <a:prstGeom prst="rect">
                      <a:avLst/>
                    </a:prstGeom>
                    <a:noFill/>
                    <a:ln>
                      <a:noFill/>
                    </a:ln>
                  </pic:spPr>
                </pic:pic>
              </a:graphicData>
            </a:graphic>
          </wp:inline>
        </w:drawing>
      </w:r>
    </w:p>
    <w:p w14:paraId="1D7724CD" w14:textId="77777777" w:rsidR="006E5CD4" w:rsidRPr="00FB35D8" w:rsidRDefault="006E5CD4" w:rsidP="00FB35D8">
      <w:pPr>
        <w:jc w:val="both"/>
        <w:rPr>
          <w:rFonts w:ascii="Times New Roman" w:eastAsia="Arial" w:hAnsi="Times New Roman" w:cs="Arial"/>
          <w:noProof/>
          <w:sz w:val="24"/>
          <w:szCs w:val="20"/>
        </w:rPr>
      </w:pPr>
    </w:p>
    <w:p w14:paraId="0F378B95"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Rezultāts (</w:t>
      </w:r>
      <w:r>
        <w:rPr>
          <w:rFonts w:ascii="Times New Roman" w:hAnsi="Times New Roman"/>
          <w:i/>
          <w:iCs/>
          <w:sz w:val="24"/>
          <w:u w:val="none"/>
        </w:rPr>
        <w:t>y</w:t>
      </w:r>
      <w:r>
        <w:rPr>
          <w:rFonts w:ascii="Times New Roman" w:hAnsi="Times New Roman"/>
          <w:sz w:val="24"/>
          <w:u w:val="none"/>
        </w:rPr>
        <w:t>) ir summa, ko veido mērīšanas metodes vidējais rādītājs (</w:t>
      </w:r>
      <w:r>
        <w:rPr>
          <w:rFonts w:ascii="Times New Roman" w:hAnsi="Times New Roman"/>
          <w:i/>
          <w:iCs/>
          <w:sz w:val="24"/>
          <w:u w:val="none"/>
        </w:rPr>
        <w:t>m</w:t>
      </w:r>
      <w:r>
        <w:rPr>
          <w:rFonts w:ascii="Times New Roman" w:hAnsi="Times New Roman"/>
          <w:sz w:val="24"/>
          <w:u w:val="none"/>
        </w:rPr>
        <w:t xml:space="preserve">) </w:t>
      </w:r>
      <w:r>
        <w:rPr>
          <w:rFonts w:ascii="Times New Roman" w:hAnsi="Times New Roman"/>
          <w:sz w:val="24"/>
        </w:rPr>
        <w:t>atveidojamības</w:t>
      </w:r>
      <w:r>
        <w:rPr>
          <w:rFonts w:ascii="Times New Roman" w:hAnsi="Times New Roman"/>
          <w:sz w:val="24"/>
          <w:u w:val="none"/>
        </w:rPr>
        <w:t xml:space="preserve"> apstākļos, metodes novirzes (</w:t>
      </w:r>
      <w:r>
        <w:rPr>
          <w:rFonts w:ascii="Times New Roman" w:hAnsi="Times New Roman"/>
          <w:i/>
          <w:iCs/>
          <w:sz w:val="24"/>
          <w:u w:val="none"/>
        </w:rPr>
        <w:t>B</w:t>
      </w:r>
      <w:r>
        <w:rPr>
          <w:rFonts w:ascii="Times New Roman" w:hAnsi="Times New Roman"/>
          <w:sz w:val="24"/>
          <w:u w:val="none"/>
        </w:rPr>
        <w:t>) aplēse un nejaušas kļūdas ietekme (</w:t>
      </w:r>
      <w:r>
        <w:rPr>
          <w:rFonts w:ascii="Times New Roman" w:hAnsi="Times New Roman"/>
          <w:i/>
          <w:iCs/>
          <w:sz w:val="24"/>
          <w:u w:val="none"/>
        </w:rPr>
        <w:t>e</w:t>
      </w:r>
      <w:r>
        <w:rPr>
          <w:rFonts w:ascii="Times New Roman" w:hAnsi="Times New Roman"/>
          <w:sz w:val="24"/>
          <w:u w:val="none"/>
        </w:rPr>
        <w:t xml:space="preserve">), kā arī ar rezultātu saistītā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i/>
          <w:iCs/>
          <w:sz w:val="24"/>
          <w:u w:val="none"/>
        </w:rPr>
        <w:t>(y)</w:t>
      </w:r>
      <w:r>
        <w:rPr>
          <w:rFonts w:ascii="Times New Roman" w:hAnsi="Times New Roman"/>
          <w:sz w:val="24"/>
          <w:u w:val="none"/>
        </w:rPr>
        <w:t>, ko nodrošina:</w:t>
      </w:r>
    </w:p>
    <w:p w14:paraId="60F29E81" w14:textId="77777777" w:rsidR="00573E92" w:rsidRPr="00FB35D8" w:rsidRDefault="00573E92" w:rsidP="00FB35D8">
      <w:pPr>
        <w:jc w:val="both"/>
        <w:rPr>
          <w:rFonts w:ascii="Times New Roman" w:eastAsia="Arial" w:hAnsi="Times New Roman" w:cs="Arial"/>
          <w:noProof/>
          <w:sz w:val="24"/>
          <w:szCs w:val="10"/>
        </w:rPr>
      </w:pPr>
    </w:p>
    <w:p w14:paraId="56B7B0B9" w14:textId="77CA386A" w:rsidR="00573E92" w:rsidRDefault="006E5CD4" w:rsidP="00C06F75">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589D6A25" wp14:editId="0E9341E4">
            <wp:extent cx="1932167" cy="2767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245" cy="291947"/>
                    </a:xfrm>
                    <a:prstGeom prst="rect">
                      <a:avLst/>
                    </a:prstGeom>
                    <a:noFill/>
                    <a:ln>
                      <a:noFill/>
                    </a:ln>
                  </pic:spPr>
                </pic:pic>
              </a:graphicData>
            </a:graphic>
          </wp:inline>
        </w:drawing>
      </w:r>
    </w:p>
    <w:p w14:paraId="40ED2D76" w14:textId="77777777" w:rsidR="006E5CD4" w:rsidRPr="00FB35D8" w:rsidRDefault="006E5CD4" w:rsidP="00FB35D8">
      <w:pPr>
        <w:jc w:val="both"/>
        <w:rPr>
          <w:rFonts w:ascii="Times New Roman" w:eastAsia="Arial" w:hAnsi="Times New Roman" w:cs="Arial"/>
          <w:noProof/>
          <w:sz w:val="24"/>
          <w:szCs w:val="20"/>
        </w:rPr>
      </w:pPr>
    </w:p>
    <w:p w14:paraId="60039EB1"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iekšējās </w:t>
      </w:r>
      <w:r>
        <w:rPr>
          <w:rFonts w:ascii="Times New Roman" w:hAnsi="Times New Roman"/>
          <w:sz w:val="24"/>
        </w:rPr>
        <w:t>atveidojamības</w:t>
      </w:r>
      <w:r>
        <w:rPr>
          <w:rFonts w:ascii="Times New Roman" w:hAnsi="Times New Roman"/>
          <w:sz w:val="24"/>
          <w:u w:val="none"/>
        </w:rPr>
        <w:t xml:space="preserve"> vai rezultātu </w:t>
      </w:r>
      <w:r>
        <w:rPr>
          <w:rFonts w:ascii="Times New Roman" w:hAnsi="Times New Roman"/>
          <w:sz w:val="24"/>
        </w:rPr>
        <w:t>starpposma precizitātes</w:t>
      </w:r>
      <w:r>
        <w:rPr>
          <w:rFonts w:ascii="Times New Roman" w:hAnsi="Times New Roman"/>
          <w:sz w:val="24"/>
          <w:u w:val="none"/>
        </w:rPr>
        <w:t xml:space="preserve"> aplēsi, ko parasti iegūst no </w:t>
      </w:r>
      <w:r>
        <w:rPr>
          <w:rFonts w:ascii="Times New Roman" w:hAnsi="Times New Roman"/>
          <w:sz w:val="24"/>
        </w:rPr>
        <w:t>laboratorijas</w:t>
      </w:r>
      <w:r>
        <w:rPr>
          <w:rFonts w:ascii="Times New Roman" w:hAnsi="Times New Roman"/>
          <w:sz w:val="24"/>
          <w:u w:val="none"/>
        </w:rPr>
        <w:t xml:space="preserve"> iekšējās kvalitātes kontroles un metodes validācijas datiem, var izteikt kā standartnovirzi (</w:t>
      </w:r>
      <w:r>
        <w:rPr>
          <w:rFonts w:ascii="Times New Roman" w:hAnsi="Times New Roman"/>
          <w:i/>
          <w:sz w:val="24"/>
          <w:u w:val="none"/>
        </w:rPr>
        <w:t>s</w:t>
      </w:r>
      <w:r>
        <w:rPr>
          <w:rFonts w:ascii="Times New Roman" w:hAnsi="Times New Roman"/>
          <w:i/>
          <w:sz w:val="24"/>
          <w:u w:val="none"/>
          <w:vertAlign w:val="subscript"/>
        </w:rPr>
        <w:t>w</w:t>
      </w:r>
      <w:r>
        <w:rPr>
          <w:rFonts w:ascii="Times New Roman" w:hAnsi="Times New Roman"/>
          <w:sz w:val="24"/>
          <w:u w:val="none"/>
        </w:rPr>
        <w:t xml:space="preserve">). Tā nodrošina nolūkam atbilstīgu nenoteiktības ietekmes aplēsi no </w:t>
      </w:r>
      <w:r>
        <w:rPr>
          <w:rFonts w:ascii="Times New Roman" w:hAnsi="Times New Roman"/>
          <w:i/>
          <w:iCs/>
          <w:sz w:val="24"/>
          <w:u w:val="none"/>
        </w:rPr>
        <w:t>u(m)</w:t>
      </w:r>
      <w:r>
        <w:rPr>
          <w:rFonts w:ascii="Times New Roman" w:hAnsi="Times New Roman"/>
          <w:sz w:val="24"/>
          <w:u w:val="none"/>
        </w:rPr>
        <w:t xml:space="preserve"> un </w:t>
      </w:r>
      <w:r>
        <w:rPr>
          <w:rFonts w:ascii="Times New Roman" w:hAnsi="Times New Roman"/>
          <w:i/>
          <w:iCs/>
          <w:sz w:val="24"/>
          <w:u w:val="none"/>
        </w:rPr>
        <w:t>u(e)</w:t>
      </w:r>
      <w:r>
        <w:rPr>
          <w:rFonts w:ascii="Times New Roman" w:hAnsi="Times New Roman"/>
          <w:sz w:val="24"/>
          <w:u w:val="none"/>
        </w:rPr>
        <w:t xml:space="preserve"> izteiksmēm un “iekšēji redzamajiem” nobīdes komponentiem (</w:t>
      </w:r>
      <w:r>
        <w:rPr>
          <w:rFonts w:ascii="Times New Roman" w:hAnsi="Times New Roman"/>
          <w:i/>
          <w:sz w:val="24"/>
          <w:u w:val="none"/>
        </w:rPr>
        <w:t>B</w:t>
      </w:r>
      <w:r>
        <w:rPr>
          <w:rFonts w:ascii="Times New Roman" w:hAnsi="Times New Roman"/>
          <w:i/>
          <w:sz w:val="24"/>
          <w:u w:val="none"/>
          <w:vertAlign w:val="subscript"/>
        </w:rPr>
        <w:t>Int</w:t>
      </w:r>
      <w:r>
        <w:rPr>
          <w:rFonts w:ascii="Times New Roman" w:hAnsi="Times New Roman"/>
          <w:sz w:val="24"/>
          <w:u w:val="none"/>
        </w:rPr>
        <w:t>).</w:t>
      </w:r>
    </w:p>
    <w:p w14:paraId="05EBE550" w14:textId="77777777" w:rsidR="00573E92" w:rsidRPr="00FB35D8" w:rsidRDefault="00573E92" w:rsidP="00FB35D8">
      <w:pPr>
        <w:jc w:val="both"/>
        <w:rPr>
          <w:rFonts w:ascii="Times New Roman" w:eastAsia="Arial" w:hAnsi="Times New Roman" w:cs="Arial"/>
          <w:noProof/>
          <w:sz w:val="24"/>
          <w:szCs w:val="16"/>
        </w:rPr>
      </w:pPr>
    </w:p>
    <w:p w14:paraId="45C8EEF3" w14:textId="330AF255" w:rsidR="00573E92" w:rsidRDefault="006E5CD4" w:rsidP="006E5CD4">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20C119BA" wp14:editId="4677DF58">
            <wp:extent cx="1956021" cy="30712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6837" cy="318243"/>
                    </a:xfrm>
                    <a:prstGeom prst="rect">
                      <a:avLst/>
                    </a:prstGeom>
                    <a:noFill/>
                    <a:ln>
                      <a:noFill/>
                    </a:ln>
                  </pic:spPr>
                </pic:pic>
              </a:graphicData>
            </a:graphic>
          </wp:inline>
        </w:drawing>
      </w:r>
    </w:p>
    <w:p w14:paraId="4E78DF6C" w14:textId="77777777" w:rsidR="006E5CD4" w:rsidRPr="00FB35D8" w:rsidRDefault="006E5CD4" w:rsidP="00FB35D8">
      <w:pPr>
        <w:jc w:val="both"/>
        <w:rPr>
          <w:rFonts w:ascii="Times New Roman" w:eastAsia="Arial" w:hAnsi="Times New Roman" w:cs="Arial"/>
          <w:noProof/>
          <w:sz w:val="24"/>
          <w:szCs w:val="20"/>
        </w:rPr>
      </w:pPr>
    </w:p>
    <w:p w14:paraId="4883C5A8"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Ja (</w:t>
      </w:r>
      <w:r>
        <w:rPr>
          <w:rFonts w:ascii="Times New Roman" w:hAnsi="Times New Roman"/>
          <w:i/>
          <w:iCs/>
          <w:sz w:val="24"/>
          <w:u w:val="none"/>
        </w:rPr>
        <w:t>y</w:t>
      </w:r>
      <w:r>
        <w:rPr>
          <w:rFonts w:ascii="Times New Roman" w:hAnsi="Times New Roman"/>
          <w:sz w:val="24"/>
          <w:u w:val="none"/>
        </w:rPr>
        <w:t>) ir vienreizējas analīzes rezultāts, ar rezultātu saistītās standarta nenoteiktības aprēķināšanas vienādojums vienkāršojas līdz šādam:</w:t>
      </w:r>
    </w:p>
    <w:p w14:paraId="02428EA8" w14:textId="77777777" w:rsidR="00573E92" w:rsidRPr="00FB35D8" w:rsidRDefault="00573E92" w:rsidP="00FB35D8">
      <w:pPr>
        <w:jc w:val="both"/>
        <w:rPr>
          <w:rFonts w:ascii="Times New Roman" w:eastAsia="Arial" w:hAnsi="Times New Roman" w:cs="Arial"/>
          <w:noProof/>
          <w:sz w:val="24"/>
          <w:szCs w:val="9"/>
        </w:rPr>
      </w:pPr>
    </w:p>
    <w:p w14:paraId="4E678797" w14:textId="2F0E3BC8" w:rsidR="00573E92" w:rsidRDefault="00C06F75" w:rsidP="00C06F75">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3399B68A" wp14:editId="0AF4567B">
            <wp:extent cx="1725433" cy="3136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903" cy="318665"/>
                    </a:xfrm>
                    <a:prstGeom prst="rect">
                      <a:avLst/>
                    </a:prstGeom>
                    <a:noFill/>
                    <a:ln>
                      <a:noFill/>
                    </a:ln>
                  </pic:spPr>
                </pic:pic>
              </a:graphicData>
            </a:graphic>
          </wp:inline>
        </w:drawing>
      </w:r>
    </w:p>
    <w:p w14:paraId="21A75E1D" w14:textId="77777777" w:rsidR="00C06F75" w:rsidRPr="00FB35D8" w:rsidRDefault="00C06F75" w:rsidP="00FB35D8">
      <w:pPr>
        <w:jc w:val="both"/>
        <w:rPr>
          <w:rFonts w:ascii="Times New Roman" w:eastAsia="Arial" w:hAnsi="Times New Roman" w:cs="Arial"/>
          <w:noProof/>
          <w:sz w:val="24"/>
          <w:szCs w:val="20"/>
        </w:rPr>
      </w:pPr>
    </w:p>
    <w:p w14:paraId="74C98D69"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kur </w:t>
      </w:r>
      <w:r>
        <w:rPr>
          <w:rFonts w:ascii="Times New Roman" w:hAnsi="Times New Roman"/>
          <w:i/>
          <w:sz w:val="24"/>
          <w:u w:val="none"/>
        </w:rPr>
        <w:t xml:space="preserve">BExt </w:t>
      </w:r>
      <w:r>
        <w:rPr>
          <w:rFonts w:ascii="Times New Roman" w:hAnsi="Times New Roman"/>
          <w:sz w:val="24"/>
          <w:u w:val="none"/>
        </w:rPr>
        <w:t xml:space="preserve">ir aplēse par nobīdi, kas nav ņemta vērā </w:t>
      </w:r>
      <w:r>
        <w:rPr>
          <w:rFonts w:ascii="Times New Roman" w:hAnsi="Times New Roman"/>
          <w:sz w:val="24"/>
        </w:rPr>
        <w:t>laboratorijas</w:t>
      </w:r>
      <w:r>
        <w:rPr>
          <w:rFonts w:ascii="Times New Roman" w:hAnsi="Times New Roman"/>
          <w:sz w:val="24"/>
          <w:u w:val="none"/>
        </w:rPr>
        <w:t xml:space="preserve"> iekšējos pētījumos;</w:t>
      </w:r>
    </w:p>
    <w:p w14:paraId="5CA05B56" w14:textId="77777777" w:rsidR="00FB35D8" w:rsidRPr="00FB35D8" w:rsidRDefault="00FB35D8" w:rsidP="00FB35D8">
      <w:pPr>
        <w:jc w:val="both"/>
        <w:rPr>
          <w:rFonts w:ascii="Times New Roman" w:hAnsi="Times New Roman"/>
          <w:noProof/>
          <w:sz w:val="24"/>
        </w:rPr>
      </w:pPr>
    </w:p>
    <w:p w14:paraId="6A5972B9"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kur (</w:t>
      </w:r>
      <w:r>
        <w:rPr>
          <w:rFonts w:ascii="Times New Roman" w:hAnsi="Times New Roman"/>
          <w:i/>
          <w:iCs/>
          <w:sz w:val="24"/>
          <w:u w:val="none"/>
        </w:rPr>
        <w:t>y</w:t>
      </w:r>
      <w:r>
        <w:rPr>
          <w:rFonts w:ascii="Times New Roman" w:hAnsi="Times New Roman"/>
          <w:sz w:val="24"/>
          <w:u w:val="none"/>
        </w:rPr>
        <w:t xml:space="preserve">) ir </w:t>
      </w:r>
      <w:r>
        <w:rPr>
          <w:rFonts w:ascii="Times New Roman" w:hAnsi="Times New Roman"/>
          <w:i/>
          <w:iCs/>
          <w:sz w:val="24"/>
          <w:u w:val="none"/>
        </w:rPr>
        <w:t>n</w:t>
      </w:r>
      <w:r>
        <w:rPr>
          <w:rFonts w:ascii="Times New Roman" w:hAnsi="Times New Roman"/>
          <w:sz w:val="24"/>
          <w:u w:val="none"/>
        </w:rPr>
        <w:t xml:space="preserve"> reizes atkārtotu analīžu vidējais lielums:</w:t>
      </w:r>
    </w:p>
    <w:p w14:paraId="049304C5" w14:textId="77777777" w:rsidR="00573E92" w:rsidRPr="00FB35D8" w:rsidRDefault="00573E92" w:rsidP="00FB35D8">
      <w:pPr>
        <w:jc w:val="both"/>
        <w:rPr>
          <w:rFonts w:ascii="Times New Roman" w:eastAsia="Arial" w:hAnsi="Times New Roman" w:cs="Arial"/>
          <w:noProof/>
          <w:sz w:val="24"/>
          <w:szCs w:val="13"/>
        </w:rPr>
      </w:pPr>
    </w:p>
    <w:p w14:paraId="172A99B7" w14:textId="4FA7C972" w:rsidR="00573E92" w:rsidRDefault="00C06F75" w:rsidP="00C06F75">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5F1E25D9" wp14:editId="6172D955">
            <wp:extent cx="1383527" cy="4303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4622" cy="440069"/>
                    </a:xfrm>
                    <a:prstGeom prst="rect">
                      <a:avLst/>
                    </a:prstGeom>
                    <a:noFill/>
                    <a:ln>
                      <a:noFill/>
                    </a:ln>
                  </pic:spPr>
                </pic:pic>
              </a:graphicData>
            </a:graphic>
          </wp:inline>
        </w:drawing>
      </w:r>
    </w:p>
    <w:p w14:paraId="470B1EA2" w14:textId="77777777" w:rsidR="00C06F75" w:rsidRPr="00FB35D8" w:rsidRDefault="00C06F75" w:rsidP="00FB35D8">
      <w:pPr>
        <w:jc w:val="both"/>
        <w:rPr>
          <w:rFonts w:ascii="Times New Roman" w:eastAsia="Arial" w:hAnsi="Times New Roman" w:cs="Arial"/>
          <w:noProof/>
          <w:sz w:val="24"/>
          <w:szCs w:val="20"/>
        </w:rPr>
      </w:pPr>
    </w:p>
    <w:p w14:paraId="5857B208"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Piezīme. Pareizi piemērojot, šī pieeja, tāpat kā citas empīriskās pieejas, ir tikpat derīga kā modelēšanas pieeja, un tai jāsniedz piesardzīga, bet pragmatiska </w:t>
      </w:r>
      <w:r>
        <w:rPr>
          <w:rFonts w:ascii="Times New Roman" w:hAnsi="Times New Roman"/>
          <w:i/>
          <w:iCs/>
          <w:sz w:val="24"/>
        </w:rPr>
        <w:t>MU</w:t>
      </w:r>
      <w:r>
        <w:rPr>
          <w:rFonts w:ascii="Times New Roman" w:hAnsi="Times New Roman"/>
          <w:sz w:val="24"/>
          <w:u w:val="none"/>
        </w:rPr>
        <w:t xml:space="preserve"> aplēse.</w:t>
      </w:r>
    </w:p>
    <w:p w14:paraId="3755D1B8" w14:textId="77777777" w:rsidR="00573E92" w:rsidRPr="00FB35D8" w:rsidRDefault="00573E92" w:rsidP="00FB35D8">
      <w:pPr>
        <w:jc w:val="both"/>
        <w:rPr>
          <w:rFonts w:ascii="Times New Roman" w:eastAsia="Arial" w:hAnsi="Times New Roman" w:cs="Arial"/>
          <w:noProof/>
          <w:sz w:val="24"/>
          <w:szCs w:val="14"/>
        </w:rPr>
      </w:pPr>
    </w:p>
    <w:p w14:paraId="725B6080" w14:textId="05A72A1F" w:rsidR="00573E92" w:rsidRPr="00FB35D8" w:rsidRDefault="00C06F75" w:rsidP="00C06F75">
      <w:pPr>
        <w:pStyle w:val="BodyText"/>
        <w:tabs>
          <w:tab w:val="left" w:pos="581"/>
        </w:tabs>
        <w:spacing w:before="0"/>
        <w:ind w:left="0"/>
        <w:jc w:val="both"/>
        <w:rPr>
          <w:rFonts w:ascii="Times New Roman" w:hAnsi="Times New Roman"/>
          <w:noProof/>
          <w:sz w:val="24"/>
          <w:u w:val="none"/>
        </w:rPr>
      </w:pPr>
      <w:r>
        <w:rPr>
          <w:rFonts w:ascii="Times New Roman" w:hAnsi="Times New Roman"/>
          <w:sz w:val="24"/>
          <w:u w:val="none"/>
        </w:rPr>
        <w:t xml:space="preserve">C) </w:t>
      </w:r>
      <w:r>
        <w:rPr>
          <w:rFonts w:ascii="Times New Roman" w:hAnsi="Times New Roman"/>
          <w:sz w:val="24"/>
        </w:rPr>
        <w:t>Starplaboratoriju</w:t>
      </w:r>
      <w:r>
        <w:rPr>
          <w:rFonts w:ascii="Times New Roman" w:hAnsi="Times New Roman"/>
          <w:sz w:val="24"/>
          <w:u w:val="none"/>
        </w:rPr>
        <w:t xml:space="preserve"> metodes darbības datu pieeja</w:t>
      </w:r>
    </w:p>
    <w:p w14:paraId="6AE56219" w14:textId="77777777" w:rsidR="00C06F75" w:rsidRDefault="00C06F75" w:rsidP="00FB35D8">
      <w:pPr>
        <w:pStyle w:val="BodyText"/>
        <w:spacing w:before="0"/>
        <w:ind w:left="0"/>
        <w:jc w:val="both"/>
        <w:rPr>
          <w:rFonts w:ascii="Times New Roman" w:hAnsi="Times New Roman"/>
          <w:noProof/>
          <w:sz w:val="24"/>
          <w:u w:val="none"/>
        </w:rPr>
      </w:pPr>
    </w:p>
    <w:p w14:paraId="3691F47A" w14:textId="14BE7D9B"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w:t>
      </w:r>
      <w:r>
        <w:rPr>
          <w:rFonts w:ascii="Times New Roman" w:hAnsi="Times New Roman"/>
          <w:sz w:val="24"/>
          <w:u w:val="none"/>
        </w:rPr>
        <w:t xml:space="preserve"> ir piedalījusies </w:t>
      </w:r>
      <w:r>
        <w:rPr>
          <w:rFonts w:ascii="Times New Roman" w:hAnsi="Times New Roman"/>
          <w:sz w:val="24"/>
        </w:rPr>
        <w:t>starplaboratoriju</w:t>
      </w:r>
      <w:r>
        <w:rPr>
          <w:rFonts w:ascii="Times New Roman" w:hAnsi="Times New Roman"/>
          <w:sz w:val="24"/>
          <w:u w:val="none"/>
        </w:rPr>
        <w:t xml:space="preserve"> salīdzinājumā, lai novērtētu kvantitatīvās </w:t>
      </w:r>
      <w:r>
        <w:rPr>
          <w:rFonts w:ascii="Times New Roman" w:hAnsi="Times New Roman"/>
          <w:sz w:val="24"/>
        </w:rPr>
        <w:t>apstiprināšanas procedūru</w:t>
      </w:r>
      <w:r>
        <w:rPr>
          <w:rFonts w:ascii="Times New Roman" w:hAnsi="Times New Roman"/>
          <w:sz w:val="24"/>
          <w:u w:val="none"/>
        </w:rPr>
        <w:t>, vai ir pierādījusi atbilstošu literatūras metodes ieviešanu, kas validēta, izmantojot šādu pieeju, metodes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w:t>
      </w:r>
      <w:r>
        <w:rPr>
          <w:rFonts w:ascii="Times New Roman" w:hAnsi="Times New Roman"/>
          <w:sz w:val="24"/>
        </w:rPr>
        <w:t>starplaboratoriju</w:t>
      </w:r>
      <w:r>
        <w:rPr>
          <w:rFonts w:ascii="Times New Roman" w:hAnsi="Times New Roman"/>
          <w:sz w:val="24"/>
          <w:u w:val="none"/>
        </w:rPr>
        <w:t xml:space="preserve"> </w:t>
      </w:r>
      <w:r>
        <w:rPr>
          <w:rFonts w:ascii="Times New Roman" w:hAnsi="Times New Roman"/>
          <w:i/>
          <w:iCs/>
          <w:sz w:val="24"/>
          <w:u w:val="none"/>
        </w:rPr>
        <w:t>SD</w:t>
      </w:r>
      <w:r>
        <w:rPr>
          <w:rFonts w:ascii="Times New Roman" w:hAnsi="Times New Roman"/>
          <w:sz w:val="24"/>
          <w:u w:val="none"/>
        </w:rPr>
        <w:t xml:space="preserve">, kas aprēķināta no salīdzinājuma rezultātiem, var izmantot kā ar šo metodi iegūtā individuālā rezultāta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aplēsi:</w:t>
      </w:r>
    </w:p>
    <w:p w14:paraId="185CCE67" w14:textId="77777777" w:rsidR="00573E92" w:rsidRPr="00FB35D8" w:rsidRDefault="00573E92" w:rsidP="00FB35D8">
      <w:pPr>
        <w:jc w:val="both"/>
        <w:rPr>
          <w:rFonts w:ascii="Times New Roman" w:eastAsia="Arial" w:hAnsi="Times New Roman" w:cs="Arial"/>
          <w:noProof/>
          <w:sz w:val="24"/>
          <w:szCs w:val="10"/>
        </w:rPr>
      </w:pPr>
    </w:p>
    <w:p w14:paraId="3B671657" w14:textId="72F418DC" w:rsidR="00573E92" w:rsidRDefault="00C06F75" w:rsidP="00C06F75">
      <w:pPr>
        <w:ind w:left="284"/>
        <w:jc w:val="both"/>
        <w:rPr>
          <w:rFonts w:ascii="Times New Roman" w:eastAsia="Arial" w:hAnsi="Times New Roman" w:cs="Arial"/>
          <w:noProof/>
          <w:sz w:val="24"/>
          <w:szCs w:val="20"/>
        </w:rPr>
      </w:pPr>
      <w:r>
        <w:rPr>
          <w:rFonts w:ascii="Times New Roman" w:hAnsi="Times New Roman"/>
          <w:noProof/>
          <w:sz w:val="24"/>
        </w:rPr>
        <w:drawing>
          <wp:inline distT="0" distB="0" distL="0" distR="0" wp14:anchorId="75F0205E" wp14:editId="631C906F">
            <wp:extent cx="3498574" cy="40273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8817" cy="410819"/>
                    </a:xfrm>
                    <a:prstGeom prst="rect">
                      <a:avLst/>
                    </a:prstGeom>
                    <a:noFill/>
                    <a:ln>
                      <a:noFill/>
                    </a:ln>
                  </pic:spPr>
                </pic:pic>
              </a:graphicData>
            </a:graphic>
          </wp:inline>
        </w:drawing>
      </w:r>
    </w:p>
    <w:p w14:paraId="691F9CF8" w14:textId="240B59F1" w:rsidR="00C06F75" w:rsidRPr="00C06F75" w:rsidRDefault="00C06F75" w:rsidP="00FB35D8">
      <w:pPr>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i/>
          <w:iCs/>
          <w:sz w:val="24"/>
        </w:rPr>
        <w:t>y</w:t>
      </w:r>
      <w:r>
        <w:rPr>
          <w:rFonts w:ascii="Times New Roman" w:hAnsi="Times New Roman"/>
          <w:sz w:val="24"/>
        </w:rPr>
        <w:t xml:space="preserve"> ir </w:t>
      </w:r>
      <w:r>
        <w:rPr>
          <w:rFonts w:ascii="Times New Roman" w:hAnsi="Times New Roman"/>
          <w:i/>
          <w:iCs/>
          <w:sz w:val="24"/>
        </w:rPr>
        <w:t>n</w:t>
      </w:r>
      <w:r>
        <w:rPr>
          <w:rFonts w:ascii="Times New Roman" w:hAnsi="Times New Roman"/>
          <w:sz w:val="24"/>
        </w:rPr>
        <w:t xml:space="preserve"> reizes atkārtotu analīžu vidējais lielums)</w:t>
      </w:r>
    </w:p>
    <w:p w14:paraId="30DA9E38" w14:textId="77777777" w:rsidR="00C06F75" w:rsidRPr="00FB35D8" w:rsidRDefault="00C06F75" w:rsidP="00FB35D8">
      <w:pPr>
        <w:jc w:val="both"/>
        <w:rPr>
          <w:rFonts w:ascii="Times New Roman" w:eastAsia="Arial" w:hAnsi="Times New Roman" w:cs="Arial"/>
          <w:noProof/>
          <w:sz w:val="24"/>
          <w:szCs w:val="20"/>
        </w:rPr>
      </w:pPr>
    </w:p>
    <w:p w14:paraId="7CD0E809" w14:textId="62863F47"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Šī pieeja praksē ir piemērojama tikai tad, ja validācijas pētījums ietver </w:t>
      </w:r>
      <w:r>
        <w:rPr>
          <w:rFonts w:ascii="Times New Roman" w:hAnsi="Times New Roman"/>
          <w:sz w:val="24"/>
        </w:rPr>
        <w:t>starplaboratoriju</w:t>
      </w:r>
      <w:r>
        <w:rPr>
          <w:rFonts w:ascii="Times New Roman" w:hAnsi="Times New Roman"/>
          <w:sz w:val="24"/>
          <w:u w:val="none"/>
        </w:rPr>
        <w:t xml:space="preserve"> izmēģinājumu ar vairākiem centriem, kas veikts saskaņā ar iepriekš noteiktu eksperimentālo protokolu.</w:t>
      </w:r>
    </w:p>
    <w:p w14:paraId="533660A2" w14:textId="77777777" w:rsidR="00C06F75" w:rsidRPr="00FB35D8" w:rsidRDefault="00C06F75" w:rsidP="00FB35D8">
      <w:pPr>
        <w:pStyle w:val="BodyText"/>
        <w:spacing w:before="0"/>
        <w:ind w:left="0"/>
        <w:jc w:val="both"/>
        <w:rPr>
          <w:rFonts w:ascii="Times New Roman" w:hAnsi="Times New Roman"/>
          <w:noProof/>
          <w:sz w:val="24"/>
          <w:u w:val="none"/>
        </w:rPr>
      </w:pPr>
    </w:p>
    <w:p w14:paraId="756298B4"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Piezīme. Galvenos mainīguma avotus var novērtēt starplaboratoriju pētījumos, sniedzot aplēses par </w:t>
      </w:r>
      <w:r>
        <w:rPr>
          <w:rFonts w:ascii="Times New Roman" w:hAnsi="Times New Roman"/>
          <w:sz w:val="24"/>
        </w:rPr>
        <w:t>atkārtojamības</w:t>
      </w:r>
      <w:r>
        <w:rPr>
          <w:rFonts w:ascii="Times New Roman" w:hAnsi="Times New Roman"/>
          <w:sz w:val="24"/>
          <w:u w:val="none"/>
        </w:rPr>
        <w:t xml:space="preserve"> standartnovirzi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w:t>
      </w:r>
      <w:r>
        <w:rPr>
          <w:rFonts w:ascii="Times New Roman" w:hAnsi="Times New Roman"/>
          <w:sz w:val="24"/>
        </w:rPr>
        <w:t>atveidojamību</w:t>
      </w:r>
      <w:r>
        <w:rPr>
          <w:rFonts w:ascii="Times New Roman" w:hAnsi="Times New Roman"/>
          <w:sz w:val="24"/>
          <w:u w:val="none"/>
        </w:rPr>
        <w:t xml:space="preserve">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un metodes nobīdi (</w:t>
      </w:r>
      <w:r>
        <w:rPr>
          <w:rFonts w:ascii="Times New Roman" w:hAnsi="Times New Roman"/>
          <w:i/>
          <w:iCs/>
          <w:sz w:val="24"/>
          <w:u w:val="none"/>
        </w:rPr>
        <w:t>b</w:t>
      </w:r>
      <w:r>
        <w:rPr>
          <w:rFonts w:ascii="Times New Roman" w:hAnsi="Times New Roman"/>
          <w:sz w:val="24"/>
          <w:u w:val="none"/>
        </w:rPr>
        <w:t xml:space="preserve">) (attiecībā pret zināmo atsauces vērtību). </w:t>
      </w:r>
      <w:r>
        <w:rPr>
          <w:rFonts w:ascii="Times New Roman" w:hAnsi="Times New Roman"/>
          <w:sz w:val="24"/>
        </w:rPr>
        <w:t>Atveidojamību</w:t>
      </w:r>
      <w:r>
        <w:rPr>
          <w:rFonts w:ascii="Times New Roman" w:hAnsi="Times New Roman"/>
          <w:sz w:val="24"/>
          <w:u w:val="none"/>
        </w:rPr>
        <w:t xml:space="preserve"> var izmantot kā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aplēsi, kas saistīta ar atsevišķu mērījumu rezultātu, kas iegūts, izmantojot šo kvantitatīvo </w:t>
      </w:r>
      <w:r>
        <w:rPr>
          <w:rFonts w:ascii="Times New Roman" w:hAnsi="Times New Roman"/>
          <w:sz w:val="24"/>
        </w:rPr>
        <w:t>apstiprināšanas procedūru</w:t>
      </w:r>
      <w:r>
        <w:rPr>
          <w:rFonts w:ascii="Times New Roman" w:hAnsi="Times New Roman"/>
          <w:sz w:val="24"/>
          <w:u w:val="none"/>
        </w:rPr>
        <w:t>.</w:t>
      </w:r>
    </w:p>
    <w:p w14:paraId="62891FE8" w14:textId="77777777" w:rsidR="00573E92" w:rsidRPr="00FB35D8" w:rsidRDefault="00573E92" w:rsidP="00FB35D8">
      <w:pPr>
        <w:jc w:val="both"/>
        <w:rPr>
          <w:rFonts w:ascii="Times New Roman" w:eastAsia="Arial" w:hAnsi="Times New Roman" w:cs="Arial"/>
          <w:noProof/>
          <w:sz w:val="24"/>
          <w:szCs w:val="14"/>
        </w:rPr>
      </w:pPr>
    </w:p>
    <w:p w14:paraId="419A047D" w14:textId="75B62059" w:rsidR="00573E92" w:rsidRPr="00FB35D8" w:rsidRDefault="00C06F75" w:rsidP="00C06F75">
      <w:pPr>
        <w:pStyle w:val="BodyText"/>
        <w:tabs>
          <w:tab w:val="left" w:pos="581"/>
        </w:tabs>
        <w:spacing w:before="0"/>
        <w:ind w:left="0"/>
        <w:jc w:val="both"/>
        <w:rPr>
          <w:rFonts w:ascii="Times New Roman" w:hAnsi="Times New Roman"/>
          <w:noProof/>
          <w:sz w:val="24"/>
          <w:u w:val="none"/>
        </w:rPr>
      </w:pPr>
      <w:r>
        <w:rPr>
          <w:rFonts w:ascii="Times New Roman" w:hAnsi="Times New Roman"/>
          <w:sz w:val="24"/>
          <w:u w:val="none" w:color="000000"/>
        </w:rPr>
        <w:t xml:space="preserve">D) </w:t>
      </w:r>
      <w:r>
        <w:rPr>
          <w:rFonts w:ascii="Times New Roman" w:hAnsi="Times New Roman"/>
          <w:i/>
          <w:iCs/>
          <w:sz w:val="24"/>
          <w:u w:color="000000"/>
        </w:rPr>
        <w:t>EQAS</w:t>
      </w:r>
      <w:r>
        <w:rPr>
          <w:rFonts w:ascii="Times New Roman" w:hAnsi="Times New Roman"/>
          <w:sz w:val="24"/>
          <w:u w:val="none"/>
        </w:rPr>
        <w:t xml:space="preserve"> līdzdalības pieeja</w:t>
      </w:r>
    </w:p>
    <w:p w14:paraId="1C74EA59" w14:textId="77777777" w:rsidR="00C06F75" w:rsidRDefault="00C06F75" w:rsidP="00FB35D8">
      <w:pPr>
        <w:pStyle w:val="BodyText"/>
        <w:spacing w:before="0"/>
        <w:ind w:left="0"/>
        <w:jc w:val="both"/>
        <w:rPr>
          <w:rFonts w:ascii="Times New Roman" w:hAnsi="Times New Roman"/>
          <w:noProof/>
          <w:sz w:val="24"/>
          <w:u w:val="none"/>
        </w:rPr>
      </w:pPr>
    </w:p>
    <w:p w14:paraId="4CAAF6E4" w14:textId="4C4F0909"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Dati, kas iegūti, pastāvīgi piedaloties </w:t>
      </w:r>
      <w:r>
        <w:rPr>
          <w:rFonts w:ascii="Times New Roman" w:hAnsi="Times New Roman"/>
          <w:i/>
          <w:iCs/>
          <w:sz w:val="24"/>
        </w:rPr>
        <w:t>EQAS</w:t>
      </w:r>
      <w:r>
        <w:rPr>
          <w:rFonts w:ascii="Times New Roman" w:hAnsi="Times New Roman"/>
          <w:sz w:val="24"/>
          <w:u w:val="none"/>
        </w:rPr>
        <w:t xml:space="preserve">, dažos gadījumos ļauj aprēķināt dalībnieku izmantoto metožu kopuma darbības raksturlielumu, kuru, ja nav pareizi izveidota </w:t>
      </w:r>
      <w:r>
        <w:rPr>
          <w:rFonts w:ascii="Times New Roman" w:hAnsi="Times New Roman"/>
          <w:sz w:val="24"/>
        </w:rPr>
        <w:t>starplaboratoriju</w:t>
      </w:r>
      <w:r>
        <w:rPr>
          <w:rFonts w:ascii="Times New Roman" w:hAnsi="Times New Roman"/>
          <w:sz w:val="24"/>
          <w:u w:val="none"/>
        </w:rPr>
        <w:t xml:space="preserve"> pētījuma, var izmantot kā piesardzīgu aplēsi par kvantitatīvās </w:t>
      </w:r>
      <w:r>
        <w:rPr>
          <w:rFonts w:ascii="Times New Roman" w:hAnsi="Times New Roman"/>
          <w:sz w:val="24"/>
        </w:rPr>
        <w:t>apstiprināšanas procedūras</w:t>
      </w:r>
      <w:r>
        <w:rPr>
          <w:rFonts w:ascii="Times New Roman" w:hAnsi="Times New Roman"/>
          <w:sz w:val="24"/>
          <w:u w:val="none"/>
        </w:rPr>
        <w:t xml:space="preserve"> </w:t>
      </w:r>
      <w:r>
        <w:rPr>
          <w:rFonts w:ascii="Times New Roman" w:hAnsi="Times New Roman"/>
          <w:sz w:val="24"/>
        </w:rPr>
        <w:t>atveidojamību</w:t>
      </w:r>
      <w:r>
        <w:rPr>
          <w:rFonts w:ascii="Times New Roman" w:hAnsi="Times New Roman"/>
          <w:sz w:val="24"/>
          <w:u w:val="none"/>
        </w:rPr>
        <w:t xml:space="preserve">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ko izmanto konkrētā </w:t>
      </w:r>
      <w:r>
        <w:rPr>
          <w:rFonts w:ascii="Times New Roman" w:hAnsi="Times New Roman"/>
          <w:sz w:val="24"/>
        </w:rPr>
        <w:t>laboratorija</w:t>
      </w:r>
      <w:r>
        <w:rPr>
          <w:rFonts w:ascii="Times New Roman" w:hAnsi="Times New Roman"/>
          <w:sz w:val="24"/>
          <w:u w:val="none"/>
        </w:rPr>
        <w:t>.</w:t>
      </w:r>
      <w:r>
        <w:rPr>
          <w:rFonts w:ascii="Times New Roman" w:hAnsi="Times New Roman"/>
          <w:i/>
          <w:sz w:val="24"/>
          <w:u w:val="none"/>
        </w:rPr>
        <w:t xml:space="preserve"> </w:t>
      </w:r>
      <w:r>
        <w:rPr>
          <w:rFonts w:ascii="Times New Roman" w:hAnsi="Times New Roman"/>
          <w:sz w:val="24"/>
          <w:u w:val="none"/>
        </w:rPr>
        <w:t xml:space="preserve">Termins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šajā projektā tiek lietots galvenokārt otrajā nozīmē. Šī aplēse ir derīga tikai gadījumos, kad:</w:t>
      </w:r>
    </w:p>
    <w:p w14:paraId="0F1A7AA9" w14:textId="77777777" w:rsidR="00C06F75" w:rsidRPr="00FB35D8" w:rsidRDefault="00C06F75" w:rsidP="00FB35D8">
      <w:pPr>
        <w:pStyle w:val="BodyText"/>
        <w:spacing w:before="0"/>
        <w:ind w:left="0"/>
        <w:jc w:val="both"/>
        <w:rPr>
          <w:rFonts w:ascii="Times New Roman" w:hAnsi="Times New Roman"/>
          <w:noProof/>
          <w:sz w:val="24"/>
          <w:u w:val="none"/>
        </w:rPr>
      </w:pPr>
    </w:p>
    <w:p w14:paraId="55CE6D9B" w14:textId="77777777" w:rsidR="00573E92" w:rsidRPr="00FB35D8" w:rsidRDefault="00573E92" w:rsidP="00C06F75">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i/>
          <w:iCs/>
          <w:sz w:val="24"/>
        </w:rPr>
        <w:t>EQAS</w:t>
      </w:r>
      <w:r>
        <w:rPr>
          <w:rFonts w:ascii="Times New Roman" w:hAnsi="Times New Roman"/>
          <w:sz w:val="24"/>
          <w:u w:val="none"/>
        </w:rPr>
        <w:t xml:space="preserve"> kārtas dalībnieku norādītās vērtības (pēc traucējošo vielu izslēgšanas) iekļaujas normālā Gausa sadalījumā;</w:t>
      </w:r>
    </w:p>
    <w:p w14:paraId="6B4FB8E9" w14:textId="77777777" w:rsidR="00573E92" w:rsidRPr="00FB35D8" w:rsidRDefault="00573E92" w:rsidP="00C06F75">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iekšējā </w:t>
      </w:r>
      <w:r>
        <w:rPr>
          <w:rFonts w:ascii="Times New Roman" w:hAnsi="Times New Roman"/>
          <w:sz w:val="24"/>
          <w:u w:color="000000"/>
        </w:rPr>
        <w:t>atkārtojamība</w:t>
      </w:r>
      <w:r>
        <w:rPr>
          <w:rFonts w:ascii="Times New Roman" w:hAnsi="Times New Roman"/>
          <w:sz w:val="24"/>
          <w:u w:val="none"/>
        </w:rPr>
        <w:t xml:space="preserve"> (</w:t>
      </w:r>
      <w:r>
        <w:rPr>
          <w:rFonts w:ascii="Times New Roman" w:hAnsi="Times New Roman"/>
          <w:i/>
          <w:sz w:val="24"/>
          <w:u w:val="none"/>
        </w:rPr>
        <w:t>s</w:t>
      </w:r>
      <w:r>
        <w:rPr>
          <w:rFonts w:ascii="Times New Roman" w:hAnsi="Times New Roman"/>
          <w:i/>
          <w:sz w:val="24"/>
          <w:u w:val="none"/>
          <w:vertAlign w:val="subscript"/>
        </w:rPr>
        <w:t>r</w:t>
      </w:r>
      <w:r>
        <w:rPr>
          <w:rFonts w:ascii="Times New Roman" w:hAnsi="Times New Roman"/>
          <w:sz w:val="24"/>
          <w:u w:val="none"/>
        </w:rPr>
        <w:t>) šai metodei ir mazāka par atšķirību dalībnieka rezultātos;</w:t>
      </w:r>
    </w:p>
    <w:p w14:paraId="0EDCD4ED" w14:textId="364D083B" w:rsidR="00FB35D8" w:rsidRPr="00C06F75" w:rsidRDefault="00573E92" w:rsidP="00C06F75">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nenoteiktības ietekme, ko rada </w:t>
      </w:r>
      <w:r>
        <w:rPr>
          <w:rFonts w:ascii="Times New Roman" w:hAnsi="Times New Roman"/>
          <w:i/>
          <w:iCs/>
          <w:sz w:val="24"/>
        </w:rPr>
        <w:t>EQAS</w:t>
      </w:r>
      <w:r>
        <w:rPr>
          <w:rFonts w:ascii="Times New Roman" w:hAnsi="Times New Roman"/>
          <w:sz w:val="24"/>
          <w:u w:val="none"/>
        </w:rPr>
        <w:t xml:space="preserve"> parauga nestabilitāte vai neviendabīgums, ir nenozīmīga;</w:t>
      </w:r>
    </w:p>
    <w:p w14:paraId="3712F0D0" w14:textId="77777777" w:rsidR="00573E92" w:rsidRPr="00FB35D8" w:rsidRDefault="00573E92" w:rsidP="00C06F75">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izmantotās matricas precīzi atbilst tām, ko izmanto ikdienas analīzes apstākļos (t. i., </w:t>
      </w:r>
      <w:r>
        <w:rPr>
          <w:rFonts w:ascii="Times New Roman" w:hAnsi="Times New Roman"/>
          <w:i/>
          <w:iCs/>
          <w:sz w:val="24"/>
        </w:rPr>
        <w:t>EQAS</w:t>
      </w:r>
      <w:r>
        <w:rPr>
          <w:rFonts w:ascii="Times New Roman" w:hAnsi="Times New Roman"/>
          <w:sz w:val="24"/>
          <w:u w:val="none"/>
        </w:rPr>
        <w:t xml:space="preserve"> materiālu sagatavošanai tiek izmantotas “reprezentatīvas” matricas).</w:t>
      </w:r>
    </w:p>
    <w:p w14:paraId="251A7329" w14:textId="77777777" w:rsidR="00C06F75" w:rsidRDefault="00C06F75" w:rsidP="00FB35D8">
      <w:pPr>
        <w:pStyle w:val="BodyText"/>
        <w:spacing w:before="0"/>
        <w:ind w:left="0"/>
        <w:jc w:val="both"/>
        <w:rPr>
          <w:rFonts w:ascii="Times New Roman" w:hAnsi="Times New Roman"/>
          <w:noProof/>
          <w:sz w:val="24"/>
          <w:u w:val="none"/>
        </w:rPr>
      </w:pPr>
    </w:p>
    <w:p w14:paraId="6CAD297C" w14:textId="76A56B10"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Šajā gadījumā dalībnieku rezultātu </w:t>
      </w:r>
      <w:r>
        <w:rPr>
          <w:rFonts w:ascii="Times New Roman" w:hAnsi="Times New Roman"/>
          <w:i/>
          <w:iCs/>
          <w:sz w:val="24"/>
          <w:u w:val="none"/>
        </w:rPr>
        <w:t>SD</w:t>
      </w:r>
      <w:r>
        <w:rPr>
          <w:rFonts w:ascii="Times New Roman" w:hAnsi="Times New Roman"/>
          <w:sz w:val="24"/>
          <w:u w:val="none"/>
        </w:rPr>
        <w:t xml:space="preserve"> pēc traucējošo vielu izslēgšanas var izmantot kā aplēsi par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kas saistīta ar rezultātu, kurš iegūts ar šo metodi. Pēc tam šo vērtību var izmantot tā, kā iepriekš 1.C) sadaļā aprakstīts attiecībā uz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aplēsi.</w:t>
      </w:r>
    </w:p>
    <w:p w14:paraId="43094C22" w14:textId="77777777" w:rsidR="00C06F75" w:rsidRPr="00FB35D8" w:rsidRDefault="00C06F75" w:rsidP="00FB35D8">
      <w:pPr>
        <w:pStyle w:val="BodyText"/>
        <w:spacing w:before="0"/>
        <w:ind w:left="0"/>
        <w:jc w:val="both"/>
        <w:rPr>
          <w:rFonts w:ascii="Times New Roman" w:hAnsi="Times New Roman"/>
          <w:noProof/>
          <w:sz w:val="24"/>
          <w:u w:val="none"/>
        </w:rPr>
      </w:pPr>
    </w:p>
    <w:p w14:paraId="4A1D76A7"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Piezīme. Kā norādīts 1.C) sadaļā, atveidojamības (</w:t>
      </w:r>
      <w:r>
        <w:rPr>
          <w:rFonts w:ascii="Times New Roman" w:hAnsi="Times New Roman"/>
          <w:i/>
          <w:iCs/>
          <w:sz w:val="24"/>
          <w:u w:val="none"/>
        </w:rPr>
        <w:t>s</w:t>
      </w:r>
      <w:r>
        <w:rPr>
          <w:rFonts w:ascii="Times New Roman" w:hAnsi="Times New Roman"/>
          <w:i/>
          <w:iCs/>
          <w:sz w:val="24"/>
          <w:u w:val="none"/>
          <w:vertAlign w:val="subscript"/>
        </w:rPr>
        <w:t>R</w:t>
      </w:r>
      <w:r>
        <w:rPr>
          <w:rFonts w:ascii="Times New Roman" w:hAnsi="Times New Roman"/>
          <w:sz w:val="24"/>
          <w:u w:val="none"/>
        </w:rPr>
        <w:t xml:space="preserve">) aplēsi var izmantot kā piesardzīgu ar rezultātu saistītās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aplēsi (</w:t>
      </w:r>
      <w:r>
        <w:rPr>
          <w:rFonts w:ascii="Times New Roman" w:hAnsi="Times New Roman"/>
          <w:i/>
          <w:sz w:val="24"/>
          <w:u w:val="none"/>
        </w:rPr>
        <w:t>s</w:t>
      </w:r>
      <w:r>
        <w:rPr>
          <w:rFonts w:ascii="Times New Roman" w:hAnsi="Times New Roman"/>
          <w:i/>
          <w:sz w:val="24"/>
          <w:u w:val="none"/>
          <w:vertAlign w:val="subscript"/>
        </w:rPr>
        <w:t>R</w:t>
      </w:r>
      <w:r>
        <w:rPr>
          <w:rFonts w:ascii="Times New Roman" w:hAnsi="Times New Roman"/>
          <w:i/>
          <w:sz w:val="24"/>
          <w:u w:val="none"/>
        </w:rPr>
        <w:t xml:space="preserve"> </w:t>
      </w:r>
      <w:r>
        <w:rPr>
          <w:rFonts w:ascii="Times New Roman" w:hAnsi="Times New Roman"/>
          <w:sz w:val="24"/>
          <w:u w:val="none"/>
        </w:rPr>
        <w:t xml:space="preserve">≈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sz w:val="24"/>
          <w:u w:val="none"/>
        </w:rPr>
        <w:t xml:space="preserve">). Turklāt </w:t>
      </w:r>
      <w:r>
        <w:rPr>
          <w:rFonts w:ascii="Times New Roman" w:hAnsi="Times New Roman"/>
          <w:sz w:val="24"/>
        </w:rPr>
        <w:t>laboratorija</w:t>
      </w:r>
      <w:r>
        <w:rPr>
          <w:rFonts w:ascii="Times New Roman" w:hAnsi="Times New Roman"/>
          <w:sz w:val="24"/>
          <w:u w:val="none"/>
        </w:rPr>
        <w:t xml:space="preserve"> kā </w:t>
      </w:r>
      <w:r>
        <w:rPr>
          <w:rFonts w:ascii="Times New Roman" w:hAnsi="Times New Roman"/>
          <w:i/>
          <w:iCs/>
          <w:sz w:val="24"/>
          <w:u w:val="none"/>
        </w:rPr>
        <w:t xml:space="preserve">WADA </w:t>
      </w:r>
      <w:r>
        <w:rPr>
          <w:rFonts w:ascii="Times New Roman" w:hAnsi="Times New Roman"/>
          <w:i/>
          <w:iCs/>
          <w:sz w:val="24"/>
        </w:rPr>
        <w:t>EQAS</w:t>
      </w:r>
      <w:r>
        <w:rPr>
          <w:rFonts w:ascii="Times New Roman" w:hAnsi="Times New Roman"/>
          <w:sz w:val="24"/>
          <w:u w:val="none"/>
        </w:rPr>
        <w:t xml:space="preserve"> dalībniece var pārbaudīt un pierādīt izvēlētās pieejas derīgumu, aplēšot </w:t>
      </w:r>
      <w:r>
        <w:rPr>
          <w:rFonts w:ascii="Times New Roman" w:hAnsi="Times New Roman"/>
          <w:i/>
          <w:iCs/>
          <w:sz w:val="24"/>
        </w:rPr>
        <w:t>MU</w:t>
      </w:r>
      <w:r>
        <w:rPr>
          <w:rFonts w:ascii="Times New Roman" w:hAnsi="Times New Roman"/>
          <w:sz w:val="24"/>
          <w:u w:val="none"/>
        </w:rPr>
        <w:t xml:space="preserve"> (skatīt 3. sadaļu).</w:t>
      </w:r>
    </w:p>
    <w:p w14:paraId="675DC134" w14:textId="77777777" w:rsidR="00573E92" w:rsidRPr="00FB35D8" w:rsidRDefault="00573E92" w:rsidP="00FB35D8">
      <w:pPr>
        <w:jc w:val="both"/>
        <w:rPr>
          <w:rFonts w:ascii="Times New Roman" w:eastAsia="Arial" w:hAnsi="Times New Roman" w:cs="Arial"/>
          <w:noProof/>
          <w:sz w:val="24"/>
          <w:szCs w:val="31"/>
        </w:rPr>
      </w:pPr>
    </w:p>
    <w:p w14:paraId="12C9CE3F" w14:textId="0B714BBA" w:rsidR="00573E92" w:rsidRPr="00FB35D8" w:rsidRDefault="00C06F75" w:rsidP="00C06F75">
      <w:pPr>
        <w:pStyle w:val="Heading2"/>
        <w:tabs>
          <w:tab w:val="left" w:pos="490"/>
        </w:tabs>
        <w:ind w:left="0" w:firstLine="0"/>
        <w:jc w:val="both"/>
        <w:rPr>
          <w:rFonts w:ascii="Times New Roman" w:hAnsi="Times New Roman"/>
          <w:b w:val="0"/>
          <w:bCs w:val="0"/>
          <w:noProof/>
          <w:sz w:val="24"/>
          <w:u w:val="none"/>
        </w:rPr>
      </w:pPr>
      <w:r>
        <w:rPr>
          <w:rFonts w:ascii="Times New Roman" w:hAnsi="Times New Roman"/>
          <w:sz w:val="24"/>
          <w:u w:val="none" w:color="000000"/>
        </w:rPr>
        <w:t xml:space="preserve">2. </w:t>
      </w:r>
      <w:r>
        <w:rPr>
          <w:rFonts w:ascii="Times New Roman" w:hAnsi="Times New Roman"/>
          <w:sz w:val="24"/>
          <w:u w:val="thick" w:color="000000"/>
        </w:rPr>
        <w:t>Analītiskās metodes</w:t>
      </w:r>
      <w:r>
        <w:rPr>
          <w:rFonts w:ascii="Times New Roman" w:hAnsi="Times New Roman"/>
          <w:sz w:val="24"/>
          <w:u w:val="none"/>
        </w:rPr>
        <w:t xml:space="preserve"> izstrāde un validācija</w:t>
      </w:r>
    </w:p>
    <w:p w14:paraId="725F10A2" w14:textId="77777777" w:rsidR="00C06F75" w:rsidRDefault="00C06F75" w:rsidP="00FB35D8">
      <w:pPr>
        <w:pStyle w:val="BodyText"/>
        <w:spacing w:before="0"/>
        <w:ind w:left="0"/>
        <w:jc w:val="both"/>
        <w:rPr>
          <w:rFonts w:ascii="Times New Roman" w:hAnsi="Times New Roman"/>
          <w:noProof/>
          <w:sz w:val="24"/>
          <w:u w:val="none"/>
        </w:rPr>
      </w:pPr>
    </w:p>
    <w:p w14:paraId="62F9FF02" w14:textId="440E1DDF"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Laboratorijām jāizmanto validēta kvantitatīvās </w:t>
      </w:r>
      <w:r>
        <w:rPr>
          <w:rFonts w:ascii="Times New Roman" w:hAnsi="Times New Roman"/>
          <w:sz w:val="24"/>
        </w:rPr>
        <w:t>apstiprināšanas procedūra</w:t>
      </w:r>
      <w:r>
        <w:rPr>
          <w:rFonts w:ascii="Times New Roman" w:hAnsi="Times New Roman"/>
          <w:sz w:val="24"/>
          <w:u w:val="none"/>
        </w:rPr>
        <w:t xml:space="preserve">, kas, ņemot vērā </w:t>
      </w:r>
      <w:r>
        <w:rPr>
          <w:rFonts w:ascii="Times New Roman" w:hAnsi="Times New Roman"/>
          <w:i/>
          <w:iCs/>
          <w:sz w:val="24"/>
        </w:rPr>
        <w:t>MU</w:t>
      </w:r>
      <w:r>
        <w:rPr>
          <w:rFonts w:ascii="Times New Roman" w:hAnsi="Times New Roman"/>
          <w:sz w:val="24"/>
          <w:u w:val="none"/>
        </w:rPr>
        <w:t xml:space="preserve"> 95 % aptvēruma līmenī (kas aprēķināta pie </w:t>
      </w:r>
      <w:r>
        <w:rPr>
          <w:rFonts w:ascii="Times New Roman" w:hAnsi="Times New Roman"/>
          <w:i/>
          <w:iCs/>
          <w:sz w:val="24"/>
        </w:rPr>
        <w:t>T</w:t>
      </w:r>
      <w:r>
        <w:rPr>
          <w:rFonts w:ascii="Times New Roman" w:hAnsi="Times New Roman"/>
          <w:sz w:val="24"/>
          <w:u w:val="none"/>
        </w:rPr>
        <w:t xml:space="preserve"> vērtības), nodrošina </w:t>
      </w:r>
      <w:r>
        <w:rPr>
          <w:rFonts w:ascii="Times New Roman" w:hAnsi="Times New Roman"/>
          <w:i/>
          <w:iCs/>
          <w:sz w:val="24"/>
          <w:u w:val="none"/>
        </w:rPr>
        <w:t>AAF</w:t>
      </w:r>
      <w:r>
        <w:rPr>
          <w:rFonts w:ascii="Times New Roman" w:hAnsi="Times New Roman"/>
          <w:sz w:val="24"/>
          <w:u w:val="none"/>
        </w:rPr>
        <w:t xml:space="preserve"> vai </w:t>
      </w:r>
      <w:r>
        <w:rPr>
          <w:rFonts w:ascii="Times New Roman" w:hAnsi="Times New Roman"/>
          <w:i/>
          <w:iCs/>
          <w:sz w:val="24"/>
          <w:u w:val="none"/>
        </w:rPr>
        <w:t>ATF</w:t>
      </w:r>
      <w:r>
        <w:rPr>
          <w:rFonts w:ascii="Times New Roman" w:hAnsi="Times New Roman"/>
          <w:sz w:val="24"/>
          <w:u w:val="none"/>
        </w:rPr>
        <w:t xml:space="preserve">, ja vidējā izmērītā vērtība pārsniedz </w:t>
      </w:r>
      <w:r>
        <w:rPr>
          <w:rFonts w:ascii="Times New Roman" w:hAnsi="Times New Roman"/>
          <w:i/>
          <w:iCs/>
          <w:sz w:val="24"/>
        </w:rPr>
        <w:t>DL</w:t>
      </w:r>
      <w:r>
        <w:rPr>
          <w:rFonts w:ascii="Times New Roman" w:hAnsi="Times New Roman"/>
          <w:sz w:val="24"/>
          <w:u w:val="none"/>
        </w:rPr>
        <w:t>.</w:t>
      </w:r>
    </w:p>
    <w:p w14:paraId="6C9CDA23" w14:textId="77777777" w:rsidR="00C06F75" w:rsidRPr="00FB35D8" w:rsidRDefault="00C06F75" w:rsidP="00FB35D8">
      <w:pPr>
        <w:pStyle w:val="BodyText"/>
        <w:spacing w:before="0"/>
        <w:ind w:left="0"/>
        <w:jc w:val="both"/>
        <w:rPr>
          <w:rFonts w:ascii="Times New Roman" w:hAnsi="Times New Roman"/>
          <w:noProof/>
          <w:sz w:val="24"/>
          <w:u w:val="none"/>
        </w:rPr>
      </w:pPr>
    </w:p>
    <w:p w14:paraId="2BB8CB71" w14:textId="586960A8"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Izstrādājot kvantitatīvās </w:t>
      </w:r>
      <w:r>
        <w:rPr>
          <w:rFonts w:ascii="Times New Roman" w:hAnsi="Times New Roman"/>
          <w:sz w:val="24"/>
        </w:rPr>
        <w:t>apstiprināšanas procedūru</w:t>
      </w:r>
      <w:r>
        <w:rPr>
          <w:rFonts w:ascii="Times New Roman" w:hAnsi="Times New Roman"/>
          <w:sz w:val="24"/>
          <w:u w:val="none"/>
        </w:rPr>
        <w:t xml:space="preserve">, pirms validācijas </w:t>
      </w:r>
      <w:r>
        <w:rPr>
          <w:rFonts w:ascii="Times New Roman" w:hAnsi="Times New Roman"/>
          <w:sz w:val="24"/>
        </w:rPr>
        <w:t>laboratorijai</w:t>
      </w:r>
      <w:r>
        <w:rPr>
          <w:rFonts w:ascii="Times New Roman" w:hAnsi="Times New Roman"/>
          <w:sz w:val="24"/>
          <w:u w:val="none"/>
        </w:rPr>
        <w:t xml:space="preserve"> jāņem vērā visi procedūras aspekti un jāidentificē kritiskie veiktspējas raksturlielumi, kas jāoptimizē, lai nodrošinātu, ka ar metodi iegūtā rezultāta nenoteiktība atbilst </w:t>
      </w:r>
      <w:r>
        <w:rPr>
          <w:rFonts w:ascii="Times New Roman" w:hAnsi="Times New Roman"/>
          <w:i/>
          <w:iCs/>
          <w:sz w:val="24"/>
          <w:u w:val="none"/>
        </w:rPr>
        <w:t>WADA</w:t>
      </w:r>
      <w:r>
        <w:rPr>
          <w:rFonts w:ascii="Times New Roman" w:hAnsi="Times New Roman"/>
          <w:sz w:val="24"/>
          <w:u w:val="none"/>
        </w:rPr>
        <w:t xml:space="preserve"> noteiktajiem kritērijiem.</w:t>
      </w:r>
    </w:p>
    <w:p w14:paraId="5DADF541" w14:textId="77777777" w:rsidR="00C06F75" w:rsidRPr="00FB35D8" w:rsidRDefault="00C06F75" w:rsidP="00FB35D8">
      <w:pPr>
        <w:pStyle w:val="BodyText"/>
        <w:spacing w:before="0"/>
        <w:ind w:left="0"/>
        <w:jc w:val="both"/>
        <w:rPr>
          <w:rFonts w:ascii="Times New Roman" w:hAnsi="Times New Roman"/>
          <w:noProof/>
          <w:sz w:val="24"/>
          <w:u w:val="none"/>
        </w:rPr>
      </w:pPr>
    </w:p>
    <w:p w14:paraId="6B616E1D" w14:textId="75A6B1DA"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Validācija ir būtiska jebkuras </w:t>
      </w:r>
      <w:r>
        <w:rPr>
          <w:rFonts w:ascii="Times New Roman" w:hAnsi="Times New Roman"/>
          <w:sz w:val="24"/>
        </w:rPr>
        <w:t>analītiskās pārbaudes procedūras</w:t>
      </w:r>
      <w:r>
        <w:rPr>
          <w:rFonts w:ascii="Times New Roman" w:hAnsi="Times New Roman"/>
          <w:sz w:val="24"/>
          <w:u w:val="none"/>
        </w:rPr>
        <w:t xml:space="preserve"> piemērošanai un laboratorijas akreditācijai atbilstoši ISO/IEC 17025. Veiktspējas raksturlielumus, kas noteikti kvantitatīvās </w:t>
      </w:r>
      <w:r>
        <w:rPr>
          <w:rFonts w:ascii="Times New Roman" w:hAnsi="Times New Roman"/>
          <w:sz w:val="24"/>
        </w:rPr>
        <w:t>apstiprināšanas procedūras</w:t>
      </w:r>
      <w:r>
        <w:rPr>
          <w:rFonts w:ascii="Times New Roman" w:hAnsi="Times New Roman"/>
          <w:sz w:val="24"/>
          <w:u w:val="none"/>
        </w:rPr>
        <w:t xml:space="preserve"> validācijas procesā, var izmantot par pamatu, aplēšot </w:t>
      </w:r>
      <w:r>
        <w:rPr>
          <w:rFonts w:ascii="Times New Roman" w:hAnsi="Times New Roman"/>
          <w:i/>
          <w:iCs/>
          <w:sz w:val="24"/>
        </w:rPr>
        <w:t>MU</w:t>
      </w:r>
      <w:r>
        <w:rPr>
          <w:rFonts w:ascii="Times New Roman" w:hAnsi="Times New Roman"/>
          <w:sz w:val="24"/>
          <w:u w:val="none"/>
        </w:rPr>
        <w:t xml:space="preserve">, kas saistīta ar rezultātiem, kuri iegūti, izmantojot kvantitatīvās </w:t>
      </w:r>
      <w:r>
        <w:rPr>
          <w:rFonts w:ascii="Times New Roman" w:hAnsi="Times New Roman"/>
          <w:sz w:val="24"/>
        </w:rPr>
        <w:t>apstiprināšanas procedūru</w:t>
      </w:r>
      <w:r>
        <w:rPr>
          <w:rFonts w:ascii="Times New Roman" w:hAnsi="Times New Roman"/>
          <w:sz w:val="24"/>
          <w:u w:val="none"/>
        </w:rPr>
        <w:t>.</w:t>
      </w:r>
    </w:p>
    <w:p w14:paraId="1701DFF9" w14:textId="77777777" w:rsidR="00C06F75" w:rsidRPr="00FB35D8" w:rsidRDefault="00C06F75" w:rsidP="00FB35D8">
      <w:pPr>
        <w:pStyle w:val="BodyText"/>
        <w:spacing w:before="0"/>
        <w:ind w:left="0"/>
        <w:jc w:val="both"/>
        <w:rPr>
          <w:rFonts w:ascii="Times New Roman" w:hAnsi="Times New Roman"/>
          <w:noProof/>
          <w:sz w:val="24"/>
          <w:u w:val="none"/>
        </w:rPr>
      </w:pPr>
    </w:p>
    <w:p w14:paraId="13CA33FE"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rPr>
        <w:lastRenderedPageBreak/>
        <w:t>Analītiskās metodes</w:t>
      </w:r>
      <w:r>
        <w:rPr>
          <w:rFonts w:ascii="Times New Roman" w:hAnsi="Times New Roman"/>
          <w:sz w:val="24"/>
          <w:u w:val="none"/>
        </w:rPr>
        <w:t xml:space="preserve"> validācijas vispārīgo principu detalizētāki apraksti ir pieejami dažādos norādījumu dokumentos [12-15], un tie netiks detalizēti aprakstīti. Turpmāk uzskaitītie raksturlielumi (2. tabulas 1. aile) ir sniegti kā piemērs minimālajām zonām, kas iegūtas no validācijas datiem, kuri jāizmeklē jebkura kvantitatīvās </w:t>
      </w:r>
      <w:r>
        <w:rPr>
          <w:rFonts w:ascii="Times New Roman" w:hAnsi="Times New Roman"/>
          <w:sz w:val="24"/>
        </w:rPr>
        <w:t>apstiprināšanas procedūras</w:t>
      </w:r>
      <w:r>
        <w:rPr>
          <w:rFonts w:ascii="Times New Roman" w:hAnsi="Times New Roman"/>
          <w:sz w:val="24"/>
          <w:u w:val="none"/>
        </w:rPr>
        <w:t xml:space="preserve"> validācijas procesa ietvaros, lai aplēstu </w:t>
      </w:r>
      <w:r>
        <w:rPr>
          <w:rFonts w:ascii="Times New Roman" w:hAnsi="Times New Roman"/>
          <w:i/>
          <w:sz w:val="24"/>
          <w:u w:val="none"/>
        </w:rPr>
        <w:t>u</w:t>
      </w:r>
      <w:r>
        <w:rPr>
          <w:rFonts w:ascii="Times New Roman" w:hAnsi="Times New Roman"/>
          <w:i/>
          <w:sz w:val="24"/>
          <w:u w:val="none"/>
          <w:vertAlign w:val="subscript"/>
        </w:rPr>
        <w:t>c</w:t>
      </w:r>
      <w:r>
        <w:rPr>
          <w:rFonts w:ascii="Times New Roman" w:hAnsi="Times New Roman"/>
          <w:sz w:val="24"/>
          <w:u w:val="none"/>
        </w:rPr>
        <w:t xml:space="preserve">. Vajadzība veikt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sz w:val="24"/>
          <w:u w:val="none"/>
        </w:rPr>
        <w:t xml:space="preserve"> aplēšanu, izmantojot ISO pakāpeniskas komponentu noteikšanas pieeju, nav nepieciešama, ja ir pieejami citi datu veidi un tie tiek izmantoti nenoteiktības aplēšanai. Tā kā izmantotās kvantitatīvās </w:t>
      </w:r>
      <w:r>
        <w:rPr>
          <w:rFonts w:ascii="Times New Roman" w:hAnsi="Times New Roman"/>
          <w:sz w:val="24"/>
        </w:rPr>
        <w:t>apstiprināšanas procedūras</w:t>
      </w:r>
      <w:r>
        <w:rPr>
          <w:rFonts w:ascii="Times New Roman" w:hAnsi="Times New Roman"/>
          <w:sz w:val="24"/>
          <w:u w:val="none"/>
        </w:rPr>
        <w:t xml:space="preserve"> ir jāvalidē, ir ieteicams izmantot turpmāk minēto pieeju.</w:t>
      </w:r>
    </w:p>
    <w:p w14:paraId="48E1440A" w14:textId="3F35EA7A" w:rsidR="00C06F75" w:rsidRDefault="00C06F75">
      <w:pPr>
        <w:rPr>
          <w:rFonts w:ascii="Times New Roman" w:hAnsi="Times New Roman"/>
          <w:noProof/>
          <w:sz w:val="24"/>
        </w:rPr>
      </w:pPr>
      <w:r>
        <w:br w:type="page"/>
      </w:r>
    </w:p>
    <w:p w14:paraId="739B76C3" w14:textId="2C55774E" w:rsidR="00573E92" w:rsidRPr="00FB35D8" w:rsidRDefault="00573E92" w:rsidP="00C06F75">
      <w:pPr>
        <w:jc w:val="both"/>
        <w:rPr>
          <w:rFonts w:ascii="Times New Roman" w:eastAsia="Arial" w:hAnsi="Times New Roman" w:cs="Arial"/>
          <w:noProof/>
          <w:sz w:val="24"/>
          <w:szCs w:val="15"/>
        </w:rPr>
      </w:pPr>
    </w:p>
    <w:p w14:paraId="2E28086F" w14:textId="77777777" w:rsidR="00573E92" w:rsidRPr="00FB35D8" w:rsidRDefault="00573E92" w:rsidP="00FB35D8">
      <w:pPr>
        <w:pStyle w:val="Heading2"/>
        <w:ind w:left="0" w:firstLine="0"/>
        <w:jc w:val="both"/>
        <w:rPr>
          <w:rFonts w:ascii="Times New Roman" w:hAnsi="Times New Roman"/>
          <w:noProof/>
          <w:sz w:val="24"/>
          <w:u w:val="thick" w:color="000000"/>
        </w:rPr>
      </w:pPr>
      <w:r>
        <w:rPr>
          <w:rFonts w:ascii="Times New Roman" w:hAnsi="Times New Roman"/>
          <w:sz w:val="24"/>
          <w:u w:val="thick" w:color="000000"/>
        </w:rPr>
        <w:t>2. tabula</w:t>
      </w:r>
    </w:p>
    <w:p w14:paraId="50D84BE3" w14:textId="77777777" w:rsidR="00573E92" w:rsidRPr="00FB35D8" w:rsidRDefault="00573E92" w:rsidP="00FB35D8">
      <w:pPr>
        <w:jc w:val="both"/>
        <w:rPr>
          <w:rFonts w:ascii="Times New Roman" w:eastAsia="Arial" w:hAnsi="Times New Roman" w:cs="Arial"/>
          <w:b/>
          <w:bCs/>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2052"/>
        <w:gridCol w:w="7076"/>
      </w:tblGrid>
      <w:tr w:rsidR="00573E92" w:rsidRPr="00FB35D8" w14:paraId="57FA676E" w14:textId="77777777" w:rsidTr="000359E3">
        <w:tc>
          <w:tcPr>
            <w:tcW w:w="1124" w:type="pct"/>
            <w:tcBorders>
              <w:top w:val="single" w:sz="5" w:space="0" w:color="000000"/>
              <w:left w:val="single" w:sz="5" w:space="0" w:color="000000"/>
              <w:bottom w:val="single" w:sz="5" w:space="0" w:color="000000"/>
              <w:right w:val="single" w:sz="5" w:space="0" w:color="000000"/>
            </w:tcBorders>
            <w:vAlign w:val="center"/>
          </w:tcPr>
          <w:p w14:paraId="14E41AD6" w14:textId="77777777" w:rsidR="00573E92" w:rsidRPr="00FB35D8" w:rsidRDefault="00573E92" w:rsidP="000359E3">
            <w:pPr>
              <w:pStyle w:val="TableParagraph"/>
              <w:jc w:val="center"/>
              <w:rPr>
                <w:rFonts w:ascii="Times New Roman" w:eastAsia="Arial" w:hAnsi="Times New Roman" w:cs="Arial"/>
                <w:noProof/>
                <w:sz w:val="24"/>
              </w:rPr>
            </w:pPr>
            <w:r>
              <w:rPr>
                <w:rFonts w:ascii="Times New Roman" w:hAnsi="Times New Roman"/>
                <w:b/>
                <w:sz w:val="24"/>
                <w:u w:val="thick" w:color="000000"/>
              </w:rPr>
              <w:t>Analītiskās metodes</w:t>
            </w:r>
            <w:r>
              <w:rPr>
                <w:rFonts w:ascii="Times New Roman" w:hAnsi="Times New Roman"/>
                <w:b/>
                <w:sz w:val="24"/>
              </w:rPr>
              <w:t xml:space="preserve"> raksturlielums</w:t>
            </w:r>
          </w:p>
        </w:tc>
        <w:tc>
          <w:tcPr>
            <w:tcW w:w="3876" w:type="pct"/>
            <w:tcBorders>
              <w:top w:val="single" w:sz="5" w:space="0" w:color="000000"/>
              <w:left w:val="single" w:sz="5" w:space="0" w:color="000000"/>
              <w:bottom w:val="single" w:sz="5" w:space="0" w:color="000000"/>
              <w:right w:val="single" w:sz="5" w:space="0" w:color="000000"/>
            </w:tcBorders>
            <w:vAlign w:val="center"/>
          </w:tcPr>
          <w:p w14:paraId="52B07EB9" w14:textId="77777777" w:rsidR="00573E92" w:rsidRPr="00FB35D8" w:rsidRDefault="00573E92" w:rsidP="000359E3">
            <w:pPr>
              <w:pStyle w:val="TableParagraph"/>
              <w:jc w:val="center"/>
              <w:rPr>
                <w:rFonts w:ascii="Times New Roman" w:hAnsi="Times New Roman"/>
                <w:b/>
                <w:noProof/>
                <w:sz w:val="24"/>
              </w:rPr>
            </w:pPr>
            <w:r>
              <w:rPr>
                <w:rFonts w:ascii="Times New Roman" w:hAnsi="Times New Roman"/>
                <w:b/>
                <w:sz w:val="24"/>
              </w:rPr>
              <w:t>Datu avots</w:t>
            </w:r>
          </w:p>
        </w:tc>
      </w:tr>
      <w:tr w:rsidR="00573E92" w:rsidRPr="00FB35D8" w14:paraId="7C30EB37" w14:textId="77777777" w:rsidTr="000359E3">
        <w:tc>
          <w:tcPr>
            <w:tcW w:w="1124" w:type="pct"/>
            <w:tcBorders>
              <w:top w:val="single" w:sz="5" w:space="0" w:color="000000"/>
              <w:left w:val="single" w:sz="5" w:space="0" w:color="000000"/>
              <w:bottom w:val="single" w:sz="5" w:space="0" w:color="000000"/>
              <w:right w:val="single" w:sz="5" w:space="0" w:color="000000"/>
            </w:tcBorders>
            <w:vAlign w:val="center"/>
          </w:tcPr>
          <w:p w14:paraId="085F6328" w14:textId="77777777" w:rsidR="00573E92" w:rsidRPr="00FB35D8" w:rsidRDefault="00573E92" w:rsidP="000359E3">
            <w:pPr>
              <w:pStyle w:val="TableParagraph"/>
              <w:jc w:val="center"/>
              <w:rPr>
                <w:rFonts w:ascii="Times New Roman" w:hAnsi="Times New Roman"/>
                <w:noProof/>
                <w:sz w:val="24"/>
              </w:rPr>
            </w:pPr>
            <w:r>
              <w:rPr>
                <w:rFonts w:ascii="Times New Roman" w:hAnsi="Times New Roman"/>
                <w:sz w:val="24"/>
              </w:rPr>
              <w:t>Kalibrēšana</w:t>
            </w:r>
          </w:p>
        </w:tc>
        <w:tc>
          <w:tcPr>
            <w:tcW w:w="3876" w:type="pct"/>
            <w:tcBorders>
              <w:top w:val="single" w:sz="5" w:space="0" w:color="000000"/>
              <w:left w:val="single" w:sz="5" w:space="0" w:color="000000"/>
              <w:bottom w:val="single" w:sz="5" w:space="0" w:color="000000"/>
              <w:right w:val="single" w:sz="5" w:space="0" w:color="000000"/>
            </w:tcBorders>
          </w:tcPr>
          <w:p w14:paraId="4E6B9839" w14:textId="7F10134B" w:rsidR="00573E92" w:rsidRPr="00FB35D8" w:rsidRDefault="000359E3" w:rsidP="000359E3">
            <w:pPr>
              <w:pStyle w:val="ListParagraph"/>
              <w:tabs>
                <w:tab w:val="left" w:pos="323"/>
              </w:tabs>
              <w:jc w:val="both"/>
              <w:rPr>
                <w:rFonts w:ascii="Times New Roman" w:eastAsia="Arial" w:hAnsi="Times New Roman" w:cs="Arial"/>
                <w:noProof/>
                <w:sz w:val="24"/>
              </w:rPr>
            </w:pPr>
            <w:r>
              <w:rPr>
                <w:rFonts w:ascii="Times New Roman" w:hAnsi="Times New Roman"/>
                <w:sz w:val="24"/>
              </w:rPr>
              <w:t xml:space="preserve">– No 50 % līdz vismaz 200 % </w:t>
            </w:r>
            <w:r>
              <w:rPr>
                <w:rFonts w:ascii="Times New Roman" w:hAnsi="Times New Roman"/>
                <w:i/>
                <w:iCs/>
                <w:sz w:val="24"/>
                <w:u w:val="single"/>
              </w:rPr>
              <w:t>T</w:t>
            </w:r>
            <w:r>
              <w:rPr>
                <w:rFonts w:ascii="Times New Roman" w:hAnsi="Times New Roman"/>
                <w:sz w:val="24"/>
              </w:rPr>
              <w:t xml:space="preserve"> koncentrācija kalibratoros, kas sagatavoti tajā pašā matricā kā </w:t>
            </w:r>
            <w:r>
              <w:rPr>
                <w:rFonts w:ascii="Times New Roman" w:hAnsi="Times New Roman"/>
                <w:i/>
                <w:iCs/>
                <w:sz w:val="24"/>
              </w:rPr>
              <w:t>paraugi</w:t>
            </w:r>
            <w:r>
              <w:rPr>
                <w:rFonts w:ascii="Times New Roman" w:hAnsi="Times New Roman"/>
                <w:sz w:val="24"/>
              </w:rPr>
              <w:t xml:space="preserve"> (ieteicami vismaz pieci kalibrēšanas punkti visā izmeklēšanas lineārajā diapazonā un vismaz četri atkārtojumi katrā kalibrēšanas punktā).</w:t>
            </w:r>
          </w:p>
          <w:p w14:paraId="10BBA05F" w14:textId="5E5E6E41" w:rsidR="00573E92" w:rsidRPr="00FB35D8" w:rsidRDefault="000359E3" w:rsidP="000359E3">
            <w:pPr>
              <w:pStyle w:val="ListParagraph"/>
              <w:tabs>
                <w:tab w:val="left" w:pos="323"/>
              </w:tabs>
              <w:jc w:val="both"/>
              <w:rPr>
                <w:rFonts w:ascii="Times New Roman" w:hAnsi="Times New Roman"/>
                <w:noProof/>
                <w:sz w:val="24"/>
              </w:rPr>
            </w:pPr>
            <w:r>
              <w:rPr>
                <w:rFonts w:ascii="Times New Roman" w:hAnsi="Times New Roman"/>
                <w:sz w:val="24"/>
              </w:rPr>
              <w:t>– Divi atsevišķi sagatavoti krājuma standartšķīdumi un divas atšķaidīšanas sērijas no katra.</w:t>
            </w:r>
          </w:p>
          <w:p w14:paraId="090411F0" w14:textId="2F3C9F9F" w:rsidR="00573E92" w:rsidRPr="00FB35D8" w:rsidRDefault="000359E3" w:rsidP="000359E3">
            <w:pPr>
              <w:pStyle w:val="ListParagraph"/>
              <w:tabs>
                <w:tab w:val="left" w:pos="323"/>
              </w:tabs>
              <w:jc w:val="both"/>
              <w:rPr>
                <w:rFonts w:ascii="Times New Roman" w:eastAsia="Arial" w:hAnsi="Times New Roman" w:cs="Arial"/>
                <w:noProof/>
                <w:sz w:val="24"/>
              </w:rPr>
            </w:pPr>
            <w:r>
              <w:rPr>
                <w:rFonts w:ascii="Times New Roman" w:hAnsi="Times New Roman"/>
                <w:sz w:val="24"/>
              </w:rPr>
              <w:t>– Vismazāko kvadrātu regresijas analīze par reakciju, salīdzinot ar koncentrāciju, lai aprēķinātu metodes regresijas koeficientu šajā diapazonā.</w:t>
            </w:r>
          </w:p>
        </w:tc>
      </w:tr>
      <w:tr w:rsidR="00573E92" w:rsidRPr="00FB35D8" w14:paraId="36556610" w14:textId="77777777" w:rsidTr="000359E3">
        <w:tc>
          <w:tcPr>
            <w:tcW w:w="1124" w:type="pct"/>
            <w:tcBorders>
              <w:top w:val="single" w:sz="5" w:space="0" w:color="000000"/>
              <w:left w:val="single" w:sz="5" w:space="0" w:color="000000"/>
              <w:bottom w:val="single" w:sz="5" w:space="0" w:color="000000"/>
              <w:right w:val="single" w:sz="5" w:space="0" w:color="000000"/>
            </w:tcBorders>
            <w:vAlign w:val="center"/>
          </w:tcPr>
          <w:p w14:paraId="018CE6CB" w14:textId="77777777" w:rsidR="00573E92" w:rsidRPr="00FB35D8" w:rsidRDefault="00573E92" w:rsidP="000359E3">
            <w:pPr>
              <w:pStyle w:val="TableParagraph"/>
              <w:jc w:val="center"/>
              <w:rPr>
                <w:rFonts w:ascii="Times New Roman" w:hAnsi="Times New Roman"/>
                <w:noProof/>
                <w:sz w:val="24"/>
              </w:rPr>
            </w:pPr>
            <w:r>
              <w:rPr>
                <w:rFonts w:ascii="Times New Roman" w:hAnsi="Times New Roman"/>
                <w:sz w:val="24"/>
              </w:rPr>
              <w:t>Atkārtojamība</w:t>
            </w:r>
          </w:p>
        </w:tc>
        <w:tc>
          <w:tcPr>
            <w:tcW w:w="3876" w:type="pct"/>
            <w:tcBorders>
              <w:top w:val="single" w:sz="5" w:space="0" w:color="000000"/>
              <w:left w:val="single" w:sz="5" w:space="0" w:color="000000"/>
              <w:bottom w:val="single" w:sz="5" w:space="0" w:color="000000"/>
              <w:right w:val="single" w:sz="5" w:space="0" w:color="000000"/>
            </w:tcBorders>
          </w:tcPr>
          <w:p w14:paraId="157EA38F" w14:textId="77777777" w:rsidR="00573E92" w:rsidRPr="00FB35D8" w:rsidRDefault="00573E92" w:rsidP="00FB35D8">
            <w:pPr>
              <w:pStyle w:val="TableParagraph"/>
              <w:jc w:val="both"/>
              <w:rPr>
                <w:rFonts w:ascii="Times New Roman" w:eastAsia="Arial" w:hAnsi="Times New Roman" w:cs="Arial"/>
                <w:noProof/>
                <w:sz w:val="24"/>
              </w:rPr>
            </w:pPr>
            <w:r>
              <w:rPr>
                <w:rFonts w:ascii="Times New Roman" w:hAnsi="Times New Roman"/>
                <w:sz w:val="24"/>
              </w:rPr>
              <w:t xml:space="preserve">– Vismaz desmit atkārtojumi ar piemērotiem </w:t>
            </w:r>
            <w:r>
              <w:rPr>
                <w:rFonts w:ascii="Times New Roman" w:hAnsi="Times New Roman"/>
                <w:i/>
                <w:iCs/>
                <w:sz w:val="24"/>
              </w:rPr>
              <w:t>CRM/QC</w:t>
            </w:r>
            <w:r>
              <w:rPr>
                <w:rFonts w:ascii="Times New Roman" w:hAnsi="Times New Roman"/>
                <w:sz w:val="24"/>
              </w:rPr>
              <w:t xml:space="preserve"> paraugiem vai “piesātinātu” urīnu/asinīm (serumu, plazmu) ar zināmu koncentrāciju/attiecību/rādītāju pie </w:t>
            </w:r>
            <w:r>
              <w:rPr>
                <w:rFonts w:ascii="Times New Roman" w:hAnsi="Times New Roman"/>
                <w:i/>
                <w:iCs/>
                <w:sz w:val="24"/>
                <w:u w:val="single"/>
              </w:rPr>
              <w:t>T</w:t>
            </w:r>
            <w:r>
              <w:rPr>
                <w:rFonts w:ascii="Times New Roman" w:hAnsi="Times New Roman"/>
                <w:sz w:val="24"/>
              </w:rPr>
              <w:t xml:space="preserve"> vērtības vai tuvu tai. Šķīdumus īsā laika posmā analizē tas pats analīžu veicējs ar to pašu aprīkojumu tajā pašā </w:t>
            </w:r>
            <w:r>
              <w:rPr>
                <w:rFonts w:ascii="Times New Roman" w:hAnsi="Times New Roman"/>
                <w:sz w:val="24"/>
                <w:u w:val="single"/>
              </w:rPr>
              <w:t>laboratorijā</w:t>
            </w:r>
            <w:r>
              <w:rPr>
                <w:rFonts w:ascii="Times New Roman" w:hAnsi="Times New Roman"/>
                <w:sz w:val="24"/>
              </w:rPr>
              <w:t xml:space="preserve">. Rezultātu </w:t>
            </w:r>
            <w:r>
              <w:rPr>
                <w:rFonts w:ascii="Times New Roman" w:hAnsi="Times New Roman"/>
                <w:i/>
                <w:iCs/>
                <w:sz w:val="24"/>
              </w:rPr>
              <w:t>SD</w:t>
            </w:r>
            <w:r>
              <w:rPr>
                <w:rFonts w:ascii="Times New Roman" w:hAnsi="Times New Roman"/>
                <w:sz w:val="24"/>
              </w:rPr>
              <w:t xml:space="preserve"> ir metodes </w:t>
            </w:r>
            <w:r>
              <w:rPr>
                <w:rFonts w:ascii="Times New Roman" w:hAnsi="Times New Roman"/>
                <w:sz w:val="24"/>
                <w:u w:val="single"/>
              </w:rPr>
              <w:t>atkārtojamība</w:t>
            </w:r>
            <w:r>
              <w:rPr>
                <w:rFonts w:ascii="Times New Roman" w:hAnsi="Times New Roman"/>
                <w:sz w:val="24"/>
              </w:rPr>
              <w:t xml:space="preserve"> (</w:t>
            </w:r>
            <w:r>
              <w:rPr>
                <w:rFonts w:ascii="Times New Roman" w:hAnsi="Times New Roman"/>
                <w:i/>
                <w:sz w:val="24"/>
              </w:rPr>
              <w:t>s</w:t>
            </w:r>
            <w:r>
              <w:rPr>
                <w:rFonts w:ascii="Times New Roman" w:hAnsi="Times New Roman"/>
                <w:i/>
                <w:sz w:val="24"/>
                <w:vertAlign w:val="subscript"/>
              </w:rPr>
              <w:t>r</w:t>
            </w:r>
            <w:r>
              <w:rPr>
                <w:rFonts w:ascii="Times New Roman" w:hAnsi="Times New Roman"/>
                <w:sz w:val="24"/>
              </w:rPr>
              <w:t>) dotajā koncentrācijā.</w:t>
            </w:r>
          </w:p>
        </w:tc>
      </w:tr>
      <w:tr w:rsidR="00573E92" w:rsidRPr="00FB35D8" w14:paraId="4EE380EB" w14:textId="77777777" w:rsidTr="000359E3">
        <w:tc>
          <w:tcPr>
            <w:tcW w:w="1124" w:type="pct"/>
            <w:tcBorders>
              <w:top w:val="single" w:sz="5" w:space="0" w:color="000000"/>
              <w:left w:val="single" w:sz="5" w:space="0" w:color="000000"/>
              <w:bottom w:val="single" w:sz="5" w:space="0" w:color="000000"/>
              <w:right w:val="single" w:sz="5" w:space="0" w:color="000000"/>
            </w:tcBorders>
            <w:vAlign w:val="center"/>
          </w:tcPr>
          <w:p w14:paraId="083C30EB" w14:textId="77777777" w:rsidR="00573E92" w:rsidRPr="00FB35D8" w:rsidRDefault="00573E92" w:rsidP="000359E3">
            <w:pPr>
              <w:pStyle w:val="TableParagraph"/>
              <w:jc w:val="center"/>
              <w:rPr>
                <w:rFonts w:ascii="Times New Roman" w:hAnsi="Times New Roman"/>
                <w:noProof/>
                <w:sz w:val="24"/>
              </w:rPr>
            </w:pPr>
            <w:r>
              <w:rPr>
                <w:rFonts w:ascii="Times New Roman" w:hAnsi="Times New Roman"/>
                <w:sz w:val="24"/>
              </w:rPr>
              <w:t>Starpposma precizitāte</w:t>
            </w:r>
          </w:p>
        </w:tc>
        <w:tc>
          <w:tcPr>
            <w:tcW w:w="3876" w:type="pct"/>
            <w:tcBorders>
              <w:top w:val="single" w:sz="5" w:space="0" w:color="000000"/>
              <w:left w:val="single" w:sz="5" w:space="0" w:color="000000"/>
              <w:bottom w:val="single" w:sz="5" w:space="0" w:color="000000"/>
              <w:right w:val="single" w:sz="5" w:space="0" w:color="000000"/>
            </w:tcBorders>
          </w:tcPr>
          <w:p w14:paraId="082D5A07" w14:textId="77777777" w:rsidR="00573E92" w:rsidRPr="00FB35D8" w:rsidRDefault="00573E92" w:rsidP="00FB35D8">
            <w:pPr>
              <w:pStyle w:val="TableParagraph"/>
              <w:jc w:val="both"/>
              <w:rPr>
                <w:rFonts w:ascii="Times New Roman" w:eastAsia="Arial" w:hAnsi="Times New Roman" w:cs="Arial"/>
                <w:noProof/>
                <w:sz w:val="24"/>
              </w:rPr>
            </w:pPr>
            <w:r>
              <w:rPr>
                <w:rFonts w:ascii="Times New Roman" w:hAnsi="Times New Roman"/>
                <w:sz w:val="24"/>
              </w:rPr>
              <w:t xml:space="preserve">– Vismaz desmit atsevišķi sagatavoti pārbaudes šķīdumi, ko vēlams gatavot no kontroles urīna/asinīm (seruma, plazmas) vai no </w:t>
            </w:r>
            <w:r>
              <w:rPr>
                <w:rFonts w:ascii="Times New Roman" w:hAnsi="Times New Roman"/>
                <w:i/>
                <w:iCs/>
                <w:sz w:val="24"/>
              </w:rPr>
              <w:t>CRM</w:t>
            </w:r>
            <w:r>
              <w:rPr>
                <w:rFonts w:ascii="Times New Roman" w:hAnsi="Times New Roman"/>
                <w:sz w:val="24"/>
              </w:rPr>
              <w:t xml:space="preserve"> vai </w:t>
            </w:r>
            <w:r>
              <w:rPr>
                <w:rFonts w:ascii="Times New Roman" w:hAnsi="Times New Roman"/>
                <w:i/>
                <w:iCs/>
                <w:sz w:val="24"/>
              </w:rPr>
              <w:t>QC</w:t>
            </w:r>
            <w:r>
              <w:rPr>
                <w:rFonts w:ascii="Times New Roman" w:hAnsi="Times New Roman"/>
                <w:sz w:val="24"/>
              </w:rPr>
              <w:t xml:space="preserve"> parauga(-iem) ar koncentrāciju/attiecību/rādītāju, kas ir tuvs </w:t>
            </w:r>
            <w:r>
              <w:rPr>
                <w:rFonts w:ascii="Times New Roman" w:hAnsi="Times New Roman"/>
                <w:i/>
                <w:iCs/>
                <w:sz w:val="24"/>
                <w:u w:val="single"/>
              </w:rPr>
              <w:t>T</w:t>
            </w:r>
            <w:r>
              <w:rPr>
                <w:rFonts w:ascii="Times New Roman" w:hAnsi="Times New Roman"/>
                <w:sz w:val="24"/>
              </w:rPr>
              <w:t xml:space="preserve"> vērtībai. Analizēts vienā un tajā pašā </w:t>
            </w:r>
            <w:r>
              <w:rPr>
                <w:rFonts w:ascii="Times New Roman" w:hAnsi="Times New Roman"/>
                <w:sz w:val="24"/>
                <w:u w:val="single"/>
              </w:rPr>
              <w:t>laboratorijā</w:t>
            </w:r>
            <w:r>
              <w:rPr>
                <w:rFonts w:ascii="Times New Roman" w:hAnsi="Times New Roman"/>
                <w:sz w:val="24"/>
              </w:rPr>
              <w:t xml:space="preserve"> dažādās dienās, izmantojot (ja iespējams) dažādus operatorus un dažādas iekārtas. Rezultātu </w:t>
            </w:r>
            <w:r>
              <w:rPr>
                <w:rFonts w:ascii="Times New Roman" w:hAnsi="Times New Roman"/>
                <w:i/>
                <w:iCs/>
                <w:sz w:val="24"/>
              </w:rPr>
              <w:t>SD</w:t>
            </w:r>
            <w:r>
              <w:rPr>
                <w:rFonts w:ascii="Times New Roman" w:hAnsi="Times New Roman"/>
                <w:sz w:val="24"/>
              </w:rPr>
              <w:t xml:space="preserve"> ir </w:t>
            </w:r>
            <w:r>
              <w:rPr>
                <w:rFonts w:ascii="Times New Roman" w:hAnsi="Times New Roman"/>
                <w:sz w:val="24"/>
                <w:u w:val="single"/>
              </w:rPr>
              <w:t>starpposma precizitātes</w:t>
            </w:r>
            <w:r>
              <w:rPr>
                <w:rFonts w:ascii="Times New Roman" w:hAnsi="Times New Roman"/>
                <w:sz w:val="24"/>
              </w:rPr>
              <w:t xml:space="preserve"> (</w:t>
            </w:r>
            <w:r>
              <w:rPr>
                <w:rFonts w:ascii="Times New Roman" w:hAnsi="Times New Roman"/>
                <w:i/>
                <w:iCs/>
                <w:sz w:val="24"/>
              </w:rPr>
              <w:t>s</w:t>
            </w:r>
            <w:r>
              <w:rPr>
                <w:rFonts w:ascii="Times New Roman" w:hAnsi="Times New Roman"/>
                <w:i/>
                <w:iCs/>
                <w:sz w:val="24"/>
                <w:vertAlign w:val="subscript"/>
              </w:rPr>
              <w:t>w</w:t>
            </w:r>
            <w:r>
              <w:rPr>
                <w:rFonts w:ascii="Times New Roman" w:hAnsi="Times New Roman"/>
                <w:sz w:val="24"/>
              </w:rPr>
              <w:t>) aplēse šai metodei dotajā koncentrācijā.</w:t>
            </w:r>
          </w:p>
        </w:tc>
      </w:tr>
      <w:tr w:rsidR="00573E92" w:rsidRPr="00FB35D8" w14:paraId="2A9967C8" w14:textId="77777777" w:rsidTr="000359E3">
        <w:tc>
          <w:tcPr>
            <w:tcW w:w="1124" w:type="pct"/>
            <w:tcBorders>
              <w:top w:val="single" w:sz="5" w:space="0" w:color="000000"/>
              <w:left w:val="single" w:sz="5" w:space="0" w:color="000000"/>
              <w:bottom w:val="single" w:sz="5" w:space="0" w:color="000000"/>
              <w:right w:val="single" w:sz="5" w:space="0" w:color="000000"/>
            </w:tcBorders>
            <w:vAlign w:val="center"/>
          </w:tcPr>
          <w:p w14:paraId="20E8F3AE" w14:textId="77777777" w:rsidR="00573E92" w:rsidRPr="00FB35D8" w:rsidRDefault="00573E92" w:rsidP="000359E3">
            <w:pPr>
              <w:pStyle w:val="TableParagraph"/>
              <w:jc w:val="center"/>
              <w:rPr>
                <w:rFonts w:ascii="Times New Roman" w:hAnsi="Times New Roman"/>
                <w:noProof/>
                <w:sz w:val="24"/>
              </w:rPr>
            </w:pPr>
            <w:r>
              <w:rPr>
                <w:rFonts w:ascii="Times New Roman" w:hAnsi="Times New Roman"/>
                <w:sz w:val="24"/>
              </w:rPr>
              <w:t>Nobīde</w:t>
            </w:r>
          </w:p>
        </w:tc>
        <w:tc>
          <w:tcPr>
            <w:tcW w:w="3876" w:type="pct"/>
            <w:tcBorders>
              <w:top w:val="single" w:sz="5" w:space="0" w:color="000000"/>
              <w:left w:val="single" w:sz="5" w:space="0" w:color="000000"/>
              <w:bottom w:val="single" w:sz="5" w:space="0" w:color="000000"/>
              <w:right w:val="single" w:sz="5" w:space="0" w:color="000000"/>
            </w:tcBorders>
          </w:tcPr>
          <w:p w14:paraId="23D91C60" w14:textId="5CAEC1DA" w:rsidR="00573E92" w:rsidRPr="00FB35D8" w:rsidRDefault="000359E3" w:rsidP="000359E3">
            <w:pPr>
              <w:pStyle w:val="ListParagraph"/>
              <w:tabs>
                <w:tab w:val="left" w:pos="323"/>
              </w:tabs>
              <w:jc w:val="both"/>
              <w:rPr>
                <w:rFonts w:ascii="Times New Roman" w:eastAsia="Arial" w:hAnsi="Times New Roman" w:cs="Arial"/>
                <w:noProof/>
                <w:sz w:val="24"/>
              </w:rPr>
            </w:pPr>
            <w:r>
              <w:rPr>
                <w:rFonts w:ascii="Times New Roman" w:hAnsi="Times New Roman"/>
                <w:sz w:val="24"/>
              </w:rPr>
              <w:t>– Nosaka starpību vai metodes nobīdi (</w:t>
            </w:r>
            <w:r>
              <w:rPr>
                <w:rFonts w:ascii="Times New Roman" w:hAnsi="Times New Roman"/>
                <w:i/>
                <w:iCs/>
                <w:sz w:val="24"/>
              </w:rPr>
              <w:t>b</w:t>
            </w:r>
            <w:r>
              <w:rPr>
                <w:rFonts w:ascii="Times New Roman" w:hAnsi="Times New Roman"/>
                <w:sz w:val="24"/>
              </w:rPr>
              <w:t xml:space="preserve">) starp vidējo izmērīto vērtību pārbaudes rezultātiem, kas iegūti, analizējot attiecīgu </w:t>
            </w:r>
            <w:r>
              <w:rPr>
                <w:rFonts w:ascii="Times New Roman" w:hAnsi="Times New Roman"/>
                <w:i/>
                <w:iCs/>
                <w:sz w:val="24"/>
              </w:rPr>
              <w:t>CRM</w:t>
            </w:r>
            <w:r>
              <w:rPr>
                <w:rFonts w:ascii="Times New Roman" w:hAnsi="Times New Roman"/>
                <w:sz w:val="24"/>
              </w:rPr>
              <w:t xml:space="preserve">, </w:t>
            </w:r>
            <w:r>
              <w:rPr>
                <w:rFonts w:ascii="Times New Roman" w:hAnsi="Times New Roman"/>
                <w:i/>
                <w:iCs/>
                <w:sz w:val="24"/>
              </w:rPr>
              <w:t>QC</w:t>
            </w:r>
            <w:r>
              <w:rPr>
                <w:rFonts w:ascii="Times New Roman" w:hAnsi="Times New Roman"/>
                <w:sz w:val="24"/>
              </w:rPr>
              <w:t xml:space="preserve"> paraugu vai piesātinātu matricu, un šo paraugu atsauces vērtībām.</w:t>
            </w:r>
          </w:p>
          <w:p w14:paraId="5B225143" w14:textId="755AD1B1" w:rsidR="00573E92" w:rsidRPr="00FB35D8" w:rsidRDefault="000359E3" w:rsidP="000359E3">
            <w:pPr>
              <w:pStyle w:val="ListParagraph"/>
              <w:tabs>
                <w:tab w:val="left" w:pos="322"/>
              </w:tabs>
              <w:jc w:val="both"/>
              <w:rPr>
                <w:rFonts w:ascii="Times New Roman" w:eastAsia="Arial" w:hAnsi="Times New Roman" w:cs="Arial"/>
                <w:noProof/>
                <w:sz w:val="24"/>
              </w:rPr>
            </w:pPr>
            <w:r>
              <w:rPr>
                <w:rFonts w:ascii="Times New Roman" w:hAnsi="Times New Roman"/>
                <w:sz w:val="24"/>
              </w:rPr>
              <w:t xml:space="preserve">– Ja ir pieejama informācija no </w:t>
            </w:r>
            <w:r>
              <w:rPr>
                <w:rFonts w:ascii="Times New Roman" w:hAnsi="Times New Roman"/>
                <w:i/>
                <w:iCs/>
                <w:sz w:val="24"/>
              </w:rPr>
              <w:t>n</w:t>
            </w:r>
            <w:r>
              <w:rPr>
                <w:rFonts w:ascii="Times New Roman" w:hAnsi="Times New Roman"/>
                <w:sz w:val="24"/>
              </w:rPr>
              <w:t xml:space="preserve"> atsevišķiem nobīdes rezultātiem, aprēķina nobīdes vidējo kvadrātsakni (</w:t>
            </w:r>
            <w:r>
              <w:rPr>
                <w:rFonts w:ascii="Times New Roman" w:hAnsi="Times New Roman"/>
                <w:i/>
                <w:sz w:val="24"/>
              </w:rPr>
              <w:t>RMS</w:t>
            </w:r>
            <w:r>
              <w:rPr>
                <w:rFonts w:ascii="Times New Roman" w:hAnsi="Times New Roman"/>
                <w:i/>
                <w:sz w:val="24"/>
                <w:vertAlign w:val="subscript"/>
              </w:rPr>
              <w:t>bias</w:t>
            </w:r>
            <w:r>
              <w:rPr>
                <w:rFonts w:ascii="Times New Roman" w:hAnsi="Times New Roman"/>
                <w:sz w:val="24"/>
              </w:rPr>
              <w:t>).</w:t>
            </w:r>
          </w:p>
          <w:p w14:paraId="4E944EA1" w14:textId="61529D08" w:rsidR="00573E92" w:rsidRPr="00FB35D8" w:rsidRDefault="000359E3" w:rsidP="000359E3">
            <w:pPr>
              <w:pStyle w:val="ListParagraph"/>
              <w:tabs>
                <w:tab w:val="left" w:pos="322"/>
              </w:tabs>
              <w:jc w:val="both"/>
              <w:rPr>
                <w:rFonts w:ascii="Times New Roman" w:eastAsia="Arial" w:hAnsi="Times New Roman" w:cs="Arial"/>
                <w:noProof/>
                <w:sz w:val="24"/>
              </w:rPr>
            </w:pPr>
            <w:r>
              <w:rPr>
                <w:rFonts w:ascii="Times New Roman" w:hAnsi="Times New Roman"/>
                <w:sz w:val="24"/>
              </w:rPr>
              <w:t xml:space="preserve">– Ja </w:t>
            </w:r>
            <w:r>
              <w:rPr>
                <w:rFonts w:ascii="Times New Roman" w:hAnsi="Times New Roman"/>
                <w:i/>
                <w:sz w:val="24"/>
              </w:rPr>
              <w:t>RMS</w:t>
            </w:r>
            <w:r>
              <w:rPr>
                <w:rFonts w:ascii="Times New Roman" w:hAnsi="Times New Roman"/>
                <w:i/>
                <w:sz w:val="24"/>
                <w:vertAlign w:val="subscript"/>
              </w:rPr>
              <w:t>bias</w:t>
            </w:r>
            <w:r>
              <w:rPr>
                <w:rFonts w:ascii="Times New Roman" w:hAnsi="Times New Roman"/>
                <w:i/>
                <w:sz w:val="24"/>
              </w:rPr>
              <w:t xml:space="preserve"> </w:t>
            </w:r>
            <w:r>
              <w:rPr>
                <w:rFonts w:ascii="Times New Roman" w:hAnsi="Times New Roman"/>
                <w:sz w:val="24"/>
              </w:rPr>
              <w:t xml:space="preserve">izmanto, lai aplēstu standarta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rezultātiem, kas iegūti ar šo metodi, jāņem vērā arī ietekme, ko rada nenoteiktība, kas saistīta ar atsauces vērtībām, kuras izmanto, lai noteiktu metodes nobīdi.</w:t>
            </w:r>
          </w:p>
        </w:tc>
      </w:tr>
      <w:tr w:rsidR="00573E92" w:rsidRPr="00FB35D8" w14:paraId="45F801C6" w14:textId="77777777" w:rsidTr="000359E3">
        <w:tc>
          <w:tcPr>
            <w:tcW w:w="1124" w:type="pct"/>
            <w:tcBorders>
              <w:top w:val="single" w:sz="5" w:space="0" w:color="000000"/>
              <w:left w:val="single" w:sz="5" w:space="0" w:color="000000"/>
              <w:bottom w:val="single" w:sz="5" w:space="0" w:color="000000"/>
              <w:right w:val="single" w:sz="5" w:space="0" w:color="000000"/>
            </w:tcBorders>
            <w:vAlign w:val="center"/>
          </w:tcPr>
          <w:p w14:paraId="5A2F2FB5" w14:textId="77777777" w:rsidR="00573E92" w:rsidRPr="00FB35D8" w:rsidRDefault="00573E92" w:rsidP="000359E3">
            <w:pPr>
              <w:pStyle w:val="TableParagraph"/>
              <w:jc w:val="center"/>
              <w:rPr>
                <w:rFonts w:ascii="Times New Roman" w:hAnsi="Times New Roman"/>
                <w:noProof/>
                <w:sz w:val="24"/>
              </w:rPr>
            </w:pPr>
            <w:r>
              <w:rPr>
                <w:rFonts w:ascii="Times New Roman" w:hAnsi="Times New Roman"/>
                <w:sz w:val="24"/>
              </w:rPr>
              <w:t>Robustums</w:t>
            </w:r>
          </w:p>
        </w:tc>
        <w:tc>
          <w:tcPr>
            <w:tcW w:w="3876" w:type="pct"/>
            <w:tcBorders>
              <w:top w:val="single" w:sz="5" w:space="0" w:color="000000"/>
              <w:left w:val="single" w:sz="5" w:space="0" w:color="000000"/>
              <w:bottom w:val="single" w:sz="5" w:space="0" w:color="000000"/>
              <w:right w:val="single" w:sz="5" w:space="0" w:color="000000"/>
            </w:tcBorders>
          </w:tcPr>
          <w:p w14:paraId="1F777CB5" w14:textId="14895BBF" w:rsidR="00573E92" w:rsidRPr="00FB35D8" w:rsidRDefault="00573E92" w:rsidP="000359E3">
            <w:pPr>
              <w:pStyle w:val="TableParagraph"/>
              <w:jc w:val="both"/>
              <w:rPr>
                <w:rFonts w:ascii="Times New Roman" w:eastAsia="Arial" w:hAnsi="Times New Roman" w:cs="Arial"/>
                <w:noProof/>
                <w:sz w:val="24"/>
              </w:rPr>
            </w:pPr>
            <w:r>
              <w:rPr>
                <w:rFonts w:ascii="Times New Roman" w:hAnsi="Times New Roman"/>
                <w:sz w:val="24"/>
              </w:rPr>
              <w:t xml:space="preserve">– Aplēš ietekmi, ko rada paredzamās atšķirības analītiskajos apstākļos un </w:t>
            </w:r>
            <w:r>
              <w:rPr>
                <w:rFonts w:ascii="Times New Roman" w:hAnsi="Times New Roman"/>
                <w:i/>
                <w:iCs/>
                <w:sz w:val="24"/>
              </w:rPr>
              <w:t>parauga</w:t>
            </w:r>
            <w:r>
              <w:rPr>
                <w:rFonts w:ascii="Times New Roman" w:hAnsi="Times New Roman"/>
                <w:sz w:val="24"/>
              </w:rPr>
              <w:t xml:space="preserve"> parametros (jo īpaši matricas atšķirības).</w:t>
            </w:r>
          </w:p>
        </w:tc>
      </w:tr>
    </w:tbl>
    <w:p w14:paraId="04FC1977" w14:textId="77777777" w:rsidR="00FB35D8" w:rsidRPr="00FB35D8" w:rsidRDefault="00FB35D8" w:rsidP="00FB35D8">
      <w:pPr>
        <w:jc w:val="both"/>
        <w:rPr>
          <w:rFonts w:ascii="Times New Roman" w:eastAsia="Arial" w:hAnsi="Times New Roman" w:cs="Arial"/>
          <w:noProof/>
          <w:sz w:val="24"/>
        </w:rPr>
      </w:pPr>
    </w:p>
    <w:p w14:paraId="74FE3CCF" w14:textId="65CEBAC2"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tiek atzīts, ka kvantitatīvās </w:t>
      </w:r>
      <w:r>
        <w:rPr>
          <w:rFonts w:ascii="Times New Roman" w:hAnsi="Times New Roman"/>
          <w:sz w:val="24"/>
        </w:rPr>
        <w:t>apstiprināšanas procedūras</w:t>
      </w:r>
      <w:r>
        <w:rPr>
          <w:rFonts w:ascii="Times New Roman" w:hAnsi="Times New Roman"/>
          <w:sz w:val="24"/>
          <w:u w:val="none"/>
        </w:rPr>
        <w:t xml:space="preserve"> metodes validācijas procesā ir ņemta vērā visu attiecīgo parametru ietekme, tādos gadījumos </w:t>
      </w:r>
      <w:r>
        <w:rPr>
          <w:rFonts w:ascii="Times New Roman" w:hAnsi="Times New Roman"/>
          <w:i/>
          <w:iCs/>
          <w:sz w:val="24"/>
          <w:u w:val="none"/>
        </w:rPr>
        <w:t>u</w:t>
      </w:r>
      <w:r>
        <w:rPr>
          <w:rFonts w:ascii="Times New Roman" w:hAnsi="Times New Roman"/>
          <w:i/>
          <w:iCs/>
          <w:sz w:val="24"/>
          <w:u w:val="none"/>
          <w:vertAlign w:val="subscript"/>
        </w:rPr>
        <w:t>c</w:t>
      </w:r>
      <w:r>
        <w:rPr>
          <w:rFonts w:ascii="Times New Roman" w:hAnsi="Times New Roman"/>
          <w:i/>
          <w:iCs/>
          <w:sz w:val="24"/>
          <w:u w:val="none"/>
        </w:rPr>
        <w:t>(y)</w:t>
      </w:r>
      <w:r>
        <w:rPr>
          <w:rFonts w:ascii="Times New Roman" w:hAnsi="Times New Roman"/>
          <w:sz w:val="24"/>
          <w:u w:val="none"/>
        </w:rPr>
        <w:t xml:space="preserve"> </w:t>
      </w:r>
      <w:r>
        <w:rPr>
          <w:rFonts w:ascii="Times New Roman" w:hAnsi="Times New Roman"/>
          <w:sz w:val="24"/>
        </w:rPr>
        <w:t>atbilstības nolūkam</w:t>
      </w:r>
      <w:r>
        <w:rPr>
          <w:rFonts w:ascii="Times New Roman" w:hAnsi="Times New Roman"/>
          <w:sz w:val="24"/>
          <w:u w:val="none"/>
        </w:rPr>
        <w:t xml:space="preserve"> aplēsi atsevišķam rezultātam (</w:t>
      </w:r>
      <w:r>
        <w:rPr>
          <w:rFonts w:ascii="Times New Roman" w:hAnsi="Times New Roman"/>
          <w:i/>
          <w:iCs/>
          <w:sz w:val="24"/>
          <w:u w:val="none"/>
        </w:rPr>
        <w:t>y</w:t>
      </w:r>
      <w:r>
        <w:rPr>
          <w:rFonts w:ascii="Times New Roman" w:hAnsi="Times New Roman"/>
          <w:sz w:val="24"/>
          <w:u w:val="none"/>
        </w:rPr>
        <w:t xml:space="preserve">) parasti var iegūt ar </w:t>
      </w:r>
      <w:r>
        <w:rPr>
          <w:rFonts w:ascii="Times New Roman" w:hAnsi="Times New Roman"/>
          <w:sz w:val="24"/>
        </w:rPr>
        <w:t>starpposma precizitātes</w:t>
      </w:r>
      <w:r>
        <w:rPr>
          <w:rFonts w:ascii="Times New Roman" w:hAnsi="Times New Roman"/>
          <w:sz w:val="24"/>
          <w:u w:val="none"/>
        </w:rPr>
        <w:t xml:space="preserve"> (</w:t>
      </w:r>
      <w:r>
        <w:rPr>
          <w:rFonts w:ascii="Times New Roman" w:hAnsi="Times New Roman"/>
          <w:i/>
          <w:iCs/>
          <w:sz w:val="24"/>
          <w:u w:val="none"/>
        </w:rPr>
        <w:t>s</w:t>
      </w:r>
      <w:r>
        <w:rPr>
          <w:rFonts w:ascii="Times New Roman" w:hAnsi="Times New Roman"/>
          <w:i/>
          <w:iCs/>
          <w:sz w:val="24"/>
          <w:u w:val="none"/>
          <w:vertAlign w:val="subscript"/>
        </w:rPr>
        <w:t>w</w:t>
      </w:r>
      <w:r>
        <w:rPr>
          <w:rFonts w:ascii="Times New Roman" w:hAnsi="Times New Roman"/>
          <w:sz w:val="24"/>
          <w:u w:val="none"/>
        </w:rPr>
        <w:t>) vērtības un nobīdes nenoteiktības aplēses kvadrātisku kombināciju.</w:t>
      </w:r>
    </w:p>
    <w:p w14:paraId="586FC0B1" w14:textId="77777777" w:rsidR="00573E92" w:rsidRPr="00FB35D8" w:rsidRDefault="00573E92" w:rsidP="00FB35D8">
      <w:pPr>
        <w:jc w:val="both"/>
        <w:rPr>
          <w:rFonts w:ascii="Times New Roman" w:eastAsia="Arial" w:hAnsi="Times New Roman" w:cs="Arial"/>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466"/>
        <w:gridCol w:w="6662"/>
      </w:tblGrid>
      <w:tr w:rsidR="00573E92" w:rsidRPr="00FB35D8" w14:paraId="13231982" w14:textId="77777777" w:rsidTr="00E51527">
        <w:tc>
          <w:tcPr>
            <w:tcW w:w="1351" w:type="pct"/>
            <w:tcBorders>
              <w:top w:val="single" w:sz="5" w:space="0" w:color="000000"/>
              <w:left w:val="single" w:sz="5" w:space="0" w:color="000000"/>
              <w:bottom w:val="single" w:sz="5" w:space="0" w:color="000000"/>
              <w:right w:val="single" w:sz="5" w:space="0" w:color="000000"/>
            </w:tcBorders>
          </w:tcPr>
          <w:p w14:paraId="52402AEE" w14:textId="77777777" w:rsidR="00573E92" w:rsidRPr="00FB35D8" w:rsidRDefault="00573E92" w:rsidP="00E51527">
            <w:pPr>
              <w:pStyle w:val="TableParagraph"/>
              <w:jc w:val="center"/>
              <w:rPr>
                <w:rFonts w:ascii="Times New Roman" w:hAnsi="Times New Roman"/>
                <w:noProof/>
                <w:sz w:val="24"/>
              </w:rPr>
            </w:pPr>
            <w:r>
              <w:rPr>
                <w:rFonts w:ascii="Times New Roman" w:hAnsi="Times New Roman"/>
                <w:sz w:val="24"/>
              </w:rPr>
              <w:t>Kombinētā nenoteiktība</w:t>
            </w:r>
          </w:p>
        </w:tc>
        <w:tc>
          <w:tcPr>
            <w:tcW w:w="3649" w:type="pct"/>
            <w:tcBorders>
              <w:top w:val="single" w:sz="5" w:space="0" w:color="000000"/>
              <w:left w:val="single" w:sz="5" w:space="0" w:color="000000"/>
              <w:bottom w:val="single" w:sz="5" w:space="0" w:color="000000"/>
              <w:right w:val="single" w:sz="5" w:space="0" w:color="000000"/>
            </w:tcBorders>
          </w:tcPr>
          <w:p w14:paraId="785FED64" w14:textId="5744C4F9" w:rsidR="00573E92" w:rsidRPr="00FB35D8" w:rsidRDefault="00E51527" w:rsidP="00E51527">
            <w:pPr>
              <w:pStyle w:val="TableParagraph"/>
              <w:tabs>
                <w:tab w:val="left" w:pos="671"/>
                <w:tab w:val="left" w:pos="1727"/>
              </w:tabs>
              <w:jc w:val="center"/>
              <w:rPr>
                <w:rFonts w:ascii="Times New Roman" w:hAnsi="Times New Roman"/>
                <w:i/>
                <w:noProof/>
                <w:sz w:val="24"/>
              </w:rPr>
            </w:pPr>
            <w:r>
              <w:rPr>
                <w:rFonts w:ascii="Times New Roman" w:hAnsi="Times New Roman"/>
                <w:i/>
                <w:noProof/>
                <w:sz w:val="24"/>
              </w:rPr>
              <w:drawing>
                <wp:inline distT="0" distB="0" distL="0" distR="0" wp14:anchorId="0C5A1E6F" wp14:editId="52AA1EC8">
                  <wp:extent cx="1534602" cy="32964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5890" cy="336364"/>
                          </a:xfrm>
                          <a:prstGeom prst="rect">
                            <a:avLst/>
                          </a:prstGeom>
                          <a:noFill/>
                          <a:ln>
                            <a:noFill/>
                          </a:ln>
                        </pic:spPr>
                      </pic:pic>
                    </a:graphicData>
                  </a:graphic>
                </wp:inline>
              </w:drawing>
            </w:r>
          </w:p>
        </w:tc>
      </w:tr>
      <w:tr w:rsidR="00573E92" w:rsidRPr="00FB35D8" w14:paraId="194AE854" w14:textId="77777777" w:rsidTr="00E51527">
        <w:tc>
          <w:tcPr>
            <w:tcW w:w="1351" w:type="pct"/>
            <w:tcBorders>
              <w:top w:val="single" w:sz="5" w:space="0" w:color="000000"/>
              <w:left w:val="single" w:sz="5" w:space="0" w:color="000000"/>
              <w:bottom w:val="single" w:sz="5" w:space="0" w:color="000000"/>
              <w:right w:val="single" w:sz="5" w:space="0" w:color="000000"/>
            </w:tcBorders>
          </w:tcPr>
          <w:p w14:paraId="4496444D" w14:textId="77777777" w:rsidR="00573E92" w:rsidRPr="00FB35D8" w:rsidRDefault="00573E92" w:rsidP="00E51527">
            <w:pPr>
              <w:pStyle w:val="TableParagraph"/>
              <w:jc w:val="center"/>
              <w:rPr>
                <w:rFonts w:ascii="Times New Roman" w:hAnsi="Times New Roman"/>
                <w:noProof/>
                <w:sz w:val="24"/>
              </w:rPr>
            </w:pPr>
            <w:r>
              <w:rPr>
                <w:rFonts w:ascii="Times New Roman" w:hAnsi="Times New Roman"/>
                <w:sz w:val="24"/>
              </w:rPr>
              <w:t>Paplašinātā nenoteiktība</w:t>
            </w:r>
          </w:p>
        </w:tc>
        <w:tc>
          <w:tcPr>
            <w:tcW w:w="3649" w:type="pct"/>
            <w:tcBorders>
              <w:top w:val="single" w:sz="5" w:space="0" w:color="000000"/>
              <w:left w:val="single" w:sz="5" w:space="0" w:color="000000"/>
              <w:bottom w:val="single" w:sz="5" w:space="0" w:color="000000"/>
              <w:right w:val="single" w:sz="5" w:space="0" w:color="000000"/>
            </w:tcBorders>
          </w:tcPr>
          <w:p w14:paraId="53C72107" w14:textId="77777777" w:rsidR="00573E92" w:rsidRPr="00FB35D8" w:rsidRDefault="00573E92" w:rsidP="00E51527">
            <w:pPr>
              <w:pStyle w:val="TableParagraph"/>
              <w:jc w:val="center"/>
              <w:rPr>
                <w:rFonts w:ascii="Times New Roman" w:eastAsia="Arial" w:hAnsi="Times New Roman" w:cs="Arial"/>
                <w:noProof/>
                <w:sz w:val="24"/>
              </w:rPr>
            </w:pPr>
            <w:r>
              <w:rPr>
                <w:rFonts w:ascii="Times New Roman" w:hAnsi="Times New Roman"/>
                <w:i/>
                <w:sz w:val="24"/>
              </w:rPr>
              <w:t>U</w:t>
            </w:r>
            <w:r>
              <w:rPr>
                <w:rFonts w:ascii="Times New Roman" w:hAnsi="Times New Roman"/>
                <w:i/>
                <w:sz w:val="24"/>
                <w:vertAlign w:val="subscript"/>
              </w:rPr>
              <w:t xml:space="preserve">95 % </w:t>
            </w:r>
            <w:r>
              <w:rPr>
                <w:rFonts w:ascii="Times New Roman" w:hAnsi="Times New Roman"/>
                <w:sz w:val="24"/>
              </w:rPr>
              <w:t xml:space="preserve">= </w:t>
            </w:r>
            <w:r>
              <w:rPr>
                <w:rFonts w:ascii="Times New Roman" w:hAnsi="Times New Roman"/>
                <w:i/>
                <w:sz w:val="24"/>
              </w:rPr>
              <w:t xml:space="preserve">k </w:t>
            </w:r>
            <w:r>
              <w:rPr>
                <w:rFonts w:ascii="Times New Roman" w:hAnsi="Times New Roman"/>
                <w:sz w:val="24"/>
              </w:rPr>
              <w:t xml:space="preserve">ꞏ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kur </w:t>
            </w:r>
            <w:r>
              <w:rPr>
                <w:rFonts w:ascii="Times New Roman" w:hAnsi="Times New Roman"/>
                <w:i/>
                <w:sz w:val="24"/>
              </w:rPr>
              <w:t xml:space="preserve">k </w:t>
            </w:r>
            <w:r>
              <w:rPr>
                <w:rFonts w:ascii="Times New Roman" w:hAnsi="Times New Roman"/>
                <w:sz w:val="24"/>
              </w:rPr>
              <w:t>= 2</w:t>
            </w:r>
            <w:r>
              <w:rPr>
                <w:rFonts w:ascii="Times New Roman" w:hAnsi="Times New Roman"/>
                <w:sz w:val="24"/>
                <w:vertAlign w:val="superscript"/>
              </w:rPr>
              <w:t>*</w:t>
            </w:r>
          </w:p>
        </w:tc>
      </w:tr>
    </w:tbl>
    <w:p w14:paraId="0A171768" w14:textId="77777777" w:rsidR="00C06F75" w:rsidRDefault="00C06F75" w:rsidP="00FB35D8">
      <w:pPr>
        <w:jc w:val="both"/>
        <w:rPr>
          <w:rFonts w:ascii="Times New Roman" w:hAnsi="Times New Roman"/>
          <w:noProof/>
          <w:sz w:val="24"/>
        </w:rPr>
      </w:pPr>
    </w:p>
    <w:p w14:paraId="69BFAFBC" w14:textId="46DF92FF" w:rsidR="00573E92" w:rsidRPr="00FB35D8" w:rsidRDefault="00573E92" w:rsidP="00FB35D8">
      <w:pPr>
        <w:jc w:val="both"/>
        <w:rPr>
          <w:rFonts w:ascii="Times New Roman" w:eastAsia="Arial" w:hAnsi="Times New Roman" w:cs="Arial"/>
          <w:noProof/>
          <w:sz w:val="24"/>
          <w:szCs w:val="20"/>
        </w:rPr>
      </w:pPr>
      <w:r>
        <w:rPr>
          <w:rFonts w:ascii="Times New Roman" w:hAnsi="Times New Roman"/>
          <w:sz w:val="24"/>
          <w:vertAlign w:val="superscript"/>
        </w:rPr>
        <w:t>*</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ir noteikusi, ka aptvēruma koeficienta </w:t>
      </w:r>
      <w:r>
        <w:rPr>
          <w:rFonts w:ascii="Times New Roman" w:hAnsi="Times New Roman"/>
          <w:i/>
          <w:iCs/>
          <w:sz w:val="24"/>
        </w:rPr>
        <w:t>k=2</w:t>
      </w:r>
      <w:r>
        <w:rPr>
          <w:rFonts w:ascii="Times New Roman" w:hAnsi="Times New Roman"/>
          <w:sz w:val="24"/>
        </w:rPr>
        <w:t xml:space="preserve"> (divpusējam sadalījumam) izmantošana, nosakot paplašināto nenoteiktību </w:t>
      </w:r>
      <w:r>
        <w:rPr>
          <w:rFonts w:ascii="Times New Roman" w:hAnsi="Times New Roman"/>
          <w:i/>
          <w:iCs/>
          <w:sz w:val="24"/>
        </w:rPr>
        <w:t>U</w:t>
      </w:r>
      <w:r>
        <w:rPr>
          <w:rFonts w:ascii="Times New Roman" w:hAnsi="Times New Roman"/>
          <w:sz w:val="24"/>
        </w:rPr>
        <w:t>, kas saistīta ar rezultātu (</w:t>
      </w:r>
      <w:r>
        <w:rPr>
          <w:rFonts w:ascii="Times New Roman" w:hAnsi="Times New Roman"/>
          <w:i/>
          <w:iCs/>
          <w:sz w:val="24"/>
        </w:rPr>
        <w:t>y</w:t>
      </w:r>
      <w:r>
        <w:rPr>
          <w:rFonts w:ascii="Times New Roman" w:hAnsi="Times New Roman"/>
          <w:sz w:val="24"/>
        </w:rPr>
        <w:t xml:space="preserve">), aptuveni 95 % aptvēruma </w:t>
      </w:r>
      <w:r>
        <w:rPr>
          <w:rFonts w:ascii="Times New Roman" w:hAnsi="Times New Roman"/>
          <w:sz w:val="24"/>
        </w:rPr>
        <w:lastRenderedPageBreak/>
        <w:t>līmenī, ir atbilstīga antidopinga nolūkiem.</w:t>
      </w:r>
    </w:p>
    <w:p w14:paraId="3A0CC9B8" w14:textId="77777777" w:rsidR="00E51527" w:rsidRDefault="00E51527" w:rsidP="00FB35D8">
      <w:pPr>
        <w:pStyle w:val="BodyText"/>
        <w:spacing w:before="0"/>
        <w:ind w:left="0"/>
        <w:jc w:val="both"/>
        <w:rPr>
          <w:rFonts w:ascii="Times New Roman" w:hAnsi="Times New Roman"/>
          <w:noProof/>
          <w:sz w:val="24"/>
          <w:u w:val="none"/>
        </w:rPr>
      </w:pPr>
    </w:p>
    <w:p w14:paraId="79C5BB9A" w14:textId="17A365B2"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šī procedūra jāpiemēro plašā koncentrāciju diapazonā, kā tas parasti nenotiek antidopinga </w:t>
      </w:r>
      <w:r>
        <w:rPr>
          <w:rFonts w:ascii="Times New Roman" w:hAnsi="Times New Roman"/>
          <w:sz w:val="24"/>
        </w:rPr>
        <w:t>analītiskās pārbaudes</w:t>
      </w:r>
      <w:r>
        <w:rPr>
          <w:rFonts w:ascii="Times New Roman" w:hAnsi="Times New Roman"/>
          <w:sz w:val="24"/>
          <w:u w:val="none"/>
        </w:rPr>
        <w:t xml:space="preserve"> nolūkā, kvantitatīvās </w:t>
      </w:r>
      <w:r>
        <w:rPr>
          <w:rFonts w:ascii="Times New Roman" w:hAnsi="Times New Roman"/>
          <w:sz w:val="24"/>
        </w:rPr>
        <w:t>apstiprināšanas procedūrā</w:t>
      </w:r>
      <w:r>
        <w:rPr>
          <w:rFonts w:ascii="Times New Roman" w:hAnsi="Times New Roman"/>
          <w:sz w:val="24"/>
          <w:u w:val="none"/>
        </w:rPr>
        <w:t xml:space="preserve"> iegūto rezultātu nenoteiktība jānosaka trīs (3) koncentrācijas līmeņos (zemā, vidējā un augstā). Plašos koncentrācijas diapazonos nav nekas neparasts, ka, palielinoties </w:t>
      </w:r>
      <w:r>
        <w:rPr>
          <w:rFonts w:ascii="Times New Roman" w:hAnsi="Times New Roman"/>
          <w:sz w:val="24"/>
        </w:rPr>
        <w:t>analizējamās vielas</w:t>
      </w:r>
      <w:r>
        <w:rPr>
          <w:rFonts w:ascii="Times New Roman" w:hAnsi="Times New Roman"/>
          <w:sz w:val="24"/>
          <w:u w:val="none"/>
        </w:rPr>
        <w:t xml:space="preserve"> koncentrācijai paraugā, atsevišķu rezultātu relatīvā nenoteiktība samazinās; tomēr pietiek ar to, ka pievēršas nenoteiktībai, kas saistīta ar kvantitatīvās </w:t>
      </w:r>
      <w:r>
        <w:rPr>
          <w:rFonts w:ascii="Times New Roman" w:hAnsi="Times New Roman"/>
          <w:sz w:val="24"/>
        </w:rPr>
        <w:t>apstiprināšanas procedūras</w:t>
      </w:r>
      <w:r>
        <w:rPr>
          <w:rFonts w:ascii="Times New Roman" w:hAnsi="Times New Roman"/>
          <w:sz w:val="24"/>
          <w:u w:val="none"/>
        </w:rPr>
        <w:t xml:space="preserve"> veikšanu pie </w:t>
      </w:r>
      <w:r>
        <w:rPr>
          <w:rFonts w:ascii="Times New Roman" w:hAnsi="Times New Roman"/>
          <w:sz w:val="24"/>
        </w:rPr>
        <w:t>robežvērtības</w:t>
      </w:r>
      <w:r>
        <w:rPr>
          <w:rFonts w:ascii="Times New Roman" w:hAnsi="Times New Roman"/>
          <w:sz w:val="24"/>
          <w:u w:val="none"/>
        </w:rPr>
        <w:t xml:space="preserve"> koncentrācijas, lai noteiktu </w:t>
      </w:r>
      <w:r>
        <w:rPr>
          <w:rFonts w:ascii="Times New Roman" w:hAnsi="Times New Roman"/>
          <w:i/>
          <w:iCs/>
          <w:sz w:val="24"/>
          <w:u w:val="none"/>
        </w:rPr>
        <w:t>AAF</w:t>
      </w:r>
      <w:r>
        <w:rPr>
          <w:rFonts w:ascii="Times New Roman" w:hAnsi="Times New Roman"/>
          <w:sz w:val="24"/>
          <w:u w:val="none"/>
        </w:rPr>
        <w:t xml:space="preserve"> </w:t>
      </w:r>
      <w:r>
        <w:rPr>
          <w:rFonts w:ascii="Times New Roman" w:hAnsi="Times New Roman"/>
          <w:sz w:val="24"/>
        </w:rPr>
        <w:t>sliekšņa vielai</w:t>
      </w:r>
      <w:r>
        <w:rPr>
          <w:rFonts w:ascii="Times New Roman" w:hAnsi="Times New Roman"/>
          <w:sz w:val="24"/>
          <w:u w:val="none"/>
        </w:rPr>
        <w:t>.</w:t>
      </w:r>
    </w:p>
    <w:p w14:paraId="72812CEF" w14:textId="77777777" w:rsidR="00E51527" w:rsidRPr="00FB35D8" w:rsidRDefault="00E51527" w:rsidP="00FB35D8">
      <w:pPr>
        <w:pStyle w:val="BodyText"/>
        <w:spacing w:before="0"/>
        <w:ind w:left="0"/>
        <w:jc w:val="both"/>
        <w:rPr>
          <w:rFonts w:ascii="Times New Roman" w:hAnsi="Times New Roman"/>
          <w:noProof/>
          <w:sz w:val="24"/>
          <w:u w:val="none"/>
        </w:rPr>
      </w:pPr>
    </w:p>
    <w:p w14:paraId="31BAE9E6" w14:textId="60A5D3C5"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Konstatējot paplašināto nenoteiktību </w:t>
      </w:r>
      <w:r>
        <w:rPr>
          <w:rFonts w:ascii="Times New Roman" w:hAnsi="Times New Roman"/>
          <w:i/>
          <w:iCs/>
          <w:sz w:val="24"/>
          <w:u w:val="none"/>
        </w:rPr>
        <w:t>U</w:t>
      </w:r>
      <w:r>
        <w:rPr>
          <w:rFonts w:ascii="Times New Roman" w:hAnsi="Times New Roman"/>
          <w:sz w:val="24"/>
          <w:u w:val="none"/>
        </w:rPr>
        <w:t xml:space="preserve">, kas saistīta ar rezultātiem, kuri iegūti, izmantojot kvantitatīvo </w:t>
      </w:r>
      <w:r>
        <w:rPr>
          <w:rFonts w:ascii="Times New Roman" w:hAnsi="Times New Roman"/>
          <w:sz w:val="24"/>
        </w:rPr>
        <w:t>apstiprināšanas procedūru</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regulāri (t. i, veicot katru </w:t>
      </w:r>
      <w:r>
        <w:rPr>
          <w:rFonts w:ascii="Times New Roman" w:hAnsi="Times New Roman"/>
          <w:sz w:val="24"/>
        </w:rPr>
        <w:t>sliekšņa vielas</w:t>
      </w:r>
      <w:r>
        <w:rPr>
          <w:rFonts w:ascii="Times New Roman" w:hAnsi="Times New Roman"/>
          <w:sz w:val="24"/>
          <w:u w:val="none"/>
        </w:rPr>
        <w:t xml:space="preserve"> analīzi) apstrādā </w:t>
      </w:r>
      <w:r>
        <w:rPr>
          <w:rFonts w:ascii="Times New Roman" w:hAnsi="Times New Roman"/>
          <w:i/>
          <w:iCs/>
          <w:sz w:val="24"/>
          <w:u w:val="none"/>
        </w:rPr>
        <w:t>QC</w:t>
      </w:r>
      <w:r>
        <w:rPr>
          <w:rFonts w:ascii="Times New Roman" w:hAnsi="Times New Roman"/>
          <w:sz w:val="24"/>
          <w:u w:val="none"/>
        </w:rPr>
        <w:t xml:space="preserve"> paraugu koncentrācijā pie </w:t>
      </w:r>
      <w:r>
        <w:rPr>
          <w:rFonts w:ascii="Times New Roman" w:hAnsi="Times New Roman"/>
          <w:sz w:val="24"/>
        </w:rPr>
        <w:t>robežvērtības</w:t>
      </w:r>
      <w:r>
        <w:rPr>
          <w:rFonts w:ascii="Times New Roman" w:hAnsi="Times New Roman"/>
          <w:sz w:val="24"/>
          <w:u w:val="none"/>
        </w:rPr>
        <w:t xml:space="preserve"> koncentrācijas vai tuvu tai (vēlams, izmantojot interesējošo </w:t>
      </w:r>
      <w:r>
        <w:rPr>
          <w:rFonts w:ascii="Times New Roman" w:hAnsi="Times New Roman"/>
          <w:sz w:val="24"/>
        </w:rPr>
        <w:t>analizējamo vielu</w:t>
      </w:r>
      <w:r>
        <w:rPr>
          <w:rFonts w:ascii="Times New Roman" w:hAnsi="Times New Roman"/>
          <w:sz w:val="24"/>
          <w:u w:val="none"/>
        </w:rPr>
        <w:t xml:space="preserve"> pie </w:t>
      </w:r>
      <w:r>
        <w:rPr>
          <w:rFonts w:ascii="Times New Roman" w:hAnsi="Times New Roman"/>
          <w:i/>
          <w:iCs/>
          <w:sz w:val="24"/>
        </w:rPr>
        <w:t>T</w:t>
      </w:r>
      <w:r>
        <w:rPr>
          <w:rFonts w:ascii="Times New Roman" w:hAnsi="Times New Roman"/>
          <w:sz w:val="24"/>
          <w:u w:val="none"/>
        </w:rPr>
        <w:t xml:space="preserve"> vērtības vai tuvu tai, ja tāda ir pieejama) un reģistrē iegūtās vērtības, vēlams, kontroles diagrammā, kur norādītas pieņemamības robežas, pamatojoties uz validācijas datiem, lai nodrošinātu iegūto vērtību derīgumu un atbilstību tendencēm.</w:t>
      </w:r>
    </w:p>
    <w:p w14:paraId="54BA0BA6" w14:textId="77777777" w:rsidR="00E51527" w:rsidRPr="00FB35D8" w:rsidRDefault="00E51527" w:rsidP="00FB35D8">
      <w:pPr>
        <w:pStyle w:val="BodyText"/>
        <w:spacing w:before="0"/>
        <w:ind w:left="0"/>
        <w:jc w:val="both"/>
        <w:rPr>
          <w:rFonts w:ascii="Times New Roman" w:hAnsi="Times New Roman"/>
          <w:noProof/>
          <w:sz w:val="24"/>
          <w:u w:val="none"/>
        </w:rPr>
      </w:pPr>
    </w:p>
    <w:p w14:paraId="6AABE635"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Ir publicēts gatavs piemērs no vides pārbaudes lietotnes [16], kas ilustrē to, kā laboratorijas iekšējās validācijas, kvalitātes kontroles datu un nobīdes aplēses kombināciju, kas iegūta, regulāri piedaloties </w:t>
      </w:r>
      <w:r>
        <w:rPr>
          <w:rFonts w:ascii="Times New Roman" w:hAnsi="Times New Roman"/>
          <w:i/>
          <w:iCs/>
          <w:sz w:val="24"/>
          <w:u w:val="none"/>
        </w:rPr>
        <w:t>EQAS</w:t>
      </w:r>
      <w:r>
        <w:rPr>
          <w:rFonts w:ascii="Times New Roman" w:hAnsi="Times New Roman"/>
          <w:sz w:val="24"/>
          <w:u w:val="none"/>
        </w:rPr>
        <w:t xml:space="preserve">, var izmantot, lai iegūtu aplēsi par </w:t>
      </w:r>
      <w:r>
        <w:rPr>
          <w:rFonts w:ascii="Times New Roman" w:hAnsi="Times New Roman"/>
          <w:i/>
          <w:iCs/>
          <w:sz w:val="24"/>
        </w:rPr>
        <w:t>MU</w:t>
      </w:r>
      <w:r>
        <w:rPr>
          <w:rFonts w:ascii="Times New Roman" w:hAnsi="Times New Roman"/>
          <w:sz w:val="24"/>
          <w:u w:val="none"/>
        </w:rPr>
        <w:t>, kas saistīta ar rezultātiem noteiktās koncentrācijās.</w:t>
      </w:r>
    </w:p>
    <w:p w14:paraId="5FAB6E4C" w14:textId="77777777" w:rsidR="00573E92" w:rsidRPr="00FB35D8" w:rsidRDefault="00573E92" w:rsidP="00FB35D8">
      <w:pPr>
        <w:jc w:val="both"/>
        <w:rPr>
          <w:rFonts w:ascii="Times New Roman" w:eastAsia="Arial" w:hAnsi="Times New Roman" w:cs="Arial"/>
          <w:noProof/>
          <w:sz w:val="24"/>
          <w:szCs w:val="21"/>
        </w:rPr>
      </w:pPr>
    </w:p>
    <w:p w14:paraId="4EB33ACA" w14:textId="7B1675E7" w:rsidR="00573E92" w:rsidRPr="00FB35D8" w:rsidRDefault="00E51527" w:rsidP="00E51527">
      <w:pPr>
        <w:pStyle w:val="Heading2"/>
        <w:tabs>
          <w:tab w:val="left" w:pos="510"/>
        </w:tabs>
        <w:ind w:left="0" w:firstLine="0"/>
        <w:jc w:val="both"/>
        <w:rPr>
          <w:rFonts w:ascii="Times New Roman" w:hAnsi="Times New Roman"/>
          <w:b w:val="0"/>
          <w:bCs w:val="0"/>
          <w:noProof/>
          <w:sz w:val="24"/>
          <w:u w:val="none"/>
        </w:rPr>
      </w:pPr>
      <w:r>
        <w:rPr>
          <w:rFonts w:ascii="Times New Roman" w:hAnsi="Times New Roman"/>
          <w:sz w:val="24"/>
          <w:u w:val="none"/>
        </w:rPr>
        <w:t xml:space="preserve">3. </w:t>
      </w:r>
      <w:r>
        <w:rPr>
          <w:rFonts w:ascii="Times New Roman" w:hAnsi="Times New Roman"/>
          <w:sz w:val="24"/>
        </w:rPr>
        <w:t>Mērījumu nenoteiktības</w:t>
      </w:r>
      <w:r>
        <w:rPr>
          <w:rFonts w:ascii="Times New Roman" w:hAnsi="Times New Roman"/>
          <w:sz w:val="24"/>
          <w:u w:val="none"/>
        </w:rPr>
        <w:t xml:space="preserve"> pārbaude</w:t>
      </w:r>
    </w:p>
    <w:p w14:paraId="49A886B2" w14:textId="77777777" w:rsidR="00E51527" w:rsidRDefault="00E51527" w:rsidP="00FB35D8">
      <w:pPr>
        <w:pStyle w:val="BodyText"/>
        <w:spacing w:before="0"/>
        <w:ind w:left="0"/>
        <w:jc w:val="both"/>
        <w:rPr>
          <w:rFonts w:ascii="Times New Roman" w:hAnsi="Times New Roman"/>
          <w:noProof/>
          <w:sz w:val="24"/>
          <w:u w:val="none"/>
        </w:rPr>
      </w:pPr>
    </w:p>
    <w:p w14:paraId="4CE347C6" w14:textId="5475E394" w:rsidR="00573E92" w:rsidRDefault="00573E92" w:rsidP="00FB35D8">
      <w:pPr>
        <w:pStyle w:val="BodyText"/>
        <w:spacing w:before="0"/>
        <w:ind w:left="0"/>
        <w:jc w:val="both"/>
        <w:rPr>
          <w:rFonts w:ascii="Times New Roman" w:hAnsi="Times New Roman"/>
          <w:i/>
          <w:noProof/>
          <w:sz w:val="24"/>
          <w:u w:val="none"/>
        </w:rPr>
      </w:pPr>
      <w:r>
        <w:rPr>
          <w:rFonts w:ascii="Times New Roman" w:hAnsi="Times New Roman"/>
          <w:sz w:val="24"/>
          <w:u w:val="none"/>
        </w:rPr>
        <w:t xml:space="preserve">Dažām attiecībām vai vērtībām (kas iegūtas, izmantojot, piemēram, divu </w:t>
      </w:r>
      <w:r>
        <w:rPr>
          <w:rFonts w:ascii="Times New Roman" w:hAnsi="Times New Roman"/>
          <w:sz w:val="24"/>
        </w:rPr>
        <w:t>analizējamo vielu</w:t>
      </w:r>
      <w:r>
        <w:rPr>
          <w:rFonts w:ascii="Times New Roman" w:hAnsi="Times New Roman"/>
          <w:sz w:val="24"/>
          <w:u w:val="none"/>
        </w:rPr>
        <w:t xml:space="preserve"> izmērītās koncentrācijas) tiek piemērota līdzīga pieeja, kā aprakstīts iepriekš, taču, aprēķinot paplašināto nenoteiktību </w:t>
      </w:r>
      <w:r>
        <w:rPr>
          <w:rFonts w:ascii="Times New Roman" w:hAnsi="Times New Roman"/>
          <w:i/>
          <w:sz w:val="24"/>
          <w:u w:val="none"/>
        </w:rPr>
        <w:t>U</w:t>
      </w:r>
      <w:r>
        <w:rPr>
          <w:rFonts w:ascii="Times New Roman" w:hAnsi="Times New Roman"/>
          <w:sz w:val="24"/>
          <w:u w:val="none"/>
        </w:rPr>
        <w:t xml:space="preserve">, ir jāņem vērā attiecībā uz abām </w:t>
      </w:r>
      <w:r>
        <w:rPr>
          <w:rFonts w:ascii="Times New Roman" w:hAnsi="Times New Roman"/>
          <w:sz w:val="24"/>
        </w:rPr>
        <w:t>analizētajām vielām</w:t>
      </w:r>
      <w:r>
        <w:rPr>
          <w:rFonts w:ascii="Times New Roman" w:hAnsi="Times New Roman"/>
          <w:sz w:val="24"/>
          <w:u w:val="none"/>
        </w:rPr>
        <w:t xml:space="preserve"> iegūto vērtību kombinētās nenoteiktības.</w:t>
      </w:r>
    </w:p>
    <w:p w14:paraId="4398B573" w14:textId="77777777" w:rsidR="00E51527" w:rsidRPr="00FB35D8" w:rsidRDefault="00E51527" w:rsidP="00FB35D8">
      <w:pPr>
        <w:pStyle w:val="BodyText"/>
        <w:spacing w:before="0"/>
        <w:ind w:left="0"/>
        <w:jc w:val="both"/>
        <w:rPr>
          <w:rFonts w:ascii="Times New Roman" w:hAnsi="Times New Roman" w:cs="Arial"/>
          <w:noProof/>
          <w:sz w:val="24"/>
          <w:u w:val="none"/>
        </w:rPr>
      </w:pPr>
    </w:p>
    <w:p w14:paraId="04D1AD41" w14:textId="6B53A286"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Neatkarīgi no pieejas, ko </w:t>
      </w:r>
      <w:r>
        <w:rPr>
          <w:rFonts w:ascii="Times New Roman" w:hAnsi="Times New Roman"/>
          <w:sz w:val="24"/>
        </w:rPr>
        <w:t>laboratorija</w:t>
      </w:r>
      <w:r>
        <w:rPr>
          <w:rFonts w:ascii="Times New Roman" w:hAnsi="Times New Roman"/>
          <w:sz w:val="24"/>
          <w:u w:val="none"/>
        </w:rPr>
        <w:t xml:space="preserve"> izmanto, lai aplēstu </w:t>
      </w:r>
      <w:r>
        <w:rPr>
          <w:rFonts w:ascii="Times New Roman" w:hAnsi="Times New Roman"/>
          <w:i/>
          <w:iCs/>
          <w:sz w:val="24"/>
        </w:rPr>
        <w:t>MU</w:t>
      </w:r>
      <w:r>
        <w:rPr>
          <w:rFonts w:ascii="Times New Roman" w:hAnsi="Times New Roman"/>
          <w:sz w:val="24"/>
          <w:u w:val="none"/>
        </w:rPr>
        <w:t xml:space="preserve"> attiecībā uz rezultātiem, ko tā iegūst, izmantojot konkrētu kvantitatīvās </w:t>
      </w:r>
      <w:r>
        <w:rPr>
          <w:rFonts w:ascii="Times New Roman" w:hAnsi="Times New Roman"/>
          <w:sz w:val="24"/>
        </w:rPr>
        <w:t>apstiprināšanas procedūru</w:t>
      </w:r>
      <w:r>
        <w:rPr>
          <w:rFonts w:ascii="Times New Roman" w:hAnsi="Times New Roman"/>
          <w:sz w:val="24"/>
          <w:u w:val="none"/>
        </w:rPr>
        <w:t xml:space="preserve">, ir svarīgi šo </w:t>
      </w:r>
      <w:r>
        <w:rPr>
          <w:rFonts w:ascii="Times New Roman" w:hAnsi="Times New Roman"/>
          <w:i/>
          <w:iCs/>
          <w:sz w:val="24"/>
        </w:rPr>
        <w:t>MU</w:t>
      </w:r>
      <w:r>
        <w:rPr>
          <w:rFonts w:ascii="Times New Roman" w:hAnsi="Times New Roman"/>
          <w:sz w:val="24"/>
          <w:u w:val="none"/>
        </w:rPr>
        <w:t xml:space="preserve"> aplēsi validēt un tās patiesumu pastāvīgi uzraudzīt. To var izdarīt, veicot regulāru salīdzināšanu ar piemērotu </w:t>
      </w:r>
      <w:r>
        <w:rPr>
          <w:rFonts w:ascii="Times New Roman" w:hAnsi="Times New Roman"/>
          <w:i/>
          <w:iCs/>
          <w:sz w:val="24"/>
          <w:u w:val="none"/>
        </w:rPr>
        <w:t>QC</w:t>
      </w:r>
      <w:r>
        <w:rPr>
          <w:rFonts w:ascii="Times New Roman" w:hAnsi="Times New Roman"/>
          <w:sz w:val="24"/>
          <w:u w:val="none"/>
        </w:rPr>
        <w:t xml:space="preserve"> paraugu, vēlams, ar </w:t>
      </w:r>
      <w:r>
        <w:rPr>
          <w:rFonts w:ascii="Times New Roman" w:hAnsi="Times New Roman"/>
          <w:sz w:val="24"/>
        </w:rPr>
        <w:t>sertificētu atsauces materiālu</w:t>
      </w:r>
      <w:r>
        <w:rPr>
          <w:rFonts w:ascii="Times New Roman" w:hAnsi="Times New Roman"/>
          <w:sz w:val="24"/>
          <w:u w:val="none"/>
        </w:rPr>
        <w:t xml:space="preserve"> (</w:t>
      </w:r>
      <w:r>
        <w:rPr>
          <w:rFonts w:ascii="Times New Roman" w:hAnsi="Times New Roman"/>
          <w:i/>
          <w:iCs/>
          <w:sz w:val="24"/>
        </w:rPr>
        <w:t>CRM</w:t>
      </w:r>
      <w:r>
        <w:rPr>
          <w:rFonts w:ascii="Times New Roman" w:hAnsi="Times New Roman"/>
          <w:sz w:val="24"/>
          <w:u w:val="none"/>
        </w:rPr>
        <w:t xml:space="preserve">), ja tāds ir pieejams, un/vai novērtējot metodes veiktspēju ar </w:t>
      </w:r>
      <w:r>
        <w:rPr>
          <w:rFonts w:ascii="Times New Roman" w:hAnsi="Times New Roman"/>
          <w:i/>
          <w:iCs/>
          <w:sz w:val="24"/>
        </w:rPr>
        <w:t>EQAS</w:t>
      </w:r>
      <w:r>
        <w:rPr>
          <w:rFonts w:ascii="Times New Roman" w:hAnsi="Times New Roman"/>
          <w:sz w:val="24"/>
          <w:u w:val="none"/>
        </w:rPr>
        <w:t xml:space="preserve"> datiem.</w:t>
      </w:r>
    </w:p>
    <w:p w14:paraId="028EE419" w14:textId="77777777" w:rsidR="00E51527" w:rsidRPr="00FB35D8" w:rsidRDefault="00E51527" w:rsidP="00FB35D8">
      <w:pPr>
        <w:pStyle w:val="BodyText"/>
        <w:spacing w:before="0"/>
        <w:ind w:left="0"/>
        <w:jc w:val="both"/>
        <w:rPr>
          <w:rFonts w:ascii="Times New Roman" w:hAnsi="Times New Roman"/>
          <w:noProof/>
          <w:sz w:val="24"/>
          <w:u w:val="none"/>
        </w:rPr>
      </w:pPr>
    </w:p>
    <w:p w14:paraId="7AF03C86" w14:textId="3ED13879"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aplēsto </w:t>
      </w:r>
      <w:r>
        <w:rPr>
          <w:rFonts w:ascii="Times New Roman" w:hAnsi="Times New Roman"/>
          <w:i/>
          <w:iCs/>
          <w:sz w:val="24"/>
        </w:rPr>
        <w:t>MU</w:t>
      </w:r>
      <w:r>
        <w:rPr>
          <w:rFonts w:ascii="Times New Roman" w:hAnsi="Times New Roman"/>
          <w:sz w:val="24"/>
          <w:u w:val="none"/>
        </w:rPr>
        <w:t xml:space="preserve"> konkrētai kvantitatīvās </w:t>
      </w:r>
      <w:r>
        <w:rPr>
          <w:rFonts w:ascii="Times New Roman" w:hAnsi="Times New Roman"/>
          <w:sz w:val="24"/>
        </w:rPr>
        <w:t>apstiprināšanas procedūrai</w:t>
      </w:r>
      <w:r>
        <w:rPr>
          <w:rFonts w:ascii="Times New Roman" w:hAnsi="Times New Roman"/>
          <w:sz w:val="24"/>
          <w:u w:val="none"/>
        </w:rPr>
        <w:t xml:space="preserve"> var arī pārbaudīt, salīdzinot ar datiem, kas iegūti no atbilstošām </w:t>
      </w:r>
      <w:r>
        <w:rPr>
          <w:rFonts w:ascii="Times New Roman" w:hAnsi="Times New Roman"/>
          <w:i/>
          <w:iCs/>
          <w:sz w:val="24"/>
        </w:rPr>
        <w:t>EQAS</w:t>
      </w:r>
      <w:r>
        <w:rPr>
          <w:rFonts w:ascii="Times New Roman" w:hAnsi="Times New Roman"/>
          <w:sz w:val="24"/>
          <w:u w:val="none"/>
        </w:rPr>
        <w:t xml:space="preserve">, izmantojot </w:t>
      </w:r>
      <w:r>
        <w:rPr>
          <w:rFonts w:ascii="Times New Roman" w:hAnsi="Times New Roman"/>
          <w:i/>
          <w:iCs/>
          <w:sz w:val="24"/>
          <w:u w:val="none"/>
        </w:rPr>
        <w:t>E</w:t>
      </w:r>
      <w:r>
        <w:rPr>
          <w:rFonts w:ascii="Times New Roman" w:hAnsi="Times New Roman"/>
          <w:i/>
          <w:iCs/>
          <w:sz w:val="24"/>
          <w:u w:val="none"/>
          <w:vertAlign w:val="subscript"/>
        </w:rPr>
        <w:t>n</w:t>
      </w:r>
      <w:r>
        <w:rPr>
          <w:rFonts w:ascii="Times New Roman" w:hAnsi="Times New Roman"/>
          <w:sz w:val="24"/>
          <w:u w:val="none"/>
        </w:rPr>
        <w:t xml:space="preserve"> skaitli.</w:t>
      </w:r>
    </w:p>
    <w:p w14:paraId="7B7045EF" w14:textId="7E454581" w:rsidR="00E51527" w:rsidRDefault="00E51527" w:rsidP="00FB35D8">
      <w:pPr>
        <w:pStyle w:val="BodyText"/>
        <w:spacing w:before="0"/>
        <w:ind w:left="0"/>
        <w:jc w:val="both"/>
        <w:rPr>
          <w:rFonts w:ascii="Times New Roman" w:hAnsi="Times New Roman"/>
          <w:noProof/>
          <w:sz w:val="24"/>
          <w:u w:val="none"/>
        </w:rPr>
      </w:pPr>
    </w:p>
    <w:p w14:paraId="4288573B" w14:textId="0A8369B4" w:rsidR="00E51527" w:rsidRPr="00FB35D8" w:rsidRDefault="00E51527" w:rsidP="00E51527">
      <w:pPr>
        <w:pStyle w:val="BodyText"/>
        <w:spacing w:before="0"/>
        <w:ind w:left="0"/>
        <w:jc w:val="center"/>
        <w:rPr>
          <w:rFonts w:ascii="Times New Roman" w:hAnsi="Times New Roman"/>
          <w:noProof/>
          <w:sz w:val="24"/>
          <w:u w:val="none"/>
        </w:rPr>
      </w:pPr>
      <w:r>
        <w:rPr>
          <w:rFonts w:ascii="Times New Roman" w:hAnsi="Times New Roman"/>
          <w:noProof/>
          <w:sz w:val="24"/>
          <w:u w:val="none"/>
        </w:rPr>
        <w:drawing>
          <wp:inline distT="0" distB="0" distL="0" distR="0" wp14:anchorId="097E14D8" wp14:editId="1E73485E">
            <wp:extent cx="1677726" cy="4330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3410" cy="444837"/>
                    </a:xfrm>
                    <a:prstGeom prst="rect">
                      <a:avLst/>
                    </a:prstGeom>
                    <a:noFill/>
                    <a:ln>
                      <a:noFill/>
                    </a:ln>
                  </pic:spPr>
                </pic:pic>
              </a:graphicData>
            </a:graphic>
          </wp:inline>
        </w:drawing>
      </w:r>
    </w:p>
    <w:p w14:paraId="02A7E693" w14:textId="77777777" w:rsidR="00E51527" w:rsidRPr="00FB35D8" w:rsidRDefault="00E51527" w:rsidP="00FB35D8">
      <w:pPr>
        <w:jc w:val="both"/>
        <w:rPr>
          <w:rFonts w:ascii="Times New Roman" w:eastAsia="Cambria" w:hAnsi="Times New Roman" w:cs="Cambria"/>
          <w:noProof/>
          <w:sz w:val="24"/>
          <w:szCs w:val="17"/>
        </w:rPr>
      </w:pPr>
    </w:p>
    <w:p w14:paraId="1820DC54" w14:textId="47AC0F72"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x</w:t>
      </w:r>
      <w:r>
        <w:rPr>
          <w:rFonts w:ascii="Times New Roman" w:hAnsi="Times New Roman"/>
          <w:i/>
          <w:sz w:val="24"/>
          <w:u w:val="none"/>
          <w:vertAlign w:val="subscript"/>
        </w:rPr>
        <w:t>a</w:t>
      </w:r>
      <w:r>
        <w:rPr>
          <w:rFonts w:ascii="Times New Roman" w:hAnsi="Times New Roman"/>
          <w:i/>
          <w:sz w:val="24"/>
          <w:u w:val="none"/>
        </w:rPr>
        <w:t xml:space="preserve"> </w:t>
      </w:r>
      <w:r>
        <w:rPr>
          <w:rFonts w:ascii="Times New Roman" w:hAnsi="Times New Roman"/>
          <w:sz w:val="24"/>
          <w:u w:val="none"/>
        </w:rPr>
        <w:t xml:space="preserve">ir piešķirtā vērtība attiecībā uz </w:t>
      </w:r>
      <w:r>
        <w:rPr>
          <w:rFonts w:ascii="Times New Roman" w:hAnsi="Times New Roman"/>
          <w:i/>
          <w:iCs/>
          <w:sz w:val="24"/>
          <w:u w:color="000000"/>
        </w:rPr>
        <w:t>EQAS</w:t>
      </w:r>
      <w:r>
        <w:rPr>
          <w:rFonts w:ascii="Times New Roman" w:hAnsi="Times New Roman"/>
          <w:sz w:val="24"/>
          <w:u w:val="none"/>
        </w:rPr>
        <w:t xml:space="preserve"> pētījumu, </w:t>
      </w:r>
      <w:r>
        <w:rPr>
          <w:rFonts w:ascii="Times New Roman" w:hAnsi="Times New Roman"/>
          <w:i/>
          <w:sz w:val="24"/>
          <w:u w:val="none"/>
        </w:rPr>
        <w:t xml:space="preserve">x </w:t>
      </w:r>
      <w:r>
        <w:rPr>
          <w:rFonts w:ascii="Times New Roman" w:hAnsi="Times New Roman"/>
          <w:sz w:val="24"/>
          <w:u w:val="none"/>
        </w:rPr>
        <w:t xml:space="preserve">ir </w:t>
      </w:r>
      <w:r>
        <w:rPr>
          <w:rFonts w:ascii="Times New Roman" w:hAnsi="Times New Roman"/>
          <w:sz w:val="24"/>
          <w:u w:color="000000"/>
        </w:rPr>
        <w:t>laboratorijas</w:t>
      </w:r>
      <w:r>
        <w:rPr>
          <w:rFonts w:ascii="Times New Roman" w:hAnsi="Times New Roman"/>
          <w:sz w:val="24"/>
          <w:u w:val="none"/>
        </w:rPr>
        <w:t xml:space="preserve"> rezultāts, bet </w:t>
      </w:r>
      <w:r>
        <w:rPr>
          <w:rFonts w:ascii="Times New Roman" w:hAnsi="Times New Roman"/>
          <w:i/>
          <w:sz w:val="24"/>
          <w:u w:val="none"/>
        </w:rPr>
        <w:t>U(x</w:t>
      </w:r>
      <w:r>
        <w:rPr>
          <w:rFonts w:ascii="Times New Roman" w:hAnsi="Times New Roman"/>
          <w:i/>
          <w:sz w:val="24"/>
          <w:u w:val="none"/>
          <w:vertAlign w:val="subscript"/>
        </w:rPr>
        <w:t>a</w:t>
      </w:r>
      <w:r>
        <w:rPr>
          <w:rFonts w:ascii="Times New Roman" w:hAnsi="Times New Roman"/>
          <w:i/>
          <w:sz w:val="24"/>
          <w:u w:val="none"/>
        </w:rPr>
        <w:t xml:space="preserve">) </w:t>
      </w:r>
      <w:r>
        <w:rPr>
          <w:rFonts w:ascii="Times New Roman" w:hAnsi="Times New Roman"/>
          <w:sz w:val="24"/>
          <w:u w:val="none"/>
        </w:rPr>
        <w:t xml:space="preserve">un </w:t>
      </w:r>
      <w:r>
        <w:rPr>
          <w:rFonts w:ascii="Times New Roman" w:hAnsi="Times New Roman"/>
          <w:i/>
          <w:sz w:val="24"/>
          <w:u w:val="none"/>
        </w:rPr>
        <w:t>U(x)</w:t>
      </w:r>
      <w:r>
        <w:rPr>
          <w:rFonts w:ascii="Times New Roman" w:hAnsi="Times New Roman"/>
          <w:sz w:val="24"/>
          <w:u w:val="none"/>
        </w:rPr>
        <w:t xml:space="preserve"> attiecīgi ir paplašinātās nenoteiktības, kas saistītas ar katru rezultātu. To ņem vērā, kad |</w:t>
      </w:r>
      <w:r>
        <w:rPr>
          <w:rFonts w:ascii="Times New Roman" w:hAnsi="Times New Roman"/>
          <w:i/>
          <w:sz w:val="24"/>
          <w:u w:val="none"/>
        </w:rPr>
        <w:t>E</w:t>
      </w:r>
      <w:r>
        <w:rPr>
          <w:rFonts w:ascii="Times New Roman" w:hAnsi="Times New Roman"/>
          <w:i/>
          <w:sz w:val="24"/>
          <w:u w:val="none"/>
          <w:vertAlign w:val="subscript"/>
        </w:rPr>
        <w:t>n</w:t>
      </w:r>
      <w:r>
        <w:rPr>
          <w:rFonts w:ascii="Times New Roman" w:hAnsi="Times New Roman"/>
          <w:sz w:val="24"/>
          <w:u w:val="none"/>
        </w:rPr>
        <w:t>| ir:</w:t>
      </w:r>
    </w:p>
    <w:p w14:paraId="2ED96554" w14:textId="77777777" w:rsidR="00E51527" w:rsidRPr="00FB35D8" w:rsidRDefault="00E51527" w:rsidP="00FB35D8">
      <w:pPr>
        <w:pStyle w:val="BodyText"/>
        <w:spacing w:before="0"/>
        <w:ind w:left="0"/>
        <w:jc w:val="both"/>
        <w:rPr>
          <w:rFonts w:ascii="Times New Roman" w:hAnsi="Times New Roman"/>
          <w:noProof/>
          <w:sz w:val="24"/>
          <w:u w:val="none"/>
        </w:rPr>
      </w:pPr>
    </w:p>
    <w:p w14:paraId="3FB1401B" w14:textId="77777777" w:rsidR="00573E92" w:rsidRPr="00FB35D8" w:rsidRDefault="00573E92" w:rsidP="00E51527">
      <w:pPr>
        <w:pStyle w:val="BodyText"/>
        <w:numPr>
          <w:ilvl w:val="1"/>
          <w:numId w:val="6"/>
        </w:numPr>
        <w:spacing w:before="0"/>
        <w:ind w:left="709" w:hanging="425"/>
        <w:jc w:val="both"/>
        <w:rPr>
          <w:rFonts w:ascii="Times New Roman" w:hAnsi="Times New Roman" w:cs="Arial"/>
          <w:noProof/>
          <w:sz w:val="24"/>
          <w:u w:val="none"/>
        </w:rPr>
      </w:pPr>
      <w:r>
        <w:rPr>
          <w:rFonts w:ascii="Times New Roman" w:hAnsi="Times New Roman"/>
          <w:sz w:val="24"/>
          <w:u w:val="none"/>
        </w:rPr>
        <w:t xml:space="preserve">tuvs vieniniekam (1) – tad </w:t>
      </w:r>
      <w:r>
        <w:rPr>
          <w:rFonts w:ascii="Times New Roman" w:hAnsi="Times New Roman"/>
          <w:i/>
          <w:iCs/>
          <w:sz w:val="24"/>
        </w:rPr>
        <w:t>MU</w:t>
      </w:r>
      <w:r>
        <w:rPr>
          <w:rFonts w:ascii="Times New Roman" w:hAnsi="Times New Roman"/>
          <w:sz w:val="24"/>
          <w:u w:val="none"/>
        </w:rPr>
        <w:t xml:space="preserve"> ir pareizi aprēķināta, ja vien tā ir mazāka par </w:t>
      </w:r>
      <w:r>
        <w:rPr>
          <w:rFonts w:ascii="Times New Roman" w:hAnsi="Times New Roman"/>
          <w:i/>
          <w:iCs/>
          <w:sz w:val="24"/>
          <w:u w:val="none"/>
        </w:rPr>
        <w:t>WADA</w:t>
      </w:r>
      <w:r>
        <w:rPr>
          <w:rFonts w:ascii="Times New Roman" w:hAnsi="Times New Roman"/>
          <w:sz w:val="24"/>
          <w:u w:val="none"/>
        </w:rPr>
        <w:t xml:space="preserve"> prasīto maksimāli pieļaujamo </w:t>
      </w:r>
      <w:r>
        <w:rPr>
          <w:rFonts w:ascii="Times New Roman" w:hAnsi="Times New Roman"/>
          <w:i/>
          <w:iCs/>
          <w:sz w:val="24"/>
        </w:rPr>
        <w:t>MU</w:t>
      </w:r>
      <w:r>
        <w:rPr>
          <w:rFonts w:ascii="Times New Roman" w:hAnsi="Times New Roman"/>
          <w:sz w:val="24"/>
          <w:u w:val="none"/>
        </w:rPr>
        <w:t>;</w:t>
      </w:r>
    </w:p>
    <w:p w14:paraId="0DF5317D" w14:textId="77777777" w:rsidR="00573E92" w:rsidRPr="00FB35D8" w:rsidRDefault="00573E92" w:rsidP="00E51527">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atkārtoti mazāks par vieninieku (1) – tad </w:t>
      </w:r>
      <w:r>
        <w:rPr>
          <w:rFonts w:ascii="Times New Roman" w:hAnsi="Times New Roman"/>
          <w:i/>
          <w:iCs/>
          <w:sz w:val="24"/>
        </w:rPr>
        <w:t>MU</w:t>
      </w:r>
      <w:r>
        <w:rPr>
          <w:rFonts w:ascii="Times New Roman" w:hAnsi="Times New Roman"/>
          <w:sz w:val="24"/>
          <w:u w:val="none"/>
        </w:rPr>
        <w:t xml:space="preserve">, iespējams, ir pārvērtēta. Tas joprojām var būt pieņemams, ja paziņotā </w:t>
      </w:r>
      <w:r>
        <w:rPr>
          <w:rFonts w:ascii="Times New Roman" w:hAnsi="Times New Roman"/>
          <w:i/>
          <w:iCs/>
          <w:sz w:val="24"/>
        </w:rPr>
        <w:t>MU</w:t>
      </w:r>
      <w:r>
        <w:rPr>
          <w:rFonts w:ascii="Times New Roman" w:hAnsi="Times New Roman"/>
          <w:sz w:val="24"/>
          <w:u w:val="none"/>
        </w:rPr>
        <w:t xml:space="preserve"> ir mazāka par mērķa </w:t>
      </w:r>
      <w:r>
        <w:rPr>
          <w:rFonts w:ascii="Times New Roman" w:hAnsi="Times New Roman"/>
          <w:i/>
          <w:iCs/>
          <w:sz w:val="24"/>
        </w:rPr>
        <w:t>MU</w:t>
      </w:r>
      <w:r>
        <w:rPr>
          <w:rFonts w:ascii="Times New Roman" w:hAnsi="Times New Roman"/>
          <w:sz w:val="24"/>
          <w:u w:val="none"/>
        </w:rPr>
        <w:t xml:space="preserve"> (pieļaujamā maksimālā </w:t>
      </w:r>
      <w:r>
        <w:rPr>
          <w:rFonts w:ascii="Times New Roman" w:hAnsi="Times New Roman"/>
          <w:sz w:val="24"/>
          <w:u w:val="none"/>
        </w:rPr>
        <w:lastRenderedPageBreak/>
        <w:t xml:space="preserve">nenoteiktība). Tomēr šīs konkrētās kvantitatīvās </w:t>
      </w:r>
      <w:r>
        <w:rPr>
          <w:rFonts w:ascii="Times New Roman" w:hAnsi="Times New Roman"/>
          <w:sz w:val="24"/>
        </w:rPr>
        <w:t>apstiprināšanas procedūras</w:t>
      </w:r>
      <w:r>
        <w:rPr>
          <w:rFonts w:ascii="Times New Roman" w:hAnsi="Times New Roman"/>
          <w:sz w:val="24"/>
          <w:u w:val="none"/>
        </w:rPr>
        <w:t xml:space="preserve"> </w:t>
      </w:r>
      <w:r>
        <w:rPr>
          <w:rFonts w:ascii="Times New Roman" w:hAnsi="Times New Roman"/>
          <w:i/>
          <w:iCs/>
          <w:sz w:val="24"/>
        </w:rPr>
        <w:t>MU</w:t>
      </w:r>
      <w:r>
        <w:rPr>
          <w:rFonts w:ascii="Times New Roman" w:hAnsi="Times New Roman"/>
          <w:sz w:val="24"/>
          <w:u w:val="none"/>
        </w:rPr>
        <w:t xml:space="preserve"> būtu jāpārvērtē;</w:t>
      </w:r>
    </w:p>
    <w:p w14:paraId="12784E8C" w14:textId="77777777" w:rsidR="00573E92" w:rsidRPr="00FB35D8" w:rsidRDefault="00573E92" w:rsidP="00E51527">
      <w:pPr>
        <w:pStyle w:val="BodyText"/>
        <w:numPr>
          <w:ilvl w:val="1"/>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atkārtoti lielāks par vieninieku (1) – </w:t>
      </w:r>
      <w:r>
        <w:rPr>
          <w:rFonts w:ascii="Times New Roman" w:hAnsi="Times New Roman"/>
          <w:i/>
          <w:iCs/>
          <w:sz w:val="24"/>
        </w:rPr>
        <w:t>MU</w:t>
      </w:r>
      <w:r>
        <w:rPr>
          <w:rFonts w:ascii="Times New Roman" w:hAnsi="Times New Roman"/>
          <w:sz w:val="24"/>
          <w:u w:val="none"/>
        </w:rPr>
        <w:t xml:space="preserve">, iespējams, ir nepietiekami novērtēta, un tādā gadījumā ir jāpārskata iemesli, kādēļ </w:t>
      </w:r>
      <w:r>
        <w:rPr>
          <w:rFonts w:ascii="Times New Roman" w:hAnsi="Times New Roman"/>
          <w:i/>
          <w:iCs/>
          <w:sz w:val="24"/>
          <w:u w:val="none"/>
        </w:rPr>
        <w:t>E</w:t>
      </w:r>
      <w:r>
        <w:rPr>
          <w:rFonts w:ascii="Times New Roman" w:hAnsi="Times New Roman"/>
          <w:i/>
          <w:iCs/>
          <w:sz w:val="24"/>
          <w:u w:val="none"/>
          <w:vertAlign w:val="subscript"/>
        </w:rPr>
        <w:t>n</w:t>
      </w:r>
      <w:r>
        <w:rPr>
          <w:rFonts w:ascii="Times New Roman" w:hAnsi="Times New Roman"/>
          <w:sz w:val="24"/>
          <w:u w:val="none"/>
        </w:rPr>
        <w:t xml:space="preserve"> vērtība ir tik augsta. Vajadzības gadījumā ir jāveic pasākumi, lai atkārtoti novērtētu </w:t>
      </w:r>
      <w:r>
        <w:rPr>
          <w:rFonts w:ascii="Times New Roman" w:hAnsi="Times New Roman"/>
          <w:i/>
          <w:iCs/>
          <w:sz w:val="24"/>
        </w:rPr>
        <w:t>MU</w:t>
      </w:r>
      <w:r>
        <w:rPr>
          <w:rFonts w:ascii="Times New Roman" w:hAnsi="Times New Roman"/>
          <w:sz w:val="24"/>
          <w:u w:val="none"/>
        </w:rPr>
        <w:t>.</w:t>
      </w:r>
    </w:p>
    <w:p w14:paraId="58D2A46D" w14:textId="77777777" w:rsidR="00E51527" w:rsidRDefault="00E51527" w:rsidP="00FB35D8">
      <w:pPr>
        <w:pStyle w:val="BodyText"/>
        <w:spacing w:before="0"/>
        <w:ind w:left="0"/>
        <w:jc w:val="both"/>
        <w:rPr>
          <w:rFonts w:ascii="Times New Roman" w:hAnsi="Times New Roman"/>
          <w:noProof/>
          <w:sz w:val="24"/>
          <w:u w:val="none"/>
        </w:rPr>
      </w:pPr>
    </w:p>
    <w:p w14:paraId="2C6A04F0" w14:textId="1B835010" w:rsidR="00573E92"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Katrreiz, kad notiek izmaiņas kvantitatīvās </w:t>
      </w:r>
      <w:r>
        <w:rPr>
          <w:rFonts w:ascii="Times New Roman" w:hAnsi="Times New Roman"/>
          <w:sz w:val="24"/>
        </w:rPr>
        <w:t>apstiprināšanas procedūrā</w:t>
      </w:r>
      <w:r>
        <w:rPr>
          <w:rFonts w:ascii="Times New Roman" w:hAnsi="Times New Roman"/>
          <w:sz w:val="24"/>
          <w:u w:val="none"/>
        </w:rPr>
        <w:t xml:space="preserve"> (ekstrakcijas posmā, atvasināšanas apstākļos, iekšējā standartā utt.), ir jāveic procedūras atkārtota validācija un atkārtoti jānovērtē </w:t>
      </w:r>
      <w:r>
        <w:rPr>
          <w:rFonts w:ascii="Times New Roman" w:hAnsi="Times New Roman"/>
          <w:i/>
          <w:iCs/>
          <w:sz w:val="24"/>
        </w:rPr>
        <w:t>MU</w:t>
      </w:r>
      <w:r>
        <w:rPr>
          <w:rFonts w:ascii="Times New Roman" w:hAnsi="Times New Roman"/>
          <w:sz w:val="24"/>
          <w:u w:val="none"/>
        </w:rPr>
        <w:t xml:space="preserve"> rezultātiem, kas iegūti ar izmainīto procedūru.</w:t>
      </w:r>
    </w:p>
    <w:p w14:paraId="17A34012" w14:textId="77777777" w:rsidR="00E51527" w:rsidRPr="00FB35D8" w:rsidRDefault="00E51527" w:rsidP="00FB35D8">
      <w:pPr>
        <w:pStyle w:val="BodyText"/>
        <w:spacing w:before="0"/>
        <w:ind w:left="0"/>
        <w:jc w:val="both"/>
        <w:rPr>
          <w:rFonts w:ascii="Times New Roman" w:hAnsi="Times New Roman"/>
          <w:noProof/>
          <w:sz w:val="24"/>
          <w:u w:val="none"/>
        </w:rPr>
      </w:pPr>
    </w:p>
    <w:p w14:paraId="7A4C27E0" w14:textId="77777777"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sz w:val="24"/>
          <w:u w:val="none"/>
        </w:rPr>
        <w:t xml:space="preserve">Ir jāpārbauda, vai kvantitatīvās </w:t>
      </w:r>
      <w:r>
        <w:rPr>
          <w:rFonts w:ascii="Times New Roman" w:hAnsi="Times New Roman"/>
          <w:sz w:val="24"/>
        </w:rPr>
        <w:t>apstiprināšanas procedūra</w:t>
      </w:r>
      <w:r>
        <w:rPr>
          <w:rFonts w:ascii="Times New Roman" w:hAnsi="Times New Roman"/>
          <w:sz w:val="24"/>
          <w:u w:val="none"/>
        </w:rPr>
        <w:t xml:space="preserve"> joprojām ir </w:t>
      </w:r>
      <w:r>
        <w:rPr>
          <w:rFonts w:ascii="Times New Roman" w:hAnsi="Times New Roman"/>
          <w:sz w:val="24"/>
        </w:rPr>
        <w:t>atbilstīga nolūkam</w:t>
      </w:r>
      <w:r>
        <w:rPr>
          <w:rFonts w:ascii="Times New Roman" w:hAnsi="Times New Roman"/>
          <w:sz w:val="24"/>
          <w:u w:val="none"/>
        </w:rPr>
        <w:t xml:space="preserve"> (</w:t>
      </w:r>
      <w:r>
        <w:rPr>
          <w:rFonts w:ascii="Times New Roman" w:hAnsi="Times New Roman"/>
          <w:i/>
          <w:iCs/>
          <w:sz w:val="24"/>
          <w:u w:val="none"/>
        </w:rPr>
        <w:t>piemēram</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aplēstā </w:t>
      </w:r>
      <w:r>
        <w:rPr>
          <w:rFonts w:ascii="Times New Roman" w:hAnsi="Times New Roman"/>
          <w:i/>
          <w:iCs/>
          <w:sz w:val="24"/>
        </w:rPr>
        <w:t>MU</w:t>
      </w:r>
      <w:r>
        <w:rPr>
          <w:rFonts w:ascii="Times New Roman" w:hAnsi="Times New Roman"/>
          <w:sz w:val="24"/>
          <w:u w:val="none"/>
        </w:rPr>
        <w:t xml:space="preserve"> attiecībā uz konkrētu kvantitatīvās </w:t>
      </w:r>
      <w:r>
        <w:rPr>
          <w:rFonts w:ascii="Times New Roman" w:hAnsi="Times New Roman"/>
          <w:sz w:val="24"/>
        </w:rPr>
        <w:t>apstiprināšanas procedūru</w:t>
      </w:r>
      <w:r>
        <w:rPr>
          <w:rFonts w:ascii="Times New Roman" w:hAnsi="Times New Roman"/>
          <w:sz w:val="24"/>
          <w:u w:val="none"/>
        </w:rPr>
        <w:t xml:space="preserve"> ir mazāka par maksimāli pieļaujamo </w:t>
      </w:r>
      <w:r>
        <w:rPr>
          <w:rFonts w:ascii="Times New Roman" w:hAnsi="Times New Roman"/>
          <w:i/>
          <w:iCs/>
          <w:sz w:val="24"/>
        </w:rPr>
        <w:t>MU</w:t>
      </w:r>
      <w:r>
        <w:rPr>
          <w:rFonts w:ascii="Times New Roman" w:hAnsi="Times New Roman"/>
          <w:sz w:val="24"/>
          <w:u w:val="none"/>
        </w:rPr>
        <w:t>, kas iepriekš norādīta 1. tabulā).</w:t>
      </w:r>
    </w:p>
    <w:p w14:paraId="2BF6A463" w14:textId="6CDDA63D" w:rsidR="00E51527" w:rsidRDefault="00E51527">
      <w:pPr>
        <w:rPr>
          <w:rFonts w:ascii="Times New Roman" w:hAnsi="Times New Roman"/>
          <w:noProof/>
          <w:sz w:val="24"/>
        </w:rPr>
      </w:pPr>
      <w:r>
        <w:br w:type="page"/>
      </w:r>
    </w:p>
    <w:p w14:paraId="0E3F58BE" w14:textId="77777777" w:rsidR="00FB35D8" w:rsidRPr="00FB35D8" w:rsidRDefault="00FB35D8" w:rsidP="00FB35D8">
      <w:pPr>
        <w:jc w:val="both"/>
        <w:rPr>
          <w:rFonts w:ascii="Times New Roman" w:hAnsi="Times New Roman"/>
          <w:noProof/>
          <w:sz w:val="24"/>
        </w:rPr>
      </w:pPr>
    </w:p>
    <w:p w14:paraId="1888B9B9" w14:textId="77777777" w:rsidR="00573E92" w:rsidRPr="00FB35D8" w:rsidRDefault="00573E92" w:rsidP="00FB35D8">
      <w:pPr>
        <w:pStyle w:val="Heading1"/>
        <w:spacing w:before="0"/>
        <w:ind w:left="0"/>
        <w:jc w:val="both"/>
        <w:rPr>
          <w:rFonts w:ascii="Times New Roman" w:hAnsi="Times New Roman"/>
          <w:noProof/>
          <w:u w:val="none"/>
        </w:rPr>
      </w:pPr>
      <w:r>
        <w:rPr>
          <w:rFonts w:ascii="Times New Roman" w:hAnsi="Times New Roman"/>
          <w:u w:val="none"/>
        </w:rPr>
        <w:t>Atsauces</w:t>
      </w:r>
    </w:p>
    <w:p w14:paraId="2F686A29" w14:textId="77777777" w:rsidR="00E51527" w:rsidRDefault="00E51527" w:rsidP="00E51527">
      <w:pPr>
        <w:pStyle w:val="BodyText"/>
        <w:tabs>
          <w:tab w:val="left" w:pos="400"/>
        </w:tabs>
        <w:spacing w:before="0"/>
        <w:ind w:left="0"/>
        <w:jc w:val="both"/>
        <w:rPr>
          <w:rFonts w:ascii="Times New Roman" w:hAnsi="Times New Roman"/>
          <w:i/>
          <w:noProof/>
          <w:sz w:val="24"/>
          <w:u w:val="none"/>
        </w:rPr>
      </w:pPr>
    </w:p>
    <w:p w14:paraId="5049A8BA" w14:textId="4C4E9678" w:rsidR="00573E92" w:rsidRPr="00FB35D8"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 xml:space="preserve">1. </w:t>
      </w:r>
      <w:r>
        <w:rPr>
          <w:rFonts w:ascii="Times New Roman" w:hAnsi="Times New Roman"/>
          <w:i/>
          <w:sz w:val="24"/>
          <w:u w:val="none"/>
        </w:rPr>
        <w:t xml:space="preserve">WADA </w:t>
      </w:r>
      <w:r>
        <w:rPr>
          <w:rFonts w:ascii="Times New Roman" w:hAnsi="Times New Roman"/>
          <w:sz w:val="24"/>
          <w:u w:val="none"/>
        </w:rPr>
        <w:t>Technical Document TD IDCR: Minimum Criteria for Chromatographic-Mass Spectrometric Confirmation of the Identity of Analytes for Doping Control Purposes.</w:t>
      </w:r>
    </w:p>
    <w:p w14:paraId="34DABC17" w14:textId="078E2009"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https://www.wada-ama.org/en/what-we-do/science-medical/laboratories</w:t>
      </w:r>
    </w:p>
    <w:p w14:paraId="0ADD584C" w14:textId="77777777" w:rsidR="00E51527" w:rsidRDefault="00E51527" w:rsidP="00E51527">
      <w:pPr>
        <w:pStyle w:val="BodyText"/>
        <w:tabs>
          <w:tab w:val="left" w:pos="400"/>
        </w:tabs>
        <w:spacing w:before="0"/>
        <w:ind w:left="0"/>
        <w:jc w:val="both"/>
        <w:rPr>
          <w:rFonts w:ascii="Times New Roman" w:hAnsi="Times New Roman"/>
          <w:noProof/>
          <w:sz w:val="24"/>
          <w:u w:val="none"/>
        </w:rPr>
      </w:pPr>
    </w:p>
    <w:p w14:paraId="14ABADC5" w14:textId="77777777" w:rsidR="00E51527"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2. The World Anti-Doping Code International Standard for Laboratories.</w:t>
      </w:r>
    </w:p>
    <w:p w14:paraId="466E9400" w14:textId="21DC1F5B" w:rsidR="00573E92" w:rsidRPr="00FB35D8" w:rsidRDefault="00573E92" w:rsidP="00E51527">
      <w:pPr>
        <w:pStyle w:val="BodyText"/>
        <w:tabs>
          <w:tab w:val="left" w:pos="400"/>
        </w:tabs>
        <w:spacing w:before="0"/>
        <w:ind w:left="0"/>
        <w:jc w:val="both"/>
        <w:rPr>
          <w:rFonts w:ascii="Times New Roman" w:hAnsi="Times New Roman"/>
          <w:noProof/>
          <w:sz w:val="24"/>
          <w:u w:val="none"/>
        </w:rPr>
      </w:pPr>
      <w:r>
        <w:rPr>
          <w:rFonts w:ascii="Times New Roman" w:hAnsi="Times New Roman"/>
          <w:color w:val="0000FF"/>
          <w:sz w:val="24"/>
          <w:u w:color="0000FF"/>
        </w:rPr>
        <w:t>https://www.wada-ama.org/en/what-we-do/science-medical/laboratories</w:t>
      </w:r>
    </w:p>
    <w:p w14:paraId="4964ECEB" w14:textId="77777777" w:rsidR="00E51527" w:rsidRDefault="00E51527" w:rsidP="00E51527">
      <w:pPr>
        <w:pStyle w:val="BodyText"/>
        <w:tabs>
          <w:tab w:val="left" w:pos="400"/>
        </w:tabs>
        <w:spacing w:before="0"/>
        <w:ind w:left="0"/>
        <w:jc w:val="both"/>
        <w:rPr>
          <w:rFonts w:ascii="Times New Roman" w:hAnsi="Times New Roman"/>
          <w:i/>
          <w:noProof/>
          <w:sz w:val="24"/>
          <w:u w:val="none"/>
        </w:rPr>
      </w:pPr>
    </w:p>
    <w:p w14:paraId="1B308F15" w14:textId="04F24594" w:rsidR="00573E92" w:rsidRPr="00FB35D8"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 xml:space="preserve">3. </w:t>
      </w:r>
      <w:r>
        <w:rPr>
          <w:rFonts w:ascii="Times New Roman" w:hAnsi="Times New Roman"/>
          <w:i/>
          <w:sz w:val="24"/>
          <w:u w:val="none"/>
        </w:rPr>
        <w:t xml:space="preserve">WADA </w:t>
      </w:r>
      <w:r>
        <w:rPr>
          <w:rFonts w:ascii="Times New Roman" w:hAnsi="Times New Roman"/>
          <w:sz w:val="24"/>
          <w:u w:val="none"/>
        </w:rPr>
        <w:t>Technical Document TD MRPL: Minimum Required Performance Levels for Detecting and Identification of Non-Threshold Substances.</w:t>
      </w:r>
    </w:p>
    <w:p w14:paraId="30EDCC41" w14:textId="6F9C5283"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https://www.wada-ama.org/en/what-we-do/science-medical/laboratories</w:t>
      </w:r>
    </w:p>
    <w:p w14:paraId="7A17DD6B" w14:textId="77777777" w:rsidR="00E51527" w:rsidRDefault="00E51527" w:rsidP="00E51527">
      <w:pPr>
        <w:pStyle w:val="BodyText"/>
        <w:tabs>
          <w:tab w:val="left" w:pos="400"/>
        </w:tabs>
        <w:spacing w:before="0"/>
        <w:ind w:left="0"/>
        <w:jc w:val="both"/>
        <w:rPr>
          <w:rFonts w:ascii="Times New Roman" w:hAnsi="Times New Roman"/>
          <w:i/>
          <w:noProof/>
          <w:sz w:val="24"/>
          <w:u w:val="none"/>
        </w:rPr>
      </w:pPr>
    </w:p>
    <w:p w14:paraId="2DC1B939" w14:textId="3A7E2D8E" w:rsidR="00573E92" w:rsidRPr="00FB35D8"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 xml:space="preserve">4. </w:t>
      </w:r>
      <w:r>
        <w:rPr>
          <w:rFonts w:ascii="Times New Roman" w:hAnsi="Times New Roman"/>
          <w:i/>
          <w:sz w:val="24"/>
          <w:u w:val="none"/>
        </w:rPr>
        <w:t xml:space="preserve">WADA </w:t>
      </w:r>
      <w:r>
        <w:rPr>
          <w:rFonts w:ascii="Times New Roman" w:hAnsi="Times New Roman"/>
          <w:sz w:val="24"/>
          <w:u w:val="none"/>
        </w:rPr>
        <w:t>Technical Document TDCG/LH: Reporting and Management of urinary hCG and LH findings in male Athletes.</w:t>
      </w:r>
    </w:p>
    <w:p w14:paraId="7BEB90DA" w14:textId="06E3FF5F"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https://www.wada-ama.org/en/what-we-do/science-medical/laboratories</w:t>
      </w:r>
    </w:p>
    <w:p w14:paraId="6B697C3C" w14:textId="77777777" w:rsidR="00E51527" w:rsidRDefault="00E51527" w:rsidP="00E51527">
      <w:pPr>
        <w:pStyle w:val="BodyText"/>
        <w:tabs>
          <w:tab w:val="left" w:pos="400"/>
        </w:tabs>
        <w:spacing w:before="0"/>
        <w:ind w:left="0"/>
        <w:jc w:val="both"/>
        <w:rPr>
          <w:rFonts w:ascii="Times New Roman" w:hAnsi="Times New Roman"/>
          <w:i/>
          <w:noProof/>
          <w:sz w:val="24"/>
          <w:u w:val="none"/>
        </w:rPr>
      </w:pPr>
    </w:p>
    <w:p w14:paraId="1720F089" w14:textId="08FDA741" w:rsidR="00573E92" w:rsidRPr="00FB35D8"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 xml:space="preserve">5. </w:t>
      </w:r>
      <w:r>
        <w:rPr>
          <w:rFonts w:ascii="Times New Roman" w:hAnsi="Times New Roman"/>
          <w:i/>
          <w:sz w:val="24"/>
          <w:u w:val="none"/>
        </w:rPr>
        <w:t xml:space="preserve">WADA </w:t>
      </w:r>
      <w:r>
        <w:rPr>
          <w:rFonts w:ascii="Times New Roman" w:hAnsi="Times New Roman"/>
          <w:sz w:val="24"/>
          <w:u w:val="none"/>
        </w:rPr>
        <w:t>Technical Document TDGH: human Growth Hormone (hGH) Isoform Differential Immunoassays for Doping Control Analyses.</w:t>
      </w:r>
    </w:p>
    <w:p w14:paraId="65B87CA0" w14:textId="5C12F8B5"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https://www.wada-ama.org/en/what-we-do/science-medical/laboratories</w:t>
      </w:r>
    </w:p>
    <w:p w14:paraId="48103260" w14:textId="77777777" w:rsidR="00E51527" w:rsidRDefault="00E51527" w:rsidP="00E51527">
      <w:pPr>
        <w:pStyle w:val="BodyText"/>
        <w:tabs>
          <w:tab w:val="left" w:pos="400"/>
        </w:tabs>
        <w:spacing w:before="0"/>
        <w:ind w:left="0"/>
        <w:jc w:val="both"/>
        <w:rPr>
          <w:rFonts w:ascii="Times New Roman" w:hAnsi="Times New Roman"/>
          <w:i/>
          <w:noProof/>
          <w:sz w:val="24"/>
          <w:u w:val="none"/>
        </w:rPr>
      </w:pPr>
    </w:p>
    <w:p w14:paraId="6BB5FE92" w14:textId="77777777" w:rsidR="00E51527"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 xml:space="preserve">6. </w:t>
      </w:r>
      <w:r>
        <w:rPr>
          <w:rFonts w:ascii="Times New Roman" w:hAnsi="Times New Roman"/>
          <w:i/>
          <w:sz w:val="24"/>
          <w:u w:val="none"/>
        </w:rPr>
        <w:t xml:space="preserve">WADA </w:t>
      </w:r>
      <w:r>
        <w:rPr>
          <w:rFonts w:ascii="Times New Roman" w:hAnsi="Times New Roman"/>
          <w:sz w:val="24"/>
          <w:u w:val="none"/>
        </w:rPr>
        <w:t>Guidelines on human Growth Hormone Biomarkers Test for Doping Control Analyses.</w:t>
      </w:r>
    </w:p>
    <w:p w14:paraId="7192038D" w14:textId="7C2327AC" w:rsidR="00573E92" w:rsidRPr="00FB35D8" w:rsidRDefault="00573E92" w:rsidP="00E51527">
      <w:pPr>
        <w:pStyle w:val="BodyText"/>
        <w:tabs>
          <w:tab w:val="left" w:pos="400"/>
        </w:tabs>
        <w:spacing w:before="0"/>
        <w:ind w:left="0"/>
        <w:jc w:val="both"/>
        <w:rPr>
          <w:rFonts w:ascii="Times New Roman" w:hAnsi="Times New Roman"/>
          <w:noProof/>
          <w:sz w:val="24"/>
          <w:u w:val="none"/>
        </w:rPr>
      </w:pPr>
      <w:r>
        <w:rPr>
          <w:rFonts w:ascii="Times New Roman" w:hAnsi="Times New Roman"/>
          <w:color w:val="0000FF"/>
          <w:sz w:val="24"/>
          <w:u w:color="0000FF"/>
        </w:rPr>
        <w:t>https://www.wada-ama.org/en/what-we-do/science-medical/laboratories</w:t>
      </w:r>
    </w:p>
    <w:p w14:paraId="14C04534" w14:textId="77777777" w:rsidR="00E51527" w:rsidRDefault="00E51527" w:rsidP="00E51527">
      <w:pPr>
        <w:pStyle w:val="BodyText"/>
        <w:tabs>
          <w:tab w:val="left" w:pos="400"/>
        </w:tabs>
        <w:spacing w:before="0"/>
        <w:ind w:left="0"/>
        <w:jc w:val="both"/>
        <w:rPr>
          <w:rFonts w:ascii="Times New Roman" w:hAnsi="Times New Roman"/>
          <w:noProof/>
          <w:sz w:val="24"/>
          <w:u w:val="none"/>
        </w:rPr>
      </w:pPr>
    </w:p>
    <w:p w14:paraId="099F3AFA" w14:textId="568C106C" w:rsidR="00573E92" w:rsidRPr="00FB35D8"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7. ISO/IEC Guide 99:2007. International Vocabulary of Metrology – Basic and General Concepts and Associated Terms (VIM) (2007).</w:t>
      </w:r>
    </w:p>
    <w:p w14:paraId="3CA63AF3" w14:textId="002D8203"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https://www.bipm.org/en/publications/guides/</w:t>
      </w:r>
    </w:p>
    <w:p w14:paraId="7B0263E9" w14:textId="77777777" w:rsidR="00E51527" w:rsidRDefault="00E51527" w:rsidP="00E51527">
      <w:pPr>
        <w:pStyle w:val="BodyText"/>
        <w:tabs>
          <w:tab w:val="left" w:pos="400"/>
        </w:tabs>
        <w:spacing w:before="0"/>
        <w:ind w:left="0"/>
        <w:jc w:val="both"/>
        <w:rPr>
          <w:rFonts w:ascii="Times New Roman" w:hAnsi="Times New Roman"/>
          <w:noProof/>
          <w:sz w:val="24"/>
          <w:u w:val="none"/>
        </w:rPr>
      </w:pPr>
    </w:p>
    <w:p w14:paraId="5030439C" w14:textId="6F4B1D72" w:rsidR="00573E92" w:rsidRPr="00FB35D8"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8. ISO/IEC 17025:2017. General Requirements for the competence of testing and calibration laboratories (2017).</w:t>
      </w:r>
    </w:p>
    <w:p w14:paraId="669E8E83" w14:textId="03DEDDE9"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https://www.iso.org/standard/66912.html</w:t>
      </w:r>
    </w:p>
    <w:p w14:paraId="53C21A19" w14:textId="77777777" w:rsidR="00E51527" w:rsidRDefault="00E51527" w:rsidP="00E51527">
      <w:pPr>
        <w:pStyle w:val="BodyText"/>
        <w:tabs>
          <w:tab w:val="left" w:pos="400"/>
        </w:tabs>
        <w:spacing w:before="0"/>
        <w:ind w:left="0"/>
        <w:jc w:val="both"/>
        <w:rPr>
          <w:rFonts w:ascii="Times New Roman" w:hAnsi="Times New Roman"/>
          <w:noProof/>
          <w:sz w:val="24"/>
          <w:u w:val="none"/>
        </w:rPr>
      </w:pPr>
    </w:p>
    <w:p w14:paraId="6BCE256F" w14:textId="45A6085D" w:rsidR="00573E92" w:rsidRPr="00E51527" w:rsidRDefault="00E51527" w:rsidP="00E51527">
      <w:pPr>
        <w:pStyle w:val="BodyText"/>
        <w:tabs>
          <w:tab w:val="left" w:pos="400"/>
        </w:tabs>
        <w:spacing w:before="0"/>
        <w:ind w:left="0"/>
        <w:jc w:val="both"/>
        <w:rPr>
          <w:rFonts w:ascii="Times New Roman" w:hAnsi="Times New Roman"/>
          <w:noProof/>
          <w:sz w:val="24"/>
          <w:u w:val="none"/>
        </w:rPr>
      </w:pPr>
      <w:r>
        <w:rPr>
          <w:rFonts w:ascii="Times New Roman" w:hAnsi="Times New Roman"/>
          <w:sz w:val="24"/>
          <w:u w:val="none"/>
        </w:rPr>
        <w:t>9. ISO/IEC Guide 98-3:2008. Evaluation of Measurement Data – Guide to the expression of uncertainty in measurement (GUM) (2008).</w:t>
      </w:r>
    </w:p>
    <w:p w14:paraId="5E7EF81A" w14:textId="5C3948D3"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http://www.bipm.org/en/publications/guides/</w:t>
      </w:r>
    </w:p>
    <w:p w14:paraId="06040584" w14:textId="77777777" w:rsidR="00E51527" w:rsidRDefault="00E51527" w:rsidP="00E51527">
      <w:pPr>
        <w:pStyle w:val="BodyText"/>
        <w:tabs>
          <w:tab w:val="left" w:pos="580"/>
        </w:tabs>
        <w:spacing w:before="0"/>
        <w:ind w:left="0"/>
        <w:jc w:val="both"/>
        <w:rPr>
          <w:rFonts w:ascii="Times New Roman" w:hAnsi="Times New Roman"/>
          <w:noProof/>
          <w:sz w:val="24"/>
          <w:u w:val="none"/>
        </w:rPr>
      </w:pPr>
    </w:p>
    <w:p w14:paraId="4800E31F" w14:textId="3ED8B9E5" w:rsidR="00573E92" w:rsidRPr="00FB35D8" w:rsidRDefault="00E51527" w:rsidP="00E51527">
      <w:pPr>
        <w:pStyle w:val="BodyText"/>
        <w:tabs>
          <w:tab w:val="left" w:pos="580"/>
        </w:tabs>
        <w:spacing w:before="0"/>
        <w:ind w:left="0"/>
        <w:jc w:val="both"/>
        <w:rPr>
          <w:rFonts w:ascii="Times New Roman" w:hAnsi="Times New Roman"/>
          <w:noProof/>
          <w:sz w:val="24"/>
          <w:u w:val="none"/>
        </w:rPr>
      </w:pPr>
      <w:r>
        <w:rPr>
          <w:rFonts w:ascii="Times New Roman" w:hAnsi="Times New Roman"/>
          <w:sz w:val="24"/>
          <w:u w:val="none"/>
        </w:rPr>
        <w:t>10. Eurolab Technical Report No. 1/2007. Measurement Uncertainty revisited: Alternative approaches to uncertainty evaluation (2007).</w:t>
      </w:r>
    </w:p>
    <w:p w14:paraId="651608C2" w14:textId="13D445A8"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http://www.eurolab.org/documents/1-2007.pdf</w:t>
      </w:r>
    </w:p>
    <w:p w14:paraId="0F97F4ED" w14:textId="77777777" w:rsidR="00E51527" w:rsidRDefault="00E51527" w:rsidP="00E51527">
      <w:pPr>
        <w:pStyle w:val="BodyText"/>
        <w:tabs>
          <w:tab w:val="left" w:pos="580"/>
          <w:tab w:val="left" w:pos="4336"/>
        </w:tabs>
        <w:spacing w:before="0"/>
        <w:ind w:left="0"/>
        <w:jc w:val="both"/>
        <w:rPr>
          <w:rFonts w:ascii="Times New Roman" w:hAnsi="Times New Roman"/>
          <w:noProof/>
          <w:sz w:val="24"/>
          <w:u w:val="none"/>
        </w:rPr>
      </w:pPr>
    </w:p>
    <w:p w14:paraId="195AD4EB" w14:textId="6B52A928" w:rsidR="00573E92" w:rsidRPr="00FB35D8" w:rsidRDefault="00E51527" w:rsidP="00E51527">
      <w:pPr>
        <w:pStyle w:val="BodyText"/>
        <w:tabs>
          <w:tab w:val="left" w:pos="580"/>
          <w:tab w:val="left" w:pos="4336"/>
        </w:tabs>
        <w:spacing w:before="0"/>
        <w:ind w:left="0"/>
        <w:jc w:val="both"/>
        <w:rPr>
          <w:rFonts w:ascii="Times New Roman" w:hAnsi="Times New Roman"/>
          <w:noProof/>
          <w:sz w:val="24"/>
          <w:u w:val="none"/>
        </w:rPr>
      </w:pPr>
      <w:r>
        <w:rPr>
          <w:rFonts w:ascii="Times New Roman" w:hAnsi="Times New Roman"/>
          <w:sz w:val="24"/>
          <w:u w:val="none"/>
        </w:rPr>
        <w:t>11. NORDTEST Technical Report 537. Handbook for calculation of measurement uncertainty in Environmental Laboratories (2012).</w:t>
      </w:r>
    </w:p>
    <w:p w14:paraId="4CA6F810" w14:textId="5D3063A8"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http://www.nordtest.info/index.php/technical-reports/item/handbook-for-calculation-of-measurement-uncertainty-in-environmental-laboratories-nt-tr-537-edition-3.html</w:t>
      </w:r>
    </w:p>
    <w:p w14:paraId="300D2768" w14:textId="77777777" w:rsidR="00FB35D8" w:rsidRPr="00FB35D8" w:rsidRDefault="00FB35D8" w:rsidP="00FB35D8">
      <w:pPr>
        <w:jc w:val="both"/>
        <w:rPr>
          <w:rFonts w:ascii="Times New Roman" w:hAnsi="Times New Roman"/>
          <w:noProof/>
          <w:sz w:val="24"/>
        </w:rPr>
      </w:pPr>
    </w:p>
    <w:p w14:paraId="68B37255" w14:textId="77777777" w:rsidR="00E51527" w:rsidRDefault="00E51527" w:rsidP="00E51527">
      <w:pPr>
        <w:pStyle w:val="BodyText"/>
        <w:tabs>
          <w:tab w:val="left" w:pos="580"/>
        </w:tabs>
        <w:spacing w:before="0"/>
        <w:ind w:left="0"/>
        <w:jc w:val="both"/>
        <w:rPr>
          <w:rFonts w:ascii="Times New Roman" w:hAnsi="Times New Roman"/>
          <w:noProof/>
          <w:sz w:val="24"/>
          <w:u w:val="none"/>
        </w:rPr>
      </w:pPr>
      <w:r>
        <w:rPr>
          <w:rFonts w:ascii="Times New Roman" w:hAnsi="Times New Roman"/>
          <w:sz w:val="24"/>
          <w:u w:val="none"/>
        </w:rPr>
        <w:t>12. Eurachem Guide. The Fitness for Purpose of Analytical Methods (2014).</w:t>
      </w:r>
    </w:p>
    <w:p w14:paraId="3E4AA8CE" w14:textId="2B514AE8" w:rsidR="00573E92" w:rsidRPr="00FB35D8" w:rsidRDefault="00573E92" w:rsidP="00E51527">
      <w:pPr>
        <w:pStyle w:val="BodyText"/>
        <w:tabs>
          <w:tab w:val="left" w:pos="580"/>
        </w:tabs>
        <w:spacing w:before="0"/>
        <w:ind w:left="0"/>
        <w:jc w:val="both"/>
        <w:rPr>
          <w:rFonts w:ascii="Times New Roman" w:hAnsi="Times New Roman"/>
          <w:noProof/>
          <w:sz w:val="24"/>
          <w:u w:val="none"/>
        </w:rPr>
      </w:pPr>
      <w:r>
        <w:rPr>
          <w:rFonts w:ascii="Times New Roman" w:hAnsi="Times New Roman"/>
          <w:color w:val="0000FF"/>
          <w:sz w:val="24"/>
          <w:u w:color="0000FF"/>
        </w:rPr>
        <w:t>https://www.eurachem.org/index.php/publications/guides/mv</w:t>
      </w:r>
    </w:p>
    <w:p w14:paraId="27BE6664" w14:textId="77777777" w:rsidR="00E51527" w:rsidRDefault="00E51527" w:rsidP="00E51527">
      <w:pPr>
        <w:pStyle w:val="BodyText"/>
        <w:tabs>
          <w:tab w:val="left" w:pos="580"/>
        </w:tabs>
        <w:spacing w:before="0"/>
        <w:ind w:left="0"/>
        <w:jc w:val="both"/>
        <w:rPr>
          <w:rFonts w:ascii="Times New Roman" w:hAnsi="Times New Roman"/>
          <w:noProof/>
          <w:sz w:val="24"/>
          <w:u w:val="none"/>
        </w:rPr>
      </w:pPr>
    </w:p>
    <w:p w14:paraId="28AE2B63" w14:textId="77777777" w:rsidR="00E51527" w:rsidRDefault="00E51527" w:rsidP="00E51527">
      <w:pPr>
        <w:pStyle w:val="BodyText"/>
        <w:tabs>
          <w:tab w:val="left" w:pos="580"/>
        </w:tabs>
        <w:spacing w:before="0"/>
        <w:ind w:left="0"/>
        <w:jc w:val="both"/>
        <w:rPr>
          <w:rFonts w:ascii="Times New Roman" w:hAnsi="Times New Roman"/>
          <w:noProof/>
          <w:sz w:val="24"/>
          <w:u w:val="none"/>
        </w:rPr>
      </w:pPr>
      <w:r>
        <w:rPr>
          <w:rFonts w:ascii="Times New Roman" w:hAnsi="Times New Roman"/>
          <w:sz w:val="24"/>
          <w:u w:val="none"/>
        </w:rPr>
        <w:t xml:space="preserve">13. ISO 21748: 2010. Guide to the Use of Repeatability, Reproducibility and Trueness </w:t>
      </w:r>
      <w:r>
        <w:rPr>
          <w:rFonts w:ascii="Times New Roman" w:hAnsi="Times New Roman"/>
          <w:sz w:val="24"/>
          <w:u w:val="none"/>
        </w:rPr>
        <w:lastRenderedPageBreak/>
        <w:t>Estimates in Measurement Uncertainty Estimation. ISO, Geneva (2010).</w:t>
      </w:r>
    </w:p>
    <w:p w14:paraId="513ABAFB" w14:textId="2C1E7D00" w:rsidR="00573E92" w:rsidRPr="00FB35D8" w:rsidRDefault="00573E92" w:rsidP="00E51527">
      <w:pPr>
        <w:pStyle w:val="BodyText"/>
        <w:tabs>
          <w:tab w:val="left" w:pos="580"/>
        </w:tabs>
        <w:spacing w:before="0"/>
        <w:ind w:left="0"/>
        <w:jc w:val="both"/>
        <w:rPr>
          <w:rFonts w:ascii="Times New Roman" w:hAnsi="Times New Roman"/>
          <w:noProof/>
          <w:sz w:val="24"/>
          <w:u w:val="none"/>
        </w:rPr>
      </w:pPr>
      <w:r>
        <w:rPr>
          <w:rFonts w:ascii="Times New Roman" w:hAnsi="Times New Roman"/>
          <w:color w:val="0000FF"/>
          <w:sz w:val="24"/>
          <w:u w:color="0000FF"/>
        </w:rPr>
        <w:t>https://www.iso.org/obp/ui/#iso:std:iso:21748:ed-1:v1:en</w:t>
      </w:r>
    </w:p>
    <w:p w14:paraId="188AFFFC" w14:textId="77777777" w:rsidR="00E51527" w:rsidRDefault="00E51527" w:rsidP="00E51527">
      <w:pPr>
        <w:pStyle w:val="BodyText"/>
        <w:tabs>
          <w:tab w:val="left" w:pos="580"/>
        </w:tabs>
        <w:spacing w:before="0"/>
        <w:ind w:left="0"/>
        <w:jc w:val="both"/>
        <w:rPr>
          <w:rFonts w:ascii="Times New Roman" w:hAnsi="Times New Roman"/>
          <w:noProof/>
          <w:sz w:val="24"/>
          <w:u w:val="none"/>
        </w:rPr>
      </w:pPr>
    </w:p>
    <w:p w14:paraId="040514E6" w14:textId="77777777" w:rsidR="00E51527" w:rsidRDefault="00E51527" w:rsidP="00E51527">
      <w:pPr>
        <w:pStyle w:val="BodyText"/>
        <w:tabs>
          <w:tab w:val="left" w:pos="580"/>
        </w:tabs>
        <w:spacing w:before="0"/>
        <w:ind w:left="0"/>
        <w:jc w:val="both"/>
        <w:rPr>
          <w:rFonts w:ascii="Times New Roman" w:hAnsi="Times New Roman"/>
          <w:noProof/>
          <w:sz w:val="24"/>
          <w:u w:val="none"/>
        </w:rPr>
      </w:pPr>
      <w:r>
        <w:rPr>
          <w:rFonts w:ascii="Times New Roman" w:hAnsi="Times New Roman"/>
          <w:sz w:val="24"/>
          <w:u w:val="none"/>
        </w:rPr>
        <w:t>14. EURACHEM/CITAC Guide CG4. Quantifying Uncertainty in Analytical Measurement. Third Edition, SLR Ellison and A Williams (Ed.) (2012).</w:t>
      </w:r>
    </w:p>
    <w:p w14:paraId="55240859" w14:textId="15BCB8AA" w:rsidR="00573E92" w:rsidRPr="00FB35D8" w:rsidRDefault="00573E92" w:rsidP="00E51527">
      <w:pPr>
        <w:pStyle w:val="BodyText"/>
        <w:tabs>
          <w:tab w:val="left" w:pos="580"/>
        </w:tabs>
        <w:spacing w:before="0"/>
        <w:ind w:left="0"/>
        <w:jc w:val="both"/>
        <w:rPr>
          <w:rFonts w:ascii="Times New Roman" w:hAnsi="Times New Roman"/>
          <w:noProof/>
          <w:sz w:val="24"/>
          <w:u w:val="none"/>
        </w:rPr>
      </w:pPr>
      <w:r>
        <w:rPr>
          <w:rFonts w:ascii="Times New Roman" w:hAnsi="Times New Roman"/>
          <w:color w:val="0000FF"/>
          <w:sz w:val="24"/>
          <w:u w:color="0000FF"/>
        </w:rPr>
        <w:t>https://www.eurachem.org/index.php/publications/guides/quam</w:t>
      </w:r>
    </w:p>
    <w:p w14:paraId="59C22A52" w14:textId="77777777" w:rsidR="00E51527" w:rsidRDefault="00E51527" w:rsidP="00E51527">
      <w:pPr>
        <w:pStyle w:val="BodyText"/>
        <w:tabs>
          <w:tab w:val="left" w:pos="580"/>
        </w:tabs>
        <w:spacing w:before="0"/>
        <w:ind w:left="0"/>
        <w:jc w:val="both"/>
        <w:rPr>
          <w:rFonts w:ascii="Times New Roman" w:hAnsi="Times New Roman"/>
          <w:noProof/>
          <w:sz w:val="24"/>
          <w:u w:val="none"/>
        </w:rPr>
      </w:pPr>
    </w:p>
    <w:p w14:paraId="281EB027" w14:textId="77777777" w:rsidR="00E51527" w:rsidRDefault="00E51527" w:rsidP="00E51527">
      <w:pPr>
        <w:pStyle w:val="BodyText"/>
        <w:tabs>
          <w:tab w:val="left" w:pos="580"/>
        </w:tabs>
        <w:spacing w:before="0"/>
        <w:ind w:left="0"/>
        <w:jc w:val="both"/>
        <w:rPr>
          <w:rFonts w:ascii="Times New Roman" w:hAnsi="Times New Roman"/>
          <w:noProof/>
          <w:sz w:val="24"/>
          <w:u w:val="none"/>
        </w:rPr>
      </w:pPr>
      <w:r>
        <w:rPr>
          <w:rFonts w:ascii="Times New Roman" w:hAnsi="Times New Roman"/>
          <w:sz w:val="24"/>
          <w:u w:val="none"/>
        </w:rPr>
        <w:t>15. EURACHEM/CITAC Guide. Use of Uncertainty Information in Compliance Assessment. First Edition, SLR Ellison and A Williams (Ed.) (2007).</w:t>
      </w:r>
    </w:p>
    <w:p w14:paraId="62611E04" w14:textId="4DE36822" w:rsidR="00573E92" w:rsidRPr="00FB35D8" w:rsidRDefault="00573E92" w:rsidP="00E51527">
      <w:pPr>
        <w:pStyle w:val="BodyText"/>
        <w:tabs>
          <w:tab w:val="left" w:pos="580"/>
        </w:tabs>
        <w:spacing w:before="0"/>
        <w:ind w:left="0"/>
        <w:jc w:val="both"/>
        <w:rPr>
          <w:rFonts w:ascii="Times New Roman" w:hAnsi="Times New Roman"/>
          <w:noProof/>
          <w:sz w:val="24"/>
          <w:u w:val="none"/>
        </w:rPr>
      </w:pPr>
      <w:r>
        <w:rPr>
          <w:rFonts w:ascii="Times New Roman" w:hAnsi="Times New Roman"/>
          <w:color w:val="0000FF"/>
          <w:sz w:val="24"/>
          <w:u w:color="0000FF"/>
        </w:rPr>
        <w:t>https://www.eurachem.org/index.php/publications/guides/uncertcompliance</w:t>
      </w:r>
    </w:p>
    <w:p w14:paraId="44AAB3FA" w14:textId="77777777" w:rsidR="00E51527" w:rsidRDefault="00E51527" w:rsidP="00E51527">
      <w:pPr>
        <w:pStyle w:val="BodyText"/>
        <w:tabs>
          <w:tab w:val="left" w:pos="580"/>
        </w:tabs>
        <w:spacing w:before="0"/>
        <w:ind w:left="0"/>
        <w:jc w:val="both"/>
        <w:rPr>
          <w:rFonts w:ascii="Times New Roman" w:hAnsi="Times New Roman"/>
          <w:noProof/>
          <w:sz w:val="24"/>
          <w:u w:val="none"/>
        </w:rPr>
      </w:pPr>
    </w:p>
    <w:p w14:paraId="42C95792" w14:textId="76065727" w:rsidR="00573E92" w:rsidRPr="00FB35D8" w:rsidRDefault="00E51527" w:rsidP="00E51527">
      <w:pPr>
        <w:pStyle w:val="BodyText"/>
        <w:tabs>
          <w:tab w:val="left" w:pos="580"/>
        </w:tabs>
        <w:spacing w:before="0"/>
        <w:ind w:left="0"/>
        <w:jc w:val="both"/>
        <w:rPr>
          <w:rFonts w:ascii="Times New Roman" w:hAnsi="Times New Roman"/>
          <w:noProof/>
          <w:sz w:val="24"/>
          <w:u w:val="none"/>
        </w:rPr>
      </w:pPr>
      <w:r>
        <w:rPr>
          <w:rFonts w:ascii="Times New Roman" w:hAnsi="Times New Roman"/>
          <w:sz w:val="24"/>
          <w:u w:val="none"/>
        </w:rPr>
        <w:t>16. NF ISO 11352: 2013. Water quality — Estimation of measurement uncertainty based on validation and quality control data (2013).</w:t>
      </w:r>
    </w:p>
    <w:p w14:paraId="413146E5" w14:textId="173056A3" w:rsidR="00573E92" w:rsidRPr="00FB35D8" w:rsidRDefault="00573E92" w:rsidP="00FB35D8">
      <w:pPr>
        <w:pStyle w:val="BodyText"/>
        <w:spacing w:before="0"/>
        <w:ind w:left="0"/>
        <w:jc w:val="both"/>
        <w:rPr>
          <w:rFonts w:ascii="Times New Roman" w:hAnsi="Times New Roman"/>
          <w:noProof/>
          <w:sz w:val="24"/>
          <w:u w:val="none"/>
        </w:rPr>
      </w:pPr>
      <w:r>
        <w:rPr>
          <w:rFonts w:ascii="Times New Roman" w:hAnsi="Times New Roman"/>
          <w:color w:val="0000FF"/>
          <w:sz w:val="24"/>
          <w:u w:color="0000FF"/>
        </w:rPr>
        <w:t>https://www.iso.org/standard/50399.html</w:t>
      </w:r>
    </w:p>
    <w:sectPr w:rsidR="00573E92" w:rsidRPr="00FB35D8" w:rsidSect="00FB35D8">
      <w:headerReference w:type="default" r:id="rId27"/>
      <w:footerReference w:type="default" r:id="rId28"/>
      <w:headerReference w:type="first" r:id="rId29"/>
      <w:footerReference w:type="first" r:id="rId3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1DC7B" w14:textId="77777777" w:rsidR="00FB35D8" w:rsidRPr="00573E92" w:rsidRDefault="00FB35D8">
      <w:pPr>
        <w:rPr>
          <w:noProof/>
        </w:rPr>
      </w:pPr>
      <w:r w:rsidRPr="00573E92">
        <w:rPr>
          <w:noProof/>
        </w:rPr>
        <w:separator/>
      </w:r>
    </w:p>
  </w:endnote>
  <w:endnote w:type="continuationSeparator" w:id="0">
    <w:p w14:paraId="536D3719" w14:textId="77777777" w:rsidR="00FB35D8" w:rsidRPr="00573E92" w:rsidRDefault="00FB35D8">
      <w:pPr>
        <w:rPr>
          <w:noProof/>
        </w:rPr>
      </w:pPr>
      <w:r w:rsidRPr="00573E9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3DCB" w14:textId="77777777" w:rsidR="00683A80" w:rsidRPr="00683A80" w:rsidRDefault="00683A80" w:rsidP="00683A80">
    <w:pPr>
      <w:pStyle w:val="Header"/>
      <w:tabs>
        <w:tab w:val="left" w:pos="9072"/>
      </w:tabs>
      <w:rPr>
        <w:rStyle w:val="PageNumber"/>
        <w:rFonts w:ascii="Times New Roman" w:hAnsi="Times New Roman" w:cs="Times New Roman"/>
        <w:sz w:val="20"/>
        <w:szCs w:val="18"/>
      </w:rPr>
    </w:pPr>
  </w:p>
  <w:p w14:paraId="27CA4FF1" w14:textId="69C5E6DD" w:rsidR="00683A80" w:rsidRPr="00683A80" w:rsidRDefault="00683A80" w:rsidP="00683A80">
    <w:pPr>
      <w:pStyle w:val="Header"/>
      <w:tabs>
        <w:tab w:val="clear" w:pos="4513"/>
        <w:tab w:val="clear" w:pos="9026"/>
        <w:tab w:val="right" w:leader="underscore" w:pos="9072"/>
      </w:tabs>
      <w:rPr>
        <w:rStyle w:val="PageNumber"/>
        <w:rFonts w:ascii="Times New Roman" w:hAnsi="Times New Roman" w:cs="Times New Roman"/>
        <w:sz w:val="20"/>
        <w:szCs w:val="18"/>
      </w:rPr>
    </w:pPr>
    <w:r w:rsidRPr="00683A80">
      <w:rPr>
        <w:rStyle w:val="PageNumber"/>
        <w:rFonts w:ascii="Times New Roman" w:hAnsi="Times New Roman" w:cs="Times New Roman"/>
        <w:sz w:val="20"/>
        <w:szCs w:val="18"/>
      </w:rPr>
      <w:tab/>
    </w:r>
  </w:p>
  <w:p w14:paraId="17699710" w14:textId="77777777" w:rsidR="00683A80" w:rsidRPr="00683A80" w:rsidRDefault="00683A80" w:rsidP="00683A80">
    <w:pPr>
      <w:pStyle w:val="Header"/>
      <w:tabs>
        <w:tab w:val="right" w:pos="9072"/>
      </w:tabs>
      <w:rPr>
        <w:rStyle w:val="PageNumber"/>
        <w:rFonts w:ascii="Times New Roman" w:hAnsi="Times New Roman" w:cs="Times New Roman"/>
        <w:sz w:val="20"/>
        <w:szCs w:val="18"/>
      </w:rPr>
    </w:pPr>
  </w:p>
  <w:p w14:paraId="48D4F15E" w14:textId="77777777" w:rsidR="00683A80" w:rsidRPr="00683A80" w:rsidRDefault="00683A80" w:rsidP="00683A80">
    <w:pPr>
      <w:pStyle w:val="Footer"/>
      <w:tabs>
        <w:tab w:val="clear" w:pos="4513"/>
        <w:tab w:val="clear" w:pos="9026"/>
        <w:tab w:val="center" w:pos="9072"/>
      </w:tabs>
      <w:rPr>
        <w:rFonts w:ascii="Times New Roman" w:hAnsi="Times New Roman" w:cs="Times New Roman"/>
        <w:sz w:val="20"/>
        <w:szCs w:val="18"/>
      </w:rPr>
    </w:pPr>
    <w:r w:rsidRPr="00683A80">
      <w:rPr>
        <w:rFonts w:ascii="Times New Roman" w:hAnsi="Times New Roman" w:cs="Times New Roman"/>
        <w:noProof/>
        <w:sz w:val="20"/>
        <w:szCs w:val="18"/>
      </w:rPr>
      <w:t xml:space="preserve">Tulkojums </w:t>
    </w:r>
    <w:r w:rsidRPr="00683A80">
      <w:rPr>
        <w:rFonts w:ascii="Times New Roman" w:hAnsi="Times New Roman" w:cs="Times New Roman"/>
        <w:noProof/>
        <w:sz w:val="20"/>
        <w:szCs w:val="18"/>
      </w:rPr>
      <w:fldChar w:fldCharType="begin"/>
    </w:r>
    <w:r w:rsidRPr="00683A80">
      <w:rPr>
        <w:rFonts w:ascii="Times New Roman" w:hAnsi="Times New Roman" w:cs="Times New Roman"/>
        <w:noProof/>
        <w:sz w:val="20"/>
        <w:szCs w:val="18"/>
      </w:rPr>
      <w:instrText>symbol 211 \f "Symbol" \s 9</w:instrText>
    </w:r>
    <w:r w:rsidRPr="00683A80">
      <w:rPr>
        <w:rFonts w:ascii="Times New Roman" w:hAnsi="Times New Roman" w:cs="Times New Roman"/>
        <w:noProof/>
        <w:sz w:val="20"/>
        <w:szCs w:val="18"/>
      </w:rPr>
      <w:fldChar w:fldCharType="separate"/>
    </w:r>
    <w:r w:rsidRPr="00683A80">
      <w:rPr>
        <w:rFonts w:ascii="Times New Roman" w:hAnsi="Times New Roman" w:cs="Times New Roman"/>
        <w:noProof/>
        <w:sz w:val="20"/>
        <w:szCs w:val="18"/>
      </w:rPr>
      <w:t>Ó</w:t>
    </w:r>
    <w:r w:rsidRPr="00683A80">
      <w:rPr>
        <w:rFonts w:ascii="Times New Roman" w:hAnsi="Times New Roman" w:cs="Times New Roman"/>
        <w:noProof/>
        <w:sz w:val="20"/>
        <w:szCs w:val="18"/>
      </w:rPr>
      <w:fldChar w:fldCharType="end"/>
    </w:r>
    <w:r w:rsidRPr="00683A80">
      <w:rPr>
        <w:rFonts w:ascii="Times New Roman" w:hAnsi="Times New Roman" w:cs="Times New Roman"/>
        <w:noProof/>
        <w:sz w:val="20"/>
        <w:szCs w:val="18"/>
      </w:rPr>
      <w:t xml:space="preserve"> Valsts valodas centrs, 2020</w:t>
    </w:r>
    <w:r w:rsidRPr="00683A80">
      <w:rPr>
        <w:rFonts w:ascii="Times New Roman" w:hAnsi="Times New Roman" w:cs="Times New Roman"/>
        <w:sz w:val="20"/>
        <w:szCs w:val="18"/>
      </w:rPr>
      <w:tab/>
    </w:r>
    <w:r w:rsidRPr="00683A80">
      <w:rPr>
        <w:rStyle w:val="PageNumber"/>
        <w:rFonts w:ascii="Times New Roman" w:hAnsi="Times New Roman" w:cs="Times New Roman"/>
        <w:sz w:val="20"/>
        <w:szCs w:val="18"/>
      </w:rPr>
      <w:fldChar w:fldCharType="begin"/>
    </w:r>
    <w:r w:rsidRPr="00683A80">
      <w:rPr>
        <w:rStyle w:val="PageNumber"/>
        <w:rFonts w:ascii="Times New Roman" w:hAnsi="Times New Roman" w:cs="Times New Roman"/>
        <w:sz w:val="20"/>
        <w:szCs w:val="18"/>
      </w:rPr>
      <w:instrText xml:space="preserve">page </w:instrText>
    </w:r>
    <w:r w:rsidRPr="00683A80">
      <w:rPr>
        <w:rStyle w:val="PageNumber"/>
        <w:rFonts w:ascii="Times New Roman" w:hAnsi="Times New Roman" w:cs="Times New Roman"/>
        <w:sz w:val="20"/>
        <w:szCs w:val="18"/>
      </w:rPr>
      <w:fldChar w:fldCharType="separate"/>
    </w:r>
    <w:r w:rsidRPr="00683A80">
      <w:rPr>
        <w:rStyle w:val="PageNumber"/>
        <w:rFonts w:ascii="Times New Roman" w:hAnsi="Times New Roman" w:cs="Times New Roman"/>
        <w:sz w:val="20"/>
        <w:szCs w:val="18"/>
      </w:rPr>
      <w:t>2</w:t>
    </w:r>
    <w:r w:rsidRPr="00683A8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8050" w14:textId="77777777" w:rsidR="00683A80" w:rsidRPr="00683A80" w:rsidRDefault="00683A80" w:rsidP="00683A80">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2F715E65" w14:textId="5A524581" w:rsidR="00683A80" w:rsidRPr="00683A80" w:rsidRDefault="00683A80" w:rsidP="00683A80">
    <w:pPr>
      <w:pStyle w:val="Header"/>
      <w:tabs>
        <w:tab w:val="clear" w:pos="4513"/>
        <w:tab w:val="clear" w:pos="9026"/>
        <w:tab w:val="left" w:leader="underscore" w:pos="9072"/>
      </w:tabs>
      <w:rPr>
        <w:rStyle w:val="PageNumber"/>
        <w:rFonts w:ascii="Times New Roman" w:hAnsi="Times New Roman" w:cs="Times New Roman"/>
        <w:sz w:val="20"/>
        <w:szCs w:val="18"/>
      </w:rPr>
    </w:pPr>
    <w:r w:rsidRPr="00683A80">
      <w:rPr>
        <w:rStyle w:val="PageNumber"/>
        <w:rFonts w:ascii="Times New Roman" w:hAnsi="Times New Roman" w:cs="Times New Roman"/>
        <w:sz w:val="20"/>
        <w:szCs w:val="18"/>
      </w:rPr>
      <w:tab/>
    </w:r>
  </w:p>
  <w:p w14:paraId="2B3F20A9" w14:textId="77777777" w:rsidR="00683A80" w:rsidRPr="00683A80" w:rsidRDefault="00683A80" w:rsidP="00683A80">
    <w:pPr>
      <w:pStyle w:val="Header"/>
      <w:tabs>
        <w:tab w:val="left" w:pos="9072"/>
      </w:tabs>
      <w:rPr>
        <w:rStyle w:val="PageNumber"/>
        <w:rFonts w:ascii="Times New Roman" w:hAnsi="Times New Roman" w:cs="Times New Roman"/>
        <w:sz w:val="20"/>
        <w:szCs w:val="18"/>
      </w:rPr>
    </w:pPr>
  </w:p>
  <w:p w14:paraId="41AE7BFC" w14:textId="050F2F82" w:rsidR="00683A80" w:rsidRPr="00683A80" w:rsidRDefault="00683A80">
    <w:pPr>
      <w:pStyle w:val="Footer"/>
      <w:rPr>
        <w:rFonts w:ascii="Times New Roman" w:hAnsi="Times New Roman" w:cs="Times New Roman"/>
      </w:rPr>
    </w:pPr>
    <w:r w:rsidRPr="00683A80">
      <w:rPr>
        <w:rFonts w:ascii="Times New Roman" w:hAnsi="Times New Roman" w:cs="Times New Roman"/>
        <w:noProof/>
        <w:sz w:val="20"/>
        <w:szCs w:val="18"/>
      </w:rPr>
      <w:t xml:space="preserve">Tulkojums </w:t>
    </w:r>
    <w:r w:rsidRPr="00683A80">
      <w:rPr>
        <w:rFonts w:ascii="Times New Roman" w:hAnsi="Times New Roman" w:cs="Times New Roman"/>
        <w:noProof/>
        <w:sz w:val="20"/>
        <w:szCs w:val="18"/>
      </w:rPr>
      <w:fldChar w:fldCharType="begin"/>
    </w:r>
    <w:r w:rsidRPr="00683A80">
      <w:rPr>
        <w:rFonts w:ascii="Times New Roman" w:hAnsi="Times New Roman" w:cs="Times New Roman"/>
        <w:noProof/>
        <w:sz w:val="20"/>
        <w:szCs w:val="18"/>
      </w:rPr>
      <w:instrText>symbol 211 \f "Symbol" \s 9</w:instrText>
    </w:r>
    <w:r w:rsidRPr="00683A80">
      <w:rPr>
        <w:rFonts w:ascii="Times New Roman" w:hAnsi="Times New Roman" w:cs="Times New Roman"/>
        <w:noProof/>
        <w:sz w:val="20"/>
        <w:szCs w:val="18"/>
      </w:rPr>
      <w:fldChar w:fldCharType="separate"/>
    </w:r>
    <w:r w:rsidRPr="00683A80">
      <w:rPr>
        <w:rFonts w:ascii="Times New Roman" w:hAnsi="Times New Roman" w:cs="Times New Roman"/>
        <w:noProof/>
        <w:sz w:val="20"/>
        <w:szCs w:val="18"/>
      </w:rPr>
      <w:t>Ó</w:t>
    </w:r>
    <w:r w:rsidRPr="00683A80">
      <w:rPr>
        <w:rFonts w:ascii="Times New Roman" w:hAnsi="Times New Roman" w:cs="Times New Roman"/>
        <w:noProof/>
        <w:sz w:val="20"/>
        <w:szCs w:val="18"/>
      </w:rPr>
      <w:fldChar w:fldCharType="end"/>
    </w:r>
    <w:r w:rsidRPr="00683A80">
      <w:rPr>
        <w:rFonts w:ascii="Times New Roman" w:hAnsi="Times New Roman" w:cs="Times New Roman"/>
        <w:noProof/>
        <w:sz w:val="20"/>
        <w:szCs w:val="18"/>
      </w:rPr>
      <w:t xml:space="preserve"> Valsts valodas centrs, 20</w:t>
    </w:r>
    <w:bookmarkEnd w:id="14"/>
    <w:bookmarkEnd w:id="15"/>
    <w:bookmarkEnd w:id="16"/>
    <w:r w:rsidRPr="00683A80">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752C9" w14:textId="77777777" w:rsidR="00FB35D8" w:rsidRPr="00573E92" w:rsidRDefault="00FB35D8">
      <w:pPr>
        <w:rPr>
          <w:noProof/>
        </w:rPr>
      </w:pPr>
      <w:r w:rsidRPr="00573E92">
        <w:rPr>
          <w:noProof/>
        </w:rPr>
        <w:separator/>
      </w:r>
    </w:p>
  </w:footnote>
  <w:footnote w:type="continuationSeparator" w:id="0">
    <w:p w14:paraId="1984F90C" w14:textId="77777777" w:rsidR="00FB35D8" w:rsidRPr="00573E92" w:rsidRDefault="00FB35D8">
      <w:pPr>
        <w:rPr>
          <w:noProof/>
        </w:rPr>
      </w:pPr>
      <w:r w:rsidRPr="00573E92">
        <w:rPr>
          <w:noProof/>
        </w:rPr>
        <w:continuationSeparator/>
      </w:r>
    </w:p>
  </w:footnote>
  <w:footnote w:id="1">
    <w:p w14:paraId="1C1C0A02" w14:textId="77777777" w:rsidR="003430C9" w:rsidRPr="003430C9" w:rsidRDefault="003430C9" w:rsidP="003430C9">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val="single" w:color="000000"/>
        </w:rPr>
        <w:t>Laboratorija</w:t>
      </w:r>
      <w:r>
        <w:rPr>
          <w:rFonts w:ascii="Times New Roman" w:hAnsi="Times New Roman"/>
          <w:sz w:val="20"/>
        </w:rPr>
        <w:t xml:space="preserve"> izmēra </w:t>
      </w:r>
      <w:r>
        <w:rPr>
          <w:rFonts w:ascii="Times New Roman" w:hAnsi="Times New Roman"/>
          <w:i/>
          <w:iCs/>
          <w:sz w:val="20"/>
        </w:rPr>
        <w:t>SG</w:t>
      </w:r>
      <w:r>
        <w:rPr>
          <w:rFonts w:ascii="Times New Roman" w:hAnsi="Times New Roman"/>
          <w:i/>
          <w:sz w:val="20"/>
          <w:vertAlign w:val="subscript"/>
        </w:rPr>
        <w:t>Sample</w:t>
      </w:r>
      <w:r>
        <w:rPr>
          <w:rFonts w:ascii="Times New Roman" w:hAnsi="Times New Roman"/>
          <w:i/>
          <w:sz w:val="20"/>
        </w:rPr>
        <w:t xml:space="preserve"> </w:t>
      </w:r>
      <w:r>
        <w:rPr>
          <w:rFonts w:ascii="Times New Roman" w:hAnsi="Times New Roman"/>
          <w:sz w:val="20"/>
        </w:rPr>
        <w:t xml:space="preserve">atsevišķā </w:t>
      </w:r>
      <w:r>
        <w:rPr>
          <w:rFonts w:ascii="Times New Roman" w:hAnsi="Times New Roman"/>
          <w:sz w:val="20"/>
          <w:u w:val="single" w:color="000000"/>
        </w:rPr>
        <w:t>alikvotā</w:t>
      </w:r>
      <w:r>
        <w:rPr>
          <w:rFonts w:ascii="Times New Roman" w:hAnsi="Times New Roman"/>
          <w:sz w:val="20"/>
        </w:rPr>
        <w:t xml:space="preserve">, veicot </w:t>
      </w:r>
      <w:r>
        <w:rPr>
          <w:rFonts w:ascii="Times New Roman" w:hAnsi="Times New Roman"/>
          <w:sz w:val="20"/>
          <w:u w:val="single" w:color="000000"/>
        </w:rPr>
        <w:t>sākotnējās pārbaudes procedūras</w:t>
      </w:r>
      <w:r>
        <w:rPr>
          <w:rFonts w:ascii="Times New Roman" w:hAnsi="Times New Roman"/>
          <w:sz w:val="20"/>
        </w:rPr>
        <w:t xml:space="preserve"> un </w:t>
      </w:r>
      <w:r>
        <w:rPr>
          <w:rFonts w:ascii="Times New Roman" w:hAnsi="Times New Roman"/>
          <w:sz w:val="20"/>
          <w:u w:val="single" w:color="000000"/>
        </w:rPr>
        <w:t>apstiprināšanas procedūras</w:t>
      </w:r>
      <w:r>
        <w:rPr>
          <w:rFonts w:ascii="Times New Roman" w:hAnsi="Times New Roman"/>
          <w:sz w:val="20"/>
        </w:rPr>
        <w:t xml:space="preserve">, kas ir iekļautas </w:t>
      </w:r>
      <w:r>
        <w:rPr>
          <w:rFonts w:ascii="Times New Roman" w:hAnsi="Times New Roman"/>
          <w:sz w:val="20"/>
          <w:u w:val="single" w:color="000000"/>
        </w:rPr>
        <w:t>laboratorijas</w:t>
      </w:r>
      <w:r>
        <w:rPr>
          <w:rFonts w:ascii="Times New Roman" w:hAnsi="Times New Roman"/>
          <w:sz w:val="20"/>
        </w:rPr>
        <w:t xml:space="preserve"> ISO/IEC 17025 akreditācijas darbības jomā, šādi:</w:t>
      </w:r>
    </w:p>
    <w:p w14:paraId="7AB8BCF3" w14:textId="77777777" w:rsidR="003430C9" w:rsidRPr="003430C9" w:rsidRDefault="003430C9" w:rsidP="003430C9">
      <w:pPr>
        <w:numPr>
          <w:ilvl w:val="0"/>
          <w:numId w:val="13"/>
        </w:numPr>
        <w:ind w:left="709" w:hanging="425"/>
        <w:jc w:val="both"/>
        <w:rPr>
          <w:rFonts w:ascii="Times New Roman" w:eastAsia="Arial" w:hAnsi="Times New Roman" w:cs="Times New Roman"/>
          <w:noProof/>
          <w:sz w:val="20"/>
          <w:szCs w:val="20"/>
        </w:rPr>
      </w:pPr>
      <w:r>
        <w:rPr>
          <w:rFonts w:ascii="Times New Roman" w:hAnsi="Times New Roman"/>
          <w:sz w:val="20"/>
          <w:u w:val="single"/>
        </w:rPr>
        <w:t>sākotnējās pārbaudes procedūrās</w:t>
      </w:r>
      <w:r>
        <w:rPr>
          <w:rFonts w:ascii="Times New Roman" w:hAnsi="Times New Roman"/>
          <w:sz w:val="20"/>
        </w:rPr>
        <w:t xml:space="preserve"> – visos </w:t>
      </w:r>
      <w:r>
        <w:rPr>
          <w:rFonts w:ascii="Times New Roman" w:hAnsi="Times New Roman"/>
          <w:i/>
          <w:iCs/>
          <w:sz w:val="20"/>
        </w:rPr>
        <w:t>paraugos</w:t>
      </w:r>
      <w:r>
        <w:rPr>
          <w:rFonts w:ascii="Times New Roman" w:hAnsi="Times New Roman"/>
          <w:sz w:val="20"/>
        </w:rPr>
        <w:t>, izmantojot digitālo refraktometru vai densitometru;</w:t>
      </w:r>
    </w:p>
    <w:p w14:paraId="1C35A865" w14:textId="77777777" w:rsidR="003430C9" w:rsidRPr="003430C9" w:rsidRDefault="003430C9" w:rsidP="003430C9">
      <w:pPr>
        <w:numPr>
          <w:ilvl w:val="0"/>
          <w:numId w:val="13"/>
        </w:numPr>
        <w:ind w:left="709" w:hanging="425"/>
        <w:jc w:val="both"/>
        <w:rPr>
          <w:rFonts w:ascii="Times New Roman" w:eastAsia="Arial" w:hAnsi="Times New Roman" w:cs="Times New Roman"/>
          <w:noProof/>
          <w:sz w:val="20"/>
          <w:szCs w:val="20"/>
        </w:rPr>
      </w:pPr>
      <w:r>
        <w:rPr>
          <w:rFonts w:ascii="Times New Roman" w:hAnsi="Times New Roman"/>
          <w:sz w:val="20"/>
          <w:u w:val="single"/>
        </w:rPr>
        <w:t>apstiprināšanas procedūrās</w:t>
      </w:r>
      <w:r>
        <w:rPr>
          <w:rFonts w:ascii="Times New Roman" w:hAnsi="Times New Roman"/>
          <w:sz w:val="20"/>
        </w:rPr>
        <w:t xml:space="preserve"> – visiem “A” un “B” </w:t>
      </w:r>
      <w:r>
        <w:rPr>
          <w:rFonts w:ascii="Times New Roman" w:hAnsi="Times New Roman"/>
          <w:i/>
          <w:iCs/>
          <w:sz w:val="20"/>
        </w:rPr>
        <w:t>paraugiem</w:t>
      </w:r>
      <w:r>
        <w:rPr>
          <w:rFonts w:ascii="Times New Roman" w:hAnsi="Times New Roman"/>
          <w:sz w:val="20"/>
        </w:rPr>
        <w:t xml:space="preserve"> izmanto digitālo refraktometru. Īpatnējā svara </w:t>
      </w:r>
      <w:r>
        <w:rPr>
          <w:rFonts w:ascii="Times New Roman" w:hAnsi="Times New Roman"/>
          <w:i/>
          <w:iCs/>
          <w:sz w:val="20"/>
          <w:u w:val="single" w:color="000000"/>
        </w:rPr>
        <w:t>DL</w:t>
      </w:r>
      <w:r>
        <w:rPr>
          <w:rFonts w:ascii="Times New Roman" w:hAnsi="Times New Roman"/>
          <w:sz w:val="20"/>
        </w:rPr>
        <w:t xml:space="preserve"> korekcija nav nepieciešama attiecībā uz:</w:t>
      </w:r>
    </w:p>
    <w:p w14:paraId="5189F6BE" w14:textId="77777777" w:rsidR="003430C9" w:rsidRPr="003430C9" w:rsidRDefault="003430C9" w:rsidP="003430C9">
      <w:pPr>
        <w:tabs>
          <w:tab w:val="left" w:pos="1173"/>
        </w:tabs>
        <w:jc w:val="both"/>
        <w:rPr>
          <w:rFonts w:ascii="Times New Roman" w:eastAsia="Arial" w:hAnsi="Times New Roman" w:cs="Times New Roman"/>
          <w:noProof/>
          <w:sz w:val="20"/>
          <w:szCs w:val="20"/>
        </w:rPr>
      </w:pPr>
    </w:p>
    <w:p w14:paraId="34CBBEE0" w14:textId="77777777" w:rsidR="003430C9" w:rsidRPr="003430C9" w:rsidRDefault="003430C9" w:rsidP="003430C9">
      <w:pPr>
        <w:tabs>
          <w:tab w:val="left" w:pos="1173"/>
        </w:tabs>
        <w:ind w:left="709"/>
        <w:jc w:val="both"/>
        <w:rPr>
          <w:rFonts w:ascii="Times New Roman" w:eastAsia="Arial" w:hAnsi="Times New Roman" w:cs="Times New Roman"/>
          <w:noProof/>
          <w:sz w:val="20"/>
          <w:szCs w:val="20"/>
        </w:rPr>
      </w:pPr>
      <w:r>
        <w:rPr>
          <w:rFonts w:ascii="Times New Roman" w:hAnsi="Times New Roman"/>
          <w:sz w:val="20"/>
        </w:rPr>
        <w:t xml:space="preserve">i) “A” un “B” </w:t>
      </w:r>
      <w:r>
        <w:rPr>
          <w:rFonts w:ascii="Times New Roman" w:hAnsi="Times New Roman"/>
          <w:i/>
          <w:sz w:val="20"/>
        </w:rPr>
        <w:t xml:space="preserve">paraugu </w:t>
      </w:r>
      <w:r>
        <w:rPr>
          <w:rFonts w:ascii="Times New Roman" w:hAnsi="Times New Roman"/>
          <w:sz w:val="20"/>
        </w:rPr>
        <w:t xml:space="preserve">apstiprinājumiem tām eksogēnajām </w:t>
      </w:r>
      <w:r>
        <w:rPr>
          <w:rFonts w:ascii="Times New Roman" w:hAnsi="Times New Roman"/>
          <w:sz w:val="20"/>
          <w:u w:val="single"/>
        </w:rPr>
        <w:t>sliekšņa vielām</w:t>
      </w:r>
      <w:r>
        <w:rPr>
          <w:rFonts w:ascii="Times New Roman" w:hAnsi="Times New Roman"/>
          <w:sz w:val="20"/>
        </w:rPr>
        <w:t>, kuras kvantitatīvi nenosaka, ja tās konstatē aizliegta diurētiska vai cita maskējoša līdzekļa klātbūtnē, un</w:t>
      </w:r>
    </w:p>
    <w:p w14:paraId="076667C7" w14:textId="77777777" w:rsidR="003430C9" w:rsidRPr="003430C9" w:rsidRDefault="003430C9" w:rsidP="003430C9">
      <w:pPr>
        <w:tabs>
          <w:tab w:val="left" w:pos="1129"/>
        </w:tabs>
        <w:ind w:left="709"/>
        <w:jc w:val="both"/>
        <w:rPr>
          <w:rFonts w:ascii="Times New Roman" w:eastAsia="Arial" w:hAnsi="Times New Roman" w:cs="Times New Roman"/>
          <w:noProof/>
          <w:sz w:val="20"/>
          <w:szCs w:val="20"/>
        </w:rPr>
      </w:pPr>
      <w:r>
        <w:rPr>
          <w:rFonts w:ascii="Times New Roman" w:hAnsi="Times New Roman"/>
          <w:sz w:val="20"/>
        </w:rPr>
        <w:t xml:space="preserve">ii) eksogēno </w:t>
      </w:r>
      <w:r>
        <w:rPr>
          <w:rFonts w:ascii="Times New Roman" w:hAnsi="Times New Roman"/>
          <w:sz w:val="20"/>
          <w:u w:val="single"/>
        </w:rPr>
        <w:t>sliekšņa vielu</w:t>
      </w:r>
      <w:r>
        <w:rPr>
          <w:rFonts w:ascii="Times New Roman" w:hAnsi="Times New Roman"/>
          <w:sz w:val="20"/>
        </w:rPr>
        <w:t xml:space="preserve"> “B” </w:t>
      </w:r>
      <w:r>
        <w:rPr>
          <w:rFonts w:ascii="Times New Roman" w:hAnsi="Times New Roman"/>
          <w:i/>
          <w:sz w:val="20"/>
        </w:rPr>
        <w:t>parauga</w:t>
      </w:r>
      <w:r>
        <w:rPr>
          <w:rFonts w:ascii="Times New Roman" w:hAnsi="Times New Roman"/>
          <w:sz w:val="20"/>
        </w:rPr>
        <w:t xml:space="preserve"> apstiprinājumiem, jo šādos gadījumos saskaņā ar </w:t>
      </w:r>
      <w:r>
        <w:rPr>
          <w:rFonts w:ascii="Times New Roman" w:hAnsi="Times New Roman"/>
          <w:sz w:val="20"/>
          <w:u w:val="single"/>
        </w:rPr>
        <w:t>Starptautisko laboratoriju standartu</w:t>
      </w:r>
      <w:r>
        <w:rPr>
          <w:rFonts w:ascii="Times New Roman" w:hAnsi="Times New Roman"/>
          <w:sz w:val="20"/>
        </w:rPr>
        <w:t xml:space="preserve"> (</w:t>
      </w:r>
      <w:r>
        <w:rPr>
          <w:rFonts w:ascii="Times New Roman" w:hAnsi="Times New Roman"/>
          <w:i/>
          <w:iCs/>
          <w:sz w:val="20"/>
        </w:rPr>
        <w:t>ISL</w:t>
      </w:r>
      <w:r>
        <w:rPr>
          <w:rFonts w:ascii="Times New Roman" w:hAnsi="Times New Roman"/>
          <w:sz w:val="20"/>
        </w:rPr>
        <w:t xml:space="preserve">) [2] “B” </w:t>
      </w:r>
      <w:r>
        <w:rPr>
          <w:rFonts w:ascii="Times New Roman" w:hAnsi="Times New Roman"/>
          <w:i/>
          <w:iCs/>
          <w:sz w:val="20"/>
        </w:rPr>
        <w:t>parauga</w:t>
      </w:r>
      <w:r>
        <w:rPr>
          <w:rFonts w:ascii="Times New Roman" w:hAnsi="Times New Roman"/>
          <w:sz w:val="20"/>
        </w:rPr>
        <w:t xml:space="preserve"> rezultāti tikai apstiprina “A” </w:t>
      </w:r>
      <w:r>
        <w:rPr>
          <w:rFonts w:ascii="Times New Roman" w:hAnsi="Times New Roman"/>
          <w:i/>
          <w:iCs/>
          <w:sz w:val="20"/>
        </w:rPr>
        <w:t>parauga</w:t>
      </w:r>
      <w:r>
        <w:rPr>
          <w:rFonts w:ascii="Times New Roman" w:hAnsi="Times New Roman"/>
          <w:sz w:val="20"/>
        </w:rPr>
        <w:t xml:space="preserve"> identifikāciju (saskaņā ar </w:t>
      </w:r>
      <w:r>
        <w:rPr>
          <w:rFonts w:ascii="Times New Roman" w:hAnsi="Times New Roman"/>
          <w:i/>
          <w:iCs/>
          <w:sz w:val="20"/>
        </w:rPr>
        <w:t>TD IDCR</w:t>
      </w:r>
      <w:r>
        <w:rPr>
          <w:rFonts w:ascii="Times New Roman" w:hAnsi="Times New Roman"/>
          <w:sz w:val="20"/>
        </w:rPr>
        <w:t xml:space="preserve"> [1] ), lai </w:t>
      </w:r>
      <w:r>
        <w:rPr>
          <w:rFonts w:ascii="Times New Roman" w:hAnsi="Times New Roman"/>
          <w:i/>
          <w:iCs/>
          <w:sz w:val="20"/>
        </w:rPr>
        <w:t>nelabvēlīgais analīžu rezultāts</w:t>
      </w:r>
      <w:r>
        <w:rPr>
          <w:rFonts w:ascii="Times New Roman" w:hAnsi="Times New Roman"/>
          <w:sz w:val="20"/>
        </w:rPr>
        <w:t xml:space="preserve"> būtu derīgs.</w:t>
      </w:r>
    </w:p>
    <w:p w14:paraId="7EA7ECF2" w14:textId="77777777" w:rsidR="003430C9" w:rsidRPr="003430C9" w:rsidRDefault="003430C9" w:rsidP="003430C9">
      <w:pPr>
        <w:jc w:val="both"/>
        <w:rPr>
          <w:rFonts w:ascii="Times New Roman" w:hAnsi="Times New Roman" w:cs="Times New Roman"/>
          <w:noProof/>
          <w:sz w:val="20"/>
          <w:szCs w:val="20"/>
        </w:rPr>
      </w:pPr>
    </w:p>
    <w:p w14:paraId="0B39EDD6" w14:textId="77777777" w:rsidR="003430C9" w:rsidRPr="003430C9" w:rsidRDefault="003430C9" w:rsidP="003430C9">
      <w:pPr>
        <w:jc w:val="both"/>
        <w:rPr>
          <w:rFonts w:ascii="Times New Roman" w:eastAsia="Arial" w:hAnsi="Times New Roman" w:cs="Times New Roman"/>
          <w:noProof/>
          <w:sz w:val="20"/>
          <w:szCs w:val="20"/>
        </w:rPr>
      </w:pPr>
      <w:r>
        <w:rPr>
          <w:rFonts w:ascii="Times New Roman" w:hAnsi="Times New Roman"/>
          <w:i/>
          <w:iCs/>
          <w:sz w:val="20"/>
        </w:rPr>
        <w:t>SG</w:t>
      </w:r>
      <w:r>
        <w:rPr>
          <w:rFonts w:ascii="Times New Roman" w:hAnsi="Times New Roman"/>
          <w:sz w:val="20"/>
        </w:rPr>
        <w:t xml:space="preserve"> vērtība (</w:t>
      </w:r>
      <w:r>
        <w:rPr>
          <w:rFonts w:ascii="Times New Roman" w:hAnsi="Times New Roman"/>
          <w:i/>
          <w:iCs/>
          <w:sz w:val="20"/>
        </w:rPr>
        <w:t>SG</w:t>
      </w:r>
      <w:r>
        <w:rPr>
          <w:rFonts w:ascii="Times New Roman" w:hAnsi="Times New Roman"/>
          <w:i/>
          <w:sz w:val="20"/>
          <w:vertAlign w:val="subscript"/>
        </w:rPr>
        <w:t>Sample</w:t>
      </w:r>
      <w:r>
        <w:rPr>
          <w:rFonts w:ascii="Times New Roman" w:hAnsi="Times New Roman"/>
          <w:sz w:val="20"/>
        </w:rPr>
        <w:t xml:space="preserve">), kas izmantojama vienādojumā (2), lai aprēķinātu </w:t>
      </w:r>
      <w:r>
        <w:rPr>
          <w:rFonts w:ascii="Times New Roman" w:hAnsi="Times New Roman"/>
          <w:i/>
          <w:iCs/>
          <w:sz w:val="20"/>
        </w:rPr>
        <w:t>SG</w:t>
      </w:r>
      <w:r>
        <w:rPr>
          <w:rFonts w:ascii="Times New Roman" w:hAnsi="Times New Roman"/>
          <w:i/>
          <w:sz w:val="20"/>
          <w:vertAlign w:val="subscript"/>
        </w:rPr>
        <w:t>Sample</w:t>
      </w:r>
      <w:r>
        <w:rPr>
          <w:rFonts w:ascii="Times New Roman" w:hAnsi="Times New Roman"/>
          <w:i/>
          <w:iCs/>
          <w:sz w:val="20"/>
          <w:vertAlign w:val="subscript"/>
        </w:rPr>
        <w:t>_Max</w:t>
      </w:r>
      <w:r>
        <w:rPr>
          <w:rFonts w:ascii="Times New Roman" w:hAnsi="Times New Roman"/>
          <w:sz w:val="20"/>
        </w:rPr>
        <w:t xml:space="preserve">, ir </w:t>
      </w:r>
      <w:r>
        <w:rPr>
          <w:rFonts w:ascii="Times New Roman" w:hAnsi="Times New Roman"/>
          <w:sz w:val="20"/>
          <w:u w:val="single"/>
        </w:rPr>
        <w:t>laboratorijā</w:t>
      </w:r>
      <w:r>
        <w:rPr>
          <w:rFonts w:ascii="Times New Roman" w:hAnsi="Times New Roman"/>
          <w:sz w:val="20"/>
        </w:rPr>
        <w:t xml:space="preserve"> izmērītā vērtība.</w:t>
      </w:r>
    </w:p>
    <w:p w14:paraId="4865F033" w14:textId="77777777" w:rsidR="003430C9" w:rsidRPr="003430C9" w:rsidRDefault="003430C9" w:rsidP="003430C9">
      <w:pPr>
        <w:jc w:val="both"/>
        <w:rPr>
          <w:rFonts w:ascii="Times New Roman" w:hAnsi="Times New Roman" w:cs="Times New Roman"/>
          <w:noProof/>
          <w:sz w:val="20"/>
          <w:szCs w:val="20"/>
        </w:rPr>
      </w:pPr>
    </w:p>
    <w:p w14:paraId="5A5D2677" w14:textId="3579835C" w:rsidR="003430C9" w:rsidRPr="003430C9" w:rsidRDefault="003430C9" w:rsidP="003430C9">
      <w:pPr>
        <w:jc w:val="both"/>
        <w:rPr>
          <w:rFonts w:ascii="Times New Roman" w:hAnsi="Times New Roman"/>
          <w:noProof/>
          <w:sz w:val="24"/>
        </w:rPr>
      </w:pPr>
      <w:r>
        <w:rPr>
          <w:rFonts w:ascii="Times New Roman" w:hAnsi="Times New Roman"/>
          <w:sz w:val="20"/>
        </w:rPr>
        <w:t xml:space="preserve">Ja </w:t>
      </w:r>
      <w:r>
        <w:rPr>
          <w:rFonts w:ascii="Times New Roman" w:hAnsi="Times New Roman"/>
          <w:i/>
          <w:iCs/>
          <w:sz w:val="20"/>
        </w:rPr>
        <w:t>SG</w:t>
      </w:r>
      <w:r>
        <w:rPr>
          <w:rFonts w:ascii="Times New Roman" w:hAnsi="Times New Roman"/>
          <w:i/>
          <w:sz w:val="20"/>
          <w:vertAlign w:val="subscript"/>
        </w:rPr>
        <w:t>Sample</w:t>
      </w:r>
      <w:r>
        <w:rPr>
          <w:rFonts w:ascii="Times New Roman" w:hAnsi="Times New Roman"/>
          <w:sz w:val="20"/>
        </w:rPr>
        <w:t xml:space="preserve">, kas izmērīts ar instrumentu, nolasa līdz četriem (4) vai vairāk cipariem aiz komata, </w:t>
      </w:r>
      <w:r>
        <w:rPr>
          <w:rFonts w:ascii="Times New Roman" w:hAnsi="Times New Roman"/>
          <w:i/>
          <w:iCs/>
          <w:sz w:val="20"/>
        </w:rPr>
        <w:t>SG</w:t>
      </w:r>
      <w:r>
        <w:rPr>
          <w:rFonts w:ascii="Times New Roman" w:hAnsi="Times New Roman"/>
          <w:i/>
          <w:iCs/>
          <w:sz w:val="20"/>
          <w:vertAlign w:val="subscript"/>
        </w:rPr>
        <w:t>Sample</w:t>
      </w:r>
      <w:r>
        <w:rPr>
          <w:rFonts w:ascii="Times New Roman" w:hAnsi="Times New Roman"/>
          <w:sz w:val="20"/>
        </w:rPr>
        <w:t xml:space="preserve"> ir vērtība, kas iegūta pēc instrumentālās vērtības noapaļošanas un izteikšanas ar skaitli līdz trim (3) cipariem aiz komata (piemēram, 1,0223 jāizsaka kā 1,022 un 1,0227 – kā 1,023. Ja izmērītā vērtība beidzas ar ciparu 5, tā jāizsaka kā tuvākais lielākais skaitlis ar trim cipariem aiz komata, piemēram, 1,0225 jāizsaka kā 1,023).</w:t>
      </w:r>
    </w:p>
  </w:footnote>
  <w:footnote w:id="2">
    <w:p w14:paraId="4D3C083D" w14:textId="7E07DBD5" w:rsidR="003430C9" w:rsidRPr="003430C9" w:rsidRDefault="003430C9" w:rsidP="003430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SG</w:t>
      </w:r>
      <w:r>
        <w:rPr>
          <w:rFonts w:ascii="Times New Roman" w:hAnsi="Times New Roman"/>
          <w:i/>
          <w:vertAlign w:val="subscript"/>
        </w:rPr>
        <w:t>Sample</w:t>
      </w:r>
      <w:r>
        <w:rPr>
          <w:rFonts w:ascii="Times New Roman" w:hAnsi="Times New Roman"/>
          <w:i/>
        </w:rPr>
        <w:t xml:space="preserve"> </w:t>
      </w:r>
      <w:r>
        <w:rPr>
          <w:rFonts w:ascii="Times New Roman" w:hAnsi="Times New Roman"/>
        </w:rPr>
        <w:t xml:space="preserve">korekcijas robežvērtība attiecībā uz </w:t>
      </w:r>
      <w:r>
        <w:rPr>
          <w:rFonts w:ascii="Times New Roman" w:hAnsi="Times New Roman"/>
          <w:i/>
          <w:iCs/>
          <w:u w:val="single"/>
        </w:rPr>
        <w:t>DL</w:t>
      </w:r>
      <w:r>
        <w:rPr>
          <w:rFonts w:ascii="Times New Roman" w:hAnsi="Times New Roman"/>
        </w:rPr>
        <w:t xml:space="preserve"> ir noteikta kā 1,018, lai ņemtu vērā 95 % aptvēruma intervāla apakšējo robežu, pamatojoties uz divpusēju normālo sadalījumu, ar </w:t>
      </w:r>
      <w:r>
        <w:rPr>
          <w:rFonts w:ascii="Times New Roman" w:hAnsi="Times New Roman"/>
          <w:i/>
          <w:iCs/>
        </w:rPr>
        <w:t>SG</w:t>
      </w:r>
      <w:r>
        <w:rPr>
          <w:rFonts w:ascii="Times New Roman" w:hAnsi="Times New Roman"/>
        </w:rPr>
        <w:t xml:space="preserve"> atsauces vērtību 1,020 normāli hidratētām personām (aprēķināta kā 1,020 – </w:t>
      </w:r>
      <w:r>
        <w:rPr>
          <w:rFonts w:ascii="Times New Roman" w:hAnsi="Times New Roman"/>
          <w:i/>
        </w:rPr>
        <w:t>U</w:t>
      </w:r>
      <w:r>
        <w:rPr>
          <w:rFonts w:ascii="Times New Roman" w:hAnsi="Times New Roman"/>
          <w:i/>
          <w:iCs/>
          <w:vertAlign w:val="subscript"/>
        </w:rPr>
        <w:t>Max_SG</w:t>
      </w:r>
      <w:r>
        <w:rPr>
          <w:rFonts w:ascii="Times New Roman" w:hAnsi="Times New Roman"/>
        </w:rPr>
        <w:t>).</w:t>
      </w:r>
    </w:p>
  </w:footnote>
  <w:footnote w:id="3">
    <w:p w14:paraId="22C0479C" w14:textId="29401B45" w:rsidR="003430C9" w:rsidRPr="003430C9" w:rsidRDefault="003430C9" w:rsidP="003430C9">
      <w:pPr>
        <w:pStyle w:val="FootnoteText"/>
        <w:jc w:val="both"/>
      </w:pPr>
      <w:r>
        <w:rPr>
          <w:rStyle w:val="FootnoteReference"/>
          <w:rFonts w:ascii="Times New Roman" w:hAnsi="Times New Roman" w:cs="Times New Roman"/>
        </w:rPr>
        <w:footnoteRef/>
      </w:r>
      <w:r>
        <w:rPr>
          <w:rFonts w:ascii="Times New Roman" w:hAnsi="Times New Roman"/>
        </w:rPr>
        <w:t xml:space="preserve"> Gadījumos, kad diurētiskais vai maskējošais līdzeklis tiek konstatēts </w:t>
      </w:r>
      <w:r>
        <w:rPr>
          <w:rFonts w:ascii="Times New Roman" w:hAnsi="Times New Roman"/>
          <w:i/>
          <w:iCs/>
        </w:rPr>
        <w:t>paraugā</w:t>
      </w:r>
      <w:r>
        <w:rPr>
          <w:rFonts w:ascii="Times New Roman" w:hAnsi="Times New Roman"/>
        </w:rPr>
        <w:t xml:space="preserve">, eksogēnas </w:t>
      </w:r>
      <w:r>
        <w:rPr>
          <w:rFonts w:ascii="Times New Roman" w:hAnsi="Times New Roman"/>
          <w:u w:val="single"/>
        </w:rPr>
        <w:t>sliekšņa vielas</w:t>
      </w:r>
      <w:r>
        <w:rPr>
          <w:rFonts w:ascii="Times New Roman" w:hAnsi="Times New Roman"/>
        </w:rPr>
        <w:t xml:space="preserve"> vienlaicīgu klātbūtni uzskata par </w:t>
      </w:r>
      <w:r>
        <w:rPr>
          <w:rFonts w:ascii="Times New Roman" w:hAnsi="Times New Roman"/>
          <w:i/>
          <w:iCs/>
        </w:rPr>
        <w:t>AAF</w:t>
      </w:r>
      <w:r>
        <w:rPr>
          <w:rFonts w:ascii="Times New Roman" w:hAnsi="Times New Roman"/>
        </w:rPr>
        <w:t xml:space="preserve"> (neatkarīgi no tā, vai diurētiskajam/maskējošajam līdzeklim ir apstiprināta </w:t>
      </w:r>
      <w:r>
        <w:rPr>
          <w:rFonts w:ascii="Times New Roman" w:hAnsi="Times New Roman"/>
          <w:i/>
          <w:iCs/>
        </w:rPr>
        <w:t>TUE</w:t>
      </w:r>
      <w:r>
        <w:rPr>
          <w:rFonts w:ascii="Times New Roman" w:hAnsi="Times New Roman"/>
        </w:rPr>
        <w:t xml:space="preserve"> vai nav), ja vien pašai eksogēnajai </w:t>
      </w:r>
      <w:r>
        <w:rPr>
          <w:rFonts w:ascii="Times New Roman" w:hAnsi="Times New Roman"/>
          <w:u w:val="single"/>
        </w:rPr>
        <w:t>sliekšņa vielai</w:t>
      </w:r>
      <w:r>
        <w:rPr>
          <w:rFonts w:ascii="Times New Roman" w:hAnsi="Times New Roman"/>
        </w:rPr>
        <w:t xml:space="preserve"> nav apstiprināta </w:t>
      </w:r>
      <w:r>
        <w:rPr>
          <w:rFonts w:ascii="Times New Roman" w:hAnsi="Times New Roman"/>
          <w:i/>
          <w:iCs/>
        </w:rPr>
        <w:t>TUE</w:t>
      </w:r>
      <w:r>
        <w:rPr>
          <w:rFonts w:ascii="Times New Roman" w:hAnsi="Times New Roman"/>
        </w:rPr>
        <w:t>.</w:t>
      </w:r>
    </w:p>
  </w:footnote>
  <w:footnote w:id="4">
    <w:p w14:paraId="47468032" w14:textId="0887FFCA" w:rsidR="00537490" w:rsidRPr="00537490" w:rsidRDefault="00537490" w:rsidP="00537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Izsakot līdz diviem (2) nozīmīgiem cipariem.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30D3" w14:textId="77777777" w:rsidR="00683A80" w:rsidRPr="00683A80" w:rsidRDefault="00683A80" w:rsidP="00683A80">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E18F5FB" w14:textId="177E9333" w:rsidR="00683A80" w:rsidRPr="00683A80" w:rsidRDefault="00683A80" w:rsidP="00683A80">
    <w:pPr>
      <w:pStyle w:val="Header"/>
      <w:tabs>
        <w:tab w:val="clear" w:pos="4513"/>
        <w:tab w:val="clear" w:pos="9026"/>
        <w:tab w:val="right" w:leader="underscore" w:pos="9072"/>
      </w:tabs>
      <w:rPr>
        <w:rStyle w:val="PageNumber"/>
        <w:rFonts w:ascii="Times New Roman" w:hAnsi="Times New Roman" w:cs="Times New Roman"/>
        <w:sz w:val="20"/>
        <w:szCs w:val="20"/>
      </w:rPr>
    </w:pPr>
    <w:r w:rsidRPr="00683A80">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EA1642B" w14:textId="77777777" w:rsidR="00683A80" w:rsidRPr="00683A80" w:rsidRDefault="00683A80" w:rsidP="00683A8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6649E" w14:textId="77777777" w:rsidR="00683A80" w:rsidRPr="00683A80" w:rsidRDefault="00683A80" w:rsidP="00683A80">
    <w:pPr>
      <w:pBdr>
        <w:bottom w:val="single" w:sz="12" w:space="5" w:color="auto"/>
      </w:pBdr>
      <w:jc w:val="both"/>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02EC967" w14:textId="77777777" w:rsidR="00683A80" w:rsidRPr="00683A80" w:rsidRDefault="00683A80" w:rsidP="00683A80">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6412"/>
    <w:multiLevelType w:val="hybridMultilevel"/>
    <w:tmpl w:val="A3C6951E"/>
    <w:lvl w:ilvl="0" w:tplc="3EBE66D6">
      <w:start w:val="1"/>
      <w:numFmt w:val="lowerLetter"/>
      <w:lvlText w:val="%1."/>
      <w:lvlJc w:val="left"/>
      <w:pPr>
        <w:ind w:left="130" w:hanging="361"/>
      </w:pPr>
      <w:rPr>
        <w:rFonts w:ascii="Arial" w:eastAsia="Arial" w:hAnsi="Arial" w:hint="default"/>
        <w:position w:val="1"/>
        <w:sz w:val="20"/>
        <w:szCs w:val="20"/>
      </w:rPr>
    </w:lvl>
    <w:lvl w:ilvl="1" w:tplc="81FAE8CC">
      <w:start w:val="1"/>
      <w:numFmt w:val="decimal"/>
      <w:lvlText w:val="(%2)"/>
      <w:lvlJc w:val="left"/>
      <w:pPr>
        <w:ind w:left="1037" w:hanging="547"/>
      </w:pPr>
      <w:rPr>
        <w:rFonts w:ascii="Cambria" w:eastAsia="Cambria" w:hAnsi="Cambria" w:hint="default"/>
        <w:w w:val="108"/>
        <w:position w:val="1"/>
        <w:sz w:val="22"/>
        <w:szCs w:val="22"/>
      </w:rPr>
    </w:lvl>
    <w:lvl w:ilvl="2" w:tplc="897E3E7C">
      <w:start w:val="1"/>
      <w:numFmt w:val="bullet"/>
      <w:lvlText w:val="·"/>
      <w:lvlJc w:val="left"/>
      <w:pPr>
        <w:ind w:left="2103" w:hanging="104"/>
      </w:pPr>
      <w:rPr>
        <w:rFonts w:ascii="Cambria" w:eastAsia="Cambria" w:hAnsi="Cambria" w:hint="default"/>
        <w:w w:val="87"/>
        <w:sz w:val="22"/>
        <w:szCs w:val="22"/>
      </w:rPr>
    </w:lvl>
    <w:lvl w:ilvl="3" w:tplc="A2EEEF4E">
      <w:start w:val="1"/>
      <w:numFmt w:val="bullet"/>
      <w:lvlText w:val="•"/>
      <w:lvlJc w:val="left"/>
      <w:pPr>
        <w:ind w:left="1835" w:hanging="104"/>
      </w:pPr>
      <w:rPr>
        <w:rFonts w:hint="default"/>
      </w:rPr>
    </w:lvl>
    <w:lvl w:ilvl="4" w:tplc="460217AA">
      <w:start w:val="1"/>
      <w:numFmt w:val="bullet"/>
      <w:lvlText w:val="•"/>
      <w:lvlJc w:val="left"/>
      <w:pPr>
        <w:ind w:left="1567" w:hanging="104"/>
      </w:pPr>
      <w:rPr>
        <w:rFonts w:hint="default"/>
      </w:rPr>
    </w:lvl>
    <w:lvl w:ilvl="5" w:tplc="46BCEAB8">
      <w:start w:val="1"/>
      <w:numFmt w:val="bullet"/>
      <w:lvlText w:val="•"/>
      <w:lvlJc w:val="left"/>
      <w:pPr>
        <w:ind w:left="1299" w:hanging="104"/>
      </w:pPr>
      <w:rPr>
        <w:rFonts w:hint="default"/>
      </w:rPr>
    </w:lvl>
    <w:lvl w:ilvl="6" w:tplc="470AB5E6">
      <w:start w:val="1"/>
      <w:numFmt w:val="bullet"/>
      <w:lvlText w:val="•"/>
      <w:lvlJc w:val="left"/>
      <w:pPr>
        <w:ind w:left="1031" w:hanging="104"/>
      </w:pPr>
      <w:rPr>
        <w:rFonts w:hint="default"/>
      </w:rPr>
    </w:lvl>
    <w:lvl w:ilvl="7" w:tplc="C1AEA74A">
      <w:start w:val="1"/>
      <w:numFmt w:val="bullet"/>
      <w:lvlText w:val="•"/>
      <w:lvlJc w:val="left"/>
      <w:pPr>
        <w:ind w:left="763" w:hanging="104"/>
      </w:pPr>
      <w:rPr>
        <w:rFonts w:hint="default"/>
      </w:rPr>
    </w:lvl>
    <w:lvl w:ilvl="8" w:tplc="4E3495EA">
      <w:start w:val="1"/>
      <w:numFmt w:val="bullet"/>
      <w:lvlText w:val="•"/>
      <w:lvlJc w:val="left"/>
      <w:pPr>
        <w:ind w:left="495" w:hanging="104"/>
      </w:pPr>
      <w:rPr>
        <w:rFonts w:hint="default"/>
      </w:rPr>
    </w:lvl>
  </w:abstractNum>
  <w:abstractNum w:abstractNumId="1" w15:restartNumberingAfterBreak="0">
    <w:nsid w:val="1168781C"/>
    <w:multiLevelType w:val="hybridMultilevel"/>
    <w:tmpl w:val="22BE4ACC"/>
    <w:lvl w:ilvl="0" w:tplc="D5524E50">
      <w:start w:val="1"/>
      <w:numFmt w:val="decimal"/>
      <w:lvlText w:val="%1."/>
      <w:lvlJc w:val="left"/>
      <w:pPr>
        <w:ind w:left="130" w:hanging="270"/>
      </w:pPr>
      <w:rPr>
        <w:rFonts w:ascii="Arial" w:eastAsia="Arial" w:hAnsi="Arial" w:hint="default"/>
        <w:w w:val="99"/>
        <w:sz w:val="24"/>
        <w:szCs w:val="24"/>
      </w:rPr>
    </w:lvl>
    <w:lvl w:ilvl="1" w:tplc="E7D6A184">
      <w:start w:val="1"/>
      <w:numFmt w:val="bullet"/>
      <w:lvlText w:val="•"/>
      <w:lvlJc w:val="left"/>
      <w:pPr>
        <w:ind w:left="1135" w:hanging="270"/>
      </w:pPr>
      <w:rPr>
        <w:rFonts w:hint="default"/>
      </w:rPr>
    </w:lvl>
    <w:lvl w:ilvl="2" w:tplc="E5720450">
      <w:start w:val="1"/>
      <w:numFmt w:val="bullet"/>
      <w:lvlText w:val="•"/>
      <w:lvlJc w:val="left"/>
      <w:pPr>
        <w:ind w:left="2140" w:hanging="270"/>
      </w:pPr>
      <w:rPr>
        <w:rFonts w:hint="default"/>
      </w:rPr>
    </w:lvl>
    <w:lvl w:ilvl="3" w:tplc="C9F8E7FA">
      <w:start w:val="1"/>
      <w:numFmt w:val="bullet"/>
      <w:lvlText w:val="•"/>
      <w:lvlJc w:val="left"/>
      <w:pPr>
        <w:ind w:left="3145" w:hanging="270"/>
      </w:pPr>
      <w:rPr>
        <w:rFonts w:hint="default"/>
      </w:rPr>
    </w:lvl>
    <w:lvl w:ilvl="4" w:tplc="00622452">
      <w:start w:val="1"/>
      <w:numFmt w:val="bullet"/>
      <w:lvlText w:val="•"/>
      <w:lvlJc w:val="left"/>
      <w:pPr>
        <w:ind w:left="4150" w:hanging="270"/>
      </w:pPr>
      <w:rPr>
        <w:rFonts w:hint="default"/>
      </w:rPr>
    </w:lvl>
    <w:lvl w:ilvl="5" w:tplc="AA96AC1C">
      <w:start w:val="1"/>
      <w:numFmt w:val="bullet"/>
      <w:lvlText w:val="•"/>
      <w:lvlJc w:val="left"/>
      <w:pPr>
        <w:ind w:left="5155" w:hanging="270"/>
      </w:pPr>
      <w:rPr>
        <w:rFonts w:hint="default"/>
      </w:rPr>
    </w:lvl>
    <w:lvl w:ilvl="6" w:tplc="56184AAA">
      <w:start w:val="1"/>
      <w:numFmt w:val="bullet"/>
      <w:lvlText w:val="•"/>
      <w:lvlJc w:val="left"/>
      <w:pPr>
        <w:ind w:left="6160" w:hanging="270"/>
      </w:pPr>
      <w:rPr>
        <w:rFonts w:hint="default"/>
      </w:rPr>
    </w:lvl>
    <w:lvl w:ilvl="7" w:tplc="DA6AB438">
      <w:start w:val="1"/>
      <w:numFmt w:val="bullet"/>
      <w:lvlText w:val="•"/>
      <w:lvlJc w:val="left"/>
      <w:pPr>
        <w:ind w:left="7165" w:hanging="270"/>
      </w:pPr>
      <w:rPr>
        <w:rFonts w:hint="default"/>
      </w:rPr>
    </w:lvl>
    <w:lvl w:ilvl="8" w:tplc="6B44A870">
      <w:start w:val="1"/>
      <w:numFmt w:val="bullet"/>
      <w:lvlText w:val="•"/>
      <w:lvlJc w:val="left"/>
      <w:pPr>
        <w:ind w:left="8170" w:hanging="270"/>
      </w:pPr>
      <w:rPr>
        <w:rFonts w:hint="default"/>
      </w:rPr>
    </w:lvl>
  </w:abstractNum>
  <w:abstractNum w:abstractNumId="2" w15:restartNumberingAfterBreak="0">
    <w:nsid w:val="127A0B7E"/>
    <w:multiLevelType w:val="hybridMultilevel"/>
    <w:tmpl w:val="339C69A6"/>
    <w:lvl w:ilvl="0" w:tplc="7FD45DF4">
      <w:start w:val="1"/>
      <w:numFmt w:val="upperLetter"/>
      <w:lvlText w:val="%1."/>
      <w:lvlJc w:val="left"/>
      <w:pPr>
        <w:ind w:left="580" w:hanging="451"/>
      </w:pPr>
      <w:rPr>
        <w:rFonts w:ascii="Arial" w:eastAsia="Arial" w:hAnsi="Arial" w:hint="default"/>
        <w:w w:val="99"/>
        <w:sz w:val="22"/>
        <w:szCs w:val="22"/>
      </w:rPr>
    </w:lvl>
    <w:lvl w:ilvl="1" w:tplc="C25AB266">
      <w:start w:val="1"/>
      <w:numFmt w:val="bullet"/>
      <w:lvlText w:val="•"/>
      <w:lvlJc w:val="left"/>
      <w:pPr>
        <w:ind w:left="1540" w:hanging="451"/>
      </w:pPr>
      <w:rPr>
        <w:rFonts w:hint="default"/>
      </w:rPr>
    </w:lvl>
    <w:lvl w:ilvl="2" w:tplc="7E4A3F3C">
      <w:start w:val="1"/>
      <w:numFmt w:val="bullet"/>
      <w:lvlText w:val="•"/>
      <w:lvlJc w:val="left"/>
      <w:pPr>
        <w:ind w:left="2500" w:hanging="451"/>
      </w:pPr>
      <w:rPr>
        <w:rFonts w:hint="default"/>
      </w:rPr>
    </w:lvl>
    <w:lvl w:ilvl="3" w:tplc="4C527BAC">
      <w:start w:val="1"/>
      <w:numFmt w:val="bullet"/>
      <w:lvlText w:val="•"/>
      <w:lvlJc w:val="left"/>
      <w:pPr>
        <w:ind w:left="3460" w:hanging="451"/>
      </w:pPr>
      <w:rPr>
        <w:rFonts w:hint="default"/>
      </w:rPr>
    </w:lvl>
    <w:lvl w:ilvl="4" w:tplc="0024CBC0">
      <w:start w:val="1"/>
      <w:numFmt w:val="bullet"/>
      <w:lvlText w:val="•"/>
      <w:lvlJc w:val="left"/>
      <w:pPr>
        <w:ind w:left="4420" w:hanging="451"/>
      </w:pPr>
      <w:rPr>
        <w:rFonts w:hint="default"/>
      </w:rPr>
    </w:lvl>
    <w:lvl w:ilvl="5" w:tplc="F9FA72D8">
      <w:start w:val="1"/>
      <w:numFmt w:val="bullet"/>
      <w:lvlText w:val="•"/>
      <w:lvlJc w:val="left"/>
      <w:pPr>
        <w:ind w:left="5380" w:hanging="451"/>
      </w:pPr>
      <w:rPr>
        <w:rFonts w:hint="default"/>
      </w:rPr>
    </w:lvl>
    <w:lvl w:ilvl="6" w:tplc="6292F48C">
      <w:start w:val="1"/>
      <w:numFmt w:val="bullet"/>
      <w:lvlText w:val="•"/>
      <w:lvlJc w:val="left"/>
      <w:pPr>
        <w:ind w:left="6340" w:hanging="451"/>
      </w:pPr>
      <w:rPr>
        <w:rFonts w:hint="default"/>
      </w:rPr>
    </w:lvl>
    <w:lvl w:ilvl="7" w:tplc="6360C192">
      <w:start w:val="1"/>
      <w:numFmt w:val="bullet"/>
      <w:lvlText w:val="•"/>
      <w:lvlJc w:val="left"/>
      <w:pPr>
        <w:ind w:left="7300" w:hanging="451"/>
      </w:pPr>
      <w:rPr>
        <w:rFonts w:hint="default"/>
      </w:rPr>
    </w:lvl>
    <w:lvl w:ilvl="8" w:tplc="AD424152">
      <w:start w:val="1"/>
      <w:numFmt w:val="bullet"/>
      <w:lvlText w:val="•"/>
      <w:lvlJc w:val="left"/>
      <w:pPr>
        <w:ind w:left="8260" w:hanging="451"/>
      </w:pPr>
      <w:rPr>
        <w:rFonts w:hint="default"/>
      </w:rPr>
    </w:lvl>
  </w:abstractNum>
  <w:abstractNum w:abstractNumId="3" w15:restartNumberingAfterBreak="0">
    <w:nsid w:val="17926F4C"/>
    <w:multiLevelType w:val="hybridMultilevel"/>
    <w:tmpl w:val="F41EBCE6"/>
    <w:lvl w:ilvl="0" w:tplc="595CAD5C">
      <w:start w:val="3"/>
      <w:numFmt w:val="decimal"/>
      <w:lvlText w:val="%1"/>
      <w:lvlJc w:val="left"/>
      <w:pPr>
        <w:ind w:left="670" w:hanging="541"/>
      </w:pPr>
      <w:rPr>
        <w:rFonts w:hint="default"/>
      </w:rPr>
    </w:lvl>
    <w:lvl w:ilvl="1" w:tplc="58C604FE">
      <w:start w:val="1"/>
      <w:numFmt w:val="decimal"/>
      <w:lvlText w:val="%1.%2"/>
      <w:lvlJc w:val="left"/>
      <w:pPr>
        <w:ind w:left="670" w:hanging="541"/>
      </w:pPr>
      <w:rPr>
        <w:rFonts w:ascii="Arial" w:eastAsia="Arial" w:hAnsi="Arial" w:hint="default"/>
        <w:b/>
        <w:bCs/>
        <w:w w:val="99"/>
        <w:sz w:val="24"/>
        <w:szCs w:val="24"/>
      </w:rPr>
    </w:lvl>
    <w:lvl w:ilvl="2" w:tplc="03D0A5BC">
      <w:start w:val="6"/>
      <w:numFmt w:val="decimal"/>
      <w:lvlText w:val="(%3)"/>
      <w:lvlJc w:val="left"/>
      <w:pPr>
        <w:ind w:left="971" w:hanging="392"/>
      </w:pPr>
      <w:rPr>
        <w:rFonts w:ascii="Arial" w:eastAsia="Arial" w:hAnsi="Arial" w:hint="default"/>
        <w:w w:val="99"/>
        <w:sz w:val="22"/>
        <w:szCs w:val="22"/>
      </w:rPr>
    </w:lvl>
    <w:lvl w:ilvl="3" w:tplc="B2C0EC18">
      <w:start w:val="1"/>
      <w:numFmt w:val="bullet"/>
      <w:lvlText w:val="•"/>
      <w:lvlJc w:val="left"/>
      <w:pPr>
        <w:ind w:left="3017" w:hanging="392"/>
      </w:pPr>
      <w:rPr>
        <w:rFonts w:hint="default"/>
      </w:rPr>
    </w:lvl>
    <w:lvl w:ilvl="4" w:tplc="FA7064B2">
      <w:start w:val="1"/>
      <w:numFmt w:val="bullet"/>
      <w:lvlText w:val="•"/>
      <w:lvlJc w:val="left"/>
      <w:pPr>
        <w:ind w:left="4041" w:hanging="392"/>
      </w:pPr>
      <w:rPr>
        <w:rFonts w:hint="default"/>
      </w:rPr>
    </w:lvl>
    <w:lvl w:ilvl="5" w:tplc="792AA28E">
      <w:start w:val="1"/>
      <w:numFmt w:val="bullet"/>
      <w:lvlText w:val="•"/>
      <w:lvlJc w:val="left"/>
      <w:pPr>
        <w:ind w:left="5064" w:hanging="392"/>
      </w:pPr>
      <w:rPr>
        <w:rFonts w:hint="default"/>
      </w:rPr>
    </w:lvl>
    <w:lvl w:ilvl="6" w:tplc="9B8846DE">
      <w:start w:val="1"/>
      <w:numFmt w:val="bullet"/>
      <w:lvlText w:val="•"/>
      <w:lvlJc w:val="left"/>
      <w:pPr>
        <w:ind w:left="6087" w:hanging="392"/>
      </w:pPr>
      <w:rPr>
        <w:rFonts w:hint="default"/>
      </w:rPr>
    </w:lvl>
    <w:lvl w:ilvl="7" w:tplc="411C57A8">
      <w:start w:val="1"/>
      <w:numFmt w:val="bullet"/>
      <w:lvlText w:val="•"/>
      <w:lvlJc w:val="left"/>
      <w:pPr>
        <w:ind w:left="7110" w:hanging="392"/>
      </w:pPr>
      <w:rPr>
        <w:rFonts w:hint="default"/>
      </w:rPr>
    </w:lvl>
    <w:lvl w:ilvl="8" w:tplc="37DE8E2E">
      <w:start w:val="1"/>
      <w:numFmt w:val="bullet"/>
      <w:lvlText w:val="•"/>
      <w:lvlJc w:val="left"/>
      <w:pPr>
        <w:ind w:left="8133" w:hanging="392"/>
      </w:pPr>
      <w:rPr>
        <w:rFonts w:hint="default"/>
      </w:rPr>
    </w:lvl>
  </w:abstractNum>
  <w:abstractNum w:abstractNumId="4" w15:restartNumberingAfterBreak="0">
    <w:nsid w:val="1AE86454"/>
    <w:multiLevelType w:val="hybridMultilevel"/>
    <w:tmpl w:val="85F21E3E"/>
    <w:lvl w:ilvl="0" w:tplc="8A9E6750">
      <w:start w:val="1"/>
      <w:numFmt w:val="bullet"/>
      <w:lvlText w:val="·"/>
      <w:lvlJc w:val="left"/>
      <w:pPr>
        <w:ind w:left="134" w:hanging="135"/>
      </w:pPr>
      <w:rPr>
        <w:rFonts w:ascii="Arial" w:eastAsia="Arial" w:hAnsi="Arial" w:hint="default"/>
        <w:b/>
        <w:bCs/>
        <w:w w:val="99"/>
        <w:sz w:val="22"/>
        <w:szCs w:val="22"/>
      </w:rPr>
    </w:lvl>
    <w:lvl w:ilvl="1" w:tplc="E1724CA2">
      <w:start w:val="1"/>
      <w:numFmt w:val="bullet"/>
      <w:lvlText w:val="•"/>
      <w:lvlJc w:val="left"/>
      <w:pPr>
        <w:ind w:left="160" w:hanging="135"/>
      </w:pPr>
      <w:rPr>
        <w:rFonts w:hint="default"/>
      </w:rPr>
    </w:lvl>
    <w:lvl w:ilvl="2" w:tplc="4D6A366C">
      <w:start w:val="1"/>
      <w:numFmt w:val="bullet"/>
      <w:lvlText w:val="•"/>
      <w:lvlJc w:val="left"/>
      <w:pPr>
        <w:ind w:left="186" w:hanging="135"/>
      </w:pPr>
      <w:rPr>
        <w:rFonts w:hint="default"/>
      </w:rPr>
    </w:lvl>
    <w:lvl w:ilvl="3" w:tplc="14B0FD22">
      <w:start w:val="1"/>
      <w:numFmt w:val="bullet"/>
      <w:lvlText w:val="•"/>
      <w:lvlJc w:val="left"/>
      <w:pPr>
        <w:ind w:left="212" w:hanging="135"/>
      </w:pPr>
      <w:rPr>
        <w:rFonts w:hint="default"/>
      </w:rPr>
    </w:lvl>
    <w:lvl w:ilvl="4" w:tplc="B516B572">
      <w:start w:val="1"/>
      <w:numFmt w:val="bullet"/>
      <w:lvlText w:val="•"/>
      <w:lvlJc w:val="left"/>
      <w:pPr>
        <w:ind w:left="238" w:hanging="135"/>
      </w:pPr>
      <w:rPr>
        <w:rFonts w:hint="default"/>
      </w:rPr>
    </w:lvl>
    <w:lvl w:ilvl="5" w:tplc="7104FFBA">
      <w:start w:val="1"/>
      <w:numFmt w:val="bullet"/>
      <w:lvlText w:val="•"/>
      <w:lvlJc w:val="left"/>
      <w:pPr>
        <w:ind w:left="264" w:hanging="135"/>
      </w:pPr>
      <w:rPr>
        <w:rFonts w:hint="default"/>
      </w:rPr>
    </w:lvl>
    <w:lvl w:ilvl="6" w:tplc="3E603F84">
      <w:start w:val="1"/>
      <w:numFmt w:val="bullet"/>
      <w:lvlText w:val="•"/>
      <w:lvlJc w:val="left"/>
      <w:pPr>
        <w:ind w:left="290" w:hanging="135"/>
      </w:pPr>
      <w:rPr>
        <w:rFonts w:hint="default"/>
      </w:rPr>
    </w:lvl>
    <w:lvl w:ilvl="7" w:tplc="334A201E">
      <w:start w:val="1"/>
      <w:numFmt w:val="bullet"/>
      <w:lvlText w:val="•"/>
      <w:lvlJc w:val="left"/>
      <w:pPr>
        <w:ind w:left="316" w:hanging="135"/>
      </w:pPr>
      <w:rPr>
        <w:rFonts w:hint="default"/>
      </w:rPr>
    </w:lvl>
    <w:lvl w:ilvl="8" w:tplc="8A94EC22">
      <w:start w:val="1"/>
      <w:numFmt w:val="bullet"/>
      <w:lvlText w:val="•"/>
      <w:lvlJc w:val="left"/>
      <w:pPr>
        <w:ind w:left="343" w:hanging="135"/>
      </w:pPr>
      <w:rPr>
        <w:rFonts w:hint="default"/>
      </w:rPr>
    </w:lvl>
  </w:abstractNum>
  <w:abstractNum w:abstractNumId="5" w15:restartNumberingAfterBreak="0">
    <w:nsid w:val="2349695D"/>
    <w:multiLevelType w:val="hybridMultilevel"/>
    <w:tmpl w:val="BEF67830"/>
    <w:lvl w:ilvl="0" w:tplc="60C01BD2">
      <w:start w:val="4"/>
      <w:numFmt w:val="decimal"/>
      <w:lvlText w:val="%1"/>
      <w:lvlJc w:val="left"/>
      <w:pPr>
        <w:ind w:left="670" w:hanging="541"/>
      </w:pPr>
      <w:rPr>
        <w:rFonts w:hint="default"/>
      </w:rPr>
    </w:lvl>
    <w:lvl w:ilvl="1" w:tplc="86249CE6">
      <w:start w:val="1"/>
      <w:numFmt w:val="decimal"/>
      <w:lvlText w:val="%1.%2."/>
      <w:lvlJc w:val="left"/>
      <w:pPr>
        <w:ind w:left="670" w:hanging="541"/>
      </w:pPr>
      <w:rPr>
        <w:rFonts w:ascii="Arial" w:eastAsia="Arial" w:hAnsi="Arial" w:hint="default"/>
        <w:w w:val="99"/>
        <w:sz w:val="22"/>
        <w:szCs w:val="22"/>
      </w:rPr>
    </w:lvl>
    <w:lvl w:ilvl="2" w:tplc="9BFEF3B6">
      <w:start w:val="1"/>
      <w:numFmt w:val="bullet"/>
      <w:lvlText w:val="•"/>
      <w:lvlJc w:val="left"/>
      <w:pPr>
        <w:ind w:left="310" w:hanging="264"/>
      </w:pPr>
      <w:rPr>
        <w:rFonts w:ascii="Arial" w:eastAsia="Arial" w:hAnsi="Arial" w:hint="default"/>
        <w:w w:val="99"/>
        <w:sz w:val="22"/>
        <w:szCs w:val="22"/>
      </w:rPr>
    </w:lvl>
    <w:lvl w:ilvl="3" w:tplc="14E058C4">
      <w:start w:val="1"/>
      <w:numFmt w:val="bullet"/>
      <w:lvlText w:val="•"/>
      <w:lvlJc w:val="left"/>
      <w:pPr>
        <w:ind w:left="2783" w:hanging="264"/>
      </w:pPr>
      <w:rPr>
        <w:rFonts w:hint="default"/>
      </w:rPr>
    </w:lvl>
    <w:lvl w:ilvl="4" w:tplc="B54CDC78">
      <w:start w:val="1"/>
      <w:numFmt w:val="bullet"/>
      <w:lvlText w:val="•"/>
      <w:lvlJc w:val="left"/>
      <w:pPr>
        <w:ind w:left="3840" w:hanging="264"/>
      </w:pPr>
      <w:rPr>
        <w:rFonts w:hint="default"/>
      </w:rPr>
    </w:lvl>
    <w:lvl w:ilvl="5" w:tplc="79AACA46">
      <w:start w:val="1"/>
      <w:numFmt w:val="bullet"/>
      <w:lvlText w:val="•"/>
      <w:lvlJc w:val="left"/>
      <w:pPr>
        <w:ind w:left="4896" w:hanging="264"/>
      </w:pPr>
      <w:rPr>
        <w:rFonts w:hint="default"/>
      </w:rPr>
    </w:lvl>
    <w:lvl w:ilvl="6" w:tplc="60B43FD6">
      <w:start w:val="1"/>
      <w:numFmt w:val="bullet"/>
      <w:lvlText w:val="•"/>
      <w:lvlJc w:val="left"/>
      <w:pPr>
        <w:ind w:left="5953" w:hanging="264"/>
      </w:pPr>
      <w:rPr>
        <w:rFonts w:hint="default"/>
      </w:rPr>
    </w:lvl>
    <w:lvl w:ilvl="7" w:tplc="81041CF8">
      <w:start w:val="1"/>
      <w:numFmt w:val="bullet"/>
      <w:lvlText w:val="•"/>
      <w:lvlJc w:val="left"/>
      <w:pPr>
        <w:ind w:left="7010" w:hanging="264"/>
      </w:pPr>
      <w:rPr>
        <w:rFonts w:hint="default"/>
      </w:rPr>
    </w:lvl>
    <w:lvl w:ilvl="8" w:tplc="9DE4AC86">
      <w:start w:val="1"/>
      <w:numFmt w:val="bullet"/>
      <w:lvlText w:val="•"/>
      <w:lvlJc w:val="left"/>
      <w:pPr>
        <w:ind w:left="8066" w:hanging="264"/>
      </w:pPr>
      <w:rPr>
        <w:rFonts w:hint="default"/>
      </w:rPr>
    </w:lvl>
  </w:abstractNum>
  <w:abstractNum w:abstractNumId="6" w15:restartNumberingAfterBreak="0">
    <w:nsid w:val="29CF2107"/>
    <w:multiLevelType w:val="multilevel"/>
    <w:tmpl w:val="7ADE1EA6"/>
    <w:lvl w:ilvl="0">
      <w:start w:val="2"/>
      <w:numFmt w:val="decimal"/>
      <w:lvlText w:val="%1.0"/>
      <w:lvlJc w:val="left"/>
      <w:pPr>
        <w:ind w:left="360" w:hanging="360"/>
      </w:pPr>
      <w:rPr>
        <w:rFonts w:eastAsiaTheme="minorHAnsi" w:cstheme="minorBidi" w:hint="default"/>
        <w:b/>
      </w:rPr>
    </w:lvl>
    <w:lvl w:ilvl="1">
      <w:start w:val="1"/>
      <w:numFmt w:val="decimal"/>
      <w:lvlText w:val="%1.%2"/>
      <w:lvlJc w:val="left"/>
      <w:pPr>
        <w:ind w:left="1080" w:hanging="360"/>
      </w:pPr>
      <w:rPr>
        <w:rFonts w:eastAsiaTheme="minorHAnsi" w:cstheme="minorBidi" w:hint="default"/>
        <w:b/>
      </w:rPr>
    </w:lvl>
    <w:lvl w:ilvl="2">
      <w:start w:val="1"/>
      <w:numFmt w:val="decimal"/>
      <w:lvlText w:val="%1.%2.%3"/>
      <w:lvlJc w:val="left"/>
      <w:pPr>
        <w:ind w:left="2160" w:hanging="720"/>
      </w:pPr>
      <w:rPr>
        <w:rFonts w:eastAsiaTheme="minorHAnsi" w:cstheme="minorBidi" w:hint="default"/>
        <w:b/>
      </w:rPr>
    </w:lvl>
    <w:lvl w:ilvl="3">
      <w:start w:val="1"/>
      <w:numFmt w:val="decimal"/>
      <w:lvlText w:val="%1.%2.%3.%4"/>
      <w:lvlJc w:val="left"/>
      <w:pPr>
        <w:ind w:left="2880" w:hanging="720"/>
      </w:pPr>
      <w:rPr>
        <w:rFonts w:eastAsiaTheme="minorHAnsi" w:cstheme="minorBidi" w:hint="default"/>
        <w:b/>
      </w:rPr>
    </w:lvl>
    <w:lvl w:ilvl="4">
      <w:start w:val="1"/>
      <w:numFmt w:val="decimal"/>
      <w:lvlText w:val="%1.%2.%3.%4.%5"/>
      <w:lvlJc w:val="left"/>
      <w:pPr>
        <w:ind w:left="3960" w:hanging="1080"/>
      </w:pPr>
      <w:rPr>
        <w:rFonts w:eastAsiaTheme="minorHAnsi" w:cstheme="minorBidi" w:hint="default"/>
        <w:b/>
      </w:rPr>
    </w:lvl>
    <w:lvl w:ilvl="5">
      <w:start w:val="1"/>
      <w:numFmt w:val="decimal"/>
      <w:lvlText w:val="%1.%2.%3.%4.%5.%6"/>
      <w:lvlJc w:val="left"/>
      <w:pPr>
        <w:ind w:left="4680" w:hanging="1080"/>
      </w:pPr>
      <w:rPr>
        <w:rFonts w:eastAsiaTheme="minorHAnsi" w:cstheme="minorBidi" w:hint="default"/>
        <w:b/>
      </w:rPr>
    </w:lvl>
    <w:lvl w:ilvl="6">
      <w:start w:val="1"/>
      <w:numFmt w:val="decimal"/>
      <w:lvlText w:val="%1.%2.%3.%4.%5.%6.%7"/>
      <w:lvlJc w:val="left"/>
      <w:pPr>
        <w:ind w:left="5760" w:hanging="1440"/>
      </w:pPr>
      <w:rPr>
        <w:rFonts w:eastAsiaTheme="minorHAnsi" w:cstheme="minorBidi" w:hint="default"/>
        <w:b/>
      </w:rPr>
    </w:lvl>
    <w:lvl w:ilvl="7">
      <w:start w:val="1"/>
      <w:numFmt w:val="decimal"/>
      <w:lvlText w:val="%1.%2.%3.%4.%5.%6.%7.%8"/>
      <w:lvlJc w:val="left"/>
      <w:pPr>
        <w:ind w:left="6480" w:hanging="1440"/>
      </w:pPr>
      <w:rPr>
        <w:rFonts w:eastAsiaTheme="minorHAnsi" w:cstheme="minorBidi" w:hint="default"/>
        <w:b/>
      </w:rPr>
    </w:lvl>
    <w:lvl w:ilvl="8">
      <w:start w:val="1"/>
      <w:numFmt w:val="decimal"/>
      <w:lvlText w:val="%1.%2.%3.%4.%5.%6.%7.%8.%9"/>
      <w:lvlJc w:val="left"/>
      <w:pPr>
        <w:ind w:left="7560" w:hanging="1800"/>
      </w:pPr>
      <w:rPr>
        <w:rFonts w:eastAsiaTheme="minorHAnsi" w:cstheme="minorBidi" w:hint="default"/>
        <w:b/>
      </w:rPr>
    </w:lvl>
  </w:abstractNum>
  <w:abstractNum w:abstractNumId="7" w15:restartNumberingAfterBreak="0">
    <w:nsid w:val="29F42FD8"/>
    <w:multiLevelType w:val="hybridMultilevel"/>
    <w:tmpl w:val="4BC8BD0E"/>
    <w:lvl w:ilvl="0" w:tplc="44169076">
      <w:start w:val="1"/>
      <w:numFmt w:val="bullet"/>
      <w:lvlText w:val="-"/>
      <w:lvlJc w:val="left"/>
      <w:pPr>
        <w:ind w:left="321" w:hanging="220"/>
      </w:pPr>
      <w:rPr>
        <w:rFonts w:ascii="Arial" w:eastAsia="Arial" w:hAnsi="Arial" w:hint="default"/>
        <w:w w:val="99"/>
        <w:sz w:val="22"/>
        <w:szCs w:val="22"/>
      </w:rPr>
    </w:lvl>
    <w:lvl w:ilvl="1" w:tplc="713A1DF0">
      <w:start w:val="1"/>
      <w:numFmt w:val="bullet"/>
      <w:lvlText w:val="•"/>
      <w:lvlJc w:val="left"/>
      <w:pPr>
        <w:ind w:left="1062" w:hanging="220"/>
      </w:pPr>
      <w:rPr>
        <w:rFonts w:hint="default"/>
      </w:rPr>
    </w:lvl>
    <w:lvl w:ilvl="2" w:tplc="087CC3DC">
      <w:start w:val="1"/>
      <w:numFmt w:val="bullet"/>
      <w:lvlText w:val="•"/>
      <w:lvlJc w:val="left"/>
      <w:pPr>
        <w:ind w:left="1802" w:hanging="220"/>
      </w:pPr>
      <w:rPr>
        <w:rFonts w:hint="default"/>
      </w:rPr>
    </w:lvl>
    <w:lvl w:ilvl="3" w:tplc="41A49DEE">
      <w:start w:val="1"/>
      <w:numFmt w:val="bullet"/>
      <w:lvlText w:val="•"/>
      <w:lvlJc w:val="left"/>
      <w:pPr>
        <w:ind w:left="2543" w:hanging="220"/>
      </w:pPr>
      <w:rPr>
        <w:rFonts w:hint="default"/>
      </w:rPr>
    </w:lvl>
    <w:lvl w:ilvl="4" w:tplc="2C7AC6A6">
      <w:start w:val="1"/>
      <w:numFmt w:val="bullet"/>
      <w:lvlText w:val="•"/>
      <w:lvlJc w:val="left"/>
      <w:pPr>
        <w:ind w:left="3283" w:hanging="220"/>
      </w:pPr>
      <w:rPr>
        <w:rFonts w:hint="default"/>
      </w:rPr>
    </w:lvl>
    <w:lvl w:ilvl="5" w:tplc="50FA1B34">
      <w:start w:val="1"/>
      <w:numFmt w:val="bullet"/>
      <w:lvlText w:val="•"/>
      <w:lvlJc w:val="left"/>
      <w:pPr>
        <w:ind w:left="4023" w:hanging="220"/>
      </w:pPr>
      <w:rPr>
        <w:rFonts w:hint="default"/>
      </w:rPr>
    </w:lvl>
    <w:lvl w:ilvl="6" w:tplc="1D9E7A52">
      <w:start w:val="1"/>
      <w:numFmt w:val="bullet"/>
      <w:lvlText w:val="•"/>
      <w:lvlJc w:val="left"/>
      <w:pPr>
        <w:ind w:left="4764" w:hanging="220"/>
      </w:pPr>
      <w:rPr>
        <w:rFonts w:hint="default"/>
      </w:rPr>
    </w:lvl>
    <w:lvl w:ilvl="7" w:tplc="FD08D6D8">
      <w:start w:val="1"/>
      <w:numFmt w:val="bullet"/>
      <w:lvlText w:val="•"/>
      <w:lvlJc w:val="left"/>
      <w:pPr>
        <w:ind w:left="5504" w:hanging="220"/>
      </w:pPr>
      <w:rPr>
        <w:rFonts w:hint="default"/>
      </w:rPr>
    </w:lvl>
    <w:lvl w:ilvl="8" w:tplc="ACF85770">
      <w:start w:val="1"/>
      <w:numFmt w:val="bullet"/>
      <w:lvlText w:val="•"/>
      <w:lvlJc w:val="left"/>
      <w:pPr>
        <w:ind w:left="6245" w:hanging="220"/>
      </w:pPr>
      <w:rPr>
        <w:rFonts w:hint="default"/>
      </w:rPr>
    </w:lvl>
  </w:abstractNum>
  <w:abstractNum w:abstractNumId="8" w15:restartNumberingAfterBreak="0">
    <w:nsid w:val="397E64F4"/>
    <w:multiLevelType w:val="hybridMultilevel"/>
    <w:tmpl w:val="49BACB98"/>
    <w:lvl w:ilvl="0" w:tplc="FAE81ACE">
      <w:start w:val="1"/>
      <w:numFmt w:val="upperLetter"/>
      <w:lvlText w:val="%1."/>
      <w:lvlJc w:val="left"/>
      <w:pPr>
        <w:ind w:left="850" w:hanging="361"/>
      </w:pPr>
      <w:rPr>
        <w:rFonts w:ascii="Arial" w:eastAsia="Arial" w:hAnsi="Arial" w:hint="default"/>
        <w:w w:val="99"/>
        <w:sz w:val="22"/>
        <w:szCs w:val="22"/>
      </w:rPr>
    </w:lvl>
    <w:lvl w:ilvl="1" w:tplc="AF3AC06C">
      <w:start w:val="1"/>
      <w:numFmt w:val="bullet"/>
      <w:lvlText w:val="•"/>
      <w:lvlJc w:val="left"/>
      <w:pPr>
        <w:ind w:left="1783" w:hanging="361"/>
      </w:pPr>
      <w:rPr>
        <w:rFonts w:hint="default"/>
      </w:rPr>
    </w:lvl>
    <w:lvl w:ilvl="2" w:tplc="8AF43972">
      <w:start w:val="1"/>
      <w:numFmt w:val="bullet"/>
      <w:lvlText w:val="•"/>
      <w:lvlJc w:val="left"/>
      <w:pPr>
        <w:ind w:left="2716" w:hanging="361"/>
      </w:pPr>
      <w:rPr>
        <w:rFonts w:hint="default"/>
      </w:rPr>
    </w:lvl>
    <w:lvl w:ilvl="3" w:tplc="3C12D0C0">
      <w:start w:val="1"/>
      <w:numFmt w:val="bullet"/>
      <w:lvlText w:val="•"/>
      <w:lvlJc w:val="left"/>
      <w:pPr>
        <w:ind w:left="3649" w:hanging="361"/>
      </w:pPr>
      <w:rPr>
        <w:rFonts w:hint="default"/>
      </w:rPr>
    </w:lvl>
    <w:lvl w:ilvl="4" w:tplc="FC7A6FEC">
      <w:start w:val="1"/>
      <w:numFmt w:val="bullet"/>
      <w:lvlText w:val="•"/>
      <w:lvlJc w:val="left"/>
      <w:pPr>
        <w:ind w:left="4582" w:hanging="361"/>
      </w:pPr>
      <w:rPr>
        <w:rFonts w:hint="default"/>
      </w:rPr>
    </w:lvl>
    <w:lvl w:ilvl="5" w:tplc="2A6CFAB6">
      <w:start w:val="1"/>
      <w:numFmt w:val="bullet"/>
      <w:lvlText w:val="•"/>
      <w:lvlJc w:val="left"/>
      <w:pPr>
        <w:ind w:left="5515" w:hanging="361"/>
      </w:pPr>
      <w:rPr>
        <w:rFonts w:hint="default"/>
      </w:rPr>
    </w:lvl>
    <w:lvl w:ilvl="6" w:tplc="A692D2B4">
      <w:start w:val="1"/>
      <w:numFmt w:val="bullet"/>
      <w:lvlText w:val="•"/>
      <w:lvlJc w:val="left"/>
      <w:pPr>
        <w:ind w:left="6448" w:hanging="361"/>
      </w:pPr>
      <w:rPr>
        <w:rFonts w:hint="default"/>
      </w:rPr>
    </w:lvl>
    <w:lvl w:ilvl="7" w:tplc="F5904EDC">
      <w:start w:val="1"/>
      <w:numFmt w:val="bullet"/>
      <w:lvlText w:val="•"/>
      <w:lvlJc w:val="left"/>
      <w:pPr>
        <w:ind w:left="7381" w:hanging="361"/>
      </w:pPr>
      <w:rPr>
        <w:rFonts w:hint="default"/>
      </w:rPr>
    </w:lvl>
    <w:lvl w:ilvl="8" w:tplc="D0AE275E">
      <w:start w:val="1"/>
      <w:numFmt w:val="bullet"/>
      <w:lvlText w:val="•"/>
      <w:lvlJc w:val="left"/>
      <w:pPr>
        <w:ind w:left="8314" w:hanging="361"/>
      </w:pPr>
      <w:rPr>
        <w:rFonts w:hint="default"/>
      </w:rPr>
    </w:lvl>
  </w:abstractNum>
  <w:abstractNum w:abstractNumId="9" w15:restartNumberingAfterBreak="0">
    <w:nsid w:val="48814938"/>
    <w:multiLevelType w:val="hybridMultilevel"/>
    <w:tmpl w:val="4B64BC5A"/>
    <w:lvl w:ilvl="0" w:tplc="63DA3202">
      <w:start w:val="1"/>
      <w:numFmt w:val="decimal"/>
      <w:lvlText w:val="%1"/>
      <w:lvlJc w:val="left"/>
      <w:pPr>
        <w:ind w:left="669" w:hanging="540"/>
      </w:pPr>
      <w:rPr>
        <w:rFonts w:hint="default"/>
      </w:rPr>
    </w:lvl>
    <w:lvl w:ilvl="1" w:tplc="00DA2D82">
      <w:start w:val="1"/>
      <w:numFmt w:val="decimal"/>
      <w:lvlText w:val="%1.%2"/>
      <w:lvlJc w:val="left"/>
      <w:pPr>
        <w:ind w:left="669" w:hanging="540"/>
      </w:pPr>
      <w:rPr>
        <w:rFonts w:ascii="Arial" w:eastAsia="Arial" w:hAnsi="Arial" w:hint="default"/>
        <w:b/>
        <w:bCs/>
        <w:w w:val="99"/>
        <w:sz w:val="24"/>
        <w:szCs w:val="24"/>
      </w:rPr>
    </w:lvl>
    <w:lvl w:ilvl="2" w:tplc="492458FC">
      <w:start w:val="1"/>
      <w:numFmt w:val="decimal"/>
      <w:lvlText w:val="%3."/>
      <w:lvlJc w:val="left"/>
      <w:pPr>
        <w:ind w:left="590" w:hanging="274"/>
      </w:pPr>
      <w:rPr>
        <w:rFonts w:ascii="Arial" w:eastAsia="Arial" w:hAnsi="Arial" w:hint="default"/>
        <w:w w:val="99"/>
        <w:sz w:val="22"/>
        <w:szCs w:val="22"/>
      </w:rPr>
    </w:lvl>
    <w:lvl w:ilvl="3" w:tplc="48264132">
      <w:start w:val="1"/>
      <w:numFmt w:val="bullet"/>
      <w:lvlText w:val="•"/>
      <w:lvlJc w:val="left"/>
      <w:pPr>
        <w:ind w:left="2783" w:hanging="274"/>
      </w:pPr>
      <w:rPr>
        <w:rFonts w:hint="default"/>
      </w:rPr>
    </w:lvl>
    <w:lvl w:ilvl="4" w:tplc="9232FA80">
      <w:start w:val="1"/>
      <w:numFmt w:val="bullet"/>
      <w:lvlText w:val="•"/>
      <w:lvlJc w:val="left"/>
      <w:pPr>
        <w:ind w:left="3839" w:hanging="274"/>
      </w:pPr>
      <w:rPr>
        <w:rFonts w:hint="default"/>
      </w:rPr>
    </w:lvl>
    <w:lvl w:ilvl="5" w:tplc="9C1C681C">
      <w:start w:val="1"/>
      <w:numFmt w:val="bullet"/>
      <w:lvlText w:val="•"/>
      <w:lvlJc w:val="left"/>
      <w:pPr>
        <w:ind w:left="4896" w:hanging="274"/>
      </w:pPr>
      <w:rPr>
        <w:rFonts w:hint="default"/>
      </w:rPr>
    </w:lvl>
    <w:lvl w:ilvl="6" w:tplc="56461FBC">
      <w:start w:val="1"/>
      <w:numFmt w:val="bullet"/>
      <w:lvlText w:val="•"/>
      <w:lvlJc w:val="left"/>
      <w:pPr>
        <w:ind w:left="5953" w:hanging="274"/>
      </w:pPr>
      <w:rPr>
        <w:rFonts w:hint="default"/>
      </w:rPr>
    </w:lvl>
    <w:lvl w:ilvl="7" w:tplc="C8784FA6">
      <w:start w:val="1"/>
      <w:numFmt w:val="bullet"/>
      <w:lvlText w:val="•"/>
      <w:lvlJc w:val="left"/>
      <w:pPr>
        <w:ind w:left="7009" w:hanging="274"/>
      </w:pPr>
      <w:rPr>
        <w:rFonts w:hint="default"/>
      </w:rPr>
    </w:lvl>
    <w:lvl w:ilvl="8" w:tplc="09F65EDC">
      <w:start w:val="1"/>
      <w:numFmt w:val="bullet"/>
      <w:lvlText w:val="•"/>
      <w:lvlJc w:val="left"/>
      <w:pPr>
        <w:ind w:left="8066" w:hanging="274"/>
      </w:pPr>
      <w:rPr>
        <w:rFonts w:hint="default"/>
      </w:rPr>
    </w:lvl>
  </w:abstractNum>
  <w:abstractNum w:abstractNumId="10" w15:restartNumberingAfterBreak="0">
    <w:nsid w:val="4AB537F7"/>
    <w:multiLevelType w:val="hybridMultilevel"/>
    <w:tmpl w:val="9284387E"/>
    <w:lvl w:ilvl="0" w:tplc="8EA4D2BA">
      <w:start w:val="1"/>
      <w:numFmt w:val="lowerRoman"/>
      <w:lvlText w:val="(%1)"/>
      <w:lvlJc w:val="left"/>
      <w:pPr>
        <w:ind w:left="850" w:hanging="268"/>
      </w:pPr>
      <w:rPr>
        <w:rFonts w:ascii="Arial" w:eastAsia="Arial" w:hAnsi="Arial" w:hint="default"/>
        <w:sz w:val="20"/>
        <w:szCs w:val="20"/>
      </w:rPr>
    </w:lvl>
    <w:lvl w:ilvl="1" w:tplc="CD62DC56">
      <w:start w:val="1"/>
      <w:numFmt w:val="bullet"/>
      <w:lvlText w:val="•"/>
      <w:lvlJc w:val="left"/>
      <w:pPr>
        <w:ind w:left="1783" w:hanging="268"/>
      </w:pPr>
      <w:rPr>
        <w:rFonts w:hint="default"/>
      </w:rPr>
    </w:lvl>
    <w:lvl w:ilvl="2" w:tplc="8C50633C">
      <w:start w:val="1"/>
      <w:numFmt w:val="bullet"/>
      <w:lvlText w:val="•"/>
      <w:lvlJc w:val="left"/>
      <w:pPr>
        <w:ind w:left="2716" w:hanging="268"/>
      </w:pPr>
      <w:rPr>
        <w:rFonts w:hint="default"/>
      </w:rPr>
    </w:lvl>
    <w:lvl w:ilvl="3" w:tplc="8EBE8C8E">
      <w:start w:val="1"/>
      <w:numFmt w:val="bullet"/>
      <w:lvlText w:val="•"/>
      <w:lvlJc w:val="left"/>
      <w:pPr>
        <w:ind w:left="3649" w:hanging="268"/>
      </w:pPr>
      <w:rPr>
        <w:rFonts w:hint="default"/>
      </w:rPr>
    </w:lvl>
    <w:lvl w:ilvl="4" w:tplc="C5EA3090">
      <w:start w:val="1"/>
      <w:numFmt w:val="bullet"/>
      <w:lvlText w:val="•"/>
      <w:lvlJc w:val="left"/>
      <w:pPr>
        <w:ind w:left="4582" w:hanging="268"/>
      </w:pPr>
      <w:rPr>
        <w:rFonts w:hint="default"/>
      </w:rPr>
    </w:lvl>
    <w:lvl w:ilvl="5" w:tplc="76A05DF6">
      <w:start w:val="1"/>
      <w:numFmt w:val="bullet"/>
      <w:lvlText w:val="•"/>
      <w:lvlJc w:val="left"/>
      <w:pPr>
        <w:ind w:left="5515" w:hanging="268"/>
      </w:pPr>
      <w:rPr>
        <w:rFonts w:hint="default"/>
      </w:rPr>
    </w:lvl>
    <w:lvl w:ilvl="6" w:tplc="120A4B34">
      <w:start w:val="1"/>
      <w:numFmt w:val="bullet"/>
      <w:lvlText w:val="•"/>
      <w:lvlJc w:val="left"/>
      <w:pPr>
        <w:ind w:left="6448" w:hanging="268"/>
      </w:pPr>
      <w:rPr>
        <w:rFonts w:hint="default"/>
      </w:rPr>
    </w:lvl>
    <w:lvl w:ilvl="7" w:tplc="92D69DA4">
      <w:start w:val="1"/>
      <w:numFmt w:val="bullet"/>
      <w:lvlText w:val="•"/>
      <w:lvlJc w:val="left"/>
      <w:pPr>
        <w:ind w:left="7381" w:hanging="268"/>
      </w:pPr>
      <w:rPr>
        <w:rFonts w:hint="default"/>
      </w:rPr>
    </w:lvl>
    <w:lvl w:ilvl="8" w:tplc="25688190">
      <w:start w:val="1"/>
      <w:numFmt w:val="bullet"/>
      <w:lvlText w:val="•"/>
      <w:lvlJc w:val="left"/>
      <w:pPr>
        <w:ind w:left="8314" w:hanging="268"/>
      </w:pPr>
      <w:rPr>
        <w:rFonts w:hint="default"/>
      </w:rPr>
    </w:lvl>
  </w:abstractNum>
  <w:abstractNum w:abstractNumId="11" w15:restartNumberingAfterBreak="0">
    <w:nsid w:val="59F41D22"/>
    <w:multiLevelType w:val="hybridMultilevel"/>
    <w:tmpl w:val="93C8D1E6"/>
    <w:lvl w:ilvl="0" w:tplc="22AEBD78">
      <w:start w:val="1"/>
      <w:numFmt w:val="bullet"/>
      <w:lvlText w:val="•"/>
      <w:lvlJc w:val="left"/>
      <w:pPr>
        <w:ind w:left="580" w:hanging="264"/>
      </w:pPr>
      <w:rPr>
        <w:rFonts w:ascii="Arial" w:eastAsia="Arial" w:hAnsi="Arial" w:hint="default"/>
        <w:w w:val="99"/>
        <w:sz w:val="22"/>
        <w:szCs w:val="22"/>
      </w:rPr>
    </w:lvl>
    <w:lvl w:ilvl="1" w:tplc="1B84084E">
      <w:start w:val="1"/>
      <w:numFmt w:val="bullet"/>
      <w:lvlText w:val="•"/>
      <w:lvlJc w:val="left"/>
      <w:pPr>
        <w:ind w:left="1540" w:hanging="264"/>
      </w:pPr>
      <w:rPr>
        <w:rFonts w:hint="default"/>
      </w:rPr>
    </w:lvl>
    <w:lvl w:ilvl="2" w:tplc="FA4CEC68">
      <w:start w:val="1"/>
      <w:numFmt w:val="bullet"/>
      <w:lvlText w:val="•"/>
      <w:lvlJc w:val="left"/>
      <w:pPr>
        <w:ind w:left="2500" w:hanging="264"/>
      </w:pPr>
      <w:rPr>
        <w:rFonts w:hint="default"/>
      </w:rPr>
    </w:lvl>
    <w:lvl w:ilvl="3" w:tplc="0304FB70">
      <w:start w:val="1"/>
      <w:numFmt w:val="bullet"/>
      <w:lvlText w:val="•"/>
      <w:lvlJc w:val="left"/>
      <w:pPr>
        <w:ind w:left="3460" w:hanging="264"/>
      </w:pPr>
      <w:rPr>
        <w:rFonts w:hint="default"/>
      </w:rPr>
    </w:lvl>
    <w:lvl w:ilvl="4" w:tplc="C5C48E86">
      <w:start w:val="1"/>
      <w:numFmt w:val="bullet"/>
      <w:lvlText w:val="•"/>
      <w:lvlJc w:val="left"/>
      <w:pPr>
        <w:ind w:left="4420" w:hanging="264"/>
      </w:pPr>
      <w:rPr>
        <w:rFonts w:hint="default"/>
      </w:rPr>
    </w:lvl>
    <w:lvl w:ilvl="5" w:tplc="25F213A2">
      <w:start w:val="1"/>
      <w:numFmt w:val="bullet"/>
      <w:lvlText w:val="•"/>
      <w:lvlJc w:val="left"/>
      <w:pPr>
        <w:ind w:left="5380" w:hanging="264"/>
      </w:pPr>
      <w:rPr>
        <w:rFonts w:hint="default"/>
      </w:rPr>
    </w:lvl>
    <w:lvl w:ilvl="6" w:tplc="7DDA76D6">
      <w:start w:val="1"/>
      <w:numFmt w:val="bullet"/>
      <w:lvlText w:val="•"/>
      <w:lvlJc w:val="left"/>
      <w:pPr>
        <w:ind w:left="6340" w:hanging="264"/>
      </w:pPr>
      <w:rPr>
        <w:rFonts w:hint="default"/>
      </w:rPr>
    </w:lvl>
    <w:lvl w:ilvl="7" w:tplc="50EA7D0E">
      <w:start w:val="1"/>
      <w:numFmt w:val="bullet"/>
      <w:lvlText w:val="•"/>
      <w:lvlJc w:val="left"/>
      <w:pPr>
        <w:ind w:left="7300" w:hanging="264"/>
      </w:pPr>
      <w:rPr>
        <w:rFonts w:hint="default"/>
      </w:rPr>
    </w:lvl>
    <w:lvl w:ilvl="8" w:tplc="EF926D24">
      <w:start w:val="1"/>
      <w:numFmt w:val="bullet"/>
      <w:lvlText w:val="•"/>
      <w:lvlJc w:val="left"/>
      <w:pPr>
        <w:ind w:left="8260" w:hanging="264"/>
      </w:pPr>
      <w:rPr>
        <w:rFonts w:hint="default"/>
      </w:rPr>
    </w:lvl>
  </w:abstractNum>
  <w:abstractNum w:abstractNumId="12" w15:restartNumberingAfterBreak="0">
    <w:nsid w:val="5A4714B1"/>
    <w:multiLevelType w:val="hybridMultilevel"/>
    <w:tmpl w:val="0D109ACC"/>
    <w:lvl w:ilvl="0" w:tplc="1ED4F9C2">
      <w:start w:val="1"/>
      <w:numFmt w:val="bullet"/>
      <w:lvlText w:val="-"/>
      <w:lvlJc w:val="left"/>
      <w:pPr>
        <w:ind w:left="321" w:hanging="220"/>
      </w:pPr>
      <w:rPr>
        <w:rFonts w:ascii="Arial" w:eastAsia="Arial" w:hAnsi="Arial" w:hint="default"/>
        <w:w w:val="99"/>
        <w:sz w:val="22"/>
        <w:szCs w:val="22"/>
      </w:rPr>
    </w:lvl>
    <w:lvl w:ilvl="1" w:tplc="378A1EE8">
      <w:start w:val="1"/>
      <w:numFmt w:val="bullet"/>
      <w:lvlText w:val="•"/>
      <w:lvlJc w:val="left"/>
      <w:pPr>
        <w:ind w:left="1062" w:hanging="220"/>
      </w:pPr>
      <w:rPr>
        <w:rFonts w:hint="default"/>
      </w:rPr>
    </w:lvl>
    <w:lvl w:ilvl="2" w:tplc="305EDEE6">
      <w:start w:val="1"/>
      <w:numFmt w:val="bullet"/>
      <w:lvlText w:val="•"/>
      <w:lvlJc w:val="left"/>
      <w:pPr>
        <w:ind w:left="1802" w:hanging="220"/>
      </w:pPr>
      <w:rPr>
        <w:rFonts w:hint="default"/>
      </w:rPr>
    </w:lvl>
    <w:lvl w:ilvl="3" w:tplc="B11E4C80">
      <w:start w:val="1"/>
      <w:numFmt w:val="bullet"/>
      <w:lvlText w:val="•"/>
      <w:lvlJc w:val="left"/>
      <w:pPr>
        <w:ind w:left="2543" w:hanging="220"/>
      </w:pPr>
      <w:rPr>
        <w:rFonts w:hint="default"/>
      </w:rPr>
    </w:lvl>
    <w:lvl w:ilvl="4" w:tplc="389AB620">
      <w:start w:val="1"/>
      <w:numFmt w:val="bullet"/>
      <w:lvlText w:val="•"/>
      <w:lvlJc w:val="left"/>
      <w:pPr>
        <w:ind w:left="3283" w:hanging="220"/>
      </w:pPr>
      <w:rPr>
        <w:rFonts w:hint="default"/>
      </w:rPr>
    </w:lvl>
    <w:lvl w:ilvl="5" w:tplc="61102C28">
      <w:start w:val="1"/>
      <w:numFmt w:val="bullet"/>
      <w:lvlText w:val="•"/>
      <w:lvlJc w:val="left"/>
      <w:pPr>
        <w:ind w:left="4023" w:hanging="220"/>
      </w:pPr>
      <w:rPr>
        <w:rFonts w:hint="default"/>
      </w:rPr>
    </w:lvl>
    <w:lvl w:ilvl="6" w:tplc="5FEC427C">
      <w:start w:val="1"/>
      <w:numFmt w:val="bullet"/>
      <w:lvlText w:val="•"/>
      <w:lvlJc w:val="left"/>
      <w:pPr>
        <w:ind w:left="4764" w:hanging="220"/>
      </w:pPr>
      <w:rPr>
        <w:rFonts w:hint="default"/>
      </w:rPr>
    </w:lvl>
    <w:lvl w:ilvl="7" w:tplc="DCA411A0">
      <w:start w:val="1"/>
      <w:numFmt w:val="bullet"/>
      <w:lvlText w:val="•"/>
      <w:lvlJc w:val="left"/>
      <w:pPr>
        <w:ind w:left="5504" w:hanging="220"/>
      </w:pPr>
      <w:rPr>
        <w:rFonts w:hint="default"/>
      </w:rPr>
    </w:lvl>
    <w:lvl w:ilvl="8" w:tplc="78328726">
      <w:start w:val="1"/>
      <w:numFmt w:val="bullet"/>
      <w:lvlText w:val="•"/>
      <w:lvlJc w:val="left"/>
      <w:pPr>
        <w:ind w:left="6245" w:hanging="220"/>
      </w:pPr>
      <w:rPr>
        <w:rFonts w:hint="default"/>
      </w:rPr>
    </w:lvl>
  </w:abstractNum>
  <w:abstractNum w:abstractNumId="13" w15:restartNumberingAfterBreak="0">
    <w:nsid w:val="5DCC1420"/>
    <w:multiLevelType w:val="hybridMultilevel"/>
    <w:tmpl w:val="7C4CCC30"/>
    <w:lvl w:ilvl="0" w:tplc="02EEDB64">
      <w:start w:val="1"/>
      <w:numFmt w:val="decimal"/>
      <w:lvlText w:val="%1."/>
      <w:lvlJc w:val="left"/>
      <w:pPr>
        <w:ind w:left="490" w:hanging="361"/>
      </w:pPr>
      <w:rPr>
        <w:rFonts w:ascii="Arial" w:eastAsia="Arial" w:hAnsi="Arial" w:hint="default"/>
        <w:b/>
        <w:bCs/>
        <w:w w:val="99"/>
        <w:sz w:val="24"/>
        <w:szCs w:val="24"/>
      </w:rPr>
    </w:lvl>
    <w:lvl w:ilvl="1" w:tplc="4D6C86F4">
      <w:start w:val="1"/>
      <w:numFmt w:val="bullet"/>
      <w:lvlText w:val="•"/>
      <w:lvlJc w:val="left"/>
      <w:pPr>
        <w:ind w:left="310" w:hanging="264"/>
      </w:pPr>
      <w:rPr>
        <w:rFonts w:ascii="Arial" w:eastAsia="Arial" w:hAnsi="Arial" w:hint="default"/>
        <w:w w:val="99"/>
        <w:sz w:val="22"/>
        <w:szCs w:val="22"/>
      </w:rPr>
    </w:lvl>
    <w:lvl w:ilvl="2" w:tplc="CBC49D9A">
      <w:start w:val="1"/>
      <w:numFmt w:val="bullet"/>
      <w:lvlText w:val="•"/>
      <w:lvlJc w:val="left"/>
      <w:pPr>
        <w:ind w:left="490" w:hanging="264"/>
      </w:pPr>
      <w:rPr>
        <w:rFonts w:hint="default"/>
      </w:rPr>
    </w:lvl>
    <w:lvl w:ilvl="3" w:tplc="C45C9564">
      <w:start w:val="1"/>
      <w:numFmt w:val="bullet"/>
      <w:lvlText w:val="•"/>
      <w:lvlJc w:val="left"/>
      <w:pPr>
        <w:ind w:left="1701" w:hanging="264"/>
      </w:pPr>
      <w:rPr>
        <w:rFonts w:hint="default"/>
      </w:rPr>
    </w:lvl>
    <w:lvl w:ilvl="4" w:tplc="8924B56C">
      <w:start w:val="1"/>
      <w:numFmt w:val="bullet"/>
      <w:lvlText w:val="•"/>
      <w:lvlJc w:val="left"/>
      <w:pPr>
        <w:ind w:left="2912" w:hanging="264"/>
      </w:pPr>
      <w:rPr>
        <w:rFonts w:hint="default"/>
      </w:rPr>
    </w:lvl>
    <w:lvl w:ilvl="5" w:tplc="8E166084">
      <w:start w:val="1"/>
      <w:numFmt w:val="bullet"/>
      <w:lvlText w:val="•"/>
      <w:lvlJc w:val="left"/>
      <w:pPr>
        <w:ind w:left="4123" w:hanging="264"/>
      </w:pPr>
      <w:rPr>
        <w:rFonts w:hint="default"/>
      </w:rPr>
    </w:lvl>
    <w:lvl w:ilvl="6" w:tplc="FC087854">
      <w:start w:val="1"/>
      <w:numFmt w:val="bullet"/>
      <w:lvlText w:val="•"/>
      <w:lvlJc w:val="left"/>
      <w:pPr>
        <w:ind w:left="5335" w:hanging="264"/>
      </w:pPr>
      <w:rPr>
        <w:rFonts w:hint="default"/>
      </w:rPr>
    </w:lvl>
    <w:lvl w:ilvl="7" w:tplc="CF383D6E">
      <w:start w:val="1"/>
      <w:numFmt w:val="bullet"/>
      <w:lvlText w:val="•"/>
      <w:lvlJc w:val="left"/>
      <w:pPr>
        <w:ind w:left="6546" w:hanging="264"/>
      </w:pPr>
      <w:rPr>
        <w:rFonts w:hint="default"/>
      </w:rPr>
    </w:lvl>
    <w:lvl w:ilvl="8" w:tplc="1F288DD0">
      <w:start w:val="1"/>
      <w:numFmt w:val="bullet"/>
      <w:lvlText w:val="•"/>
      <w:lvlJc w:val="left"/>
      <w:pPr>
        <w:ind w:left="7757" w:hanging="264"/>
      </w:pPr>
      <w:rPr>
        <w:rFonts w:hint="default"/>
      </w:rPr>
    </w:lvl>
  </w:abstractNum>
  <w:abstractNum w:abstractNumId="14" w15:restartNumberingAfterBreak="0">
    <w:nsid w:val="738E6633"/>
    <w:multiLevelType w:val="hybridMultilevel"/>
    <w:tmpl w:val="1F2672D8"/>
    <w:lvl w:ilvl="0" w:tplc="62944C5C">
      <w:start w:val="1"/>
      <w:numFmt w:val="bullet"/>
      <w:lvlText w:val="•"/>
      <w:lvlJc w:val="left"/>
      <w:pPr>
        <w:ind w:left="490" w:hanging="270"/>
      </w:pPr>
      <w:rPr>
        <w:rFonts w:ascii="Arial" w:eastAsia="Arial" w:hAnsi="Arial" w:hint="default"/>
        <w:w w:val="99"/>
        <w:sz w:val="22"/>
        <w:szCs w:val="22"/>
      </w:rPr>
    </w:lvl>
    <w:lvl w:ilvl="1" w:tplc="F24A80B6">
      <w:start w:val="1"/>
      <w:numFmt w:val="bullet"/>
      <w:lvlText w:val="•"/>
      <w:lvlJc w:val="left"/>
      <w:pPr>
        <w:ind w:left="1459" w:hanging="270"/>
      </w:pPr>
      <w:rPr>
        <w:rFonts w:hint="default"/>
      </w:rPr>
    </w:lvl>
    <w:lvl w:ilvl="2" w:tplc="2670F894">
      <w:start w:val="1"/>
      <w:numFmt w:val="bullet"/>
      <w:lvlText w:val="•"/>
      <w:lvlJc w:val="left"/>
      <w:pPr>
        <w:ind w:left="2428" w:hanging="270"/>
      </w:pPr>
      <w:rPr>
        <w:rFonts w:hint="default"/>
      </w:rPr>
    </w:lvl>
    <w:lvl w:ilvl="3" w:tplc="E35AACAE">
      <w:start w:val="1"/>
      <w:numFmt w:val="bullet"/>
      <w:lvlText w:val="•"/>
      <w:lvlJc w:val="left"/>
      <w:pPr>
        <w:ind w:left="3397" w:hanging="270"/>
      </w:pPr>
      <w:rPr>
        <w:rFonts w:hint="default"/>
      </w:rPr>
    </w:lvl>
    <w:lvl w:ilvl="4" w:tplc="093231C4">
      <w:start w:val="1"/>
      <w:numFmt w:val="bullet"/>
      <w:lvlText w:val="•"/>
      <w:lvlJc w:val="left"/>
      <w:pPr>
        <w:ind w:left="4366" w:hanging="270"/>
      </w:pPr>
      <w:rPr>
        <w:rFonts w:hint="default"/>
      </w:rPr>
    </w:lvl>
    <w:lvl w:ilvl="5" w:tplc="A8C4EA5E">
      <w:start w:val="1"/>
      <w:numFmt w:val="bullet"/>
      <w:lvlText w:val="•"/>
      <w:lvlJc w:val="left"/>
      <w:pPr>
        <w:ind w:left="5335" w:hanging="270"/>
      </w:pPr>
      <w:rPr>
        <w:rFonts w:hint="default"/>
      </w:rPr>
    </w:lvl>
    <w:lvl w:ilvl="6" w:tplc="CB181120">
      <w:start w:val="1"/>
      <w:numFmt w:val="bullet"/>
      <w:lvlText w:val="•"/>
      <w:lvlJc w:val="left"/>
      <w:pPr>
        <w:ind w:left="6304" w:hanging="270"/>
      </w:pPr>
      <w:rPr>
        <w:rFonts w:hint="default"/>
      </w:rPr>
    </w:lvl>
    <w:lvl w:ilvl="7" w:tplc="5568E1C4">
      <w:start w:val="1"/>
      <w:numFmt w:val="bullet"/>
      <w:lvlText w:val="•"/>
      <w:lvlJc w:val="left"/>
      <w:pPr>
        <w:ind w:left="7273" w:hanging="270"/>
      </w:pPr>
      <w:rPr>
        <w:rFonts w:hint="default"/>
      </w:rPr>
    </w:lvl>
    <w:lvl w:ilvl="8" w:tplc="BD587DBC">
      <w:start w:val="1"/>
      <w:numFmt w:val="bullet"/>
      <w:lvlText w:val="•"/>
      <w:lvlJc w:val="left"/>
      <w:pPr>
        <w:ind w:left="8242" w:hanging="270"/>
      </w:pPr>
      <w:rPr>
        <w:rFonts w:hint="default"/>
      </w:rPr>
    </w:lvl>
  </w:abstractNum>
  <w:abstractNum w:abstractNumId="15" w15:restartNumberingAfterBreak="0">
    <w:nsid w:val="756619BD"/>
    <w:multiLevelType w:val="hybridMultilevel"/>
    <w:tmpl w:val="3812737E"/>
    <w:lvl w:ilvl="0" w:tplc="0C3CB37C">
      <w:start w:val="1"/>
      <w:numFmt w:val="bullet"/>
      <w:lvlText w:val=""/>
      <w:lvlJc w:val="left"/>
      <w:pPr>
        <w:ind w:left="850" w:hanging="361"/>
      </w:pPr>
      <w:rPr>
        <w:rFonts w:ascii="Symbol" w:eastAsia="Symbol" w:hAnsi="Symbol" w:hint="default"/>
        <w:sz w:val="20"/>
        <w:szCs w:val="20"/>
      </w:rPr>
    </w:lvl>
    <w:lvl w:ilvl="1" w:tplc="2CF065A6">
      <w:start w:val="1"/>
      <w:numFmt w:val="bullet"/>
      <w:lvlText w:val="•"/>
      <w:lvlJc w:val="left"/>
      <w:pPr>
        <w:ind w:left="1783" w:hanging="361"/>
      </w:pPr>
      <w:rPr>
        <w:rFonts w:hint="default"/>
      </w:rPr>
    </w:lvl>
    <w:lvl w:ilvl="2" w:tplc="FE22F1CC">
      <w:start w:val="1"/>
      <w:numFmt w:val="bullet"/>
      <w:lvlText w:val="•"/>
      <w:lvlJc w:val="left"/>
      <w:pPr>
        <w:ind w:left="2716" w:hanging="361"/>
      </w:pPr>
      <w:rPr>
        <w:rFonts w:hint="default"/>
      </w:rPr>
    </w:lvl>
    <w:lvl w:ilvl="3" w:tplc="E82C9B98">
      <w:start w:val="1"/>
      <w:numFmt w:val="bullet"/>
      <w:lvlText w:val="•"/>
      <w:lvlJc w:val="left"/>
      <w:pPr>
        <w:ind w:left="3649" w:hanging="361"/>
      </w:pPr>
      <w:rPr>
        <w:rFonts w:hint="default"/>
      </w:rPr>
    </w:lvl>
    <w:lvl w:ilvl="4" w:tplc="B8A08640">
      <w:start w:val="1"/>
      <w:numFmt w:val="bullet"/>
      <w:lvlText w:val="•"/>
      <w:lvlJc w:val="left"/>
      <w:pPr>
        <w:ind w:left="4582" w:hanging="361"/>
      </w:pPr>
      <w:rPr>
        <w:rFonts w:hint="default"/>
      </w:rPr>
    </w:lvl>
    <w:lvl w:ilvl="5" w:tplc="B9161C40">
      <w:start w:val="1"/>
      <w:numFmt w:val="bullet"/>
      <w:lvlText w:val="•"/>
      <w:lvlJc w:val="left"/>
      <w:pPr>
        <w:ind w:left="5515" w:hanging="361"/>
      </w:pPr>
      <w:rPr>
        <w:rFonts w:hint="default"/>
      </w:rPr>
    </w:lvl>
    <w:lvl w:ilvl="6" w:tplc="34982B90">
      <w:start w:val="1"/>
      <w:numFmt w:val="bullet"/>
      <w:lvlText w:val="•"/>
      <w:lvlJc w:val="left"/>
      <w:pPr>
        <w:ind w:left="6448" w:hanging="361"/>
      </w:pPr>
      <w:rPr>
        <w:rFonts w:hint="default"/>
      </w:rPr>
    </w:lvl>
    <w:lvl w:ilvl="7" w:tplc="A0AA11F2">
      <w:start w:val="1"/>
      <w:numFmt w:val="bullet"/>
      <w:lvlText w:val="•"/>
      <w:lvlJc w:val="left"/>
      <w:pPr>
        <w:ind w:left="7381" w:hanging="361"/>
      </w:pPr>
      <w:rPr>
        <w:rFonts w:hint="default"/>
      </w:rPr>
    </w:lvl>
    <w:lvl w:ilvl="8" w:tplc="D7E64A98">
      <w:start w:val="1"/>
      <w:numFmt w:val="bullet"/>
      <w:lvlText w:val="•"/>
      <w:lvlJc w:val="left"/>
      <w:pPr>
        <w:ind w:left="8314" w:hanging="361"/>
      </w:pPr>
      <w:rPr>
        <w:rFonts w:hint="default"/>
      </w:rPr>
    </w:lvl>
  </w:abstractNum>
  <w:abstractNum w:abstractNumId="16" w15:restartNumberingAfterBreak="0">
    <w:nsid w:val="77176F15"/>
    <w:multiLevelType w:val="hybridMultilevel"/>
    <w:tmpl w:val="991C51A6"/>
    <w:lvl w:ilvl="0" w:tplc="E13E9DB6">
      <w:start w:val="4"/>
      <w:numFmt w:val="decimal"/>
      <w:lvlText w:val="%1"/>
      <w:lvlJc w:val="left"/>
      <w:pPr>
        <w:ind w:left="669" w:hanging="541"/>
      </w:pPr>
      <w:rPr>
        <w:rFonts w:hint="default"/>
      </w:rPr>
    </w:lvl>
    <w:lvl w:ilvl="1" w:tplc="B6D20476">
      <w:start w:val="3"/>
      <w:numFmt w:val="decimal"/>
      <w:lvlText w:val="%1.%2"/>
      <w:lvlJc w:val="left"/>
      <w:pPr>
        <w:ind w:left="669" w:hanging="541"/>
      </w:pPr>
      <w:rPr>
        <w:rFonts w:hint="default"/>
      </w:rPr>
    </w:lvl>
    <w:lvl w:ilvl="2" w:tplc="930E133A">
      <w:start w:val="1"/>
      <w:numFmt w:val="decimal"/>
      <w:lvlText w:val="%1.%2.%3"/>
      <w:lvlJc w:val="left"/>
      <w:pPr>
        <w:ind w:left="669" w:hanging="541"/>
      </w:pPr>
      <w:rPr>
        <w:rFonts w:ascii="Arial" w:eastAsia="Arial" w:hAnsi="Arial" w:hint="default"/>
        <w:w w:val="99"/>
        <w:sz w:val="22"/>
        <w:szCs w:val="22"/>
      </w:rPr>
    </w:lvl>
    <w:lvl w:ilvl="3" w:tplc="E0F00276">
      <w:start w:val="1"/>
      <w:numFmt w:val="bullet"/>
      <w:lvlText w:val="•"/>
      <w:lvlJc w:val="left"/>
      <w:pPr>
        <w:ind w:left="3523" w:hanging="541"/>
      </w:pPr>
      <w:rPr>
        <w:rFonts w:hint="default"/>
      </w:rPr>
    </w:lvl>
    <w:lvl w:ilvl="4" w:tplc="9FD413BC">
      <w:start w:val="1"/>
      <w:numFmt w:val="bullet"/>
      <w:lvlText w:val="•"/>
      <w:lvlJc w:val="left"/>
      <w:pPr>
        <w:ind w:left="4474" w:hanging="541"/>
      </w:pPr>
      <w:rPr>
        <w:rFonts w:hint="default"/>
      </w:rPr>
    </w:lvl>
    <w:lvl w:ilvl="5" w:tplc="62829ABA">
      <w:start w:val="1"/>
      <w:numFmt w:val="bullet"/>
      <w:lvlText w:val="•"/>
      <w:lvlJc w:val="left"/>
      <w:pPr>
        <w:ind w:left="5425" w:hanging="541"/>
      </w:pPr>
      <w:rPr>
        <w:rFonts w:hint="default"/>
      </w:rPr>
    </w:lvl>
    <w:lvl w:ilvl="6" w:tplc="82A0A818">
      <w:start w:val="1"/>
      <w:numFmt w:val="bullet"/>
      <w:lvlText w:val="•"/>
      <w:lvlJc w:val="left"/>
      <w:pPr>
        <w:ind w:left="6376" w:hanging="541"/>
      </w:pPr>
      <w:rPr>
        <w:rFonts w:hint="default"/>
      </w:rPr>
    </w:lvl>
    <w:lvl w:ilvl="7" w:tplc="40D24094">
      <w:start w:val="1"/>
      <w:numFmt w:val="bullet"/>
      <w:lvlText w:val="•"/>
      <w:lvlJc w:val="left"/>
      <w:pPr>
        <w:ind w:left="7327" w:hanging="541"/>
      </w:pPr>
      <w:rPr>
        <w:rFonts w:hint="default"/>
      </w:rPr>
    </w:lvl>
    <w:lvl w:ilvl="8" w:tplc="F710A534">
      <w:start w:val="1"/>
      <w:numFmt w:val="bullet"/>
      <w:lvlText w:val="•"/>
      <w:lvlJc w:val="left"/>
      <w:pPr>
        <w:ind w:left="8278" w:hanging="541"/>
      </w:pPr>
      <w:rPr>
        <w:rFonts w:hint="default"/>
      </w:rPr>
    </w:lvl>
  </w:abstractNum>
  <w:num w:numId="1">
    <w:abstractNumId w:val="1"/>
  </w:num>
  <w:num w:numId="2">
    <w:abstractNumId w:val="7"/>
  </w:num>
  <w:num w:numId="3">
    <w:abstractNumId w:val="12"/>
  </w:num>
  <w:num w:numId="4">
    <w:abstractNumId w:val="2"/>
  </w:num>
  <w:num w:numId="5">
    <w:abstractNumId w:val="8"/>
  </w:num>
  <w:num w:numId="6">
    <w:abstractNumId w:val="13"/>
  </w:num>
  <w:num w:numId="7">
    <w:abstractNumId w:val="16"/>
  </w:num>
  <w:num w:numId="8">
    <w:abstractNumId w:val="5"/>
  </w:num>
  <w:num w:numId="9">
    <w:abstractNumId w:val="3"/>
  </w:num>
  <w:num w:numId="10">
    <w:abstractNumId w:val="14"/>
  </w:num>
  <w:num w:numId="11">
    <w:abstractNumId w:val="4"/>
  </w:num>
  <w:num w:numId="12">
    <w:abstractNumId w:val="10"/>
  </w:num>
  <w:num w:numId="13">
    <w:abstractNumId w:val="15"/>
  </w:num>
  <w:num w:numId="14">
    <w:abstractNumId w:val="0"/>
  </w:num>
  <w:num w:numId="15">
    <w:abstractNumId w:val="1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67EE8"/>
    <w:rsid w:val="000359E3"/>
    <w:rsid w:val="000B3E49"/>
    <w:rsid w:val="003430C9"/>
    <w:rsid w:val="00537490"/>
    <w:rsid w:val="00573E92"/>
    <w:rsid w:val="00683A80"/>
    <w:rsid w:val="006E3E4D"/>
    <w:rsid w:val="006E3E9C"/>
    <w:rsid w:val="006E5CD4"/>
    <w:rsid w:val="00881018"/>
    <w:rsid w:val="00972EC2"/>
    <w:rsid w:val="00A40D69"/>
    <w:rsid w:val="00BF39B8"/>
    <w:rsid w:val="00C06F75"/>
    <w:rsid w:val="00C40697"/>
    <w:rsid w:val="00C51657"/>
    <w:rsid w:val="00D67EE8"/>
    <w:rsid w:val="00E51527"/>
    <w:rsid w:val="00FB35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4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30"/>
      <w:outlineLvl w:val="0"/>
    </w:pPr>
    <w:rPr>
      <w:rFonts w:ascii="Arial" w:eastAsia="Arial" w:hAnsi="Arial"/>
      <w:b/>
      <w:bCs/>
      <w:sz w:val="24"/>
      <w:szCs w:val="24"/>
      <w:u w:val="single"/>
    </w:rPr>
  </w:style>
  <w:style w:type="paragraph" w:styleId="Heading2">
    <w:name w:val="heading 2"/>
    <w:basedOn w:val="Normal"/>
    <w:uiPriority w:val="9"/>
    <w:unhideWhenUsed/>
    <w:qFormat/>
    <w:pPr>
      <w:ind w:left="130" w:hanging="360"/>
      <w:outlineLvl w:val="1"/>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130"/>
    </w:pPr>
    <w:rPr>
      <w:rFonts w:ascii="Arial" w:eastAsia="Arial" w:hAnsi="Arial"/>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73E92"/>
    <w:pPr>
      <w:tabs>
        <w:tab w:val="center" w:pos="4513"/>
        <w:tab w:val="right" w:pos="9026"/>
      </w:tabs>
    </w:pPr>
  </w:style>
  <w:style w:type="character" w:customStyle="1" w:styleId="HeaderChar">
    <w:name w:val="Header Char"/>
    <w:basedOn w:val="DefaultParagraphFont"/>
    <w:link w:val="Header"/>
    <w:uiPriority w:val="99"/>
    <w:rsid w:val="00573E92"/>
  </w:style>
  <w:style w:type="paragraph" w:styleId="Footer">
    <w:name w:val="footer"/>
    <w:basedOn w:val="Normal"/>
    <w:link w:val="FooterChar"/>
    <w:unhideWhenUsed/>
    <w:rsid w:val="00573E92"/>
    <w:pPr>
      <w:tabs>
        <w:tab w:val="center" w:pos="4513"/>
        <w:tab w:val="right" w:pos="9026"/>
      </w:tabs>
    </w:pPr>
  </w:style>
  <w:style w:type="character" w:customStyle="1" w:styleId="FooterChar">
    <w:name w:val="Footer Char"/>
    <w:basedOn w:val="DefaultParagraphFont"/>
    <w:link w:val="Footer"/>
    <w:uiPriority w:val="99"/>
    <w:rsid w:val="00573E92"/>
  </w:style>
  <w:style w:type="paragraph" w:styleId="FootnoteText">
    <w:name w:val="footnote text"/>
    <w:basedOn w:val="Normal"/>
    <w:link w:val="FootnoteTextChar"/>
    <w:uiPriority w:val="99"/>
    <w:semiHidden/>
    <w:unhideWhenUsed/>
    <w:rsid w:val="003430C9"/>
    <w:rPr>
      <w:sz w:val="20"/>
      <w:szCs w:val="20"/>
    </w:rPr>
  </w:style>
  <w:style w:type="character" w:customStyle="1" w:styleId="FootnoteTextChar">
    <w:name w:val="Footnote Text Char"/>
    <w:basedOn w:val="DefaultParagraphFont"/>
    <w:link w:val="FootnoteText"/>
    <w:uiPriority w:val="99"/>
    <w:semiHidden/>
    <w:rsid w:val="003430C9"/>
    <w:rPr>
      <w:sz w:val="20"/>
      <w:szCs w:val="20"/>
    </w:rPr>
  </w:style>
  <w:style w:type="character" w:styleId="FootnoteReference">
    <w:name w:val="footnote reference"/>
    <w:basedOn w:val="DefaultParagraphFont"/>
    <w:uiPriority w:val="99"/>
    <w:semiHidden/>
    <w:unhideWhenUsed/>
    <w:rsid w:val="003430C9"/>
    <w:rPr>
      <w:vertAlign w:val="superscript"/>
    </w:rPr>
  </w:style>
  <w:style w:type="table" w:styleId="TableGrid">
    <w:name w:val="Table Grid"/>
    <w:basedOn w:val="TableNormal"/>
    <w:uiPriority w:val="39"/>
    <w:rsid w:val="0088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8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3B17-F5D6-4FA6-9EE4-FCBDFF22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24591</Words>
  <Characters>14018</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2020-08-14T09:26:00Z</dcterms:created>
  <dcterms:modified xsi:type="dcterms:W3CDTF">2020-12-16T12:28:00Z</dcterms:modified>
</cp:coreProperties>
</file>