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8BBA" w14:textId="77777777" w:rsidR="00BD78D0" w:rsidRPr="00BD78D0" w:rsidRDefault="00BD78D0" w:rsidP="00F951BD">
      <w:pPr>
        <w:pStyle w:val="Body"/>
        <w:widowControl w:val="0"/>
        <w:jc w:val="center"/>
        <w:rPr>
          <w:rFonts w:ascii="Times New Roman" w:hAnsi="Times New Roman"/>
          <w:b/>
          <w:bCs/>
          <w:noProof/>
          <w:sz w:val="24"/>
          <w:szCs w:val="24"/>
        </w:rPr>
      </w:pPr>
      <w:r>
        <w:rPr>
          <w:rFonts w:ascii="Times New Roman" w:hAnsi="Times New Roman"/>
          <w:b/>
          <w:sz w:val="24"/>
        </w:rPr>
        <w:t>Vienotās patentu tiesas izveides nolīguma Protokols par pagaidu piemērošanu</w:t>
      </w:r>
    </w:p>
    <w:p w14:paraId="642A2ED1"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4152F65F"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26C26A50"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Apakšā parakstījušās Vienotās patentu tiesas izveides nolīguma parakstītājvalstis, turpmāk tekstā dēvētas par Pusēm,</w:t>
      </w:r>
    </w:p>
    <w:p w14:paraId="0B7543B3"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2CB2EC31"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UZSKATOT, ka Vienotajai patentu tiesai jākļūst pilnīgi darboties spējīgai, līdzko stājas spēkā Vienotās patentu tiesas izveides nolīgums;</w:t>
      </w:r>
    </w:p>
    <w:p w14:paraId="671BD62F"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31F4C6BB"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ŅEMOT VĒRĀ nepieciešamību nodrošināt vienmērīgu pāreju uz darbības fāzi un Vienotās patentu tiesas pienācīgu darbību pirms Vienotās patentu tiesas izveides nolīguma stāšanās spēkā;</w:t>
      </w:r>
    </w:p>
    <w:p w14:paraId="1678BEDD"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313EF057"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ATZĪSTOT, ka līguma pagaidu piemērošana ir piemērots līdzeklis šādas vienmērīgas pārejas nodrošināšanai;</w:t>
      </w:r>
    </w:p>
    <w:p w14:paraId="5696FB17"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792B981D"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ATZĪSTOT, ka pagaidu piemērošanas izmantošana atbilst starptautiskajām paražu tiesībām;</w:t>
      </w:r>
    </w:p>
    <w:p w14:paraId="18778CEB"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3D65DAEE"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ATZĪSTOT, ka šādu pagaidu piemērošanu var attiecināt tikai uz noteiktām līguma daļām, ja sarunās iesaistītās valstis ir vienojušās par to kādā noteiktā veidā;</w:t>
      </w:r>
    </w:p>
    <w:p w14:paraId="078CA1D9"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3929BCF4"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UZSKATOT, ka pagaidu piemērošanai jāstājas spēkā tikai pēc tam, kad 13 Vienotās patentu tiesas izveides nolīguma parakstītājvalstis ir apstiprinājušas šo protokolu, un tikai starp tām parakstītājvalstīm, kurās valdība ir saņēmusi parlamenta apstiprinājumu par Vienotās patentu tiesas izveides nolīguma ratificēšanu;</w:t>
      </w:r>
    </w:p>
    <w:p w14:paraId="11429C2F"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436E6BC0"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UZSKATOT, ka pagaidu piemērošanai ir jāattiecas tikai uz Vienotās patentu tiesas izveides nolīguma institucionālajiem, organizatoriskajiem un finanšu noteikumiem un ka pagaidu piemērošana ir jāierobežo līdz tam, kas ir absolūti nepieciešams, lai nodrošinātu vienmērīgu pāreju uz darbības fāzi,</w:t>
      </w:r>
    </w:p>
    <w:p w14:paraId="7E2872D2"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70C9ECD4"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IR VIENOJUŠĀS PAR TURPMĀKO.</w:t>
      </w:r>
    </w:p>
    <w:p w14:paraId="0D8F7BAD"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54885CA9"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1. pants. Vienotās patentu tiesas izveides nolīguma pagaidu piemērošana</w:t>
      </w:r>
    </w:p>
    <w:p w14:paraId="0E579DCF"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524DBC94"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Vienotās patentu tiesas izveides nolīguma 1.–2. pants, 4.–5. pants, 6. panta 1. punkts, 7. pants, 10.–19. pants, 35. panta 1., 3. un 4. punkts, 36.–41. pants un 71. panta 3. punkts un Vienotās patentu tiesas statūtu 1.–6. pants, 7. panta 1. punkts, 7. panta 5. punkts, 9.–18. pants, 20. panta 1. punkts, 22.–28. pants, 30. pants, 32. pants un 33. pants stājas spēkā pagaidu piemērošanā starp Pusēm, kas ir pabeigušas nepieciešamo procedūru, kura noteikta 3. panta 1. punktā, līdzko stājas spēkā šis protokols.</w:t>
      </w:r>
    </w:p>
    <w:p w14:paraId="0B486451"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733D3623"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2. pants. Parakstīšana un piekrišana uzņemties saistības</w:t>
      </w:r>
    </w:p>
    <w:p w14:paraId="0E52DE32"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1. Šis protokols ir atvērts parakstīšanai no 2015. gada 1. oktobra ikvienai Vienotās patentu tiesas izveides nolīguma parakstītājvalstij.</w:t>
      </w:r>
    </w:p>
    <w:p w14:paraId="1C22D2D9"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2. Neierobežojot to, kas noteikts turpmāk 3. punktā un 3. panta 1. punkta b) apakšpunktā, piekrišanu uzņemties šajā protokolā noteiktās saistības var paust ar:</w:t>
      </w:r>
    </w:p>
    <w:p w14:paraId="7EFF8886"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 parakstu vai</w:t>
      </w:r>
    </w:p>
    <w:p w14:paraId="2C2577A3"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b) parakstu ratificēšanai, pieņemšanai vai apstiprināšanai, kam seko ratificēšana, pieņemšana vai apstiprināšana.</w:t>
      </w:r>
    </w:p>
    <w:p w14:paraId="346B84E7"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 xml:space="preserve">3. Piekrišanu uzņemties saistības, kas ir saistītas ar šā protokola 1. pantā minēto Vienotās </w:t>
      </w:r>
      <w:r>
        <w:rPr>
          <w:rFonts w:ascii="Times New Roman" w:hAnsi="Times New Roman"/>
          <w:sz w:val="24"/>
        </w:rPr>
        <w:lastRenderedPageBreak/>
        <w:t>patentu tiesas izveides nolīguma pantu pagaidu piemērošanu, var paust, izmantojot vienpusēju deklarāciju.</w:t>
      </w:r>
    </w:p>
    <w:p w14:paraId="1BD65FD9"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4. Šā protokola ratifikācijas, pieņemšanas vai apstiprināšanas instrumentus vai 3. punktā minēto vienpusējo deklarāciju deponē Eiropas Savienības Padomes Ģenerālsekretariātam, turpmāk tekstā dēvētam par depozitāriju.</w:t>
      </w:r>
    </w:p>
    <w:p w14:paraId="0A27B7B7"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30BF9D94"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3. pants. Stāšanās spēkā</w:t>
      </w:r>
    </w:p>
    <w:p w14:paraId="420D1626"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1. Šis protokols stājas spēkā nākamajā dienā pēc tam, kad 13 Vienotās patentu tiesas izveides nolīguma parakstītājvalstis, tostarp Vācija, Francija un Apvienotā Karaliste, ir ratificējušas Vienotās patentu tiesas izveides nolīgumu vai informējušas depozitāriju par to, ka ir saņēmušas parlamenta apstiprinājumu minētā nolīguma ratificēšanai, un</w:t>
      </w:r>
    </w:p>
    <w:p w14:paraId="0B17926A"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a) ir parakstījušas šo protokolu saskaņā ar 2. panta 2. punkta a) apakšpunktu vai ir parakstījušas un ratificējušas, pieņēmušas vai apstiprinājušas šo protokolu saskaņā ar 2. panta 2. punkta b) apakšpunktu, vai</w:t>
      </w:r>
    </w:p>
    <w:p w14:paraId="2258A17C"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b) izmantojot vienpusēju deklarāciju vai citu paņēmienu, ir deklarējušas, ka tās uzskata par saistošu šā protokola 1. pantā minēto Vienotās patentu tiesas izveides nolīguma pantu pagaidu piemērošanu.</w:t>
      </w:r>
    </w:p>
    <w:p w14:paraId="3D37D5A2"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2. Ja Puse pabeidz 1. punktā noteikto procedūru pēc šā protokola stāšanās spēkā, šis protokols attiecībā uz šo Pusi stājas spēkā no dienas, kad Puse ir pabeigusi minēto procedūru.</w:t>
      </w:r>
    </w:p>
    <w:p w14:paraId="220B7B8C"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3. Šis protokols un tajā noteiktā pagaidu piemērošana ir spēkā vienīgi attiecībā uz tām Pusēm, kas ir pabeigušas nepieciešamo procedūru, kura ir minēta 1. punktā.</w:t>
      </w:r>
    </w:p>
    <w:p w14:paraId="2D8F7F94"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751E22CF"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TO APLIECINOT, attiecīgi pilnvarotas personas ir parakstījušas šo protokolu.</w:t>
      </w:r>
    </w:p>
    <w:p w14:paraId="202A5B6F" w14:textId="77777777" w:rsidR="00BD78D0" w:rsidRPr="00BD78D0" w:rsidRDefault="00BD78D0" w:rsidP="00F951BD">
      <w:pPr>
        <w:pStyle w:val="Body"/>
        <w:widowControl w:val="0"/>
        <w:jc w:val="both"/>
        <w:rPr>
          <w:rFonts w:ascii="Times New Roman" w:eastAsia="Times New Roman" w:hAnsi="Times New Roman" w:cs="Times New Roman"/>
          <w:noProof/>
          <w:sz w:val="24"/>
          <w:szCs w:val="24"/>
        </w:rPr>
      </w:pPr>
    </w:p>
    <w:p w14:paraId="14026B19" w14:textId="77777777" w:rsidR="00BD78D0" w:rsidRPr="00BD78D0" w:rsidRDefault="00BD78D0" w:rsidP="00F951BD">
      <w:pPr>
        <w:pStyle w:val="Body"/>
        <w:widowControl w:val="0"/>
        <w:jc w:val="both"/>
        <w:rPr>
          <w:rFonts w:ascii="Times New Roman" w:hAnsi="Times New Roman"/>
          <w:noProof/>
          <w:sz w:val="24"/>
          <w:szCs w:val="24"/>
        </w:rPr>
      </w:pPr>
      <w:r>
        <w:rPr>
          <w:rFonts w:ascii="Times New Roman" w:hAnsi="Times New Roman"/>
          <w:sz w:val="24"/>
        </w:rPr>
        <w:t>Parakstīts Briselē 2015. gada 1. oktobrī angļu, franču un vācu valodā, visiem trim tekstiem ir vienāds spēks, vienā eksemplārā, ko deponē depozitārijam, kurš nosūta apstiprinātu norakstu visām Vienotās patentu tiesas izveides nolīguma parakstītājvalstīm.</w:t>
      </w:r>
    </w:p>
    <w:sectPr w:rsidR="00BD78D0" w:rsidRPr="00BD78D0" w:rsidSect="00F951BD">
      <w:headerReference w:type="default" r:id="rId6"/>
      <w:footerReference w:type="default" r:id="rId7"/>
      <w:headerReference w:type="first" r:id="rId8"/>
      <w:footerReference w:type="firs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37EC" w14:textId="77777777" w:rsidR="00FE501C" w:rsidRPr="00BD78D0" w:rsidRDefault="00F951BD">
      <w:pPr>
        <w:rPr>
          <w:noProof/>
        </w:rPr>
      </w:pPr>
      <w:r w:rsidRPr="00BD78D0">
        <w:rPr>
          <w:noProof/>
        </w:rPr>
        <w:separator/>
      </w:r>
    </w:p>
  </w:endnote>
  <w:endnote w:type="continuationSeparator" w:id="0">
    <w:p w14:paraId="50B751C3" w14:textId="77777777" w:rsidR="00FE501C" w:rsidRPr="00BD78D0" w:rsidRDefault="00F951BD">
      <w:pPr>
        <w:rPr>
          <w:noProof/>
        </w:rPr>
      </w:pPr>
      <w:r w:rsidRPr="00BD78D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2911" w14:textId="77777777" w:rsidR="00044225" w:rsidRPr="00630941" w:rsidRDefault="00044225" w:rsidP="00044225">
    <w:pPr>
      <w:pStyle w:val="Header"/>
      <w:tabs>
        <w:tab w:val="left" w:pos="9072"/>
      </w:tabs>
      <w:rPr>
        <w:rStyle w:val="PageNumber"/>
        <w:sz w:val="20"/>
        <w:szCs w:val="18"/>
      </w:rPr>
    </w:pPr>
  </w:p>
  <w:p w14:paraId="18B3647E" w14:textId="046BA58E" w:rsidR="00044225" w:rsidRPr="00630941" w:rsidRDefault="00044225" w:rsidP="00044225">
    <w:pPr>
      <w:pStyle w:val="Header"/>
      <w:tabs>
        <w:tab w:val="clear" w:pos="4513"/>
        <w:tab w:val="clear" w:pos="9026"/>
        <w:tab w:val="right" w:leader="underscore" w:pos="9072"/>
      </w:tabs>
      <w:rPr>
        <w:rStyle w:val="PageNumber"/>
        <w:sz w:val="20"/>
        <w:szCs w:val="18"/>
      </w:rPr>
    </w:pPr>
    <w:r>
      <w:rPr>
        <w:rStyle w:val="PageNumber"/>
        <w:sz w:val="20"/>
        <w:szCs w:val="18"/>
      </w:rPr>
      <w:tab/>
    </w:r>
  </w:p>
  <w:p w14:paraId="3522FE3B" w14:textId="77777777" w:rsidR="00044225" w:rsidRPr="00630941" w:rsidRDefault="00044225" w:rsidP="00044225">
    <w:pPr>
      <w:pStyle w:val="Header"/>
      <w:tabs>
        <w:tab w:val="right" w:pos="9072"/>
      </w:tabs>
      <w:rPr>
        <w:rStyle w:val="PageNumber"/>
        <w:sz w:val="20"/>
        <w:szCs w:val="18"/>
      </w:rPr>
    </w:pPr>
  </w:p>
  <w:p w14:paraId="1A7FE9B7" w14:textId="77777777" w:rsidR="00044225" w:rsidRPr="00630941" w:rsidRDefault="00044225" w:rsidP="00044225">
    <w:pPr>
      <w:pStyle w:val="Footer"/>
      <w:tabs>
        <w:tab w:val="clear" w:pos="4513"/>
        <w:tab w:val="clear" w:pos="9026"/>
        <w:tab w:val="center" w:pos="9071"/>
      </w:tabs>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r>
      <w:rPr>
        <w:noProof/>
        <w:sz w:val="20"/>
        <w:szCs w:val="18"/>
      </w:rPr>
      <w:t>20</w:t>
    </w:r>
    <w:r w:rsidRPr="00630941">
      <w:rPr>
        <w:sz w:val="20"/>
        <w:szCs w:val="18"/>
      </w:rPr>
      <w:tab/>
    </w:r>
    <w:r w:rsidRPr="00630941">
      <w:rPr>
        <w:rStyle w:val="PageNumber"/>
        <w:sz w:val="20"/>
        <w:szCs w:val="18"/>
      </w:rPr>
      <w:fldChar w:fldCharType="begin"/>
    </w:r>
    <w:r w:rsidRPr="00630941">
      <w:rPr>
        <w:rStyle w:val="PageNumber"/>
        <w:sz w:val="20"/>
        <w:szCs w:val="18"/>
      </w:rPr>
      <w:instrText xml:space="preserve">page </w:instrText>
    </w:r>
    <w:r w:rsidRPr="00630941">
      <w:rPr>
        <w:rStyle w:val="PageNumber"/>
        <w:sz w:val="20"/>
        <w:szCs w:val="18"/>
      </w:rPr>
      <w:fldChar w:fldCharType="separate"/>
    </w:r>
    <w:r>
      <w:rPr>
        <w:rStyle w:val="PageNumber"/>
        <w:sz w:val="20"/>
        <w:szCs w:val="18"/>
      </w:rPr>
      <w:t>2</w:t>
    </w:r>
    <w:r w:rsidRPr="00630941">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9A59" w14:textId="77777777" w:rsidR="00044225" w:rsidRPr="00630941" w:rsidRDefault="00044225" w:rsidP="00044225">
    <w:pPr>
      <w:pStyle w:val="Header"/>
      <w:tabs>
        <w:tab w:val="left" w:pos="9072"/>
      </w:tabs>
      <w:rPr>
        <w:rStyle w:val="PageNumber"/>
        <w:sz w:val="20"/>
        <w:szCs w:val="18"/>
      </w:rPr>
    </w:pPr>
    <w:bookmarkStart w:id="14" w:name="_Hlk496261764"/>
    <w:bookmarkStart w:id="15" w:name="_Hlk496261765"/>
    <w:bookmarkStart w:id="16" w:name="_Hlk496261766"/>
    <w:bookmarkStart w:id="17" w:name="_Hlk30491075"/>
    <w:bookmarkStart w:id="18" w:name="_Hlk30491076"/>
  </w:p>
  <w:p w14:paraId="1B0F143D" w14:textId="198496CA" w:rsidR="00044225" w:rsidRPr="00630941" w:rsidRDefault="00044225" w:rsidP="00044225">
    <w:pPr>
      <w:pStyle w:val="Header"/>
      <w:tabs>
        <w:tab w:val="clear" w:pos="4513"/>
        <w:tab w:val="clear" w:pos="9026"/>
        <w:tab w:val="left" w:leader="underscore" w:pos="9072"/>
      </w:tabs>
      <w:rPr>
        <w:rStyle w:val="PageNumber"/>
        <w:sz w:val="20"/>
        <w:szCs w:val="18"/>
      </w:rPr>
    </w:pPr>
    <w:r>
      <w:rPr>
        <w:rStyle w:val="PageNumber"/>
        <w:sz w:val="20"/>
        <w:szCs w:val="18"/>
      </w:rPr>
      <w:tab/>
    </w:r>
  </w:p>
  <w:p w14:paraId="2C881BB6" w14:textId="77777777" w:rsidR="00044225" w:rsidRPr="00630941" w:rsidRDefault="00044225" w:rsidP="00044225">
    <w:pPr>
      <w:pStyle w:val="Header"/>
      <w:tabs>
        <w:tab w:val="left" w:pos="9072"/>
      </w:tabs>
      <w:rPr>
        <w:rStyle w:val="PageNumber"/>
        <w:sz w:val="20"/>
        <w:szCs w:val="18"/>
      </w:rPr>
    </w:pPr>
  </w:p>
  <w:p w14:paraId="7C9BEDC1" w14:textId="77777777" w:rsidR="00044225" w:rsidRPr="00630941" w:rsidRDefault="00044225" w:rsidP="00044225">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14"/>
    <w:bookmarkEnd w:id="15"/>
    <w:bookmarkEnd w:id="16"/>
    <w:r>
      <w:rPr>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89810" w14:textId="77777777" w:rsidR="00FE501C" w:rsidRPr="00BD78D0" w:rsidRDefault="00F951BD">
      <w:pPr>
        <w:rPr>
          <w:noProof/>
        </w:rPr>
      </w:pPr>
      <w:r w:rsidRPr="00BD78D0">
        <w:rPr>
          <w:noProof/>
        </w:rPr>
        <w:separator/>
      </w:r>
    </w:p>
  </w:footnote>
  <w:footnote w:type="continuationSeparator" w:id="0">
    <w:p w14:paraId="293D1388" w14:textId="77777777" w:rsidR="00FE501C" w:rsidRPr="00BD78D0" w:rsidRDefault="00F951BD">
      <w:pPr>
        <w:rPr>
          <w:noProof/>
        </w:rPr>
      </w:pPr>
      <w:r w:rsidRPr="00BD78D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6851" w14:textId="77777777" w:rsidR="00044225" w:rsidRPr="00630941" w:rsidRDefault="00044225" w:rsidP="00044225">
    <w:pPr>
      <w:pStyle w:val="Header"/>
      <w:rPr>
        <w:rStyle w:val="PageNumber"/>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4859CBB" w14:textId="451734A4" w:rsidR="00044225" w:rsidRPr="00630941" w:rsidRDefault="00044225" w:rsidP="00044225">
    <w:pPr>
      <w:pStyle w:val="Header"/>
      <w:tabs>
        <w:tab w:val="clear" w:pos="4513"/>
        <w:tab w:val="clear" w:pos="9026"/>
        <w:tab w:val="right" w:leader="underscore" w:pos="9072"/>
      </w:tabs>
      <w:rPr>
        <w:rStyle w:val="PageNumber"/>
        <w:sz w:val="20"/>
        <w:szCs w:val="20"/>
      </w:rPr>
    </w:pPr>
    <w:r>
      <w:rPr>
        <w:rStyle w:val="PageNumber"/>
        <w:sz w:val="20"/>
        <w:szCs w:val="20"/>
      </w:rPr>
      <w:tab/>
    </w:r>
  </w:p>
  <w:bookmarkEnd w:id="0"/>
  <w:bookmarkEnd w:id="1"/>
  <w:bookmarkEnd w:id="2"/>
  <w:bookmarkEnd w:id="3"/>
  <w:bookmarkEnd w:id="4"/>
  <w:bookmarkEnd w:id="5"/>
  <w:bookmarkEnd w:id="6"/>
  <w:bookmarkEnd w:id="7"/>
  <w:bookmarkEnd w:id="8"/>
  <w:p w14:paraId="04DA7958" w14:textId="77777777" w:rsidR="00044225" w:rsidRPr="00630941" w:rsidRDefault="00044225" w:rsidP="0004422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A01A" w14:textId="77777777" w:rsidR="00044225" w:rsidRPr="00402160" w:rsidRDefault="00044225" w:rsidP="00044225">
    <w:pPr>
      <w:pBdr>
        <w:bottom w:val="single" w:sz="12" w:space="5" w:color="auto"/>
      </w:pBdr>
      <w:rPr>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FBE0259" w14:textId="77777777" w:rsidR="00044225" w:rsidRPr="00402160" w:rsidRDefault="00044225" w:rsidP="0004422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43F"/>
    <w:rsid w:val="00044225"/>
    <w:rsid w:val="00BD78D0"/>
    <w:rsid w:val="00C1543F"/>
    <w:rsid w:val="00F951BD"/>
    <w:rsid w:val="00FE5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F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nhideWhenUsed/>
    <w:rsid w:val="00BD78D0"/>
    <w:pPr>
      <w:tabs>
        <w:tab w:val="center" w:pos="4513"/>
        <w:tab w:val="right" w:pos="9026"/>
      </w:tabs>
    </w:pPr>
  </w:style>
  <w:style w:type="character" w:customStyle="1" w:styleId="HeaderChar">
    <w:name w:val="Header Char"/>
    <w:basedOn w:val="DefaultParagraphFont"/>
    <w:link w:val="Header"/>
    <w:uiPriority w:val="99"/>
    <w:rsid w:val="00BD78D0"/>
    <w:rPr>
      <w:sz w:val="24"/>
      <w:szCs w:val="24"/>
      <w:lang w:val="lv-LV" w:eastAsia="en-US"/>
    </w:rPr>
  </w:style>
  <w:style w:type="paragraph" w:styleId="Footer">
    <w:name w:val="footer"/>
    <w:basedOn w:val="Normal"/>
    <w:link w:val="FooterChar"/>
    <w:unhideWhenUsed/>
    <w:rsid w:val="00BD78D0"/>
    <w:pPr>
      <w:tabs>
        <w:tab w:val="center" w:pos="4513"/>
        <w:tab w:val="right" w:pos="9026"/>
      </w:tabs>
    </w:pPr>
  </w:style>
  <w:style w:type="character" w:customStyle="1" w:styleId="FooterChar">
    <w:name w:val="Footer Char"/>
    <w:basedOn w:val="DefaultParagraphFont"/>
    <w:link w:val="Footer"/>
    <w:uiPriority w:val="99"/>
    <w:rsid w:val="00BD78D0"/>
    <w:rPr>
      <w:sz w:val="24"/>
      <w:szCs w:val="24"/>
      <w:lang w:val="lv-LV" w:eastAsia="en-US"/>
    </w:rPr>
  </w:style>
  <w:style w:type="character" w:styleId="PageNumber">
    <w:name w:val="page number"/>
    <w:basedOn w:val="DefaultParagraphFont"/>
    <w:semiHidden/>
    <w:rsid w:val="0004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2838</Words>
  <Characters>1619</Characters>
  <Application>Microsoft Office Word</Application>
  <DocSecurity>0</DocSecurity>
  <Lines>13</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2020-11-20T07:49:00Z</dcterms:created>
  <dcterms:modified xsi:type="dcterms:W3CDTF">2020-11-25T07:08:00Z</dcterms:modified>
</cp:coreProperties>
</file>