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100" w:rsidRPr="00F30F64" w:rsidRDefault="004F281A" w:rsidP="000A61E6">
      <w:pPr>
        <w:jc w:val="both"/>
        <w:rPr>
          <w:rFonts w:ascii="Times New Roman" w:eastAsia="Times New Roman" w:hAnsi="Times New Roman" w:cs="Times New Roman"/>
          <w:noProof/>
          <w:sz w:val="24"/>
          <w:szCs w:val="20"/>
        </w:rPr>
      </w:pPr>
      <w:r w:rsidRPr="00F30F64">
        <w:rPr>
          <w:rFonts w:ascii="Times New Roman" w:hAnsi="Times New Roman" w:cs="Times New Roman"/>
          <w:b/>
          <w:noProof/>
          <w:color w:val="231F20"/>
          <w:sz w:val="24"/>
        </w:rPr>
        <w:pict>
          <v:group id="_x0000_s1310" style="position:absolute;left:0;text-align:left;margin-left:21.25pt;margin-top:12.4pt;width:63pt;height:131pt;z-index:251646976;mso-position-horizontal-relative:page" coordorigin="923,-425" coordsize="1260,2620">
            <v:group id="_x0000_s1311" style="position:absolute;left:923;top:-425;width:618;height:1310" coordorigin="923,-425" coordsize="618,1310">
              <v:shape id="_x0000_s1312" style="position:absolute;left:923;top:-425;width:618;height:1310" coordorigin="923,-425" coordsize="618,1310" path="m923,-425r,633l1344,885,1541,569,923,-425xe" fillcolor="#cb75b0" stroked="f">
                <v:path arrowok="t"/>
              </v:shape>
            </v:group>
            <v:group id="_x0000_s1313" style="position:absolute;left:923;top:569;width:618;height:1627" coordorigin="923,569" coordsize="618,1627">
              <v:shape id="_x0000_s1314" style="position:absolute;left:923;top:569;width:618;height:1627" coordorigin="923,569" coordsize="618,1627" path="m1541,569l923,1562r,633l1541,1201r,-632xe" fillcolor="#6d6e71" stroked="f">
                <v:path arrowok="t"/>
              </v:shape>
            </v:group>
            <v:group id="_x0000_s1315" style="position:absolute;left:1566;top:-425;width:618;height:1310" coordorigin="1566,-425" coordsize="618,1310">
              <v:shape id="_x0000_s1316" style="position:absolute;left:1566;top:-425;width:618;height:1310" coordorigin="1566,-425" coordsize="618,1310" path="m1566,-425r,633l1987,885,2183,569,1566,-425xe" fillcolor="#cb75b0" stroked="f">
                <v:path arrowok="t"/>
              </v:shape>
            </v:group>
            <v:group id="_x0000_s1317" style="position:absolute;left:1566;top:569;width:618;height:1627" coordorigin="1566,569" coordsize="618,1627">
              <v:shape id="_x0000_s1318" style="position:absolute;left:1566;top:569;width:618;height:1627" coordorigin="1566,569" coordsize="618,1627" path="m2183,569r-617,993l1566,2195r617,-994l2183,569xe" fillcolor="#6d6e71" stroked="f">
                <v:path arrowok="t"/>
              </v:shape>
            </v:group>
            <w10:wrap anchorx="page"/>
          </v:group>
        </w:pict>
      </w:r>
    </w:p>
    <w:p w:rsidR="00F30F64" w:rsidRPr="00F30F64" w:rsidRDefault="00DB2100" w:rsidP="000A61E6">
      <w:pPr>
        <w:jc w:val="both"/>
        <w:rPr>
          <w:rFonts w:ascii="Times New Roman" w:hAnsi="Times New Roman" w:cs="Times New Roman"/>
          <w:b/>
          <w:noProof/>
          <w:color w:val="231F20"/>
          <w:sz w:val="32"/>
          <w:szCs w:val="32"/>
        </w:rPr>
      </w:pPr>
      <w:r w:rsidRPr="00F30F64">
        <w:rPr>
          <w:rFonts w:ascii="Times New Roman" w:hAnsi="Times New Roman" w:cs="Times New Roman"/>
          <w:b/>
          <w:noProof/>
          <w:color w:val="231F20"/>
          <w:sz w:val="32"/>
          <w:szCs w:val="32"/>
        </w:rPr>
        <w:t>ESAO/G20 Projekts</w:t>
      </w:r>
      <w:r w:rsidR="00F30F64" w:rsidRPr="00F30F64">
        <w:rPr>
          <w:rFonts w:ascii="Times New Roman" w:hAnsi="Times New Roman" w:cs="Times New Roman"/>
          <w:b/>
          <w:noProof/>
          <w:color w:val="231F20"/>
          <w:sz w:val="32"/>
          <w:szCs w:val="32"/>
        </w:rPr>
        <w:t xml:space="preserve"> par nodokļu bāzes samazināšanu</w:t>
      </w:r>
    </w:p>
    <w:p w:rsidR="00DB2100" w:rsidRPr="00F30F64" w:rsidRDefault="00DB2100" w:rsidP="000A61E6">
      <w:pPr>
        <w:jc w:val="both"/>
        <w:rPr>
          <w:rFonts w:ascii="Times New Roman" w:hAnsi="Times New Roman" w:cs="Times New Roman"/>
          <w:b/>
          <w:noProof/>
          <w:color w:val="231F20"/>
          <w:sz w:val="32"/>
          <w:szCs w:val="32"/>
        </w:rPr>
      </w:pPr>
      <w:r w:rsidRPr="00F30F64">
        <w:rPr>
          <w:rFonts w:ascii="Times New Roman" w:hAnsi="Times New Roman" w:cs="Times New Roman"/>
          <w:b/>
          <w:noProof/>
          <w:color w:val="231F20"/>
          <w:sz w:val="32"/>
          <w:szCs w:val="32"/>
        </w:rPr>
        <w:t>un peļņas novirzīšanu</w:t>
      </w:r>
    </w:p>
    <w:p w:rsidR="00F30F64" w:rsidRPr="00F30F64" w:rsidRDefault="00F30F64" w:rsidP="000A61E6">
      <w:pPr>
        <w:jc w:val="both"/>
        <w:rPr>
          <w:rFonts w:ascii="Times New Roman" w:hAnsi="Times New Roman" w:cs="Times New Roman"/>
          <w:b/>
          <w:noProof/>
          <w:color w:val="231F20"/>
          <w:sz w:val="32"/>
          <w:szCs w:val="32"/>
        </w:rPr>
      </w:pPr>
    </w:p>
    <w:p w:rsidR="00DB2100" w:rsidRPr="00F30F64" w:rsidRDefault="00DB2100" w:rsidP="000A61E6">
      <w:pPr>
        <w:jc w:val="both"/>
        <w:rPr>
          <w:rFonts w:ascii="Times New Roman" w:hAnsi="Times New Roman" w:cs="Times New Roman"/>
          <w:b/>
          <w:noProof/>
          <w:color w:val="231F20"/>
          <w:sz w:val="44"/>
          <w:szCs w:val="44"/>
        </w:rPr>
      </w:pPr>
      <w:r w:rsidRPr="00F30F64">
        <w:rPr>
          <w:rFonts w:ascii="Times New Roman" w:hAnsi="Times New Roman" w:cs="Times New Roman"/>
          <w:b/>
          <w:noProof/>
          <w:color w:val="231F20"/>
          <w:sz w:val="44"/>
          <w:szCs w:val="44"/>
        </w:rPr>
        <w:t>Paskaidrojuma raksts</w:t>
      </w:r>
    </w:p>
    <w:p w:rsidR="00DB2100" w:rsidRPr="00F30F64" w:rsidRDefault="00DB2100" w:rsidP="000A61E6">
      <w:pPr>
        <w:jc w:val="both"/>
        <w:rPr>
          <w:rFonts w:ascii="Times New Roman" w:eastAsia="Arial" w:hAnsi="Times New Roman" w:cs="Times New Roman"/>
          <w:b/>
          <w:bCs/>
          <w:noProof/>
          <w:sz w:val="24"/>
          <w:szCs w:val="18"/>
        </w:rPr>
      </w:pPr>
    </w:p>
    <w:p w:rsidR="00F30F64" w:rsidRPr="00F30F64" w:rsidRDefault="00F30F64" w:rsidP="000A61E6">
      <w:pPr>
        <w:jc w:val="both"/>
        <w:rPr>
          <w:rFonts w:ascii="Times New Roman" w:eastAsia="Arial" w:hAnsi="Times New Roman" w:cs="Times New Roman"/>
          <w:b/>
          <w:bCs/>
          <w:noProof/>
          <w:sz w:val="24"/>
          <w:szCs w:val="18"/>
        </w:rPr>
      </w:pPr>
    </w:p>
    <w:p w:rsidR="00F30F64" w:rsidRPr="00F30F64" w:rsidRDefault="00F30F64" w:rsidP="000A61E6">
      <w:pPr>
        <w:jc w:val="both"/>
        <w:rPr>
          <w:rFonts w:ascii="Times New Roman" w:eastAsia="Arial" w:hAnsi="Times New Roman" w:cs="Times New Roman"/>
          <w:b/>
          <w:bCs/>
          <w:noProof/>
          <w:sz w:val="24"/>
          <w:szCs w:val="18"/>
        </w:rPr>
      </w:pPr>
    </w:p>
    <w:p w:rsidR="00F30F64" w:rsidRPr="00F30F64" w:rsidRDefault="00F30F64" w:rsidP="000A61E6">
      <w:pPr>
        <w:jc w:val="both"/>
        <w:rPr>
          <w:rFonts w:ascii="Times New Roman" w:hAnsi="Times New Roman" w:cs="Times New Roman"/>
          <w:noProof/>
          <w:color w:val="231F20"/>
          <w:sz w:val="32"/>
          <w:szCs w:val="32"/>
        </w:rPr>
      </w:pPr>
    </w:p>
    <w:p w:rsidR="00DB2100" w:rsidRPr="00F30F64" w:rsidRDefault="00F30F64" w:rsidP="000A61E6">
      <w:pPr>
        <w:jc w:val="both"/>
        <w:rPr>
          <w:rFonts w:ascii="Times New Roman" w:hAnsi="Times New Roman" w:cs="Times New Roman"/>
          <w:noProof/>
          <w:color w:val="231F20"/>
          <w:sz w:val="32"/>
          <w:szCs w:val="32"/>
        </w:rPr>
      </w:pPr>
      <w:r w:rsidRPr="00F30F64">
        <w:rPr>
          <w:rFonts w:ascii="Times New Roman" w:hAnsi="Times New Roman" w:cs="Times New Roman"/>
          <w:noProof/>
          <w:color w:val="231F20"/>
          <w:sz w:val="24"/>
        </w:rPr>
        <w:pict>
          <v:group id="_x0000_s1319" style="position:absolute;left:0;text-align:left;margin-left:-.5pt;margin-top:16.65pt;width:593.75pt;height:417.6pt;z-index:-251668480;mso-position-horizontal-relative:page" coordorigin=",-19" coordsize="11875,8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20" type="#_x0000_t75" style="position:absolute;top:38;width:11865;height:8294">
              <v:imagedata r:id="rId8" o:title=""/>
            </v:shape>
            <v:group id="_x0000_s1321" style="position:absolute;left:2660;top:-9;width:9205;height:536" coordorigin="2660,-9" coordsize="9205,536">
              <v:shape id="_x0000_s1322" style="position:absolute;left:2660;top:-9;width:9205;height:536" coordorigin="2660,-9" coordsize="9205,536" path="m11865,-9r-9205,l3139,527r8726,-8l11865,-9e" stroked="f">
                <v:path arrowok="t"/>
              </v:shape>
            </v:group>
            <v:group id="_x0000_s1323" style="position:absolute;left:2660;top:-9;width:9205;height:536" coordorigin="2660,-9" coordsize="9205,536">
              <v:shape id="_x0000_s1324" style="position:absolute;left:2660;top:-9;width:9205;height:536" coordorigin="2660,-9" coordsize="9205,536" path="m2660,-9r479,536l11865,519e" filled="f" strokecolor="white" strokeweight="1pt">
                <v:path arrowok="t"/>
              </v:shape>
            </v:group>
            <v:group id="_x0000_s1325" style="position:absolute;left:2660;top:-9;width:9205;height:2" coordorigin="2660,-9" coordsize="9205,2">
              <v:shape id="_x0000_s1326" style="position:absolute;left:2660;top:-9;width:9205;height:2" coordorigin="2660,-9" coordsize="9205,0" path="m11865,-9r-9205,e" filled="f" strokecolor="white" strokeweight="1pt">
                <v:path arrowok="t"/>
              </v:shape>
            </v:group>
            <w10:wrap anchorx="page"/>
          </v:group>
        </w:pict>
      </w:r>
      <w:r w:rsidR="00DB2100" w:rsidRPr="00F30F64">
        <w:rPr>
          <w:rFonts w:ascii="Times New Roman" w:hAnsi="Times New Roman" w:cs="Times New Roman"/>
          <w:noProof/>
          <w:color w:val="231F20"/>
          <w:sz w:val="32"/>
          <w:szCs w:val="32"/>
        </w:rPr>
        <w:t>2015. gada gala ziņojums</w:t>
      </w:r>
    </w:p>
    <w:p w:rsidR="00DB2100" w:rsidRPr="00F30F64" w:rsidRDefault="00DB2100"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F30F64" w:rsidRPr="00F30F64" w:rsidRDefault="00F30F64" w:rsidP="000A61E6">
      <w:pPr>
        <w:jc w:val="both"/>
        <w:rPr>
          <w:rFonts w:ascii="Times New Roman" w:eastAsia="Arial" w:hAnsi="Times New Roman" w:cs="Times New Roman"/>
          <w:noProof/>
          <w:sz w:val="24"/>
          <w:szCs w:val="20"/>
        </w:rPr>
      </w:pPr>
    </w:p>
    <w:p w:rsidR="000A61E6" w:rsidRPr="00F30F64" w:rsidRDefault="00F30F64" w:rsidP="00F30F64">
      <w:pPr>
        <w:jc w:val="both"/>
        <w:rPr>
          <w:rFonts w:ascii="Times New Roman" w:eastAsia="Arial" w:hAnsi="Times New Roman" w:cs="Times New Roman"/>
          <w:noProof/>
          <w:sz w:val="24"/>
          <w:szCs w:val="20"/>
        </w:rPr>
      </w:pPr>
      <w:r w:rsidRPr="00F30F64">
        <w:rPr>
          <w:rFonts w:ascii="Times New Roman" w:eastAsia="Arial" w:hAnsi="Times New Roman" w:cs="Times New Roman"/>
          <w:noProof/>
          <w:sz w:val="24"/>
          <w:szCs w:val="20"/>
          <w:lang w:bidi="ar-SA"/>
        </w:rPr>
        <w:drawing>
          <wp:inline distT="0" distB="0" distL="0" distR="0" wp14:anchorId="771DDFE8" wp14:editId="5023C8FB">
            <wp:extent cx="19621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2150" cy="742950"/>
                    </a:xfrm>
                    <a:prstGeom prst="rect">
                      <a:avLst/>
                    </a:prstGeom>
                    <a:noFill/>
                    <a:ln>
                      <a:noFill/>
                    </a:ln>
                  </pic:spPr>
                </pic:pic>
              </a:graphicData>
            </a:graphic>
          </wp:inline>
        </w:drawing>
      </w:r>
      <w:r w:rsidR="000A61E6" w:rsidRPr="00F30F64">
        <w:rPr>
          <w:rFonts w:ascii="Times New Roman" w:hAnsi="Times New Roman" w:cs="Times New Roman"/>
        </w:rPr>
        <w:br w:type="page"/>
      </w:r>
    </w:p>
    <w:p w:rsidR="000A61E6" w:rsidRDefault="000A61E6">
      <w:pPr>
        <w:rPr>
          <w:rFonts w:ascii="Times New Roman" w:eastAsia="Arial" w:hAnsi="Times New Roman" w:cs="Times New Roman"/>
          <w:noProof/>
          <w:sz w:val="24"/>
          <w:szCs w:val="20"/>
        </w:rPr>
      </w:pPr>
    </w:p>
    <w:p w:rsidR="000D1C14" w:rsidRPr="00F30F64" w:rsidRDefault="000D1C14">
      <w:pPr>
        <w:rPr>
          <w:rFonts w:ascii="Times New Roman" w:eastAsia="Arial" w:hAnsi="Times New Roman" w:cs="Times New Roman"/>
          <w:noProof/>
          <w:sz w:val="24"/>
          <w:szCs w:val="20"/>
        </w:rPr>
      </w:pPr>
    </w:p>
    <w:p w:rsidR="00F30F64" w:rsidRPr="00F30F64" w:rsidRDefault="00F30F64">
      <w:pPr>
        <w:rPr>
          <w:rFonts w:ascii="Times New Roman" w:eastAsia="Arial" w:hAnsi="Times New Roman" w:cs="Times New Roman"/>
          <w:noProof/>
          <w:sz w:val="24"/>
          <w:szCs w:val="20"/>
        </w:rPr>
      </w:pPr>
    </w:p>
    <w:p w:rsidR="00F30F64" w:rsidRPr="00F30F64" w:rsidRDefault="00F30F64">
      <w:pPr>
        <w:rPr>
          <w:rFonts w:ascii="Times New Roman" w:eastAsia="Arial" w:hAnsi="Times New Roman" w:cs="Times New Roman"/>
          <w:noProof/>
          <w:sz w:val="24"/>
          <w:szCs w:val="20"/>
        </w:rPr>
      </w:pPr>
    </w:p>
    <w:p w:rsidR="00DB2100" w:rsidRPr="00F30F64" w:rsidRDefault="00DB2100" w:rsidP="00F30F64">
      <w:pPr>
        <w:jc w:val="center"/>
        <w:rPr>
          <w:rFonts w:ascii="Times New Roman" w:hAnsi="Times New Roman" w:cs="Times New Roman"/>
          <w:noProof/>
          <w:sz w:val="28"/>
          <w:szCs w:val="28"/>
        </w:rPr>
      </w:pPr>
      <w:r w:rsidRPr="00F30F64">
        <w:rPr>
          <w:rFonts w:ascii="Times New Roman" w:hAnsi="Times New Roman" w:cs="Times New Roman"/>
          <w:noProof/>
          <w:sz w:val="28"/>
          <w:szCs w:val="28"/>
        </w:rPr>
        <w:lastRenderedPageBreak/>
        <w:t>ESAO/G20 Projekts par nodokļu bāzes samazināšanu un peļņas novirzīšanu</w:t>
      </w:r>
    </w:p>
    <w:p w:rsidR="00DB2100" w:rsidRDefault="00DB2100" w:rsidP="00F30F64">
      <w:pPr>
        <w:jc w:val="center"/>
        <w:rPr>
          <w:rFonts w:ascii="Times New Roman" w:eastAsia="Palatino Linotype" w:hAnsi="Times New Roman" w:cs="Times New Roman"/>
          <w:noProof/>
          <w:sz w:val="24"/>
          <w:szCs w:val="36"/>
        </w:rPr>
      </w:pPr>
    </w:p>
    <w:p w:rsidR="00F30F64" w:rsidRDefault="00F30F64" w:rsidP="00F30F64">
      <w:pPr>
        <w:jc w:val="center"/>
        <w:rPr>
          <w:rFonts w:ascii="Times New Roman" w:eastAsia="Palatino Linotype" w:hAnsi="Times New Roman" w:cs="Times New Roman"/>
          <w:noProof/>
          <w:sz w:val="24"/>
          <w:szCs w:val="36"/>
        </w:rPr>
      </w:pPr>
    </w:p>
    <w:p w:rsidR="000D1C14" w:rsidRDefault="000D1C14" w:rsidP="00F30F64">
      <w:pPr>
        <w:jc w:val="center"/>
        <w:rPr>
          <w:rFonts w:ascii="Times New Roman" w:eastAsia="Palatino Linotype" w:hAnsi="Times New Roman" w:cs="Times New Roman"/>
          <w:noProof/>
          <w:sz w:val="24"/>
          <w:szCs w:val="36"/>
        </w:rPr>
      </w:pPr>
    </w:p>
    <w:p w:rsidR="00F30F64" w:rsidRDefault="00F30F64" w:rsidP="00F30F64">
      <w:pPr>
        <w:jc w:val="center"/>
        <w:rPr>
          <w:rFonts w:ascii="Times New Roman" w:eastAsia="Palatino Linotype" w:hAnsi="Times New Roman" w:cs="Times New Roman"/>
          <w:noProof/>
          <w:sz w:val="24"/>
          <w:szCs w:val="36"/>
        </w:rPr>
      </w:pPr>
    </w:p>
    <w:p w:rsidR="00F30F64" w:rsidRPr="00F30F64" w:rsidRDefault="00F30F64" w:rsidP="00F30F64">
      <w:pPr>
        <w:jc w:val="center"/>
        <w:rPr>
          <w:rFonts w:ascii="Times New Roman" w:eastAsia="Palatino Linotype" w:hAnsi="Times New Roman" w:cs="Times New Roman"/>
          <w:noProof/>
          <w:sz w:val="24"/>
          <w:szCs w:val="36"/>
        </w:rPr>
      </w:pPr>
    </w:p>
    <w:p w:rsidR="00DB2100" w:rsidRPr="00F30F64" w:rsidRDefault="00DB2100" w:rsidP="00F30F64">
      <w:pPr>
        <w:jc w:val="center"/>
        <w:rPr>
          <w:rFonts w:ascii="Times New Roman" w:hAnsi="Times New Roman" w:cs="Times New Roman"/>
          <w:b/>
          <w:noProof/>
          <w:sz w:val="52"/>
          <w:szCs w:val="52"/>
        </w:rPr>
      </w:pPr>
      <w:r w:rsidRPr="00F30F64">
        <w:rPr>
          <w:rFonts w:ascii="Times New Roman" w:hAnsi="Times New Roman" w:cs="Times New Roman"/>
          <w:b/>
          <w:noProof/>
          <w:sz w:val="52"/>
          <w:szCs w:val="52"/>
        </w:rPr>
        <w:t>Paskaidrojuma raksts</w:t>
      </w:r>
    </w:p>
    <w:p w:rsidR="00DB2100" w:rsidRDefault="00DB2100"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0D1C14" w:rsidRDefault="000D1C1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F30F64" w:rsidP="00F30F64">
      <w:pPr>
        <w:jc w:val="center"/>
        <w:rPr>
          <w:rFonts w:ascii="Times New Roman" w:eastAsia="Cambria" w:hAnsi="Times New Roman" w:cs="Times New Roman"/>
          <w:b/>
          <w:bCs/>
          <w:noProof/>
          <w:sz w:val="24"/>
          <w:szCs w:val="20"/>
        </w:rPr>
      </w:pPr>
    </w:p>
    <w:p w:rsidR="00F30F64" w:rsidRDefault="000D1C14" w:rsidP="00F30F64">
      <w:pPr>
        <w:jc w:val="center"/>
        <w:rPr>
          <w:rFonts w:ascii="Times New Roman" w:eastAsia="Cambria" w:hAnsi="Times New Roman" w:cs="Times New Roman"/>
          <w:b/>
          <w:bCs/>
          <w:noProof/>
          <w:sz w:val="24"/>
          <w:szCs w:val="20"/>
        </w:rPr>
      </w:pPr>
      <w:r>
        <w:rPr>
          <w:rFonts w:ascii="Times New Roman" w:eastAsia="Cambria" w:hAnsi="Times New Roman" w:cs="Times New Roman"/>
          <w:b/>
          <w:bCs/>
          <w:noProof/>
          <w:sz w:val="24"/>
          <w:szCs w:val="20"/>
          <w:lang w:bidi="ar-SA"/>
        </w:rPr>
        <w:drawing>
          <wp:inline distT="0" distB="0" distL="0" distR="0">
            <wp:extent cx="2076450" cy="78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6450" cy="781050"/>
                    </a:xfrm>
                    <a:prstGeom prst="rect">
                      <a:avLst/>
                    </a:prstGeom>
                    <a:noFill/>
                    <a:ln>
                      <a:noFill/>
                    </a:ln>
                  </pic:spPr>
                </pic:pic>
              </a:graphicData>
            </a:graphic>
          </wp:inline>
        </w:drawing>
      </w:r>
    </w:p>
    <w:p w:rsidR="00F30F64" w:rsidRDefault="00F30F64" w:rsidP="00F30F64">
      <w:pPr>
        <w:jc w:val="center"/>
        <w:rPr>
          <w:rFonts w:ascii="Times New Roman" w:eastAsia="Cambria" w:hAnsi="Times New Roman" w:cs="Times New Roman"/>
          <w:b/>
          <w:bCs/>
          <w:noProof/>
          <w:sz w:val="24"/>
          <w:szCs w:val="20"/>
        </w:rPr>
      </w:pPr>
    </w:p>
    <w:p w:rsidR="000A61E6" w:rsidRPr="00F30F64" w:rsidRDefault="000A61E6">
      <w:pPr>
        <w:rPr>
          <w:rFonts w:ascii="Times New Roman" w:eastAsia="Cambria" w:hAnsi="Times New Roman" w:cs="Times New Roman"/>
          <w:b/>
          <w:bCs/>
          <w:noProof/>
          <w:sz w:val="24"/>
          <w:szCs w:val="20"/>
        </w:rPr>
      </w:pPr>
      <w:r w:rsidRPr="00F30F64">
        <w:rPr>
          <w:rFonts w:ascii="Times New Roman" w:hAnsi="Times New Roman" w:cs="Times New Roman"/>
        </w:rPr>
        <w:br w:type="page"/>
      </w:r>
    </w:p>
    <w:p w:rsidR="000A61E6" w:rsidRPr="000D1C14" w:rsidRDefault="000A61E6" w:rsidP="000A61E6">
      <w:pPr>
        <w:jc w:val="both"/>
        <w:rPr>
          <w:rFonts w:ascii="Times New Roman" w:hAnsi="Times New Roman" w:cs="Times New Roman"/>
          <w:b/>
          <w:noProof/>
          <w:sz w:val="20"/>
          <w:szCs w:val="20"/>
        </w:rPr>
      </w:pPr>
      <w:r w:rsidRPr="000D1C14">
        <w:rPr>
          <w:rFonts w:ascii="Times New Roman" w:hAnsi="Times New Roman" w:cs="Times New Roman"/>
          <w:b/>
          <w:noProof/>
          <w:sz w:val="20"/>
          <w:szCs w:val="20"/>
        </w:rPr>
        <w:lastRenderedPageBreak/>
        <w:t>Citējot šo publikāciju, lūdzam izmantot šādu atsauci:</w:t>
      </w:r>
    </w:p>
    <w:p w:rsidR="000A61E6" w:rsidRPr="000D1C14" w:rsidRDefault="000A61E6" w:rsidP="000A61E6">
      <w:pPr>
        <w:jc w:val="both"/>
        <w:rPr>
          <w:rFonts w:ascii="Times New Roman" w:eastAsia="Palatino Linotype" w:hAnsi="Times New Roman" w:cs="Times New Roman"/>
          <w:noProof/>
          <w:sz w:val="20"/>
          <w:szCs w:val="20"/>
        </w:rPr>
      </w:pPr>
      <w:r w:rsidRPr="000D1C14">
        <w:rPr>
          <w:rFonts w:ascii="Times New Roman" w:hAnsi="Times New Roman" w:cs="Times New Roman"/>
          <w:noProof/>
          <w:sz w:val="20"/>
          <w:szCs w:val="20"/>
        </w:rPr>
        <w:t>ESAO (2015. gads), Paskaidrojuma raksts, ESAO/G20, Nodokļu bāzes samazināšanas un peļņas novirzīšanas projekts, ESAO.</w:t>
      </w:r>
    </w:p>
    <w:p w:rsidR="000A61E6" w:rsidRPr="000D1C14" w:rsidRDefault="004F281A" w:rsidP="000A61E6">
      <w:pPr>
        <w:jc w:val="both"/>
        <w:rPr>
          <w:rFonts w:ascii="Times New Roman" w:eastAsia="Book Antiqua" w:hAnsi="Times New Roman" w:cs="Times New Roman"/>
          <w:noProof/>
          <w:sz w:val="20"/>
          <w:szCs w:val="20"/>
        </w:rPr>
      </w:pPr>
      <w:hyperlink r:id="rId11">
        <w:r w:rsidR="0083028A" w:rsidRPr="000D1C14">
          <w:rPr>
            <w:rFonts w:ascii="Times New Roman" w:hAnsi="Times New Roman" w:cs="Times New Roman"/>
            <w:i/>
            <w:noProof/>
            <w:sz w:val="20"/>
            <w:szCs w:val="20"/>
          </w:rPr>
          <w:t>www.oecd.org/tax/beps-explanatory-statement-2015.pdf</w:t>
        </w:r>
      </w:hyperlink>
    </w:p>
    <w:p w:rsidR="00DB2100" w:rsidRDefault="00DB2100"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Default="000D1C14" w:rsidP="000A61E6">
      <w:pPr>
        <w:jc w:val="both"/>
        <w:rPr>
          <w:rFonts w:ascii="Times New Roman" w:eastAsia="Cambria" w:hAnsi="Times New Roman" w:cs="Times New Roman"/>
          <w:b/>
          <w:bCs/>
          <w:noProof/>
          <w:sz w:val="24"/>
          <w:szCs w:val="18"/>
        </w:rPr>
      </w:pPr>
    </w:p>
    <w:p w:rsidR="000D1C14" w:rsidRPr="00F30F64" w:rsidRDefault="000D1C14" w:rsidP="000A61E6">
      <w:pPr>
        <w:jc w:val="both"/>
        <w:rPr>
          <w:rFonts w:ascii="Times New Roman" w:eastAsia="Cambria" w:hAnsi="Times New Roman" w:cs="Times New Roman"/>
          <w:b/>
          <w:bCs/>
          <w:noProof/>
          <w:sz w:val="24"/>
          <w:szCs w:val="18"/>
        </w:rPr>
      </w:pPr>
    </w:p>
    <w:p w:rsidR="00DB2100" w:rsidRPr="000D1C14" w:rsidRDefault="00DB2100" w:rsidP="000A61E6">
      <w:pPr>
        <w:jc w:val="both"/>
        <w:rPr>
          <w:rFonts w:ascii="Times New Roman" w:eastAsia="Palatino Linotype" w:hAnsi="Times New Roman" w:cs="Times New Roman"/>
          <w:noProof/>
          <w:sz w:val="20"/>
          <w:szCs w:val="20"/>
        </w:rPr>
      </w:pPr>
      <w:r w:rsidRPr="000D1C14">
        <w:rPr>
          <w:rFonts w:ascii="Times New Roman" w:hAnsi="Times New Roman" w:cs="Times New Roman"/>
          <w:b/>
          <w:noProof/>
          <w:sz w:val="20"/>
          <w:szCs w:val="20"/>
        </w:rPr>
        <w:t xml:space="preserve">Izmantotās fotogrāfijas: </w:t>
      </w:r>
      <w:r w:rsidRPr="000D1C14">
        <w:rPr>
          <w:rFonts w:ascii="Times New Roman" w:hAnsi="Times New Roman" w:cs="Times New Roman"/>
          <w:noProof/>
          <w:sz w:val="20"/>
          <w:szCs w:val="20"/>
        </w:rPr>
        <w:t xml:space="preserve">Vāks © </w:t>
      </w:r>
      <w:r w:rsidRPr="000D1C14">
        <w:rPr>
          <w:rFonts w:ascii="Times New Roman" w:hAnsi="Times New Roman" w:cs="Times New Roman"/>
          <w:i/>
          <w:noProof/>
          <w:sz w:val="20"/>
          <w:szCs w:val="20"/>
        </w:rPr>
        <w:t>ninog</w:t>
      </w:r>
      <w:r w:rsidRPr="000D1C14">
        <w:rPr>
          <w:rFonts w:ascii="Times New Roman" w:hAnsi="Times New Roman" w:cs="Times New Roman"/>
          <w:noProof/>
          <w:sz w:val="20"/>
          <w:szCs w:val="20"/>
        </w:rPr>
        <w:t xml:space="preserve"> – </w:t>
      </w:r>
      <w:r w:rsidRPr="000D1C14">
        <w:rPr>
          <w:rFonts w:ascii="Times New Roman" w:hAnsi="Times New Roman" w:cs="Times New Roman"/>
          <w:i/>
          <w:noProof/>
          <w:sz w:val="20"/>
          <w:szCs w:val="20"/>
        </w:rPr>
        <w:t>Fotolia.com</w:t>
      </w:r>
    </w:p>
    <w:p w:rsidR="00DB2100" w:rsidRPr="000D1C14" w:rsidRDefault="00DB2100" w:rsidP="000A61E6">
      <w:pPr>
        <w:jc w:val="both"/>
        <w:rPr>
          <w:rFonts w:ascii="Times New Roman" w:eastAsia="Palatino Linotype" w:hAnsi="Times New Roman" w:cs="Times New Roman"/>
          <w:noProof/>
          <w:sz w:val="20"/>
          <w:szCs w:val="20"/>
        </w:rPr>
      </w:pPr>
    </w:p>
    <w:p w:rsidR="00DB2100" w:rsidRPr="000D1C14" w:rsidRDefault="00DB2100" w:rsidP="000A61E6">
      <w:pPr>
        <w:jc w:val="both"/>
        <w:rPr>
          <w:rFonts w:ascii="Times New Roman" w:hAnsi="Times New Roman" w:cs="Times New Roman"/>
          <w:noProof/>
          <w:sz w:val="20"/>
          <w:szCs w:val="20"/>
        </w:rPr>
      </w:pPr>
      <w:r w:rsidRPr="000D1C14">
        <w:rPr>
          <w:rFonts w:ascii="Times New Roman" w:hAnsi="Times New Roman" w:cs="Times New Roman"/>
          <w:noProof/>
          <w:sz w:val="20"/>
          <w:szCs w:val="20"/>
        </w:rPr>
        <w:t>© ESAO 2015. gads</w:t>
      </w:r>
    </w:p>
    <w:p w:rsidR="00DB2100" w:rsidRPr="000D1C14" w:rsidRDefault="00DB2100" w:rsidP="000A61E6">
      <w:pPr>
        <w:jc w:val="both"/>
        <w:rPr>
          <w:rFonts w:ascii="Times New Roman" w:eastAsia="Palatino Linotype" w:hAnsi="Times New Roman" w:cs="Times New Roman"/>
          <w:noProof/>
          <w:sz w:val="20"/>
          <w:szCs w:val="20"/>
        </w:rPr>
      </w:pPr>
    </w:p>
    <w:p w:rsidR="00DB2100" w:rsidRPr="000D1C14" w:rsidRDefault="00DB2100" w:rsidP="000A61E6">
      <w:pPr>
        <w:jc w:val="both"/>
        <w:rPr>
          <w:rFonts w:ascii="Times New Roman" w:eastAsia="Palatino Linotype" w:hAnsi="Times New Roman" w:cs="Times New Roman"/>
          <w:noProof/>
          <w:sz w:val="20"/>
          <w:szCs w:val="20"/>
        </w:rPr>
      </w:pPr>
      <w:r w:rsidRPr="000D1C14">
        <w:rPr>
          <w:rFonts w:ascii="Times New Roman" w:hAnsi="Times New Roman" w:cs="Times New Roman"/>
          <w:noProof/>
          <w:sz w:val="20"/>
          <w:szCs w:val="20"/>
        </w:rPr>
        <w:t xml:space="preserve">Šīs ESAO publikācijas saturu var kopēt, lejupielādēt un drukāt savām vajadzībām, un izvilkumus no ESAO publikācijām, datu bāzēm un multivides produktiem var iekļaut savos dokumentos, prezentācijās, emuāros, tīmekļa vietnēs un mācību materiālos, pievienojot atbilstošu norādi par informācijas avotu un autortiesību īpašnieku. Publiskas vai komerciālas izmantošanas un tulkošanas tiesību pieprasījumi jāiesniedz </w:t>
      </w:r>
      <w:hyperlink r:id="rId12">
        <w:r w:rsidRPr="000D1C14">
          <w:rPr>
            <w:rFonts w:ascii="Times New Roman" w:hAnsi="Times New Roman" w:cs="Times New Roman"/>
            <w:i/>
            <w:noProof/>
            <w:sz w:val="20"/>
            <w:szCs w:val="20"/>
          </w:rPr>
          <w:t>rights@oecd.org</w:t>
        </w:r>
        <w:r w:rsidRPr="000D1C14">
          <w:rPr>
            <w:rFonts w:ascii="Times New Roman" w:hAnsi="Times New Roman" w:cs="Times New Roman"/>
            <w:noProof/>
            <w:sz w:val="20"/>
            <w:szCs w:val="20"/>
          </w:rPr>
          <w:t>.</w:t>
        </w:r>
      </w:hyperlink>
      <w:r w:rsidRPr="000D1C14">
        <w:rPr>
          <w:rFonts w:ascii="Times New Roman" w:hAnsi="Times New Roman" w:cs="Times New Roman"/>
          <w:noProof/>
          <w:sz w:val="20"/>
          <w:szCs w:val="20"/>
        </w:rPr>
        <w:t xml:space="preserve"> Šī materiāla fotokopēšanas atļaujas pieprasījums publiskai vai komerciālai izmantošanai jāsūta tieši Autortiesību atļauju centram [</w:t>
      </w:r>
      <w:r w:rsidRPr="000D1C14">
        <w:rPr>
          <w:rFonts w:ascii="Times New Roman" w:hAnsi="Times New Roman" w:cs="Times New Roman"/>
          <w:i/>
          <w:noProof/>
          <w:sz w:val="20"/>
          <w:szCs w:val="20"/>
        </w:rPr>
        <w:t>Copyright Clearance Center</w:t>
      </w:r>
      <w:r w:rsidRPr="000D1C14">
        <w:rPr>
          <w:rFonts w:ascii="Times New Roman" w:hAnsi="Times New Roman" w:cs="Times New Roman"/>
          <w:noProof/>
          <w:sz w:val="20"/>
          <w:szCs w:val="20"/>
        </w:rPr>
        <w:t xml:space="preserve"> (</w:t>
      </w:r>
      <w:r w:rsidRPr="000D1C14">
        <w:rPr>
          <w:rFonts w:ascii="Times New Roman" w:hAnsi="Times New Roman" w:cs="Times New Roman"/>
          <w:i/>
          <w:noProof/>
          <w:sz w:val="20"/>
          <w:szCs w:val="20"/>
        </w:rPr>
        <w:t>CCC</w:t>
      </w:r>
      <w:r w:rsidRPr="000D1C14">
        <w:rPr>
          <w:rFonts w:ascii="Times New Roman" w:hAnsi="Times New Roman" w:cs="Times New Roman"/>
          <w:noProof/>
          <w:sz w:val="20"/>
          <w:szCs w:val="20"/>
        </w:rPr>
        <w:t xml:space="preserve">)] uz e-pasta adresi </w:t>
      </w:r>
      <w:hyperlink r:id="rId13">
        <w:r w:rsidRPr="000D1C14">
          <w:rPr>
            <w:rFonts w:ascii="Times New Roman" w:hAnsi="Times New Roman" w:cs="Times New Roman"/>
            <w:i/>
            <w:noProof/>
            <w:sz w:val="20"/>
            <w:szCs w:val="20"/>
          </w:rPr>
          <w:t>info@copyright.com</w:t>
        </w:r>
      </w:hyperlink>
      <w:r w:rsidRPr="000D1C14">
        <w:rPr>
          <w:rFonts w:ascii="Times New Roman" w:hAnsi="Times New Roman" w:cs="Times New Roman"/>
          <w:sz w:val="20"/>
          <w:szCs w:val="20"/>
        </w:rPr>
        <w:t xml:space="preserve"> vai </w:t>
      </w:r>
      <w:r w:rsidRPr="000D1C14">
        <w:rPr>
          <w:rFonts w:ascii="Times New Roman" w:hAnsi="Times New Roman" w:cs="Times New Roman"/>
          <w:i/>
          <w:noProof/>
          <w:sz w:val="20"/>
          <w:szCs w:val="20"/>
        </w:rPr>
        <w:t>Centre francais d’exploitation du droit de copie</w:t>
      </w:r>
      <w:r w:rsidRPr="000D1C14">
        <w:rPr>
          <w:rFonts w:ascii="Times New Roman" w:hAnsi="Times New Roman" w:cs="Times New Roman"/>
          <w:noProof/>
          <w:sz w:val="20"/>
          <w:szCs w:val="20"/>
        </w:rPr>
        <w:t xml:space="preserve"> uz e-pasta adresi </w:t>
      </w:r>
      <w:hyperlink r:id="rId14">
        <w:r w:rsidRPr="000D1C14">
          <w:rPr>
            <w:rFonts w:ascii="Times New Roman" w:hAnsi="Times New Roman" w:cs="Times New Roman"/>
            <w:i/>
            <w:noProof/>
            <w:sz w:val="20"/>
            <w:szCs w:val="20"/>
          </w:rPr>
          <w:t>contact@cfcopies.com</w:t>
        </w:r>
      </w:hyperlink>
      <w:r w:rsidRPr="000D1C14">
        <w:rPr>
          <w:rFonts w:ascii="Times New Roman" w:hAnsi="Times New Roman" w:cs="Times New Roman"/>
          <w:sz w:val="20"/>
          <w:szCs w:val="20"/>
        </w:rPr>
        <w:t>.</w:t>
      </w:r>
    </w:p>
    <w:p w:rsidR="000A61E6" w:rsidRPr="00F30F64" w:rsidRDefault="000A61E6">
      <w:pPr>
        <w:rPr>
          <w:rFonts w:ascii="Times New Roman" w:eastAsia="Times New Roman" w:hAnsi="Times New Roman" w:cs="Times New Roman"/>
          <w:noProof/>
          <w:sz w:val="24"/>
          <w:szCs w:val="2"/>
        </w:rPr>
      </w:pPr>
      <w:r w:rsidRPr="00F30F64">
        <w:rPr>
          <w:rFonts w:ascii="Times New Roman" w:hAnsi="Times New Roman" w:cs="Times New Roman"/>
        </w:rPr>
        <w:br w:type="page"/>
      </w:r>
    </w:p>
    <w:p w:rsidR="00DB2100" w:rsidRDefault="00DB2100" w:rsidP="000D1C14">
      <w:pPr>
        <w:jc w:val="center"/>
        <w:rPr>
          <w:rFonts w:ascii="Times New Roman" w:hAnsi="Times New Roman" w:cs="Times New Roman"/>
          <w:i/>
          <w:noProof/>
          <w:sz w:val="28"/>
          <w:szCs w:val="28"/>
        </w:rPr>
      </w:pPr>
      <w:r w:rsidRPr="000D1C14">
        <w:rPr>
          <w:rFonts w:ascii="Times New Roman" w:hAnsi="Times New Roman" w:cs="Times New Roman"/>
          <w:i/>
          <w:noProof/>
          <w:sz w:val="28"/>
          <w:szCs w:val="28"/>
        </w:rPr>
        <w:lastRenderedPageBreak/>
        <w:t>Satura rādītājs</w:t>
      </w:r>
      <w:bookmarkStart w:id="0" w:name="Table_of_contents"/>
      <w:bookmarkEnd w:id="0"/>
    </w:p>
    <w:p w:rsidR="004F281A" w:rsidRPr="000D1C14" w:rsidRDefault="004F281A" w:rsidP="000D1C14">
      <w:pPr>
        <w:jc w:val="center"/>
        <w:rPr>
          <w:rFonts w:ascii="Times New Roman" w:hAnsi="Times New Roman" w:cs="Times New Roman"/>
          <w:i/>
          <w:noProof/>
          <w:sz w:val="28"/>
          <w:szCs w:val="28"/>
        </w:rPr>
      </w:pPr>
    </w:p>
    <w:sdt>
      <w:sdtPr>
        <w:rPr>
          <w:rFonts w:ascii="Times New Roman" w:hAnsi="Times New Roman" w:cs="Times New Roman"/>
          <w:sz w:val="24"/>
          <w:szCs w:val="24"/>
        </w:rPr>
        <w:id w:val="656039223"/>
        <w:docPartObj>
          <w:docPartGallery w:val="Table of Contents"/>
          <w:docPartUnique/>
        </w:docPartObj>
      </w:sdtPr>
      <w:sdtEndPr>
        <w:rPr>
          <w:rFonts w:eastAsiaTheme="minorHAnsi"/>
          <w:b/>
          <w:bCs/>
          <w:noProof/>
          <w:color w:val="auto"/>
          <w:lang w:val="lv-LV" w:eastAsia="lv-LV" w:bidi="lv-LV"/>
        </w:rPr>
      </w:sdtEndPr>
      <w:sdtContent>
        <w:p w:rsidR="004F281A" w:rsidRPr="004F281A" w:rsidRDefault="004F281A" w:rsidP="004F281A">
          <w:pPr>
            <w:pStyle w:val="TOCHeading"/>
            <w:keepNext w:val="0"/>
            <w:keepLines w:val="0"/>
            <w:spacing w:before="0" w:line="240" w:lineRule="auto"/>
            <w:rPr>
              <w:rFonts w:ascii="Times New Roman" w:hAnsi="Times New Roman" w:cs="Times New Roman"/>
              <w:sz w:val="24"/>
              <w:szCs w:val="24"/>
            </w:rPr>
          </w:pPr>
        </w:p>
        <w:p w:rsidR="004F281A" w:rsidRPr="004F281A" w:rsidRDefault="004F281A" w:rsidP="004F281A">
          <w:pPr>
            <w:pStyle w:val="TOC1"/>
            <w:tabs>
              <w:tab w:val="right" w:leader="dot" w:pos="9062"/>
            </w:tabs>
            <w:spacing w:before="0"/>
            <w:ind w:left="0"/>
            <w:rPr>
              <w:rFonts w:eastAsiaTheme="minorEastAsia" w:cs="Times New Roman"/>
              <w:bCs w:val="0"/>
              <w:noProof/>
              <w:sz w:val="24"/>
              <w:szCs w:val="24"/>
              <w:lang w:bidi="ar-SA"/>
            </w:rPr>
          </w:pPr>
          <w:r w:rsidRPr="004F281A">
            <w:rPr>
              <w:rFonts w:cs="Times New Roman"/>
              <w:sz w:val="24"/>
              <w:szCs w:val="24"/>
            </w:rPr>
            <w:fldChar w:fldCharType="begin"/>
          </w:r>
          <w:r w:rsidRPr="004F281A">
            <w:rPr>
              <w:rFonts w:cs="Times New Roman"/>
              <w:sz w:val="24"/>
              <w:szCs w:val="24"/>
            </w:rPr>
            <w:instrText xml:space="preserve"> TOC \o "1-3" \h \z \u </w:instrText>
          </w:r>
          <w:r w:rsidRPr="004F281A">
            <w:rPr>
              <w:rFonts w:cs="Times New Roman"/>
              <w:sz w:val="24"/>
              <w:szCs w:val="24"/>
            </w:rPr>
            <w:fldChar w:fldCharType="separate"/>
          </w:r>
          <w:hyperlink w:anchor="_Toc457555829" w:history="1">
            <w:r w:rsidRPr="004F281A">
              <w:rPr>
                <w:rStyle w:val="Hyperlink"/>
                <w:rFonts w:cs="Times New Roman"/>
                <w:noProof/>
                <w:sz w:val="24"/>
                <w:szCs w:val="24"/>
              </w:rPr>
              <w:t>Ievads</w:t>
            </w:r>
            <w:r w:rsidRPr="004F281A">
              <w:rPr>
                <w:rFonts w:cs="Times New Roman"/>
                <w:noProof/>
                <w:webHidden/>
                <w:sz w:val="24"/>
                <w:szCs w:val="24"/>
              </w:rPr>
              <w:tab/>
            </w:r>
            <w:r w:rsidRPr="004F281A">
              <w:rPr>
                <w:rFonts w:cs="Times New Roman"/>
                <w:noProof/>
                <w:webHidden/>
                <w:sz w:val="24"/>
                <w:szCs w:val="24"/>
              </w:rPr>
              <w:fldChar w:fldCharType="begin"/>
            </w:r>
            <w:r w:rsidRPr="004F281A">
              <w:rPr>
                <w:rFonts w:cs="Times New Roman"/>
                <w:noProof/>
                <w:webHidden/>
                <w:sz w:val="24"/>
                <w:szCs w:val="24"/>
              </w:rPr>
              <w:instrText xml:space="preserve"> PAGEREF _Toc457555829 \h </w:instrText>
            </w:r>
            <w:r w:rsidRPr="004F281A">
              <w:rPr>
                <w:rFonts w:cs="Times New Roman"/>
                <w:noProof/>
                <w:webHidden/>
                <w:sz w:val="24"/>
                <w:szCs w:val="24"/>
              </w:rPr>
            </w:r>
            <w:r w:rsidRPr="004F281A">
              <w:rPr>
                <w:rFonts w:cs="Times New Roman"/>
                <w:noProof/>
                <w:webHidden/>
                <w:sz w:val="24"/>
                <w:szCs w:val="24"/>
              </w:rPr>
              <w:fldChar w:fldCharType="separate"/>
            </w:r>
            <w:r w:rsidRPr="004F281A">
              <w:rPr>
                <w:rFonts w:cs="Times New Roman"/>
                <w:noProof/>
                <w:webHidden/>
                <w:sz w:val="24"/>
                <w:szCs w:val="24"/>
              </w:rPr>
              <w:t>5</w:t>
            </w:r>
            <w:r w:rsidRPr="004F281A">
              <w:rPr>
                <w:rFonts w:cs="Times New Roman"/>
                <w:noProof/>
                <w:webHidden/>
                <w:sz w:val="24"/>
                <w:szCs w:val="24"/>
              </w:rPr>
              <w:fldChar w:fldCharType="end"/>
            </w:r>
          </w:hyperlink>
        </w:p>
        <w:p w:rsidR="004F281A" w:rsidRPr="004F281A" w:rsidRDefault="004F281A" w:rsidP="004F281A">
          <w:pPr>
            <w:pStyle w:val="TOC1"/>
            <w:tabs>
              <w:tab w:val="right" w:leader="dot" w:pos="9062"/>
            </w:tabs>
            <w:spacing w:before="0"/>
            <w:ind w:left="0"/>
            <w:rPr>
              <w:rStyle w:val="Hyperlink"/>
              <w:rFonts w:cs="Times New Roman"/>
              <w:b w:val="0"/>
              <w:noProof/>
              <w:sz w:val="24"/>
              <w:szCs w:val="24"/>
            </w:rPr>
          </w:pPr>
        </w:p>
        <w:p w:rsidR="004F281A" w:rsidRPr="004F281A" w:rsidRDefault="004F281A" w:rsidP="004F281A">
          <w:pPr>
            <w:pStyle w:val="TOC1"/>
            <w:tabs>
              <w:tab w:val="right" w:leader="dot" w:pos="9062"/>
            </w:tabs>
            <w:spacing w:before="0"/>
            <w:ind w:left="0"/>
            <w:rPr>
              <w:rFonts w:eastAsiaTheme="minorEastAsia" w:cs="Times New Roman"/>
              <w:bCs w:val="0"/>
              <w:noProof/>
              <w:sz w:val="24"/>
              <w:szCs w:val="24"/>
              <w:lang w:bidi="ar-SA"/>
            </w:rPr>
          </w:pPr>
          <w:hyperlink w:anchor="_Toc457555830" w:history="1">
            <w:r w:rsidRPr="004F281A">
              <w:rPr>
                <w:rStyle w:val="Hyperlink"/>
                <w:rFonts w:cs="Times New Roman"/>
                <w:noProof/>
                <w:sz w:val="24"/>
                <w:szCs w:val="24"/>
              </w:rPr>
              <w:t>Rezultāti, kas līdz šim sasniegti BEPS projektā</w:t>
            </w:r>
            <w:r w:rsidRPr="004F281A">
              <w:rPr>
                <w:rFonts w:cs="Times New Roman"/>
                <w:noProof/>
                <w:webHidden/>
                <w:sz w:val="24"/>
                <w:szCs w:val="24"/>
              </w:rPr>
              <w:tab/>
            </w:r>
            <w:r w:rsidRPr="004F281A">
              <w:rPr>
                <w:rFonts w:cs="Times New Roman"/>
                <w:noProof/>
                <w:webHidden/>
                <w:sz w:val="24"/>
                <w:szCs w:val="24"/>
              </w:rPr>
              <w:fldChar w:fldCharType="begin"/>
            </w:r>
            <w:r w:rsidRPr="004F281A">
              <w:rPr>
                <w:rFonts w:cs="Times New Roman"/>
                <w:noProof/>
                <w:webHidden/>
                <w:sz w:val="24"/>
                <w:szCs w:val="24"/>
              </w:rPr>
              <w:instrText xml:space="preserve"> PAGEREF _Toc457555830 \h </w:instrText>
            </w:r>
            <w:r w:rsidRPr="004F281A">
              <w:rPr>
                <w:rFonts w:cs="Times New Roman"/>
                <w:noProof/>
                <w:webHidden/>
                <w:sz w:val="24"/>
                <w:szCs w:val="24"/>
              </w:rPr>
            </w:r>
            <w:r w:rsidRPr="004F281A">
              <w:rPr>
                <w:rFonts w:cs="Times New Roman"/>
                <w:noProof/>
                <w:webHidden/>
                <w:sz w:val="24"/>
                <w:szCs w:val="24"/>
              </w:rPr>
              <w:fldChar w:fldCharType="separate"/>
            </w:r>
            <w:r w:rsidRPr="004F281A">
              <w:rPr>
                <w:rFonts w:cs="Times New Roman"/>
                <w:noProof/>
                <w:webHidden/>
                <w:sz w:val="24"/>
                <w:szCs w:val="24"/>
              </w:rPr>
              <w:t>7</w:t>
            </w:r>
            <w:r w:rsidRPr="004F281A">
              <w:rPr>
                <w:rFonts w:cs="Times New Roman"/>
                <w:noProof/>
                <w:webHidden/>
                <w:sz w:val="24"/>
                <w:szCs w:val="24"/>
              </w:rPr>
              <w:fldChar w:fldCharType="end"/>
            </w:r>
          </w:hyperlink>
        </w:p>
        <w:p w:rsidR="004F281A" w:rsidRPr="004F281A" w:rsidRDefault="004F281A" w:rsidP="004F281A">
          <w:pPr>
            <w:pStyle w:val="TOC1"/>
            <w:tabs>
              <w:tab w:val="right" w:leader="dot" w:pos="9062"/>
            </w:tabs>
            <w:spacing w:before="0"/>
            <w:ind w:left="0"/>
            <w:rPr>
              <w:rStyle w:val="Hyperlink"/>
              <w:rFonts w:cs="Times New Roman"/>
              <w:b w:val="0"/>
              <w:noProof/>
              <w:sz w:val="24"/>
              <w:szCs w:val="24"/>
            </w:rPr>
          </w:pPr>
        </w:p>
        <w:p w:rsidR="004F281A" w:rsidRPr="004F281A" w:rsidRDefault="004F281A" w:rsidP="004F281A">
          <w:pPr>
            <w:pStyle w:val="TOC1"/>
            <w:tabs>
              <w:tab w:val="right" w:leader="dot" w:pos="9062"/>
            </w:tabs>
            <w:spacing w:before="0"/>
            <w:ind w:left="0"/>
            <w:rPr>
              <w:rFonts w:eastAsiaTheme="minorEastAsia" w:cs="Times New Roman"/>
              <w:bCs w:val="0"/>
              <w:noProof/>
              <w:sz w:val="24"/>
              <w:szCs w:val="24"/>
              <w:lang w:bidi="ar-SA"/>
            </w:rPr>
          </w:pPr>
          <w:hyperlink w:anchor="_Toc457555831" w:history="1">
            <w:r w:rsidRPr="004F281A">
              <w:rPr>
                <w:rStyle w:val="Hyperlink"/>
                <w:rFonts w:cs="Times New Roman"/>
                <w:noProof/>
                <w:sz w:val="24"/>
                <w:szCs w:val="24"/>
              </w:rPr>
              <w:t>Vide pēc BEPS projekta īstenošanas</w:t>
            </w:r>
            <w:r w:rsidRPr="004F281A">
              <w:rPr>
                <w:rFonts w:cs="Times New Roman"/>
                <w:noProof/>
                <w:webHidden/>
                <w:sz w:val="24"/>
                <w:szCs w:val="24"/>
              </w:rPr>
              <w:tab/>
            </w:r>
            <w:r w:rsidRPr="004F281A">
              <w:rPr>
                <w:rFonts w:cs="Times New Roman"/>
                <w:noProof/>
                <w:webHidden/>
                <w:sz w:val="24"/>
                <w:szCs w:val="24"/>
              </w:rPr>
              <w:fldChar w:fldCharType="begin"/>
            </w:r>
            <w:r w:rsidRPr="004F281A">
              <w:rPr>
                <w:rFonts w:cs="Times New Roman"/>
                <w:noProof/>
                <w:webHidden/>
                <w:sz w:val="24"/>
                <w:szCs w:val="24"/>
              </w:rPr>
              <w:instrText xml:space="preserve"> PAGEREF _Toc457555831 \h </w:instrText>
            </w:r>
            <w:r w:rsidRPr="004F281A">
              <w:rPr>
                <w:rFonts w:cs="Times New Roman"/>
                <w:noProof/>
                <w:webHidden/>
                <w:sz w:val="24"/>
                <w:szCs w:val="24"/>
              </w:rPr>
            </w:r>
            <w:r w:rsidRPr="004F281A">
              <w:rPr>
                <w:rFonts w:cs="Times New Roman"/>
                <w:noProof/>
                <w:webHidden/>
                <w:sz w:val="24"/>
                <w:szCs w:val="24"/>
              </w:rPr>
              <w:fldChar w:fldCharType="separate"/>
            </w:r>
            <w:r w:rsidRPr="004F281A">
              <w:rPr>
                <w:rFonts w:cs="Times New Roman"/>
                <w:noProof/>
                <w:webHidden/>
                <w:sz w:val="24"/>
                <w:szCs w:val="24"/>
              </w:rPr>
              <w:t>10</w:t>
            </w:r>
            <w:r w:rsidRPr="004F281A">
              <w:rPr>
                <w:rFonts w:cs="Times New Roman"/>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32" w:history="1">
            <w:r w:rsidRPr="004F281A">
              <w:rPr>
                <w:rStyle w:val="Hyperlink"/>
                <w:rFonts w:cs="Times New Roman"/>
                <w:b w:val="0"/>
                <w:i w:val="0"/>
                <w:noProof/>
                <w:sz w:val="24"/>
                <w:szCs w:val="24"/>
              </w:rPr>
              <w:t>A. Ieviešana sākas pašlaik</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_Toc457555832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10</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33" w:history="1">
            <w:r w:rsidRPr="004F281A">
              <w:rPr>
                <w:rStyle w:val="Hyperlink"/>
                <w:rFonts w:cs="Times New Roman"/>
                <w:b w:val="0"/>
                <w:i w:val="0"/>
                <w:noProof/>
                <w:sz w:val="24"/>
                <w:szCs w:val="24"/>
              </w:rPr>
              <w:t>B. Ieviešanas un ietekmes uzraudzība</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_Toc457555833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12</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34" w:history="1">
            <w:r w:rsidRPr="004F281A">
              <w:rPr>
                <w:rStyle w:val="Hyperlink"/>
                <w:rFonts w:cs="Times New Roman"/>
                <w:b w:val="0"/>
                <w:i w:val="0"/>
                <w:noProof/>
                <w:sz w:val="24"/>
                <w:szCs w:val="24"/>
              </w:rPr>
              <w:t>C. Plaša satvara izstrāde</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_Toc457555834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12</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35" w:history="1">
            <w:r w:rsidRPr="004F281A">
              <w:rPr>
                <w:rStyle w:val="Hyperlink"/>
                <w:rFonts w:cs="Times New Roman"/>
                <w:b w:val="0"/>
                <w:i w:val="0"/>
                <w:noProof/>
                <w:sz w:val="24"/>
                <w:szCs w:val="24"/>
              </w:rPr>
              <w:t>D. Turpmākie soļi</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_Toc457555835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12</w:t>
            </w:r>
            <w:r w:rsidRPr="004F281A">
              <w:rPr>
                <w:rFonts w:cs="Times New Roman"/>
                <w:b w:val="0"/>
                <w:i w:val="0"/>
                <w:noProof/>
                <w:webHidden/>
                <w:sz w:val="24"/>
                <w:szCs w:val="24"/>
              </w:rPr>
              <w:fldChar w:fldCharType="end"/>
            </w:r>
          </w:hyperlink>
        </w:p>
        <w:p w:rsidR="004F281A" w:rsidRPr="004F281A" w:rsidRDefault="004F281A" w:rsidP="004F281A">
          <w:pPr>
            <w:pStyle w:val="TOC1"/>
            <w:tabs>
              <w:tab w:val="right" w:leader="dot" w:pos="9062"/>
            </w:tabs>
            <w:spacing w:before="0"/>
            <w:ind w:left="0"/>
            <w:rPr>
              <w:rStyle w:val="Hyperlink"/>
              <w:rFonts w:cs="Times New Roman"/>
              <w:b w:val="0"/>
              <w:noProof/>
              <w:sz w:val="24"/>
              <w:szCs w:val="24"/>
            </w:rPr>
          </w:pPr>
        </w:p>
        <w:p w:rsidR="004F281A" w:rsidRPr="004F281A" w:rsidRDefault="004F281A" w:rsidP="004F281A">
          <w:pPr>
            <w:pStyle w:val="TOC1"/>
            <w:tabs>
              <w:tab w:val="right" w:leader="dot" w:pos="9062"/>
            </w:tabs>
            <w:spacing w:before="0"/>
            <w:ind w:left="0"/>
            <w:rPr>
              <w:rFonts w:eastAsiaTheme="minorEastAsia" w:cs="Times New Roman"/>
              <w:bCs w:val="0"/>
              <w:noProof/>
              <w:sz w:val="24"/>
              <w:szCs w:val="24"/>
              <w:lang w:bidi="ar-SA"/>
            </w:rPr>
          </w:pPr>
          <w:hyperlink w:anchor="_Toc457555836" w:history="1">
            <w:r w:rsidRPr="004F281A">
              <w:rPr>
                <w:rStyle w:val="Hyperlink"/>
                <w:rFonts w:cs="Times New Roman"/>
                <w:i/>
                <w:noProof/>
                <w:sz w:val="24"/>
                <w:szCs w:val="24"/>
              </w:rPr>
              <w:t>A pielikums</w:t>
            </w:r>
            <w:r w:rsidRPr="004F281A">
              <w:rPr>
                <w:rStyle w:val="Hyperlink"/>
                <w:rFonts w:cs="Times New Roman"/>
                <w:noProof/>
                <w:sz w:val="24"/>
                <w:szCs w:val="24"/>
              </w:rPr>
              <w:t xml:space="preserve">. </w:t>
            </w:r>
          </w:hyperlink>
          <w:hyperlink w:anchor="_Toc457555837" w:history="1">
            <w:r w:rsidRPr="004F281A">
              <w:rPr>
                <w:rStyle w:val="Hyperlink"/>
                <w:rFonts w:cs="Times New Roman"/>
                <w:noProof/>
                <w:sz w:val="24"/>
                <w:szCs w:val="24"/>
              </w:rPr>
              <w:t>Pārskats par BEPS pasākumu kompleksu</w:t>
            </w:r>
            <w:r w:rsidRPr="004F281A">
              <w:rPr>
                <w:rFonts w:cs="Times New Roman"/>
                <w:noProof/>
                <w:webHidden/>
                <w:sz w:val="24"/>
                <w:szCs w:val="24"/>
              </w:rPr>
              <w:tab/>
            </w:r>
            <w:r w:rsidRPr="004F281A">
              <w:rPr>
                <w:rFonts w:cs="Times New Roman"/>
                <w:noProof/>
                <w:webHidden/>
                <w:sz w:val="24"/>
                <w:szCs w:val="24"/>
              </w:rPr>
              <w:fldChar w:fldCharType="begin"/>
            </w:r>
            <w:r w:rsidRPr="004F281A">
              <w:rPr>
                <w:rFonts w:cs="Times New Roman"/>
                <w:noProof/>
                <w:webHidden/>
                <w:sz w:val="24"/>
                <w:szCs w:val="24"/>
              </w:rPr>
              <w:instrText xml:space="preserve"> PAGEREF _Toc457555837 \h </w:instrText>
            </w:r>
            <w:r w:rsidRPr="004F281A">
              <w:rPr>
                <w:rFonts w:cs="Times New Roman"/>
                <w:noProof/>
                <w:webHidden/>
                <w:sz w:val="24"/>
                <w:szCs w:val="24"/>
              </w:rPr>
            </w:r>
            <w:r w:rsidRPr="004F281A">
              <w:rPr>
                <w:rFonts w:cs="Times New Roman"/>
                <w:noProof/>
                <w:webHidden/>
                <w:sz w:val="24"/>
                <w:szCs w:val="24"/>
              </w:rPr>
              <w:fldChar w:fldCharType="separate"/>
            </w:r>
            <w:r w:rsidRPr="004F281A">
              <w:rPr>
                <w:rFonts w:cs="Times New Roman"/>
                <w:noProof/>
                <w:webHidden/>
                <w:sz w:val="24"/>
                <w:szCs w:val="24"/>
              </w:rPr>
              <w:t>13</w:t>
            </w:r>
            <w:r w:rsidRPr="004F281A">
              <w:rPr>
                <w:rFonts w:cs="Times New Roman"/>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38" w:history="1">
            <w:r w:rsidRPr="004F281A">
              <w:rPr>
                <w:rStyle w:val="Hyperlink"/>
                <w:rFonts w:cs="Times New Roman"/>
                <w:b w:val="0"/>
                <w:i w:val="0"/>
                <w:noProof/>
                <w:sz w:val="24"/>
                <w:szCs w:val="24"/>
              </w:rPr>
              <w:t>1. pasākums. Ar digitālo ekonomiku saistīto nodokļu problēmu risināšana</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_Toc457555838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13</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39" w:history="1">
            <w:r w:rsidRPr="004F281A">
              <w:rPr>
                <w:rStyle w:val="Hyperlink"/>
                <w:rFonts w:cs="Times New Roman"/>
                <w:b w:val="0"/>
                <w:i w:val="0"/>
                <w:noProof/>
                <w:sz w:val="24"/>
                <w:szCs w:val="24"/>
              </w:rPr>
              <w:t>2. pasākums. Hibrīdās nesakritības pasākumu ietekmes neitralizēšana</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_Toc457555839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13</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40" w:history="1">
            <w:r w:rsidRPr="004F281A">
              <w:rPr>
                <w:rStyle w:val="Hyperlink"/>
                <w:rFonts w:cs="Times New Roman"/>
                <w:b w:val="0"/>
                <w:i w:val="0"/>
                <w:noProof/>
                <w:sz w:val="24"/>
                <w:szCs w:val="24"/>
              </w:rPr>
              <w:t>3. pasākums. CFC noteikumu stiprināšana</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_Toc457555840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13</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709"/>
            <w:rPr>
              <w:rFonts w:eastAsiaTheme="minorEastAsia" w:cs="Times New Roman"/>
              <w:b w:val="0"/>
              <w:bCs w:val="0"/>
              <w:i w:val="0"/>
              <w:noProof/>
              <w:sz w:val="24"/>
              <w:szCs w:val="24"/>
              <w:lang w:bidi="ar-SA"/>
            </w:rPr>
          </w:pPr>
          <w:hyperlink w:anchor="_Toc457555841" w:history="1">
            <w:r w:rsidRPr="004F281A">
              <w:rPr>
                <w:rStyle w:val="Hyperlink"/>
                <w:rFonts w:cs="Times New Roman"/>
                <w:b w:val="0"/>
                <w:i w:val="0"/>
                <w:noProof/>
                <w:sz w:val="24"/>
                <w:szCs w:val="24"/>
              </w:rPr>
              <w:t>4. pasākums. Ierobežot nodokļu bāzes samazināšanu, izmantojot procentu atskaitījumus un citus finanšu maksājumus</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_Toc457555841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14</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709"/>
            <w:rPr>
              <w:rFonts w:eastAsiaTheme="minorEastAsia" w:cs="Times New Roman"/>
              <w:b w:val="0"/>
              <w:bCs w:val="0"/>
              <w:i w:val="0"/>
              <w:noProof/>
              <w:sz w:val="24"/>
              <w:szCs w:val="24"/>
              <w:lang w:bidi="ar-SA"/>
            </w:rPr>
          </w:pPr>
          <w:hyperlink w:anchor="_Toc457555842" w:history="1">
            <w:r w:rsidRPr="004F281A">
              <w:rPr>
                <w:rStyle w:val="Hyperlink"/>
                <w:rFonts w:cs="Times New Roman"/>
                <w:b w:val="0"/>
                <w:i w:val="0"/>
                <w:noProof/>
                <w:sz w:val="24"/>
                <w:szCs w:val="24"/>
              </w:rPr>
              <w:t>5. pasākums. Efektīvāk apkarot kaitējošu nodokļu piemērošanas praksi, ņemot vērā caurskatāmību un būtību</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_Toc457555842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14</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43" w:history="1">
            <w:r w:rsidRPr="004F281A">
              <w:rPr>
                <w:rStyle w:val="Hyperlink"/>
                <w:rFonts w:cs="Times New Roman"/>
                <w:b w:val="0"/>
                <w:i w:val="0"/>
                <w:noProof/>
                <w:sz w:val="24"/>
                <w:szCs w:val="24"/>
              </w:rPr>
              <w:t>6. pasākums. Nodokļu konvencijas ļaunprātīgas izmantošanas novēršana</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_Toc457555843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14</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709"/>
            <w:rPr>
              <w:rFonts w:eastAsiaTheme="minorEastAsia" w:cs="Times New Roman"/>
              <w:b w:val="0"/>
              <w:bCs w:val="0"/>
              <w:i w:val="0"/>
              <w:noProof/>
              <w:sz w:val="24"/>
              <w:szCs w:val="24"/>
              <w:lang w:bidi="ar-SA"/>
            </w:rPr>
          </w:pPr>
          <w:hyperlink w:anchor="_Toc457555844" w:history="1">
            <w:r w:rsidRPr="004F281A">
              <w:rPr>
                <w:rStyle w:val="Hyperlink"/>
                <w:rFonts w:cs="Times New Roman"/>
                <w:b w:val="0"/>
                <w:i w:val="0"/>
                <w:noProof/>
                <w:sz w:val="24"/>
                <w:szCs w:val="24"/>
              </w:rPr>
              <w:t>7. pasākums. Mākslīgas izvairīšanās no pastāvīgas uzņēmējdarbības vietas statusa novēršana</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_Toc457555844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15</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709"/>
            <w:rPr>
              <w:rFonts w:eastAsiaTheme="minorEastAsia" w:cs="Times New Roman"/>
              <w:b w:val="0"/>
              <w:bCs w:val="0"/>
              <w:i w:val="0"/>
              <w:noProof/>
              <w:sz w:val="24"/>
              <w:szCs w:val="24"/>
              <w:lang w:bidi="ar-SA"/>
            </w:rPr>
          </w:pPr>
          <w:hyperlink w:anchor="_Toc457555845" w:history="1">
            <w:r w:rsidRPr="004F281A">
              <w:rPr>
                <w:rStyle w:val="Hyperlink"/>
                <w:rFonts w:cs="Times New Roman"/>
                <w:b w:val="0"/>
                <w:i w:val="0"/>
                <w:noProof/>
                <w:sz w:val="24"/>
                <w:szCs w:val="24"/>
              </w:rPr>
              <w:t>8.–10. pasākums. Nodrošināt, ka iekšējo cenu noteikšanas rezultāti atbilst vērtības radīšanai</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_Toc457555845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15</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46" w:history="1">
            <w:r w:rsidRPr="004F281A">
              <w:rPr>
                <w:rStyle w:val="Hyperlink"/>
                <w:rFonts w:cs="Times New Roman"/>
                <w:b w:val="0"/>
                <w:i w:val="0"/>
                <w:noProof/>
                <w:sz w:val="24"/>
                <w:szCs w:val="24"/>
              </w:rPr>
              <w:t>11. pasākums. BEPS mērīšana un uzraudzība</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_Toc457555846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16</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709"/>
            <w:rPr>
              <w:rFonts w:eastAsiaTheme="minorEastAsia" w:cs="Times New Roman"/>
              <w:b w:val="0"/>
              <w:bCs w:val="0"/>
              <w:i w:val="0"/>
              <w:noProof/>
              <w:sz w:val="24"/>
              <w:szCs w:val="24"/>
              <w:lang w:bidi="ar-SA"/>
            </w:rPr>
          </w:pPr>
          <w:hyperlink w:anchor="_Toc457555847" w:history="1">
            <w:r w:rsidRPr="004F281A">
              <w:rPr>
                <w:rStyle w:val="Hyperlink"/>
                <w:rFonts w:cs="Times New Roman"/>
                <w:b w:val="0"/>
                <w:i w:val="0"/>
                <w:noProof/>
                <w:sz w:val="24"/>
                <w:szCs w:val="24"/>
              </w:rPr>
              <w:t>12. pasākums. Noteikt pienākumu nodokļu maksātājiem atklāt to agresīvos nodokļu plānošanas pasākumus</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_Toc457555847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16</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48" w:history="1">
            <w:r w:rsidRPr="004F281A">
              <w:rPr>
                <w:rStyle w:val="Hyperlink"/>
                <w:rFonts w:cs="Times New Roman"/>
                <w:b w:val="0"/>
                <w:i w:val="0"/>
                <w:noProof/>
                <w:sz w:val="24"/>
                <w:szCs w:val="24"/>
              </w:rPr>
              <w:t>13. pasākums. Iekšējo cenu noteikšanas dokumentācijas pārskatīšana</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_Toc457555848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16</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49" w:history="1">
            <w:r w:rsidRPr="004F281A">
              <w:rPr>
                <w:rStyle w:val="Hyperlink"/>
                <w:rFonts w:cs="Times New Roman"/>
                <w:b w:val="0"/>
                <w:i w:val="0"/>
                <w:noProof/>
                <w:sz w:val="24"/>
                <w:szCs w:val="24"/>
              </w:rPr>
              <w:t>14. pasākums. Strīdu izšķiršanas mehānismu efektivitātes uzlabošana</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_Toc457555849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17</w:t>
            </w:r>
            <w:r w:rsidRPr="004F281A">
              <w:rPr>
                <w:rFonts w:cs="Times New Roman"/>
                <w:b w:val="0"/>
                <w:i w:val="0"/>
                <w:noProof/>
                <w:webHidden/>
                <w:sz w:val="24"/>
                <w:szCs w:val="24"/>
              </w:rPr>
              <w:fldChar w:fldCharType="end"/>
            </w:r>
          </w:hyperlink>
        </w:p>
        <w:p w:rsidR="004F281A" w:rsidRPr="004F281A" w:rsidRDefault="004F281A" w:rsidP="004F281A">
          <w:pPr>
            <w:pStyle w:val="TOC2"/>
            <w:tabs>
              <w:tab w:val="right" w:leader="dot" w:pos="9062"/>
            </w:tabs>
            <w:spacing w:before="0"/>
            <w:ind w:left="0" w:firstLine="709"/>
            <w:rPr>
              <w:rFonts w:eastAsiaTheme="minorEastAsia" w:cs="Times New Roman"/>
              <w:b w:val="0"/>
              <w:bCs w:val="0"/>
              <w:i w:val="0"/>
              <w:noProof/>
              <w:sz w:val="24"/>
              <w:szCs w:val="24"/>
              <w:lang w:bidi="ar-SA"/>
            </w:rPr>
          </w:pPr>
          <w:hyperlink w:anchor="_Toc457555850" w:history="1">
            <w:r w:rsidRPr="004F281A">
              <w:rPr>
                <w:rStyle w:val="Hyperlink"/>
                <w:rFonts w:cs="Times New Roman"/>
                <w:b w:val="0"/>
                <w:i w:val="0"/>
                <w:noProof/>
                <w:sz w:val="24"/>
                <w:szCs w:val="24"/>
              </w:rPr>
              <w:t>15. pasākums. Izstrādāt daudzpusēju instrumentu</w:t>
            </w:r>
            <w:r w:rsidRPr="004F281A">
              <w:rPr>
                <w:rFonts w:cs="Times New Roman"/>
                <w:b w:val="0"/>
                <w:i w:val="0"/>
                <w:noProof/>
                <w:webHidden/>
                <w:sz w:val="24"/>
                <w:szCs w:val="24"/>
              </w:rPr>
              <w:tab/>
            </w:r>
            <w:r w:rsidRPr="004F281A">
              <w:rPr>
                <w:rFonts w:cs="Times New Roman"/>
                <w:b w:val="0"/>
                <w:i w:val="0"/>
                <w:noProof/>
                <w:webHidden/>
                <w:sz w:val="24"/>
                <w:szCs w:val="24"/>
              </w:rPr>
              <w:fldChar w:fldCharType="begin"/>
            </w:r>
            <w:r w:rsidRPr="004F281A">
              <w:rPr>
                <w:rFonts w:cs="Times New Roman"/>
                <w:b w:val="0"/>
                <w:i w:val="0"/>
                <w:noProof/>
                <w:webHidden/>
                <w:sz w:val="24"/>
                <w:szCs w:val="24"/>
              </w:rPr>
              <w:instrText xml:space="preserve"> PAGEREF _Toc457555850 \h </w:instrText>
            </w:r>
            <w:r w:rsidRPr="004F281A">
              <w:rPr>
                <w:rFonts w:cs="Times New Roman"/>
                <w:b w:val="0"/>
                <w:i w:val="0"/>
                <w:noProof/>
                <w:webHidden/>
                <w:sz w:val="24"/>
                <w:szCs w:val="24"/>
              </w:rPr>
            </w:r>
            <w:r w:rsidRPr="004F281A">
              <w:rPr>
                <w:rFonts w:cs="Times New Roman"/>
                <w:b w:val="0"/>
                <w:i w:val="0"/>
                <w:noProof/>
                <w:webHidden/>
                <w:sz w:val="24"/>
                <w:szCs w:val="24"/>
              </w:rPr>
              <w:fldChar w:fldCharType="separate"/>
            </w:r>
            <w:r w:rsidRPr="004F281A">
              <w:rPr>
                <w:rFonts w:cs="Times New Roman"/>
                <w:b w:val="0"/>
                <w:i w:val="0"/>
                <w:noProof/>
                <w:webHidden/>
                <w:sz w:val="24"/>
                <w:szCs w:val="24"/>
              </w:rPr>
              <w:t>17</w:t>
            </w:r>
            <w:r w:rsidRPr="004F281A">
              <w:rPr>
                <w:rFonts w:cs="Times New Roman"/>
                <w:b w:val="0"/>
                <w:i w:val="0"/>
                <w:noProof/>
                <w:webHidden/>
                <w:sz w:val="24"/>
                <w:szCs w:val="24"/>
              </w:rPr>
              <w:fldChar w:fldCharType="end"/>
            </w:r>
          </w:hyperlink>
        </w:p>
        <w:p w:rsidR="004F281A" w:rsidRDefault="004F281A" w:rsidP="004F281A">
          <w:pPr>
            <w:pStyle w:val="TOC1"/>
            <w:tabs>
              <w:tab w:val="right" w:leader="dot" w:pos="9062"/>
            </w:tabs>
            <w:spacing w:before="0"/>
            <w:ind w:left="0"/>
            <w:rPr>
              <w:rStyle w:val="Hyperlink"/>
              <w:rFonts w:cs="Times New Roman"/>
              <w:noProof/>
              <w:sz w:val="24"/>
              <w:szCs w:val="24"/>
            </w:rPr>
          </w:pPr>
        </w:p>
        <w:p w:rsidR="004F281A" w:rsidRPr="004F281A" w:rsidRDefault="004F281A" w:rsidP="004F281A">
          <w:pPr>
            <w:pStyle w:val="TOC1"/>
            <w:tabs>
              <w:tab w:val="right" w:leader="dot" w:pos="9062"/>
            </w:tabs>
            <w:spacing w:before="0"/>
            <w:ind w:left="0"/>
            <w:rPr>
              <w:rFonts w:eastAsiaTheme="minorEastAsia" w:cs="Times New Roman"/>
              <w:noProof/>
              <w:sz w:val="24"/>
              <w:szCs w:val="24"/>
              <w:lang w:bidi="ar-SA"/>
            </w:rPr>
          </w:pPr>
          <w:hyperlink w:anchor="_Toc457555851" w:history="1">
            <w:r w:rsidRPr="004F281A">
              <w:rPr>
                <w:rStyle w:val="Hyperlink"/>
                <w:rFonts w:cs="Times New Roman"/>
                <w:noProof/>
                <w:sz w:val="24"/>
                <w:szCs w:val="24"/>
              </w:rPr>
              <w:t>Piezīm</w:t>
            </w:r>
            <w:r w:rsidRPr="004F281A">
              <w:rPr>
                <w:rStyle w:val="Hyperlink"/>
                <w:rFonts w:cs="Times New Roman"/>
                <w:noProof/>
                <w:sz w:val="24"/>
                <w:szCs w:val="24"/>
              </w:rPr>
              <w:t>e</w:t>
            </w:r>
            <w:r w:rsidRPr="004F281A">
              <w:rPr>
                <w:rStyle w:val="Hyperlink"/>
                <w:rFonts w:cs="Times New Roman"/>
                <w:noProof/>
                <w:sz w:val="24"/>
                <w:szCs w:val="24"/>
              </w:rPr>
              <w:t>s.</w:t>
            </w:r>
            <w:r w:rsidRPr="004F281A">
              <w:rPr>
                <w:rFonts w:cs="Times New Roman"/>
                <w:noProof/>
                <w:webHidden/>
                <w:sz w:val="24"/>
                <w:szCs w:val="24"/>
              </w:rPr>
              <w:tab/>
            </w:r>
            <w:r w:rsidRPr="004F281A">
              <w:rPr>
                <w:rFonts w:cs="Times New Roman"/>
                <w:noProof/>
                <w:webHidden/>
                <w:sz w:val="24"/>
                <w:szCs w:val="24"/>
              </w:rPr>
              <w:fldChar w:fldCharType="begin"/>
            </w:r>
            <w:r w:rsidRPr="004F281A">
              <w:rPr>
                <w:rFonts w:cs="Times New Roman"/>
                <w:noProof/>
                <w:webHidden/>
                <w:sz w:val="24"/>
                <w:szCs w:val="24"/>
              </w:rPr>
              <w:instrText xml:space="preserve"> PAGEREF _Toc457555851 \h </w:instrText>
            </w:r>
            <w:r w:rsidRPr="004F281A">
              <w:rPr>
                <w:rFonts w:cs="Times New Roman"/>
                <w:noProof/>
                <w:webHidden/>
                <w:sz w:val="24"/>
                <w:szCs w:val="24"/>
              </w:rPr>
            </w:r>
            <w:r w:rsidRPr="004F281A">
              <w:rPr>
                <w:rFonts w:cs="Times New Roman"/>
                <w:noProof/>
                <w:webHidden/>
                <w:sz w:val="24"/>
                <w:szCs w:val="24"/>
              </w:rPr>
              <w:fldChar w:fldCharType="separate"/>
            </w:r>
            <w:r w:rsidRPr="004F281A">
              <w:rPr>
                <w:rFonts w:cs="Times New Roman"/>
                <w:noProof/>
                <w:webHidden/>
                <w:sz w:val="24"/>
                <w:szCs w:val="24"/>
              </w:rPr>
              <w:t>18</w:t>
            </w:r>
            <w:r w:rsidRPr="004F281A">
              <w:rPr>
                <w:rFonts w:cs="Times New Roman"/>
                <w:noProof/>
                <w:webHidden/>
                <w:sz w:val="24"/>
                <w:szCs w:val="24"/>
              </w:rPr>
              <w:fldChar w:fldCharType="end"/>
            </w:r>
          </w:hyperlink>
          <w:hyperlink w:anchor="_Toc457555852" w:history="1"/>
        </w:p>
        <w:p w:rsidR="004F281A" w:rsidRPr="004F281A" w:rsidRDefault="004F281A" w:rsidP="004F281A">
          <w:pPr>
            <w:rPr>
              <w:rFonts w:ascii="Times New Roman" w:hAnsi="Times New Roman" w:cs="Times New Roman"/>
              <w:sz w:val="24"/>
              <w:szCs w:val="24"/>
            </w:rPr>
          </w:pPr>
          <w:r w:rsidRPr="004F281A">
            <w:rPr>
              <w:rFonts w:ascii="Times New Roman" w:hAnsi="Times New Roman" w:cs="Times New Roman"/>
              <w:b/>
              <w:bCs/>
              <w:noProof/>
              <w:sz w:val="24"/>
              <w:szCs w:val="24"/>
            </w:rPr>
            <w:fldChar w:fldCharType="end"/>
          </w:r>
        </w:p>
      </w:sdtContent>
    </w:sdt>
    <w:p w:rsidR="000D1C14" w:rsidRPr="004F281A" w:rsidRDefault="000D1C14" w:rsidP="004F281A">
      <w:pPr>
        <w:jc w:val="both"/>
        <w:rPr>
          <w:rFonts w:ascii="Times New Roman" w:hAnsi="Times New Roman" w:cs="Times New Roman"/>
          <w:i/>
          <w:noProof/>
          <w:sz w:val="24"/>
          <w:szCs w:val="24"/>
        </w:rPr>
      </w:pPr>
    </w:p>
    <w:p w:rsidR="000A61E6" w:rsidRPr="00F30F64" w:rsidRDefault="000A61E6">
      <w:pPr>
        <w:rPr>
          <w:rFonts w:ascii="Times New Roman" w:eastAsia="Times New Roman" w:hAnsi="Times New Roman" w:cs="Times New Roman"/>
          <w:noProof/>
          <w:sz w:val="24"/>
        </w:rPr>
      </w:pPr>
      <w:r w:rsidRPr="00F30F64">
        <w:rPr>
          <w:rFonts w:ascii="Times New Roman" w:hAnsi="Times New Roman" w:cs="Times New Roman"/>
        </w:rPr>
        <w:br w:type="page"/>
      </w:r>
    </w:p>
    <w:p w:rsidR="00DB2100" w:rsidRPr="006A4821" w:rsidRDefault="00DB2100" w:rsidP="006A4821">
      <w:pPr>
        <w:pStyle w:val="Heading1"/>
      </w:pPr>
      <w:bookmarkStart w:id="1" w:name="Introduction"/>
      <w:bookmarkStart w:id="2" w:name="_bookmark0"/>
      <w:bookmarkStart w:id="3" w:name="_Toc457555829"/>
      <w:bookmarkEnd w:id="1"/>
      <w:bookmarkEnd w:id="2"/>
      <w:r w:rsidRPr="006A4821">
        <w:lastRenderedPageBreak/>
        <w:t>Ievads</w:t>
      </w:r>
      <w:bookmarkEnd w:id="3"/>
    </w:p>
    <w:p w:rsidR="000A61E6" w:rsidRPr="00F30F64" w:rsidRDefault="000A61E6" w:rsidP="006A4821">
      <w:pPr>
        <w:pStyle w:val="Heading1"/>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noProof/>
          <w:sz w:val="24"/>
        </w:rPr>
        <w:t>Starptautiskajiem nodokļu jautājumiem iepriekš nekad nav bijusi tik augsta vieta politiskajā dienas kārtībā, kā tas ir pašlaik. Pēdējos gados ir ievērojami pieaugusi tautsaimniecību un tirgu integrācija. Tas ir noslogojis starptautisko nodokļu sistēmu, kas tika izstrādāta vairāk nekā pirms gadsimta. Spēkā esošie noteikumi ir atklājuši trūkumus, kas var radīt nodokļu bāzes samazināšanas un peļņas novirzīšanas (</w:t>
      </w:r>
      <w:r w:rsidRPr="00F30F64">
        <w:rPr>
          <w:rFonts w:cs="Times New Roman"/>
          <w:i/>
          <w:noProof/>
          <w:sz w:val="24"/>
        </w:rPr>
        <w:t>BEPS</w:t>
      </w:r>
      <w:r w:rsidRPr="00F30F64">
        <w:rPr>
          <w:rFonts w:cs="Times New Roman"/>
          <w:noProof/>
          <w:sz w:val="24"/>
        </w:rPr>
        <w:t xml:space="preserve">) iespējas, tāpēc politikas veidotājiem jārīkojas drosmīgi, lai atjaunotu uzticību sistēmai un nodrošinātu, ka peļņa tiek aplikta ar nodokļiem tajā vietā, kur notiek saimnieciskā darbība un tiek radīta vērtība. G20 valstu vadītāji 2013. gadā pieņēma ambiciozu un vispusīgu rīcības plānu attiecībā uz </w:t>
      </w:r>
      <w:r w:rsidRPr="00F30F64">
        <w:rPr>
          <w:rFonts w:cs="Times New Roman"/>
          <w:i/>
          <w:noProof/>
          <w:sz w:val="24"/>
        </w:rPr>
        <w:t>BEPS</w:t>
      </w:r>
      <w:r w:rsidRPr="00F30F64">
        <w:rPr>
          <w:rFonts w:cs="Times New Roman"/>
          <w:noProof/>
          <w:sz w:val="24"/>
        </w:rPr>
        <w:t xml:space="preserve">. Šajā 13 ziņojumu pasākumu kompleksā, kas sagatavots vien divus gadus vēlāk, ir ietverti jauni vai pastiprināti starptautiskie standarti, kā arī konkrēti pasākumi, kas palīdzēs valstīm cīnīties pret </w:t>
      </w:r>
      <w:r w:rsidRPr="00F30F64">
        <w:rPr>
          <w:rFonts w:cs="Times New Roman"/>
          <w:i/>
          <w:noProof/>
          <w:sz w:val="24"/>
        </w:rPr>
        <w:t>BEPS</w:t>
      </w:r>
      <w:r w:rsidRPr="00F30F64">
        <w:rPr>
          <w:rFonts w:cs="Times New Roman"/>
          <w:noProof/>
          <w:sz w:val="24"/>
        </w:rPr>
        <w:t xml:space="preserve">. </w:t>
      </w:r>
      <w:r w:rsidRPr="00F30F64">
        <w:rPr>
          <w:rFonts w:cs="Times New Roman"/>
        </w:rPr>
        <w:t xml:space="preserve">Minētajos ziņojumos ir atspoguļoti visu to būtisko un iepriekš nepieredzēto pasākumu rezultāti, kurus ESAO un G20 valstis </w:t>
      </w:r>
      <w:hyperlink w:anchor="_bookmark22" w:history="1">
        <w:r w:rsidRPr="00F30F64">
          <w:rPr>
            <w:rFonts w:cs="Times New Roman"/>
            <w:noProof/>
            <w:sz w:val="24"/>
          </w:rPr>
          <w:t>1</w:t>
        </w:r>
      </w:hyperlink>
      <w:r w:rsidRPr="00F30F64">
        <w:rPr>
          <w:rFonts w:cs="Times New Roman"/>
        </w:rPr>
        <w:t xml:space="preserve"> veikušas, strādājot kopā atbilstīgi vienlīdzīgas līdzdalības principam un piedaloties arvien lielākam skaitam attīstības valstu.</w:t>
      </w:r>
    </w:p>
    <w:p w:rsidR="000A61E6" w:rsidRPr="00F30F64" w:rsidRDefault="000A61E6" w:rsidP="000A61E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noProof/>
          <w:sz w:val="24"/>
        </w:rPr>
        <w:t xml:space="preserve">Likmes ir augstas. Lai arī ir problemātiski izmērīt </w:t>
      </w:r>
      <w:r w:rsidRPr="00F30F64">
        <w:rPr>
          <w:rFonts w:cs="Times New Roman"/>
          <w:i/>
          <w:noProof/>
          <w:sz w:val="24"/>
        </w:rPr>
        <w:t>BEPS</w:t>
      </w:r>
      <w:r w:rsidRPr="00F30F64">
        <w:rPr>
          <w:rFonts w:cs="Times New Roman"/>
          <w:noProof/>
          <w:sz w:val="24"/>
        </w:rPr>
        <w:t xml:space="preserve"> apmērus, darbā, kas veikts kopš 2013. gada, apstiprināts jautājuma iespējamais apjoms, aplēsēm liecinot, ka uzņēmumu ienākuma nodokļa (UIN) ieņēmumu zaudējumi pasaulē katru gadu varētu sasniegt 4–10 % no pasaulē iekasētajiem UIN ieņēmumiem, t. i., 100–240 miljardus </w:t>
      </w:r>
      <w:r w:rsidRPr="00F30F64">
        <w:rPr>
          <w:rFonts w:cs="Times New Roman"/>
          <w:i/>
          <w:noProof/>
          <w:sz w:val="24"/>
        </w:rPr>
        <w:t>USD</w:t>
      </w:r>
      <w:r w:rsidRPr="00F30F64">
        <w:rPr>
          <w:rFonts w:cs="Times New Roman"/>
          <w:noProof/>
          <w:sz w:val="24"/>
        </w:rPr>
        <w:t xml:space="preserve">. Šie zaudējumi rodas dažādu iemeslu dēļ, tostarp dažu starptautisko uzņēmumu agresīvās nodokļu plānošanas, mijiedarbības ar valstu nodokļu noteikumiem, nodokļu administrāciju savstarpējās pārredzamības un koordinācijas trūkuma, ierobežotu valstu īstenošanas resursu un kaitējošas nodokļu piemērošanas prakses dēļ. Starptautisko uzņēmumu meitasuzņēmumi zemu nodokļu valstīs uzrāda gandrīz divreiz lielāku peļņas normu (attiecībā pret aktīviem) nekā to starptautiskā grupa, tādējādi rādot, kā </w:t>
      </w:r>
      <w:r w:rsidRPr="00F30F64">
        <w:rPr>
          <w:rFonts w:cs="Times New Roman"/>
          <w:i/>
          <w:noProof/>
          <w:sz w:val="24"/>
        </w:rPr>
        <w:t>BEPS</w:t>
      </w:r>
      <w:r w:rsidRPr="00F30F64">
        <w:rPr>
          <w:rFonts w:cs="Times New Roman"/>
          <w:noProof/>
          <w:sz w:val="24"/>
        </w:rPr>
        <w:t xml:space="preserve"> var radīt ekonomiskos izkropļojumus. Aprēķinātā </w:t>
      </w:r>
      <w:r w:rsidRPr="00F30F64">
        <w:rPr>
          <w:rFonts w:cs="Times New Roman"/>
          <w:i/>
          <w:noProof/>
          <w:sz w:val="24"/>
        </w:rPr>
        <w:t>BEPS</w:t>
      </w:r>
      <w:r w:rsidRPr="00F30F64">
        <w:rPr>
          <w:rFonts w:cs="Times New Roman"/>
          <w:noProof/>
          <w:sz w:val="24"/>
        </w:rPr>
        <w:t xml:space="preserve"> ietekme uz attīstības valstīm, izsakot to kā procentuālu daļu no nodokļu ieņēmumiem, ir augstāka nekā ietekme uz attīstītajām valstīm, jo attīstības valstis ir vairāk atkarīgas no UIN ieņēmumiem. Globalizētā ekonomikā valstu valdībām ir jāsadarbojas un jāatturas no kaitējošas nodokļu piemērošanas prakses, lai efektīvi novērstu izvairīšanos no nodokļa maksāšanas un radītu noteiktāku starptautisko vidi ieguldījumu piesaistīšanai un saglabāšanai. Nespēja izveidot šādu sadarbību nozīmētu UIN kā resursu mobilizēšanas rīka efektivitātes samazināšanos, kam būtu nesamērīgi nelabvēlīga ietekme uz attīstības valstīm.</w:t>
      </w:r>
    </w:p>
    <w:p w:rsidR="000A61E6" w:rsidRPr="00F30F64" w:rsidRDefault="000A61E6" w:rsidP="000A61E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i/>
          <w:noProof/>
          <w:sz w:val="24"/>
        </w:rPr>
        <w:t>BEPS</w:t>
      </w:r>
      <w:r w:rsidRPr="00F30F64">
        <w:rPr>
          <w:rFonts w:cs="Times New Roman"/>
          <w:noProof/>
          <w:sz w:val="24"/>
        </w:rPr>
        <w:t xml:space="preserve"> pasākumu komplekss, kurā ietverti un konsolidēti pirmie septiņi ziņojumi, kas tika iesniegti G20 valstīm un ko G20 valstu vadītāji atzinīgi novērtēja Brisbenas samitā 2014. gadā, tika sagatavots un apstiprināts vien divu gadu laikā. Galvenokārt tas bija iespējams tādēļ, ka pastāv steidzama vajadzība atjaunot cilvēku uzticību viņu valstu nodokļu sistēmu godīgumam, izlīdzināt konkurences apstākļus starp uzņēmumiem un sniegt valdībām efektīvākus rīkus suverēnās nodokļu politikas efektivitātes nodrošināšanai. Tāpat arī ātra rīcība bija svarīga, lai ierobežotu to valstu riskus, kuras vienpusēji veica nekoordinētus pasākumus, kas var vājināt stabilu pārrobežu ieguldījumu vidi veidojošos galvenos starptautiskos nodokļu principus. </w:t>
      </w:r>
      <w:r w:rsidRPr="00F30F64">
        <w:rPr>
          <w:rFonts w:cs="Times New Roman"/>
          <w:i/>
          <w:noProof/>
          <w:sz w:val="24"/>
        </w:rPr>
        <w:t>BEPS</w:t>
      </w:r>
      <w:r w:rsidRPr="00F30F64">
        <w:rPr>
          <w:rFonts w:cs="Times New Roman"/>
          <w:noProof/>
          <w:sz w:val="24"/>
        </w:rPr>
        <w:t xml:space="preserve"> var radīt nodokļu dubulto neuzlikšanu, taču, novēršot </w:t>
      </w:r>
      <w:r w:rsidRPr="00F30F64">
        <w:rPr>
          <w:rFonts w:cs="Times New Roman"/>
          <w:i/>
          <w:noProof/>
          <w:sz w:val="24"/>
        </w:rPr>
        <w:t>BEPS</w:t>
      </w:r>
      <w:r w:rsidRPr="00F30F64">
        <w:rPr>
          <w:rFonts w:cs="Times New Roman"/>
          <w:noProof/>
          <w:sz w:val="24"/>
        </w:rPr>
        <w:t>, nedrīkst radīt nodokļu dubulto uzlikšanu. Nodokļu dubultā uzlikšana kaitētu starptautiskajiem uzņēmumiem, kas ir veicinājuši tirdzniecības un ieguldījumu pieaugumu visā pasaulē, atbalstījuši izaugsmi, radījuši darba vietas, sekmējuši jaunievedumus un snieguši iespējas izkļūt no nabadzības. Nodokļu dubultā uzlikšana arī palielinātu kapitāla cenu un var atturēt no ieguldījumu veikšanas attiecīgajās tautsaimniecībās.</w:t>
      </w:r>
    </w:p>
    <w:p w:rsidR="000A61E6" w:rsidRPr="00F30F64" w:rsidRDefault="000A61E6" w:rsidP="000A61E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565"/>
        </w:tabs>
        <w:ind w:left="0" w:firstLine="0"/>
        <w:jc w:val="both"/>
        <w:rPr>
          <w:rFonts w:cs="Times New Roman"/>
          <w:noProof/>
          <w:sz w:val="24"/>
        </w:rPr>
      </w:pPr>
      <w:r w:rsidRPr="00F30F64">
        <w:rPr>
          <w:rFonts w:cs="Times New Roman"/>
        </w:rPr>
        <w:t xml:space="preserve">Tika novērots nepieredzēti augsts ieinteresētības un līdzdalības līmenis, vairāk nekā 60 valstīm </w:t>
      </w:r>
      <w:hyperlink w:anchor="_bookmark23" w:history="1">
        <w:r w:rsidRPr="00F30F64">
          <w:rPr>
            <w:rFonts w:cs="Times New Roman"/>
            <w:noProof/>
            <w:sz w:val="24"/>
          </w:rPr>
          <w:t>2</w:t>
        </w:r>
      </w:hyperlink>
      <w:r w:rsidRPr="00F30F64">
        <w:rPr>
          <w:rFonts w:cs="Times New Roman"/>
        </w:rPr>
        <w:t xml:space="preserve"> tieši iesaistoties tehniskajās grupās un daudzām citām valstīm ar reģionālo strukturēto dialogu starpniecību piedaloties secinājumu sagatavošanā.</w:t>
      </w:r>
      <w:r w:rsidRPr="00F30F64">
        <w:rPr>
          <w:rFonts w:cs="Times New Roman"/>
          <w:noProof/>
          <w:sz w:val="24"/>
        </w:rPr>
        <w:t xml:space="preserve"> Turklāt tādas reģionālās nodokļu </w:t>
      </w:r>
      <w:r w:rsidRPr="00F30F64">
        <w:rPr>
          <w:rFonts w:cs="Times New Roman"/>
          <w:noProof/>
          <w:sz w:val="24"/>
        </w:rPr>
        <w:lastRenderedPageBreak/>
        <w:t>organizācijas kā Āfrikas nodokļu administrāciju forums (</w:t>
      </w:r>
      <w:r w:rsidRPr="00F30F64">
        <w:rPr>
          <w:rFonts w:cs="Times New Roman"/>
          <w:i/>
          <w:noProof/>
          <w:sz w:val="24"/>
        </w:rPr>
        <w:t>ATAF</w:t>
      </w:r>
      <w:r w:rsidRPr="00F30F64">
        <w:rPr>
          <w:rFonts w:cs="Times New Roman"/>
          <w:noProof/>
          <w:sz w:val="24"/>
        </w:rPr>
        <w:t xml:space="preserve">), </w:t>
      </w:r>
      <w:r w:rsidRPr="00F30F64">
        <w:rPr>
          <w:rFonts w:cs="Times New Roman"/>
          <w:i/>
          <w:noProof/>
          <w:sz w:val="24"/>
        </w:rPr>
        <w:t>Centre de rencontre des administrations fiscales</w:t>
      </w:r>
      <w:r w:rsidRPr="00F30F64">
        <w:rPr>
          <w:rFonts w:cs="Times New Roman"/>
          <w:noProof/>
          <w:sz w:val="24"/>
        </w:rPr>
        <w:t xml:space="preserve"> (</w:t>
      </w:r>
      <w:r w:rsidRPr="00F30F64">
        <w:rPr>
          <w:rFonts w:cs="Times New Roman"/>
          <w:i/>
          <w:noProof/>
          <w:sz w:val="24"/>
        </w:rPr>
        <w:t>CREDAF</w:t>
      </w:r>
      <w:r w:rsidRPr="00F30F64">
        <w:rPr>
          <w:rFonts w:cs="Times New Roman"/>
          <w:noProof/>
          <w:sz w:val="24"/>
        </w:rPr>
        <w:t xml:space="preserve">) un </w:t>
      </w:r>
      <w:r w:rsidRPr="00F30F64">
        <w:rPr>
          <w:rFonts w:cs="Times New Roman"/>
          <w:i/>
          <w:noProof/>
          <w:sz w:val="24"/>
        </w:rPr>
        <w:t>Centro Interamericano de Administraciones Tributarias</w:t>
      </w:r>
      <w:r w:rsidRPr="00F30F64">
        <w:rPr>
          <w:rFonts w:cs="Times New Roman"/>
          <w:noProof/>
          <w:sz w:val="24"/>
        </w:rPr>
        <w:t xml:space="preserve"> (</w:t>
      </w:r>
      <w:r w:rsidRPr="00F30F64">
        <w:rPr>
          <w:rFonts w:cs="Times New Roman"/>
          <w:i/>
          <w:noProof/>
          <w:sz w:val="24"/>
        </w:rPr>
        <w:t>CIAT</w:t>
      </w:r>
      <w:r w:rsidRPr="00F30F64">
        <w:rPr>
          <w:rFonts w:cs="Times New Roman"/>
          <w:noProof/>
          <w:sz w:val="24"/>
        </w:rPr>
        <w:t xml:space="preserve">) pievienojās tādām starptautiskajām organizācijām kā Starptautiskais Valūtas fonds (SVF), Pasaules Banka (PB) un Apvienoto Nāciju Organizācija (ANO), lai sniegtu savu darba ieguldījumu. No ieinteresētajām pusēm, tostarp no nenovērtējamas saziņas ar uzņēmējiem un pilsoniskās sabiedrības pārstāvjiem, tika saņemtas vairāk nekā 12 000 lappuses ar komentāriem par 23 diskusiju tematiem, kas tika publicēti un apspriesti 11 sabiedriskajās apspriešanās, kā arī </w:t>
      </w:r>
      <w:r w:rsidRPr="00F30F64">
        <w:rPr>
          <w:rFonts w:cs="Times New Roman"/>
          <w:i/>
          <w:noProof/>
          <w:sz w:val="24"/>
        </w:rPr>
        <w:t>BEPS</w:t>
      </w:r>
      <w:r w:rsidRPr="00F30F64">
        <w:rPr>
          <w:rFonts w:cs="Times New Roman"/>
          <w:noProof/>
          <w:sz w:val="24"/>
        </w:rPr>
        <w:t xml:space="preserve"> jautājumam veltītas ESAO tīmekļapraides tika skatītas vairāk nekā 40 000 reižu.</w:t>
      </w:r>
    </w:p>
    <w:p w:rsidR="000A61E6" w:rsidRPr="00F30F64" w:rsidRDefault="000A61E6" w:rsidP="000A61E6">
      <w:pPr>
        <w:pStyle w:val="BodyText"/>
        <w:tabs>
          <w:tab w:val="left" w:pos="1565"/>
        </w:tabs>
        <w:ind w:left="0"/>
        <w:jc w:val="both"/>
        <w:rPr>
          <w:rFonts w:cs="Times New Roman"/>
          <w:noProof/>
          <w:sz w:val="24"/>
        </w:rPr>
      </w:pPr>
    </w:p>
    <w:p w:rsidR="00DB2100" w:rsidRPr="00F30F64" w:rsidRDefault="00DB2100" w:rsidP="000A61E6">
      <w:pPr>
        <w:pStyle w:val="BodyText"/>
        <w:numPr>
          <w:ilvl w:val="0"/>
          <w:numId w:val="2"/>
        </w:numPr>
        <w:tabs>
          <w:tab w:val="left" w:pos="1487"/>
        </w:tabs>
        <w:ind w:left="0" w:hanging="1"/>
        <w:jc w:val="both"/>
        <w:rPr>
          <w:rFonts w:cs="Times New Roman"/>
          <w:noProof/>
          <w:sz w:val="24"/>
        </w:rPr>
      </w:pPr>
      <w:r w:rsidRPr="00F30F64">
        <w:rPr>
          <w:rFonts w:cs="Times New Roman"/>
          <w:noProof/>
          <w:sz w:val="24"/>
        </w:rPr>
        <w:t>Ziņojumā “Nodokļa bāzes samazināšanas un peļņas novirzīšanas problēmas risināšana” [</w:t>
      </w:r>
      <w:r w:rsidRPr="00F30F64">
        <w:rPr>
          <w:rFonts w:cs="Times New Roman"/>
          <w:i/>
          <w:noProof/>
          <w:sz w:val="24"/>
        </w:rPr>
        <w:t>Addressing Base Erosion and Profit Shifting</w:t>
      </w:r>
      <w:r w:rsidRPr="00F30F64">
        <w:rPr>
          <w:rFonts w:cs="Times New Roman"/>
          <w:noProof/>
          <w:sz w:val="24"/>
        </w:rPr>
        <w:t xml:space="preserve">] (ESAO, 2013. gads) tika secināts, ka neviens atsevišķs nodokļu noteikums pats par sevi neizraisa </w:t>
      </w:r>
      <w:r w:rsidRPr="00F30F64">
        <w:rPr>
          <w:rFonts w:cs="Times New Roman"/>
          <w:i/>
          <w:noProof/>
          <w:sz w:val="24"/>
        </w:rPr>
        <w:t>BEPS</w:t>
      </w:r>
      <w:r w:rsidRPr="00F30F64">
        <w:rPr>
          <w:rFonts w:cs="Times New Roman"/>
          <w:noProof/>
          <w:sz w:val="24"/>
        </w:rPr>
        <w:t xml:space="preserve">, jo šī problēma rodas dažādu aspektu mijiedarbības rezultātā. Valstu tiesību akti un noteikumi, kas netiek saskaņoti pārrobežu līmenī, starptautiskie nodokļu standarti, kas ne vienmēr spēj sekot līdzi mainīgajai globālajai uzņēmējdarbības videi, un nospiedošais būtiskās informācijas trūkums nodokļu administrāciju un politikas veidotāju līmenī kopā rada iespējas nodokļu maksātājiem īstenot </w:t>
      </w:r>
      <w:r w:rsidRPr="00F30F64">
        <w:rPr>
          <w:rFonts w:cs="Times New Roman"/>
          <w:i/>
          <w:noProof/>
          <w:sz w:val="24"/>
        </w:rPr>
        <w:t>BEPS</w:t>
      </w:r>
      <w:r w:rsidRPr="00F30F64">
        <w:rPr>
          <w:rFonts w:cs="Times New Roman"/>
          <w:noProof/>
          <w:sz w:val="24"/>
        </w:rPr>
        <w:t xml:space="preserve"> stratēģijas. Kā būtiska spiediena joma tika identificēta arī kaitējošas nodokļu piemērošanas prakses pieejamība.</w:t>
      </w:r>
    </w:p>
    <w:p w:rsidR="000A61E6" w:rsidRPr="00F30F64" w:rsidRDefault="000A61E6" w:rsidP="000A61E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noProof/>
          <w:sz w:val="24"/>
        </w:rPr>
        <w:t xml:space="preserve">Pamatojoties uz kopīgu vēlmi risināt </w:t>
      </w:r>
      <w:r w:rsidRPr="00F30F64">
        <w:rPr>
          <w:rFonts w:cs="Times New Roman"/>
          <w:i/>
          <w:noProof/>
          <w:sz w:val="24"/>
        </w:rPr>
        <w:t>BEPS</w:t>
      </w:r>
      <w:r w:rsidRPr="00F30F64">
        <w:rPr>
          <w:rFonts w:cs="Times New Roman"/>
          <w:noProof/>
          <w:sz w:val="24"/>
        </w:rPr>
        <w:t xml:space="preserve"> problēmas, tika panākta vienošanās par</w:t>
      </w:r>
      <w:r w:rsidRPr="00F30F64">
        <w:rPr>
          <w:rFonts w:cs="Times New Roman"/>
          <w:b/>
          <w:noProof/>
          <w:sz w:val="24"/>
        </w:rPr>
        <w:t xml:space="preserve"> vispusīgu pasākumu kompleksu</w:t>
      </w:r>
      <w:r w:rsidRPr="00F30F64">
        <w:rPr>
          <w:rFonts w:cs="Times New Roman"/>
          <w:noProof/>
          <w:sz w:val="24"/>
        </w:rPr>
        <w:t xml:space="preserve">, kuri ir paredzēti saskaņotai īstenošanai valstu līmenī un atbilstīgi nodokļu konvenciju noteikumiem un kuru atbalstam izveidoti mērķorientēti uzraudzības mehānismi un uzlabota pārredzamība. Mērķis ir apkarot </w:t>
      </w:r>
      <w:r w:rsidRPr="00F30F64">
        <w:rPr>
          <w:rFonts w:cs="Times New Roman"/>
          <w:i/>
          <w:noProof/>
          <w:sz w:val="24"/>
        </w:rPr>
        <w:t>BEPS</w:t>
      </w:r>
      <w:r w:rsidRPr="00F30F64">
        <w:rPr>
          <w:rFonts w:cs="Times New Roman"/>
          <w:noProof/>
          <w:sz w:val="24"/>
        </w:rPr>
        <w:t xml:space="preserve"> struktūras, vispusīgi risinot to cēloņus, nevis tikai simptomus.</w:t>
      </w:r>
    </w:p>
    <w:p w:rsidR="000A61E6" w:rsidRPr="00F30F64" w:rsidRDefault="000A61E6" w:rsidP="000A61E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542"/>
        </w:tabs>
        <w:ind w:left="0" w:firstLine="0"/>
        <w:jc w:val="both"/>
        <w:rPr>
          <w:rFonts w:cs="Times New Roman"/>
          <w:noProof/>
          <w:sz w:val="24"/>
        </w:rPr>
      </w:pPr>
      <w:r w:rsidRPr="00F30F64">
        <w:rPr>
          <w:rFonts w:cs="Times New Roman"/>
          <w:noProof/>
          <w:sz w:val="24"/>
        </w:rPr>
        <w:t xml:space="preserve">Kad pasākumi būs ieviesti, tiks ierobežotas daudzas shēmas, kas veicina dubulto neaplikšanu ar nodokļiem. Ieviešot </w:t>
      </w:r>
      <w:r w:rsidRPr="00F30F64">
        <w:rPr>
          <w:rFonts w:cs="Times New Roman"/>
          <w:i/>
          <w:noProof/>
          <w:sz w:val="24"/>
        </w:rPr>
        <w:t>BEPS</w:t>
      </w:r>
      <w:r w:rsidRPr="00F30F64">
        <w:rPr>
          <w:rFonts w:cs="Times New Roman"/>
          <w:noProof/>
          <w:sz w:val="24"/>
        </w:rPr>
        <w:t xml:space="preserve"> pasākumu kompleksu, ar nodokli apliekamās peļņas vieta tiks labāk savienota ar saimnieciskās darbības un vērtības gūšanas vietu un tiks uzlabota nodokļu iestādēm pieejamā informācija, kas tām nepieciešama nodokļu tiesību aktu efektīvai īstenošanai. Lai samazinātu nodokļu dubultās uzlikšanas gadījumu skaitu, būtiska </w:t>
      </w:r>
      <w:r w:rsidRPr="00F30F64">
        <w:rPr>
          <w:rFonts w:cs="Times New Roman"/>
          <w:i/>
          <w:noProof/>
          <w:sz w:val="24"/>
        </w:rPr>
        <w:t>BEPS</w:t>
      </w:r>
      <w:r w:rsidRPr="00F30F64">
        <w:rPr>
          <w:rFonts w:cs="Times New Roman"/>
          <w:noProof/>
          <w:sz w:val="24"/>
        </w:rPr>
        <w:t xml:space="preserve"> reformu daļa ir arī strīdu izšķiršanas uzlabošana un arī mehānismu izveide pasākumu uzraudzības un ieviešanas atbalstam.</w:t>
      </w:r>
    </w:p>
    <w:p w:rsidR="000A61E6" w:rsidRPr="00F30F64" w:rsidRDefault="000A61E6" w:rsidP="000A61E6">
      <w:pPr>
        <w:pStyle w:val="BodyText"/>
        <w:tabs>
          <w:tab w:val="left" w:pos="1542"/>
        </w:tabs>
        <w:ind w:left="0"/>
        <w:jc w:val="both"/>
        <w:rPr>
          <w:rFonts w:cs="Times New Roman"/>
          <w:noProof/>
          <w:sz w:val="24"/>
        </w:rPr>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i/>
          <w:noProof/>
          <w:sz w:val="24"/>
        </w:rPr>
        <w:t>BEPS</w:t>
      </w:r>
      <w:r w:rsidRPr="00F30F64">
        <w:rPr>
          <w:rFonts w:cs="Times New Roman"/>
          <w:noProof/>
          <w:sz w:val="24"/>
        </w:rPr>
        <w:t xml:space="preserve"> pasākumu komplekss uzskatāms par pirmo būtisko (un ilgi gaidīto) starptautisko nodokļu standartu atjauninājumu gandrīz gadsimta laikā. Šāds atjauninājums ir nepieciešams ne tikai </w:t>
      </w:r>
      <w:r w:rsidRPr="00F30F64">
        <w:rPr>
          <w:rFonts w:cs="Times New Roman"/>
          <w:i/>
          <w:noProof/>
          <w:sz w:val="24"/>
        </w:rPr>
        <w:t>BEPS</w:t>
      </w:r>
      <w:r w:rsidRPr="00F30F64">
        <w:rPr>
          <w:rFonts w:cs="Times New Roman"/>
          <w:noProof/>
          <w:sz w:val="24"/>
        </w:rPr>
        <w:t xml:space="preserve"> problēmas risināšanai, bet arī tam, lai nodrošinātu pašreizējās starptautiskās sistēmas ilgtspējību, kurā tiek piemēroti nodokļi attiecībā uz pārrobežu pasākumiem, un novērstu nodokļu dubulto uzlikšanu. G20 valstis un ESAO ir atzinušas, ka </w:t>
      </w:r>
      <w:r w:rsidRPr="00F30F64">
        <w:rPr>
          <w:rFonts w:cs="Times New Roman"/>
          <w:i/>
          <w:noProof/>
          <w:sz w:val="24"/>
        </w:rPr>
        <w:t>BEPS</w:t>
      </w:r>
      <w:r w:rsidRPr="00F30F64">
        <w:rPr>
          <w:rFonts w:cs="Times New Roman"/>
          <w:noProof/>
          <w:sz w:val="24"/>
        </w:rPr>
        <w:t xml:space="preserve"> pēc būtības nepieciešami saskaņoti pasākumi, un šā iemesla dēļ valstis ir veikušas resursu ieguldījumus, lai piedalītos kopīgu risinājumu izstrādē. Pēc kopsavilkuma par līdz šim paveikto darbu šajā paskaidrojuma rakstā ir sniegta informācija par turpmāko rīcību, kas nepieciešama, lai nodrošinātu to pasākumu efektīvu ieviešanu, par kuriem panākta vienošanās, un uzraudzītu to ieviešanu, izmantojot ietverošus, mērķorientētus uzraudzības mehānismus</w:t>
      </w:r>
      <w:bookmarkStart w:id="4" w:name="_bookmark1"/>
      <w:bookmarkEnd w:id="4"/>
      <w:r w:rsidRPr="00F30F64">
        <w:rPr>
          <w:rFonts w:cs="Times New Roman"/>
          <w:noProof/>
          <w:sz w:val="24"/>
        </w:rPr>
        <w:t>.</w:t>
      </w:r>
    </w:p>
    <w:p w:rsidR="00DB2100" w:rsidRPr="00F30F64" w:rsidRDefault="00DB2100" w:rsidP="000A61E6">
      <w:pPr>
        <w:jc w:val="both"/>
        <w:rPr>
          <w:rFonts w:ascii="Times New Roman" w:eastAsia="Times New Roman" w:hAnsi="Times New Roman" w:cs="Times New Roman"/>
          <w:noProof/>
          <w:sz w:val="24"/>
          <w:szCs w:val="21"/>
        </w:rPr>
      </w:pPr>
    </w:p>
    <w:p w:rsidR="000A61E6" w:rsidRPr="00F30F64" w:rsidRDefault="00DB2100" w:rsidP="006A4821">
      <w:pPr>
        <w:pStyle w:val="Heading1"/>
        <w:keepNext/>
      </w:pPr>
      <w:bookmarkStart w:id="5" w:name="Achievements_of_the_BEPS_Project"/>
      <w:bookmarkStart w:id="6" w:name="_Toc457555830"/>
      <w:bookmarkEnd w:id="5"/>
      <w:r w:rsidRPr="00F30F64">
        <w:t xml:space="preserve">Rezultāti, kas līdz šim sasniegti </w:t>
      </w:r>
      <w:r w:rsidRPr="00F30F64">
        <w:rPr>
          <w:i/>
        </w:rPr>
        <w:t>BEPS</w:t>
      </w:r>
      <w:r w:rsidRPr="00F30F64">
        <w:t xml:space="preserve"> projektā</w:t>
      </w:r>
      <w:bookmarkEnd w:id="6"/>
    </w:p>
    <w:p w:rsidR="000A61E6" w:rsidRPr="00F30F64" w:rsidRDefault="000A61E6" w:rsidP="006A4821">
      <w:pPr>
        <w:pStyle w:val="Heading1"/>
        <w:keepNext/>
      </w:pPr>
    </w:p>
    <w:p w:rsidR="00DB2100" w:rsidRPr="00F30F64" w:rsidRDefault="00DB2100" w:rsidP="006A4821">
      <w:pPr>
        <w:pStyle w:val="BodyText"/>
        <w:keepNext/>
        <w:numPr>
          <w:ilvl w:val="0"/>
          <w:numId w:val="2"/>
        </w:numPr>
        <w:tabs>
          <w:tab w:val="left" w:pos="1487"/>
        </w:tabs>
        <w:ind w:left="0" w:firstLine="0"/>
        <w:jc w:val="both"/>
        <w:rPr>
          <w:rFonts w:cs="Times New Roman"/>
          <w:noProof/>
          <w:sz w:val="24"/>
        </w:rPr>
      </w:pPr>
      <w:r w:rsidRPr="00F30F64">
        <w:rPr>
          <w:rFonts w:cs="Times New Roman"/>
          <w:noProof/>
          <w:sz w:val="24"/>
        </w:rPr>
        <w:t xml:space="preserve">Pirmo reizi visas ESAO un G20 valstis ir apvienojušās kopīgā darbā atbilstīgi vienlīdzīgas līdzdalības principam, lai izstrādātu kopīgus pasākumus starptautisko nodokļu problēmu risināšanai. Turklāt ir novērota nepieredzēti augsta attīstības valstu līdzdalība kopīgo starptautisko nodokļu standartu izstrādē. Tas, ka tik daudzas valstis ir iesaistījušās šajā </w:t>
      </w:r>
      <w:r w:rsidRPr="00F30F64">
        <w:rPr>
          <w:rFonts w:cs="Times New Roman"/>
          <w:noProof/>
          <w:sz w:val="24"/>
        </w:rPr>
        <w:lastRenderedPageBreak/>
        <w:t xml:space="preserve">darbā un sadarbojušās starptautiskās nodokļu vides izmaiņu izstrādē, pats par sevi vērtējams kā </w:t>
      </w:r>
      <w:r w:rsidRPr="00F30F64">
        <w:rPr>
          <w:rFonts w:cs="Times New Roman"/>
          <w:b/>
          <w:noProof/>
          <w:sz w:val="24"/>
        </w:rPr>
        <w:t>ievērojams projekta sasniegums</w:t>
      </w:r>
      <w:r w:rsidRPr="00F30F64">
        <w:rPr>
          <w:rFonts w:cs="Times New Roman"/>
          <w:noProof/>
          <w:sz w:val="24"/>
        </w:rPr>
        <w:t>.</w:t>
      </w:r>
    </w:p>
    <w:p w:rsidR="000A61E6" w:rsidRPr="00F30F64" w:rsidRDefault="000A61E6" w:rsidP="000A61E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rPr>
        <w:t xml:space="preserve">Turklāt papildus projektā uzsāktajam darbam ir uzsākts darbs attiecībā uz prioritārajām </w:t>
      </w:r>
      <w:r w:rsidRPr="00F30F64">
        <w:rPr>
          <w:rFonts w:cs="Times New Roman"/>
          <w:i/>
        </w:rPr>
        <w:t>BEPS</w:t>
      </w:r>
      <w:r w:rsidRPr="00F30F64">
        <w:rPr>
          <w:rFonts w:cs="Times New Roman"/>
        </w:rPr>
        <w:t xml:space="preserve"> problēmām, kuras norādījušas zemu ienākumu valstis un kuras izskaidrotas divdaļīgajā ziņojumā, kas tika sagatavots G20 Attīstības darba grupai </w:t>
      </w:r>
      <w:hyperlink w:anchor="_bookmark24" w:history="1">
        <w:r w:rsidRPr="00F30F64">
          <w:rPr>
            <w:rFonts w:cs="Times New Roman"/>
            <w:noProof/>
            <w:sz w:val="24"/>
          </w:rPr>
          <w:t>3</w:t>
        </w:r>
      </w:hyperlink>
      <w:r w:rsidRPr="00F30F64">
        <w:rPr>
          <w:rFonts w:cs="Times New Roman"/>
        </w:rPr>
        <w:t xml:space="preserve"> 2014. gadā.</w:t>
      </w:r>
      <w:r w:rsidRPr="00F30F64">
        <w:rPr>
          <w:rFonts w:cs="Times New Roman"/>
          <w:noProof/>
          <w:sz w:val="24"/>
        </w:rPr>
        <w:t xml:space="preserve"> Starp šādiem jautājumiem ir jautājumi, kas saistīti ar salīdzināmo datu pieejamību par iekšējo cenu noteikšanu, tostarp problēmas preču sektorā, caurskatāmi un efektīvi nodokļu atvieglojumi un aktīvu netiešie pārvedumi. Metodiskā līdzekļa izstrāde, kas paredzēts tam, lai palīdzētu attīstības valstīm risināt šos jautājumus, turpināsies 2016. un 2017. gadā, strādājot kopā ar valstīm un sadarbojoties ar reģionālajām nodokļu organizācijām un SVF, PB un ANO.</w:t>
      </w:r>
    </w:p>
    <w:p w:rsidR="00376276" w:rsidRPr="00F30F64" w:rsidRDefault="00376276" w:rsidP="0037627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b/>
          <w:noProof/>
          <w:sz w:val="24"/>
        </w:rPr>
        <w:t xml:space="preserve">Ir panākta vienošanās par vispusīgu pasākumu kompleksu. </w:t>
      </w:r>
      <w:r w:rsidRPr="00F30F64">
        <w:rPr>
          <w:rFonts w:cs="Times New Roman"/>
          <w:noProof/>
          <w:sz w:val="24"/>
        </w:rPr>
        <w:t xml:space="preserve">Valstis ir apņēmušās konsekventi ieviest šo vispusīgo pasākumu kompleksu. Šajā pasākumu kompleksā ietilpst dažādi pasākumi, tostarp jaunu obligāto standartu izstrāde, spēkā esošo standartu pārskatīšana, tādu kopīgu pieeju izstrāde, kas veicinās valstu prakses tuvināšanu, un norādījumu izstrāde, pamatojoties uz labāko praksi. </w:t>
      </w:r>
      <w:r w:rsidRPr="00F30F64">
        <w:rPr>
          <w:rFonts w:cs="Times New Roman"/>
          <w:b/>
          <w:noProof/>
          <w:sz w:val="24"/>
        </w:rPr>
        <w:t>Vienošanās par obligātajiem standartiem tika panākta galvenokārt ar mērķi risināt problēmas gadījumos, kad kādu valstu bezdarbība radītu nelabvēlīgas papildu sekas</w:t>
      </w:r>
      <w:r w:rsidRPr="00F30F64">
        <w:rPr>
          <w:rFonts w:cs="Times New Roman"/>
          <w:noProof/>
          <w:sz w:val="24"/>
        </w:rPr>
        <w:t xml:space="preserve"> citām valstīm, tostarp nelabvēlīgi ietekmētu konkurētspēju. Atzīstot nepieciešamību pēc vienlīdzīgiem konkurences apstākļiem, visas ESAO un G20 valstis ir apņēmušās konsekventi īstenot pasākumus tādās jomās kā izdevīgāko nodokļu konvenciju nosacījumu izmantošanas novēršana, pārskatu sniegšana sadalījumā pa valstīm, kaitējošas nodokļu piemērošanas prakses apkarošana un strīdu izšķiršanas uzlabošana. Spēkā esošie standarti ir atjaunināti un tiks īstenoti, vienlaikus ņemot vērā, ka ne visi </w:t>
      </w:r>
      <w:r w:rsidRPr="00F30F64">
        <w:rPr>
          <w:rFonts w:cs="Times New Roman"/>
          <w:i/>
          <w:noProof/>
          <w:sz w:val="24"/>
        </w:rPr>
        <w:t>BEPS</w:t>
      </w:r>
      <w:r w:rsidRPr="00F30F64">
        <w:rPr>
          <w:rFonts w:cs="Times New Roman"/>
          <w:noProof/>
          <w:sz w:val="24"/>
        </w:rPr>
        <w:t xml:space="preserve"> dalībnieki ir apstiprinājuši standartus attiecībā uz nodokļu konvencijām vai iekšējo cenu noteikšanu. Citās jomās, piemēram, jautājumā par ieteikumiem attiecībā uz hibrīdo nesakritību pasākumiem un labāko praksi procentu atskaitījumu jomā, valstis ir vienojušās par vispārēju nodokļu politikas attīstības virzienu. Šajās jomās paredzēts, ka valstis laika gaitā savstarpēji tuvināsies, īstenojot kopīgās pieejas, par kurām panākta vienošanās, tādējādi ļaujot turpmāk apsvērt to, vai šādiem pasākumiem nākotnē būtu jākļūst par obligātajiem standartiem. Norādījumi, kas sagatavoti, pamatojoties uz labāko praksi, sniegs atbalstu tām valstīm, kuras vēlas rīkoties tādās jomās kā obligātās informācijas sniegšanas iniciatīvas vai tiesību akti attiecībā uz kontrolētiem ārvalstu uzņēmumiem (</w:t>
      </w:r>
      <w:r w:rsidRPr="00F30F64">
        <w:rPr>
          <w:rFonts w:cs="Times New Roman"/>
          <w:i/>
          <w:noProof/>
          <w:sz w:val="24"/>
        </w:rPr>
        <w:t>CFC</w:t>
      </w:r>
      <w:r w:rsidRPr="00F30F64">
        <w:rPr>
          <w:rFonts w:cs="Times New Roman"/>
          <w:noProof/>
          <w:sz w:val="24"/>
        </w:rPr>
        <w:t>). Panākta vienošanās par to, ka attiecībā uz valstīm tiks veikta mērķorientēta uzraudzība, galveno uzmanību pievēršot obligāto standartu īstenošanai. Turklāt paredzams, ka ESAO un G20 neietilpstošas valstis pievienosies šīm valstīm, lai aizsargātu savas nodokļu bāzes un izlīdzinātu konkurences apstākļus.</w:t>
      </w:r>
    </w:p>
    <w:p w:rsidR="00376276" w:rsidRPr="00F30F64" w:rsidRDefault="00376276" w:rsidP="0037627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486"/>
        </w:tabs>
        <w:ind w:left="0" w:firstLine="0"/>
        <w:jc w:val="both"/>
        <w:rPr>
          <w:rFonts w:cs="Times New Roman"/>
          <w:noProof/>
          <w:sz w:val="24"/>
        </w:rPr>
      </w:pPr>
      <w:r w:rsidRPr="00F30F64">
        <w:rPr>
          <w:rFonts w:cs="Times New Roman"/>
          <w:noProof/>
          <w:sz w:val="24"/>
        </w:rPr>
        <w:t xml:space="preserve">Izstrādāti parauga noteikumi </w:t>
      </w:r>
      <w:r w:rsidRPr="00F30F64">
        <w:rPr>
          <w:rFonts w:cs="Times New Roman"/>
          <w:b/>
          <w:noProof/>
          <w:sz w:val="24"/>
        </w:rPr>
        <w:t>nodokļu konvenciju ļaunprātīgas izmantošanas, tostarp izdevīgāko nodokļu konvenciju noteikumu izmantošanas, novēršanai,</w:t>
      </w:r>
      <w:r w:rsidRPr="00F30F64">
        <w:rPr>
          <w:rFonts w:cs="Times New Roman"/>
          <w:noProof/>
          <w:sz w:val="24"/>
        </w:rPr>
        <w:t xml:space="preserve"> un tie tiks iekļauti daudzpusējā instrumentā, ko valstis var izmantot, lai divpusējās nodokļu konvencijās ieviestu darba rezultātus, kas gūti nodokļu konvenciju jomā. Tas apgrūtinās starpniecības uzņēmumu izmantošanu valstīs ar labvēlīgiem nodokļu konvenciju noteikumiem, lai pārvestu ieguldījumus un iegūtu samazinātas nodokļu likmes.</w:t>
      </w:r>
      <w:r w:rsidRPr="00F30F64">
        <w:rPr>
          <w:rFonts w:cs="Times New Roman"/>
          <w:b/>
          <w:noProof/>
          <w:sz w:val="24"/>
        </w:rPr>
        <w:t xml:space="preserve"> </w:t>
      </w:r>
      <w:r w:rsidRPr="00F30F64">
        <w:rPr>
          <w:rFonts w:cs="Times New Roman"/>
          <w:noProof/>
          <w:sz w:val="24"/>
        </w:rPr>
        <w:t>Dažiem no šiem noteikumiem nepieciešams papildu tehniskais darbs, kas tiks pabeigts 2016. gadā.</w:t>
      </w:r>
    </w:p>
    <w:p w:rsidR="00376276" w:rsidRPr="00F30F64" w:rsidRDefault="00376276" w:rsidP="00376276">
      <w:pPr>
        <w:pStyle w:val="BodyText"/>
        <w:tabs>
          <w:tab w:val="left" w:pos="1486"/>
        </w:tabs>
        <w:ind w:left="0"/>
        <w:jc w:val="both"/>
        <w:rPr>
          <w:rFonts w:cs="Times New Roman"/>
          <w:noProof/>
          <w:sz w:val="24"/>
        </w:rPr>
      </w:pPr>
    </w:p>
    <w:p w:rsidR="00DB2100" w:rsidRPr="00F30F64" w:rsidRDefault="00DB2100" w:rsidP="000A61E6">
      <w:pPr>
        <w:pStyle w:val="BodyText"/>
        <w:numPr>
          <w:ilvl w:val="0"/>
          <w:numId w:val="2"/>
        </w:numPr>
        <w:tabs>
          <w:tab w:val="left" w:pos="1564"/>
        </w:tabs>
        <w:ind w:left="0" w:firstLine="1"/>
        <w:jc w:val="both"/>
        <w:rPr>
          <w:rFonts w:cs="Times New Roman"/>
          <w:noProof/>
          <w:sz w:val="24"/>
        </w:rPr>
      </w:pPr>
      <w:r w:rsidRPr="00F30F64">
        <w:rPr>
          <w:rFonts w:cs="Times New Roman"/>
          <w:b/>
        </w:rPr>
        <w:t>Standartizēti pārskati sadalījumā pa valstīm</w:t>
      </w:r>
      <w:r w:rsidRPr="00F30F64">
        <w:rPr>
          <w:rFonts w:cs="Times New Roman"/>
        </w:rPr>
        <w:t xml:space="preserve"> un citas prasības attiecībā uz dokumentāciju atklās nodokļu administrācijām pilnu ainu par to, kur tiek paziņota informācija par starptautisko uzņēmumu peļņu, nodokļiem un saimniecisko darbību, un sniegs iespēju izmantot šo informāciju iekšējo cenu noteikšanas un citu </w:t>
      </w:r>
      <w:r w:rsidRPr="00F30F64">
        <w:rPr>
          <w:rFonts w:cs="Times New Roman"/>
          <w:i/>
        </w:rPr>
        <w:t>BEPS</w:t>
      </w:r>
      <w:r w:rsidRPr="00F30F64">
        <w:rPr>
          <w:rFonts w:cs="Times New Roman"/>
        </w:rPr>
        <w:t xml:space="preserve"> risku novērtēšanai, lai tās varētu virzīt revīzijas resursus tur, kur tiem būs augstākā efektivitāte.</w:t>
      </w:r>
      <w:r w:rsidRPr="00F30F64">
        <w:rPr>
          <w:rFonts w:cs="Times New Roman"/>
          <w:noProof/>
          <w:sz w:val="24"/>
        </w:rPr>
        <w:t xml:space="preserve"> Starptautiskie uzņēmumi sniegs informāciju par saviem ieņēmumiem, peļņu pirms nodokļu nomaksas, samaksāto un uzkrāto ienākumu </w:t>
      </w:r>
      <w:r w:rsidRPr="00F30F64">
        <w:rPr>
          <w:rFonts w:cs="Times New Roman"/>
          <w:noProof/>
          <w:sz w:val="24"/>
        </w:rPr>
        <w:lastRenderedPageBreak/>
        <w:t xml:space="preserve">nodokli, darbinieku skaitu, noteikto kapitālu, nesadalīto peļņu un materiālajiem aktīviem katrā jurisdikcijā, kurā tie darbojas. Ieviešanas pasākumu komplekss sniedz norādījumus par to, kā nodrošināt informācijas sniegšanu nodokļu administrācijām pienācīgā laikā, konfidencialitātes ievērošanu un informācijas atbilstīgu izmantošanu. Ieteicams, ka pirmos pārskatus sadalījumā pa valstīm tiek pieprasīts iesniegt par starptautisko uzņēmumu finanšu gadiem, sākot no 2016. gada 1. janvāra. Atzīts, ka dažām jurisdikcijām var būt nepieciešams laiks, lai izpildītu attiecīgajā valstī piemērojamās likumdošanas procedūras un veiktu atbilstīgus grozījumus tiesiskajā regulējumā. Minētie pārskati būs jāsniedz tiem starptautiskajiem uzņēmumiem, kuru konsolidētie grupas gada ieņēmumi sasniedz vai pārsniedz 750 miljonus </w:t>
      </w:r>
      <w:r w:rsidRPr="00F30F64">
        <w:rPr>
          <w:rFonts w:cs="Times New Roman"/>
        </w:rPr>
        <w:t>EUR (vai līdzvērtīgu summu vietējā valūtā). Šīs pārskatu sniegšanas sistēmas paredzamās ieviešanas dēļ jau pašlaik ir sākusi samazināties agresīva nodokļu plānošana.</w:t>
      </w:r>
    </w:p>
    <w:p w:rsidR="00DB2100" w:rsidRPr="00F30F64" w:rsidRDefault="00DB2100" w:rsidP="000A61E6">
      <w:pPr>
        <w:jc w:val="both"/>
        <w:rPr>
          <w:rFonts w:ascii="Times New Roman" w:eastAsia="Times New Roman" w:hAnsi="Times New Roman" w:cs="Times New Roman"/>
          <w:noProof/>
          <w:sz w:val="24"/>
          <w:szCs w:val="21"/>
        </w:rPr>
      </w:pPr>
    </w:p>
    <w:p w:rsidR="00DB2100" w:rsidRPr="00F30F64" w:rsidRDefault="00DB2100" w:rsidP="000A61E6">
      <w:pPr>
        <w:numPr>
          <w:ilvl w:val="0"/>
          <w:numId w:val="2"/>
        </w:numPr>
        <w:tabs>
          <w:tab w:val="left" w:pos="1487"/>
        </w:tabs>
        <w:ind w:left="0" w:firstLine="0"/>
        <w:jc w:val="both"/>
        <w:rPr>
          <w:rFonts w:ascii="Times New Roman" w:hAnsi="Times New Roman" w:cs="Times New Roman"/>
          <w:noProof/>
          <w:sz w:val="24"/>
        </w:rPr>
      </w:pPr>
      <w:r w:rsidRPr="00F30F64">
        <w:rPr>
          <w:rFonts w:ascii="Times New Roman" w:hAnsi="Times New Roman" w:cs="Times New Roman"/>
          <w:b/>
          <w:noProof/>
          <w:sz w:val="24"/>
        </w:rPr>
        <w:t xml:space="preserve">Atjaunināts savstarpējās pārbaudes process tiks piemērots attiecībā uz kaitējošu nodokļu piemērošanas praksi, tostarp attiecībā uz tādiem “patentlodziņa” režīmiem, kuri ietver kaitējošus elementus, kā arī attiecībā uz apņemšanos nodrošināt caurskatāmību, īstenojot būtiskās informācijas obligātu apmaiņu bez iepriekšēja pieprasījuma par lēmumiem attiecībā uz nodokļu maksātājiem, kas informācijas apmaiņas neesamības gadījumā varētu radīt aizdomas par </w:t>
      </w:r>
      <w:r w:rsidRPr="00F30F64">
        <w:rPr>
          <w:rFonts w:ascii="Times New Roman" w:hAnsi="Times New Roman" w:cs="Times New Roman"/>
          <w:b/>
          <w:i/>
          <w:noProof/>
          <w:sz w:val="24"/>
        </w:rPr>
        <w:t>BEPS</w:t>
      </w:r>
      <w:r w:rsidRPr="00F30F64">
        <w:rPr>
          <w:rFonts w:ascii="Times New Roman" w:hAnsi="Times New Roman" w:cs="Times New Roman"/>
          <w:noProof/>
          <w:sz w:val="24"/>
        </w:rPr>
        <w:t>. Vienošanās par saiknes pieeju attiecībā uz intelektuālā īpašuma preferenču režīmiem nosaka nepieciešamību savienot šādu režīmu sniegtos ieguvumus ar būtisku pētniecības un attīstības darbību. Atjaunojot kaitējošās nodokļu piemērošanas prakses apkarošanas pasākumus, tiks samazināta nodokļu piemērošanas kropļojošā ietekme uz vietu, kur tiek gūta peļņa no mobilajām finanšu un pakalpojumu darbībām, tādējādi veicinot tādas vides attīstību, kurā iespējama godīga nodokļu konkurence.</w:t>
      </w:r>
    </w:p>
    <w:p w:rsidR="00376276" w:rsidRPr="00F30F64" w:rsidRDefault="00376276" w:rsidP="00376276">
      <w:pPr>
        <w:tabs>
          <w:tab w:val="left" w:pos="1487"/>
        </w:tabs>
        <w:jc w:val="both"/>
        <w:rPr>
          <w:rFonts w:ascii="Times New Roman" w:hAnsi="Times New Roman" w:cs="Times New Roman"/>
          <w:noProof/>
          <w:sz w:val="24"/>
        </w:rPr>
      </w:pPr>
    </w:p>
    <w:p w:rsidR="00DB2100" w:rsidRPr="00F30F64" w:rsidRDefault="00DB2100" w:rsidP="000A61E6">
      <w:pPr>
        <w:pStyle w:val="BodyText"/>
        <w:numPr>
          <w:ilvl w:val="0"/>
          <w:numId w:val="2"/>
        </w:numPr>
        <w:tabs>
          <w:tab w:val="left" w:pos="1486"/>
        </w:tabs>
        <w:ind w:left="0" w:firstLine="1"/>
        <w:jc w:val="both"/>
        <w:rPr>
          <w:rFonts w:cs="Times New Roman"/>
          <w:b/>
          <w:noProof/>
          <w:sz w:val="24"/>
        </w:rPr>
      </w:pPr>
      <w:r w:rsidRPr="00F30F64">
        <w:rPr>
          <w:rFonts w:cs="Times New Roman"/>
          <w:noProof/>
          <w:sz w:val="24"/>
        </w:rPr>
        <w:t>Pastāvot spēcīgai politiskajai gatavībai nodrošināt strīdu efektīvu un savlaicīgu izšķiršanu, izmantojot savstarpējās vienošanās procedūru (</w:t>
      </w:r>
      <w:r w:rsidRPr="00F30F64">
        <w:rPr>
          <w:rFonts w:cs="Times New Roman"/>
          <w:i/>
          <w:noProof/>
          <w:sz w:val="24"/>
        </w:rPr>
        <w:t>MAP</w:t>
      </w:r>
      <w:r w:rsidRPr="00F30F64">
        <w:rPr>
          <w:rFonts w:cs="Times New Roman"/>
          <w:noProof/>
          <w:sz w:val="24"/>
        </w:rPr>
        <w:t>),</w:t>
      </w:r>
      <w:r w:rsidRPr="00F30F64">
        <w:rPr>
          <w:rFonts w:cs="Times New Roman"/>
          <w:b/>
          <w:noProof/>
          <w:sz w:val="24"/>
        </w:rPr>
        <w:t xml:space="preserve"> ir panākta vienošanās par obligāto standartu, kas ļauj saglabāt strīdu izšķiršanas jomā panākto progresu</w:t>
      </w:r>
      <w:r w:rsidRPr="00F30F64">
        <w:rPr>
          <w:rFonts w:cs="Times New Roman"/>
          <w:noProof/>
          <w:sz w:val="24"/>
        </w:rPr>
        <w:t>.</w:t>
      </w:r>
      <w:r w:rsidRPr="00F30F64">
        <w:rPr>
          <w:rFonts w:cs="Times New Roman"/>
          <w:b/>
          <w:noProof/>
          <w:sz w:val="24"/>
        </w:rPr>
        <w:t xml:space="preserve"> </w:t>
      </w:r>
      <w:r w:rsidRPr="00F30F64">
        <w:rPr>
          <w:rFonts w:cs="Times New Roman"/>
          <w:noProof/>
          <w:sz w:val="24"/>
        </w:rPr>
        <w:t>Tas palīdzēs nodrošināt, ka pārrobežu nodokļu strīdi starp valstīm par nodokļu konvenciju interpretāciju vai piemērošanu tiks atrisināti efektīvāk un īsākā laikā. Nodokļu administrēšanas forums (</w:t>
      </w:r>
      <w:r w:rsidRPr="00F30F64">
        <w:rPr>
          <w:rFonts w:cs="Times New Roman"/>
          <w:i/>
          <w:noProof/>
          <w:sz w:val="24"/>
        </w:rPr>
        <w:t>FTA</w:t>
      </w:r>
      <w:r w:rsidRPr="00F30F64">
        <w:rPr>
          <w:rFonts w:cs="Times New Roman"/>
          <w:noProof/>
          <w:sz w:val="24"/>
        </w:rPr>
        <w:t xml:space="preserve">), kurā saskaņā ar vienlīdzīgas līdzdalības principu iesaistītas visas ESAO un G20 valstis un arī citas ieinteresētas valstis, turpinās darbu pie </w:t>
      </w:r>
      <w:r w:rsidRPr="00F30F64">
        <w:rPr>
          <w:rFonts w:cs="Times New Roman"/>
          <w:i/>
          <w:noProof/>
          <w:sz w:val="24"/>
        </w:rPr>
        <w:t>MAP</w:t>
      </w:r>
      <w:r w:rsidRPr="00F30F64">
        <w:rPr>
          <w:rFonts w:cs="Times New Roman"/>
          <w:noProof/>
          <w:sz w:val="24"/>
        </w:rPr>
        <w:t xml:space="preserve"> uzlabošanas savā nesen izveidotajā </w:t>
      </w:r>
      <w:r w:rsidRPr="00F30F64">
        <w:rPr>
          <w:rFonts w:cs="Times New Roman"/>
          <w:i/>
          <w:noProof/>
          <w:sz w:val="24"/>
        </w:rPr>
        <w:t>MAP</w:t>
      </w:r>
      <w:r w:rsidRPr="00F30F64">
        <w:rPr>
          <w:rFonts w:cs="Times New Roman"/>
          <w:noProof/>
          <w:sz w:val="24"/>
        </w:rPr>
        <w:t xml:space="preserve"> forumā. Tam būs nepieciešama novērtēšanas metodoloģija, lai nodrošinātu, ka tiek ātri panākta atbilstība jaunajam strīdu savlaicīgas izšķiršanas standartam. Papildus tam liela valstu grupa ir paudusi apņemšanos ātri pāriet pie obligātas un saistošas arbitrāžas. Paredzams, ka šīs apņemšanās ātra īstenošana tiks nodrošināta, iekļaujot arbitrāžu kā izvēles noteikumu daudzpusējā instrumentā, kurš tiks izstrādāts ar mērķi īstenot ar nodokļu konvencijām saistītos </w:t>
      </w:r>
      <w:r w:rsidRPr="00F30F64">
        <w:rPr>
          <w:rFonts w:cs="Times New Roman"/>
          <w:i/>
          <w:noProof/>
          <w:sz w:val="24"/>
        </w:rPr>
        <w:t>BEPS</w:t>
      </w:r>
      <w:r w:rsidRPr="00F30F64">
        <w:rPr>
          <w:rFonts w:cs="Times New Roman"/>
          <w:noProof/>
          <w:sz w:val="24"/>
        </w:rPr>
        <w:t xml:space="preserve"> pasākumus. </w:t>
      </w:r>
      <w:r w:rsidRPr="00F30F64">
        <w:rPr>
          <w:rFonts w:cs="Times New Roman"/>
          <w:b/>
          <w:noProof/>
          <w:sz w:val="24"/>
        </w:rPr>
        <w:t>Tiks izveidots efektīvs uzraudzības mehānisms strīda izšķiršanas uzlabojumu uzraudzībai</w:t>
      </w:r>
    </w:p>
    <w:p w:rsidR="00376276" w:rsidRPr="00F30F64" w:rsidRDefault="00376276" w:rsidP="00376276">
      <w:pPr>
        <w:pStyle w:val="BodyText"/>
        <w:tabs>
          <w:tab w:val="left" w:pos="1486"/>
        </w:tabs>
        <w:ind w:left="1"/>
        <w:jc w:val="both"/>
        <w:rPr>
          <w:rFonts w:cs="Times New Roman"/>
          <w:b/>
          <w:noProof/>
          <w:sz w:val="24"/>
        </w:rPr>
      </w:pPr>
    </w:p>
    <w:p w:rsidR="00DB2100" w:rsidRPr="00F30F64" w:rsidRDefault="00DB2100" w:rsidP="000A61E6">
      <w:pPr>
        <w:pStyle w:val="BodyText"/>
        <w:numPr>
          <w:ilvl w:val="0"/>
          <w:numId w:val="2"/>
        </w:numPr>
        <w:tabs>
          <w:tab w:val="left" w:pos="1486"/>
        </w:tabs>
        <w:ind w:left="0" w:firstLine="0"/>
        <w:jc w:val="both"/>
        <w:rPr>
          <w:rFonts w:cs="Times New Roman"/>
          <w:noProof/>
          <w:sz w:val="24"/>
        </w:rPr>
      </w:pPr>
      <w:r w:rsidRPr="00F30F64">
        <w:rPr>
          <w:rFonts w:cs="Times New Roman"/>
          <w:i/>
          <w:noProof/>
          <w:sz w:val="24"/>
        </w:rPr>
        <w:t>BEPS</w:t>
      </w:r>
      <w:r w:rsidRPr="00F30F64">
        <w:rPr>
          <w:rFonts w:cs="Times New Roman"/>
          <w:noProof/>
          <w:sz w:val="24"/>
        </w:rPr>
        <w:t xml:space="preserve"> projektā ir arī pārskatīti pašreizējie </w:t>
      </w:r>
      <w:r w:rsidRPr="00F30F64">
        <w:rPr>
          <w:rFonts w:cs="Times New Roman"/>
          <w:b/>
          <w:noProof/>
          <w:sz w:val="24"/>
        </w:rPr>
        <w:t xml:space="preserve">starptautiskie nodokļu standarti, kas paredzēti nodokļu dubultās uzlikšanas novēršanai, lai pārtrauktu ļaunprātīgu izmantošanu un likvidētu </w:t>
      </w:r>
      <w:r w:rsidRPr="00F30F64">
        <w:rPr>
          <w:rFonts w:cs="Times New Roman"/>
          <w:b/>
          <w:i/>
          <w:noProof/>
          <w:sz w:val="24"/>
        </w:rPr>
        <w:t>BEPS</w:t>
      </w:r>
      <w:r w:rsidRPr="00F30F64">
        <w:rPr>
          <w:rFonts w:cs="Times New Roman"/>
          <w:b/>
          <w:noProof/>
          <w:sz w:val="24"/>
        </w:rPr>
        <w:t xml:space="preserve"> iespējas</w:t>
      </w:r>
      <w:r w:rsidRPr="00F30F64">
        <w:rPr>
          <w:rFonts w:cs="Times New Roman"/>
          <w:noProof/>
          <w:sz w:val="24"/>
        </w:rPr>
        <w:t>. Šajā saistībā ir izstrādāts apstiprinātu norādījumu kopums, kurš atspoguļo vienoto izpratni par noteikumiem un to vienotu interpretāciju atbilstīgi ESAO un ANO nodokļu paraugkonvenciju 9. pantam. Izmaiņas Iekšējo cenu noteikšanas vadlīnijās nodrošinās, ka starptautisko uzņēmumu iekšējo cenu noteikšana labāk savieno peļņas aplikšanu ar nodokli ar saimniecisko darbību. Rezultāti tiks noteikti atbilstīgi saistīto pušu faktiskajai rīcībai attiecīgā darījuma līguma nosacījumu kontekstā. Šīs un citas izmaiņas samazinās starptautiskajiem uzņēmumiem stimulu pārvietot ienākumus uz “naudas skapjiem” (</w:t>
      </w:r>
      <w:r w:rsidRPr="00F30F64">
        <w:rPr>
          <w:rFonts w:cs="Times New Roman"/>
          <w:i/>
          <w:noProof/>
          <w:sz w:val="24"/>
        </w:rPr>
        <w:t>cash box</w:t>
      </w:r>
      <w:r w:rsidRPr="00F30F64">
        <w:rPr>
          <w:rFonts w:cs="Times New Roman"/>
          <w:noProof/>
          <w:sz w:val="24"/>
        </w:rPr>
        <w:t xml:space="preserve">) – fiktīviem uzņēmumiem ar dažiem darbiniekiem vai bez darbiniekiem un ar niecīgu saimniecisko darbību vai bez tās, kas izmanto zemu nodokļu vai beznodokļu jurisdikciju sniegtās priekšrocības. Jo īpaši pārskatītajās vadlīnijās par iekšējo cenu </w:t>
      </w:r>
      <w:r w:rsidRPr="00F30F64">
        <w:rPr>
          <w:rFonts w:cs="Times New Roman"/>
          <w:noProof/>
          <w:sz w:val="24"/>
        </w:rPr>
        <w:lastRenderedPageBreak/>
        <w:t xml:space="preserve">noteikšanu ir apspriesta situācija, kad grupas dalībnieks, kam ir ievērojams kapitāls, t. i., “naudas skapis”, vienkārši nodrošina aktīvus, piemēram, finansējumu, izmantošanai saimniecisko darbību veicošajā uzņēmumā, bet pats veic vienīgi ierobežotas darbības. Ja minētais grupas dalībnieks faktiski nekontrolē ar tā finansējumu saistītos finanšu riskus, tad tas būs tiesīgs saņemt ne vairāk kā tikai bezriska peļņu vai arī mazāku summu, ja, piemēram, darījums ir komerciāli nepamatots un tāpēc jārīkojas saskaņā ar neatzīšanas norādījumiem. </w:t>
      </w:r>
      <w:r w:rsidRPr="00F30F64">
        <w:rPr>
          <w:rFonts w:cs="Times New Roman"/>
          <w:b/>
          <w:noProof/>
          <w:sz w:val="24"/>
        </w:rPr>
        <w:t>Iekšējo cenu noteikšanas vadlīnijas ir atjauninātas arī attiecībā uz nemateriālajiem aktīviem</w:t>
      </w:r>
      <w:r w:rsidRPr="00F30F64">
        <w:rPr>
          <w:rFonts w:cs="Times New Roman"/>
          <w:noProof/>
          <w:sz w:val="24"/>
        </w:rPr>
        <w:t>. Atzīstot grūtības novērtēt atsevišķus nemateriālos aktīvus, ir izstrādāta pieeja, ar kuru tiks nodrošināta grūti novērtējamo nemateriālo aktīvu atbilstīgas cenas noteikšana, lai sniegtu valstīm papildu rīku pret informācijas asimetrijas starp nodokļu maksātājiem un nodokļu iestādēm izmantošanu grupas iekšienē veikto nemateriālo aktīvu pārvedumu vērtības samazināšanai.</w:t>
      </w:r>
    </w:p>
    <w:p w:rsidR="00376276" w:rsidRPr="00F30F64" w:rsidRDefault="00376276" w:rsidP="00376276">
      <w:pPr>
        <w:pStyle w:val="BodyText"/>
        <w:tabs>
          <w:tab w:val="left" w:pos="1486"/>
        </w:tabs>
        <w:ind w:left="0"/>
        <w:jc w:val="both"/>
        <w:rPr>
          <w:rFonts w:cs="Times New Roman"/>
          <w:noProof/>
          <w:sz w:val="24"/>
        </w:rPr>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rPr>
        <w:t xml:space="preserve">Panākta vienošanās par </w:t>
      </w:r>
      <w:r w:rsidRPr="00F30F64">
        <w:rPr>
          <w:rFonts w:cs="Times New Roman"/>
          <w:b/>
        </w:rPr>
        <w:t>izmaiņām pastāvīgas uzņēmējdarbības vietas</w:t>
      </w:r>
      <w:r w:rsidRPr="00F30F64">
        <w:rPr>
          <w:rFonts w:cs="Times New Roman"/>
        </w:rPr>
        <w:t xml:space="preserve"> definīcijā, lai cīnītos pret paņēmieniem, ko izmanto, lai neatbilstoši izvairītos no nodokļu saiknes, tostarp, izmantojot komisionāru darījumus un uzņēmējdarbības mākslīgu sadalīšanu.</w:t>
      </w:r>
      <w:r w:rsidRPr="00F30F64">
        <w:rPr>
          <w:rFonts w:cs="Times New Roman"/>
          <w:noProof/>
          <w:sz w:val="24"/>
        </w:rPr>
        <w:t xml:space="preserve"> Kā norādīts ziņojumā par 7. pasākumu, tiks veikts turpmāks darbs, lai sniegtu papildu norādījumus par peļņas attiecināšanu uz pastāvīgām uzņēmējdarbības vietām, pamatojoties uz minētajā ziņojumā ierosinātajām izmaiņām. Turpmāks darbs būs nepieciešams arī 2016. gadā, lai iekļautu izmaiņas, kas izriet no ziņojuma par 7. pasākumu, nodokļu paraugkonvencijā, veicot šis paraugkonvencijas atjauninājumu. Šis darbs ļaus komitejai vajadzības gadījumā sniegt papildu skaidrojumu par tām jaunajām konvenciju redakcijām, kas ieviestas ar minēto ziņojumu, un novērst jebkādas neparedzētas sekas, ko rada no šā ziņojuma izrietošās izmaiņas, jo īpaši, izskatot jautājumu, kas saistīts ar finanšu produktu globālo tirdzniecību.</w:t>
      </w:r>
    </w:p>
    <w:p w:rsidR="00376276" w:rsidRPr="00F30F64" w:rsidRDefault="00376276" w:rsidP="00376276">
      <w:pPr>
        <w:pStyle w:val="BodyText"/>
        <w:tabs>
          <w:tab w:val="left" w:pos="1487"/>
        </w:tabs>
        <w:ind w:left="0"/>
        <w:jc w:val="both"/>
        <w:rPr>
          <w:rFonts w:cs="Times New Roman"/>
          <w:noProof/>
          <w:sz w:val="24"/>
        </w:rPr>
      </w:pPr>
    </w:p>
    <w:p w:rsidR="00DB2100" w:rsidRPr="00F30F64" w:rsidRDefault="00DB2100" w:rsidP="000A61E6">
      <w:pPr>
        <w:numPr>
          <w:ilvl w:val="0"/>
          <w:numId w:val="2"/>
        </w:numPr>
        <w:tabs>
          <w:tab w:val="left" w:pos="1486"/>
        </w:tabs>
        <w:ind w:left="0" w:firstLine="0"/>
        <w:jc w:val="both"/>
        <w:rPr>
          <w:rFonts w:ascii="Times New Roman" w:eastAsia="Times New Roman" w:hAnsi="Times New Roman" w:cs="Times New Roman"/>
          <w:noProof/>
          <w:sz w:val="24"/>
        </w:rPr>
      </w:pPr>
      <w:r w:rsidRPr="00F30F64">
        <w:rPr>
          <w:rFonts w:ascii="Times New Roman" w:hAnsi="Times New Roman" w:cs="Times New Roman"/>
          <w:i/>
          <w:noProof/>
          <w:sz w:val="24"/>
        </w:rPr>
        <w:t>BEPS</w:t>
      </w:r>
      <w:r w:rsidRPr="00F30F64">
        <w:rPr>
          <w:rFonts w:ascii="Times New Roman" w:hAnsi="Times New Roman" w:cs="Times New Roman"/>
          <w:noProof/>
          <w:sz w:val="24"/>
        </w:rPr>
        <w:t xml:space="preserve"> pasākumu kompleksā iekļauta arī kopīga pieeja, kas veicinās ieinteresētajās valstīs piemērotās prakses savstarpēju tuvināšanu, </w:t>
      </w:r>
      <w:r w:rsidRPr="00F30F64">
        <w:rPr>
          <w:rFonts w:ascii="Times New Roman" w:hAnsi="Times New Roman" w:cs="Times New Roman"/>
          <w:b/>
          <w:noProof/>
          <w:sz w:val="24"/>
        </w:rPr>
        <w:t>lai ierobežotu nodokļa bāzes samazināšanu ar procentu izdevumu starpniecību</w:t>
      </w:r>
      <w:r w:rsidRPr="00F30F64">
        <w:rPr>
          <w:rFonts w:ascii="Times New Roman" w:hAnsi="Times New Roman" w:cs="Times New Roman"/>
          <w:noProof/>
          <w:sz w:val="24"/>
        </w:rPr>
        <w:t xml:space="preserve">, piemēram, izmantojot grupas iekšējos un trešo personu aizdevumus, kas rada pārmērīgus atskaitāmus procentu maksājumus, kā arī attiecībā uz valstu tiesību aktiem un saistītajiem nodokļu konvenciju noteikumiem attiecīgajā gadījumā, lai </w:t>
      </w:r>
      <w:r w:rsidRPr="00F30F64">
        <w:rPr>
          <w:rFonts w:ascii="Times New Roman" w:hAnsi="Times New Roman" w:cs="Times New Roman"/>
          <w:b/>
          <w:noProof/>
          <w:sz w:val="24"/>
        </w:rPr>
        <w:t>neitralizētu hibrīdās nesakritības</w:t>
      </w:r>
      <w:r w:rsidRPr="00F30F64">
        <w:rPr>
          <w:rFonts w:ascii="Times New Roman" w:hAnsi="Times New Roman" w:cs="Times New Roman"/>
          <w:noProof/>
          <w:sz w:val="24"/>
        </w:rPr>
        <w:t xml:space="preserve">, kas samazina to nodokļu bāzi vai to partneru nodokļu bāzi. Attiecībā uz ieteikumiem par valsts noteikumu un paraugkonvenciju izstrādi ir panākta vienošanās, kas papildināta ar detalizētu komentāru par šo ieteikumu īstenošanu. Pamatojoties uz labāko praksi, izstrādāti arī norādījumi valstīm, kuras vēlas stiprināt savus tiesību aktus jautājumā par </w:t>
      </w:r>
      <w:r w:rsidRPr="00F30F64">
        <w:rPr>
          <w:rFonts w:ascii="Times New Roman" w:hAnsi="Times New Roman" w:cs="Times New Roman"/>
          <w:b/>
          <w:noProof/>
          <w:sz w:val="24"/>
        </w:rPr>
        <w:t>nodokļu maksātāju pienākumu obligāti ziņot par agresīva vai ļaunprātīga rakstura darījumiem, vienošanām un struktūrām</w:t>
      </w:r>
      <w:r w:rsidRPr="00F30F64">
        <w:rPr>
          <w:rFonts w:ascii="Times New Roman" w:hAnsi="Times New Roman" w:cs="Times New Roman"/>
          <w:noProof/>
          <w:sz w:val="24"/>
        </w:rPr>
        <w:t xml:space="preserve">, un </w:t>
      </w:r>
      <w:r w:rsidRPr="00F30F64">
        <w:rPr>
          <w:rFonts w:ascii="Times New Roman" w:hAnsi="Times New Roman" w:cs="Times New Roman"/>
          <w:b/>
          <w:noProof/>
          <w:sz w:val="24"/>
        </w:rPr>
        <w:t>efektīvu kontrolēto ārvalstu uzņēmumu (</w:t>
      </w:r>
      <w:r w:rsidRPr="00F30F64">
        <w:rPr>
          <w:rFonts w:ascii="Times New Roman" w:hAnsi="Times New Roman" w:cs="Times New Roman"/>
          <w:b/>
          <w:i/>
          <w:noProof/>
          <w:sz w:val="24"/>
        </w:rPr>
        <w:t>CFC</w:t>
      </w:r>
      <w:r w:rsidRPr="00F30F64">
        <w:rPr>
          <w:rFonts w:ascii="Times New Roman" w:hAnsi="Times New Roman" w:cs="Times New Roman"/>
          <w:b/>
          <w:noProof/>
          <w:sz w:val="24"/>
        </w:rPr>
        <w:t>) noteikumu</w:t>
      </w:r>
      <w:r w:rsidRPr="00F30F64">
        <w:rPr>
          <w:rFonts w:ascii="Times New Roman" w:hAnsi="Times New Roman" w:cs="Times New Roman"/>
          <w:noProof/>
          <w:sz w:val="24"/>
        </w:rPr>
        <w:t xml:space="preserve"> struktūras moduļi.</w:t>
      </w:r>
    </w:p>
    <w:p w:rsidR="00376276" w:rsidRPr="00F30F64" w:rsidRDefault="00376276" w:rsidP="00376276">
      <w:pPr>
        <w:tabs>
          <w:tab w:val="left" w:pos="1486"/>
        </w:tabs>
        <w:jc w:val="both"/>
        <w:rPr>
          <w:rFonts w:ascii="Times New Roman" w:eastAsia="Times New Roman" w:hAnsi="Times New Roman" w:cs="Times New Roman"/>
          <w:noProof/>
          <w:sz w:val="24"/>
        </w:rPr>
      </w:pPr>
    </w:p>
    <w:p w:rsidR="00DB2100" w:rsidRPr="00F30F64" w:rsidRDefault="00DB2100" w:rsidP="000A61E6">
      <w:pPr>
        <w:pStyle w:val="BodyText"/>
        <w:numPr>
          <w:ilvl w:val="0"/>
          <w:numId w:val="2"/>
        </w:numPr>
        <w:tabs>
          <w:tab w:val="left" w:pos="1486"/>
        </w:tabs>
        <w:ind w:left="0" w:firstLine="1"/>
        <w:jc w:val="both"/>
        <w:rPr>
          <w:rFonts w:cs="Times New Roman"/>
          <w:noProof/>
          <w:sz w:val="24"/>
        </w:rPr>
      </w:pPr>
      <w:r w:rsidRPr="00F30F64">
        <w:rPr>
          <w:rFonts w:cs="Times New Roman"/>
          <w:noProof/>
          <w:sz w:val="24"/>
        </w:rPr>
        <w:t xml:space="preserve">Iepriekšējā desmitgadē ir novērota digitālās ekonomikas strauja attīstība, un pašlaik tā jau aizvien vairāk kļūst par patstāvīgu ekonomiku, tāpēc nodokļu problēmām, ko tā rada, nav piemēroti norobežoti risinājumi. </w:t>
      </w:r>
      <w:r w:rsidRPr="00F30F64">
        <w:rPr>
          <w:rFonts w:cs="Times New Roman"/>
          <w:b/>
          <w:noProof/>
          <w:sz w:val="24"/>
        </w:rPr>
        <w:t xml:space="preserve">Tomēr digitālā ekonomika pastiprina </w:t>
      </w:r>
      <w:r w:rsidRPr="00F30F64">
        <w:rPr>
          <w:rFonts w:cs="Times New Roman"/>
          <w:b/>
          <w:i/>
          <w:noProof/>
          <w:sz w:val="24"/>
        </w:rPr>
        <w:t>BEPS</w:t>
      </w:r>
      <w:r w:rsidRPr="00F30F64">
        <w:rPr>
          <w:rFonts w:cs="Times New Roman"/>
          <w:b/>
          <w:noProof/>
          <w:sz w:val="24"/>
        </w:rPr>
        <w:t xml:space="preserve"> riskus, un paredzēts, ka </w:t>
      </w:r>
      <w:r w:rsidRPr="00F30F64">
        <w:rPr>
          <w:rFonts w:cs="Times New Roman"/>
          <w:b/>
          <w:i/>
          <w:noProof/>
          <w:sz w:val="24"/>
        </w:rPr>
        <w:t>BEPS</w:t>
      </w:r>
      <w:r w:rsidRPr="00F30F64">
        <w:rPr>
          <w:rFonts w:cs="Times New Roman"/>
          <w:b/>
          <w:noProof/>
          <w:sz w:val="24"/>
        </w:rPr>
        <w:t xml:space="preserve"> projektā izstrādātie pasākumi ievērojami tos samazinās. </w:t>
      </w:r>
      <w:r w:rsidRPr="00F30F64">
        <w:rPr>
          <w:rFonts w:cs="Times New Roman"/>
          <w:noProof/>
          <w:sz w:val="24"/>
        </w:rPr>
        <w:t xml:space="preserve">Digitālās ekonomikas pamatiezīmes faktiski ir ņemtas vērā visā </w:t>
      </w:r>
      <w:r w:rsidRPr="00F30F64">
        <w:rPr>
          <w:rFonts w:cs="Times New Roman"/>
          <w:i/>
          <w:noProof/>
          <w:sz w:val="24"/>
        </w:rPr>
        <w:t>BEPS</w:t>
      </w:r>
      <w:r w:rsidRPr="00F30F64">
        <w:rPr>
          <w:rFonts w:cs="Times New Roman"/>
          <w:noProof/>
          <w:sz w:val="24"/>
        </w:rPr>
        <w:t xml:space="preserve"> projektā, jo īpaši izmaiņās pastāvīgas uzņēmējdarbības vietas definīcijā, Iekšējo cenu noteikšanas vadlīniju atjauninājumā un norādījumos par </w:t>
      </w:r>
      <w:r w:rsidRPr="00F30F64">
        <w:rPr>
          <w:rFonts w:cs="Times New Roman"/>
          <w:i/>
          <w:noProof/>
          <w:sz w:val="24"/>
        </w:rPr>
        <w:t>CFC</w:t>
      </w:r>
      <w:r w:rsidRPr="00F30F64">
        <w:rPr>
          <w:rFonts w:cs="Times New Roman"/>
          <w:noProof/>
          <w:sz w:val="24"/>
        </w:rPr>
        <w:t xml:space="preserve"> noteikumiem. Netiešo nodokļu jomā ir izstrādātas vadlīnijas un identificēti īstenošanas mehānismi, lai atvieglinātu PVN iekasēšanu, pamatojoties uz valsti, kurā atrodas patērētājs, un tas ir īpaši būtiski preču un pakalpojumu tiešsaistes pasūtīšanas un piegādes gadījumā. Darbā arī apsvērtas vairākas iespējas risināt plašākas nodokļu problēmas, ko rada digitālā ekonomika, tostarp jauna saikne ievērojamas ekonomiskas klātbūtnes formā. Neviens no šiem risinājumiem netika ieteiks šajā posmā. Daļēji tas ir tādēļ, ka paredzams, ka </w:t>
      </w:r>
      <w:r w:rsidRPr="00F30F64">
        <w:rPr>
          <w:rFonts w:cs="Times New Roman"/>
          <w:i/>
          <w:noProof/>
          <w:sz w:val="24"/>
        </w:rPr>
        <w:t>BEPS</w:t>
      </w:r>
      <w:r w:rsidRPr="00F30F64">
        <w:rPr>
          <w:rFonts w:cs="Times New Roman"/>
          <w:noProof/>
          <w:sz w:val="24"/>
        </w:rPr>
        <w:t xml:space="preserve"> projektā izstrādātajiem pasākumiem būs </w:t>
      </w:r>
      <w:r w:rsidRPr="00F30F64">
        <w:rPr>
          <w:rFonts w:cs="Times New Roman"/>
          <w:noProof/>
          <w:sz w:val="24"/>
        </w:rPr>
        <w:lastRenderedPageBreak/>
        <w:t xml:space="preserve">ievērojama ietekme uz digitālajā ekonomikā iepriekš identificētajām </w:t>
      </w:r>
      <w:r w:rsidRPr="00F30F64">
        <w:rPr>
          <w:rFonts w:cs="Times New Roman"/>
          <w:i/>
          <w:noProof/>
          <w:sz w:val="24"/>
        </w:rPr>
        <w:t>BEPS</w:t>
      </w:r>
      <w:r w:rsidRPr="00F30F64">
        <w:rPr>
          <w:rFonts w:cs="Times New Roman"/>
          <w:noProof/>
          <w:sz w:val="24"/>
        </w:rPr>
        <w:t xml:space="preserve"> problēmām, noteikti </w:t>
      </w:r>
      <w:r w:rsidRPr="00F30F64">
        <w:rPr>
          <w:rFonts w:cs="Times New Roman"/>
          <w:i/>
          <w:noProof/>
          <w:sz w:val="24"/>
        </w:rPr>
        <w:t>BEPS</w:t>
      </w:r>
      <w:r w:rsidRPr="00F30F64">
        <w:rPr>
          <w:rFonts w:cs="Times New Roman"/>
          <w:noProof/>
          <w:sz w:val="24"/>
        </w:rPr>
        <w:t xml:space="preserve"> pasākumi mazinās atsevišķus plašāku nodokļu problēmu aspektus un patēriņa nodokļi tiks efektīvi piemēroti tirgus valstī. Tomēr valstis var ieviest jebkuru no šiem risinājumiem savos tiesību aktos kā papildu drošības pasākumu pret </w:t>
      </w:r>
      <w:r w:rsidRPr="00F30F64">
        <w:rPr>
          <w:rFonts w:cs="Times New Roman"/>
          <w:i/>
          <w:noProof/>
          <w:sz w:val="24"/>
        </w:rPr>
        <w:t>BEPS</w:t>
      </w:r>
      <w:r w:rsidRPr="00F30F64">
        <w:rPr>
          <w:rFonts w:cs="Times New Roman"/>
          <w:noProof/>
          <w:sz w:val="24"/>
        </w:rPr>
        <w:t xml:space="preserve"> ar nosacījumu, ka tajos tiek ievērotas spēkā esošās nodokļu konvencijas saistības, vai savās divpusējās nodokļu konvencijās. ESAO un G20 valstis ir vienojušās par virzības uzraudzību un to datu analīzi, kuri kļūs pieejami laika gaitā. Pamatojoties uz turpmāko uzraudzības darbu, tiks noteikts arī tas, vai ir nepieciešams papildu darbs attiecībā uz apspriestajām un analizētajām risinājumu iespējām. Tas jānosaka, plaši novērtējot pašreizējo starptautisko nodokļu standartu spēju risināt problēmas nodokļu jomā, ko rada digitālās ekonomikas attīstība.</w:t>
      </w:r>
    </w:p>
    <w:p w:rsidR="00376276" w:rsidRPr="00F30F64" w:rsidRDefault="00376276" w:rsidP="00376276">
      <w:pPr>
        <w:pStyle w:val="BodyText"/>
        <w:tabs>
          <w:tab w:val="left" w:pos="1486"/>
        </w:tabs>
        <w:ind w:left="1"/>
        <w:jc w:val="both"/>
        <w:rPr>
          <w:rFonts w:cs="Times New Roman"/>
          <w:noProof/>
          <w:sz w:val="24"/>
        </w:rPr>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noProof/>
          <w:sz w:val="24"/>
        </w:rPr>
        <w:t xml:space="preserve">Uzsākta novatoriska mehānisma darbība, lai atjauninātu globālo tīklu, kuru veido vairāk nekā 3500 divpusējās nodokļu konvencijas, proti, aptuveni 90 valstis ir pievienojušās </w:t>
      </w:r>
      <w:r w:rsidRPr="00F30F64">
        <w:rPr>
          <w:rFonts w:cs="Times New Roman"/>
          <w:i/>
          <w:noProof/>
          <w:sz w:val="24"/>
        </w:rPr>
        <w:t>ad hoc</w:t>
      </w:r>
      <w:r w:rsidRPr="00F30F64">
        <w:rPr>
          <w:rFonts w:cs="Times New Roman"/>
          <w:noProof/>
          <w:sz w:val="24"/>
        </w:rPr>
        <w:t xml:space="preserve"> grupai, lai </w:t>
      </w:r>
      <w:r w:rsidRPr="00F30F64">
        <w:rPr>
          <w:rFonts w:cs="Times New Roman"/>
          <w:b/>
          <w:noProof/>
          <w:sz w:val="24"/>
        </w:rPr>
        <w:t>piedalītos sarunās par daudzpusēju instrumentu</w:t>
      </w:r>
      <w:r w:rsidRPr="00F30F64">
        <w:rPr>
          <w:rFonts w:cs="Times New Roman"/>
          <w:noProof/>
          <w:sz w:val="24"/>
        </w:rPr>
        <w:t xml:space="preserve">, ar ko tiks ieviesti ar nodokļu konvencijām saistītie </w:t>
      </w:r>
      <w:r w:rsidRPr="00F30F64">
        <w:rPr>
          <w:rFonts w:cs="Times New Roman"/>
          <w:i/>
          <w:noProof/>
          <w:sz w:val="24"/>
        </w:rPr>
        <w:t>BEPS</w:t>
      </w:r>
      <w:r w:rsidRPr="00F30F64">
        <w:rPr>
          <w:rFonts w:cs="Times New Roman"/>
          <w:noProof/>
          <w:sz w:val="24"/>
        </w:rPr>
        <w:t xml:space="preserve"> pasākumi, kuri sekmēs divpusējo nodokļu konvenciju sinhronu un efektīvu pārveidošanu bez nepieciešamības ieguldīt resursus katras konvencijas atsevišķai pārskatīšanai divpusējā līmenī. Šis daudzpusējais instruments tiks pieņemts 2016. gada beigās, un tas uzlabos koordināciju un starptautisko sadarbību nodokļu jomā.</w:t>
      </w:r>
    </w:p>
    <w:p w:rsidR="00376276" w:rsidRPr="00F30F64" w:rsidRDefault="00376276" w:rsidP="0037627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541"/>
        </w:tabs>
        <w:ind w:left="0" w:firstLine="0"/>
        <w:jc w:val="both"/>
        <w:rPr>
          <w:rFonts w:cs="Times New Roman"/>
          <w:noProof/>
          <w:sz w:val="24"/>
        </w:rPr>
      </w:pPr>
      <w:r w:rsidRPr="00F30F64">
        <w:rPr>
          <w:rFonts w:cs="Times New Roman"/>
          <w:noProof/>
          <w:sz w:val="24"/>
        </w:rPr>
        <w:t xml:space="preserve">Ņemot vērā jaunākos paziņojumus, kas liecina par būtiskām izmaiņām dažu lielo starptautisko uzņēmumu nodokļu strukturēšanā, ietekmi uz nodokļu maksātāju uzvedību var novērot jau pašlaik, pirms ieviešanas pilnīgas uzsākšanas. Kopsavilkums par katru </w:t>
      </w:r>
      <w:r w:rsidRPr="00F30F64">
        <w:rPr>
          <w:rFonts w:cs="Times New Roman"/>
          <w:i/>
          <w:noProof/>
          <w:sz w:val="24"/>
        </w:rPr>
        <w:t>BEPS</w:t>
      </w:r>
      <w:r w:rsidRPr="00F30F64">
        <w:rPr>
          <w:rFonts w:cs="Times New Roman"/>
          <w:noProof/>
          <w:sz w:val="24"/>
        </w:rPr>
        <w:t xml:space="preserve"> pasākumu kompleksā ietilpstošo pasākumu ir sniegts šā paskaidrojuma raksta pielikumā.</w:t>
      </w:r>
    </w:p>
    <w:p w:rsidR="00DB2100" w:rsidRPr="00F30F64" w:rsidRDefault="00DB2100" w:rsidP="000A61E6">
      <w:pPr>
        <w:jc w:val="both"/>
        <w:rPr>
          <w:rFonts w:ascii="Times New Roman" w:eastAsia="Times New Roman" w:hAnsi="Times New Roman" w:cs="Times New Roman"/>
          <w:noProof/>
          <w:sz w:val="24"/>
        </w:rPr>
      </w:pPr>
    </w:p>
    <w:p w:rsidR="00376276" w:rsidRPr="00F30F64" w:rsidRDefault="00DB2100" w:rsidP="00552D89">
      <w:pPr>
        <w:pStyle w:val="Heading1"/>
      </w:pPr>
      <w:bookmarkStart w:id="7" w:name="Post-BEPS_Environment"/>
      <w:bookmarkStart w:id="8" w:name="_bookmark2"/>
      <w:bookmarkStart w:id="9" w:name="_Toc457555831"/>
      <w:bookmarkEnd w:id="7"/>
      <w:bookmarkEnd w:id="8"/>
      <w:r w:rsidRPr="00F30F64">
        <w:t xml:space="preserve">Vide pēc </w:t>
      </w:r>
      <w:r w:rsidRPr="00F30F64">
        <w:rPr>
          <w:i/>
        </w:rPr>
        <w:t>BEPS</w:t>
      </w:r>
      <w:r w:rsidRPr="00F30F64">
        <w:t xml:space="preserve"> projekta īstenošanas</w:t>
      </w:r>
      <w:bookmarkEnd w:id="9"/>
    </w:p>
    <w:p w:rsidR="00376276" w:rsidRPr="00F30F64" w:rsidRDefault="00376276" w:rsidP="006A4821">
      <w:pPr>
        <w:pStyle w:val="Heading1"/>
      </w:pPr>
    </w:p>
    <w:p w:rsidR="00DB2100" w:rsidRPr="00F30F64" w:rsidRDefault="00DB2100" w:rsidP="00376276">
      <w:pPr>
        <w:pStyle w:val="BodyText"/>
        <w:numPr>
          <w:ilvl w:val="0"/>
          <w:numId w:val="2"/>
        </w:numPr>
        <w:tabs>
          <w:tab w:val="left" w:pos="1487"/>
        </w:tabs>
        <w:ind w:left="0" w:firstLine="0"/>
        <w:jc w:val="both"/>
        <w:rPr>
          <w:rFonts w:cs="Times New Roman"/>
          <w:noProof/>
          <w:sz w:val="24"/>
        </w:rPr>
      </w:pPr>
      <w:r w:rsidRPr="00F30F64">
        <w:rPr>
          <w:rFonts w:cs="Times New Roman"/>
          <w:noProof/>
          <w:sz w:val="24"/>
        </w:rPr>
        <w:t xml:space="preserve">Pieņemot </w:t>
      </w:r>
      <w:r w:rsidRPr="00F30F64">
        <w:rPr>
          <w:rFonts w:cs="Times New Roman"/>
          <w:i/>
          <w:noProof/>
          <w:sz w:val="24"/>
        </w:rPr>
        <w:t>BEPS</w:t>
      </w:r>
      <w:r w:rsidRPr="00F30F64">
        <w:rPr>
          <w:rFonts w:cs="Times New Roman"/>
          <w:noProof/>
          <w:sz w:val="24"/>
        </w:rPr>
        <w:t xml:space="preserve"> pasākumu kompleksu, ESAO un G20 valstis, kā arī visas attīstības valstis, kas ir piedalījušās tā izstrādē, liks pamatus modernai starptautiskai nodokļu sistēmai, kurā peļņa tiek aplikta ar nodokli tajā vietā, kur notiek saimnieciskā darbība un tiek radīta vērtība. Pienācis laiks pievērst uzmanību gaidāmajām problēmām, tostarp ieteikto izmaiņu konsekventas un saskanīgas ieviešanas atbalstīšanai, ietekmes uz nodokļu dubulto neuzlikšanu un nodokļu dubulto uzlikšanu uzraudzībai un plašākas sistēmas izstrādei ieviešanas atbalstam un uzraudzības īstenošanai.</w:t>
      </w:r>
    </w:p>
    <w:p w:rsidR="00DB2100" w:rsidRPr="00F30F64" w:rsidRDefault="00DB2100" w:rsidP="000A61E6">
      <w:pPr>
        <w:jc w:val="both"/>
        <w:rPr>
          <w:rFonts w:ascii="Times New Roman" w:eastAsia="Times New Roman" w:hAnsi="Times New Roman" w:cs="Times New Roman"/>
          <w:noProof/>
          <w:sz w:val="24"/>
          <w:szCs w:val="21"/>
        </w:rPr>
      </w:pPr>
    </w:p>
    <w:p w:rsidR="00DB2100" w:rsidRPr="00552D89" w:rsidRDefault="00376276" w:rsidP="00552D89">
      <w:pPr>
        <w:pStyle w:val="Heading2"/>
      </w:pPr>
      <w:bookmarkStart w:id="10" w:name="A._Implementation_starts_now"/>
      <w:bookmarkStart w:id="11" w:name="_bookmark3"/>
      <w:bookmarkStart w:id="12" w:name="_Toc457555832"/>
      <w:bookmarkEnd w:id="10"/>
      <w:bookmarkEnd w:id="11"/>
      <w:r w:rsidRPr="00552D89">
        <w:t>A. Ieviešana sākas pašlaik</w:t>
      </w:r>
      <w:bookmarkEnd w:id="12"/>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numPr>
          <w:ilvl w:val="0"/>
          <w:numId w:val="2"/>
        </w:numPr>
        <w:tabs>
          <w:tab w:val="left" w:pos="1487"/>
        </w:tabs>
        <w:ind w:left="0" w:firstLine="0"/>
        <w:jc w:val="both"/>
        <w:rPr>
          <w:rFonts w:cs="Times New Roman"/>
          <w:noProof/>
          <w:sz w:val="24"/>
        </w:rPr>
      </w:pPr>
      <w:r w:rsidRPr="00F30F64">
        <w:rPr>
          <w:rFonts w:cs="Times New Roman"/>
          <w:noProof/>
          <w:sz w:val="24"/>
        </w:rPr>
        <w:t xml:space="preserve">Dažas no izmaiņām, piemēram, pārskatītās Iekšējo cenu noteikšanas vadlīnijas, var būt tūlītēji piemērojamas, savukārt citu īstenošanai nepieciešamas izmaiņas, ko var ieviest ar nodokļu konvenciju, tostarp daudzpusējā instrumenta, starpniecību. Dažiem pasākumiem nepieciešamas izmaiņas valsts tiesību aktos, piemēram, rezultātiem, kuri gūti darbā pie hibrīdajām nesakritībām, </w:t>
      </w:r>
      <w:r w:rsidRPr="00F30F64">
        <w:rPr>
          <w:rFonts w:cs="Times New Roman"/>
          <w:i/>
          <w:noProof/>
          <w:sz w:val="24"/>
        </w:rPr>
        <w:t>CFC</w:t>
      </w:r>
      <w:r w:rsidRPr="00F30F64">
        <w:rPr>
          <w:rFonts w:cs="Times New Roman"/>
          <w:noProof/>
          <w:sz w:val="24"/>
        </w:rPr>
        <w:t xml:space="preserve"> noteikumiem, procentu atskaitāmības un obligātas informācijas sniegšanas noteikumiem, kā arī valsts noteikumu par preferenciālajiem intelektuālā īpašuma režīmiem savienošana ar kaitējošas nodokļu piemērošanas prakses kritērijiem vajadzības gadījumā. Valstīm ir suverenitāte. Tāpēc šo izmaiņu ieviešana ir valstu ziņā, un pasākumus var ieviest dažādos veidos, ciktāl tas nav pretrunā attiecīgo valstu starptautiskajām juridiskajām saistībām. Tomēr </w:t>
      </w:r>
      <w:r w:rsidRPr="00F30F64">
        <w:rPr>
          <w:rFonts w:cs="Times New Roman"/>
          <w:i/>
          <w:noProof/>
          <w:sz w:val="24"/>
        </w:rPr>
        <w:t>BEPS</w:t>
      </w:r>
      <w:r w:rsidRPr="00F30F64">
        <w:rPr>
          <w:rFonts w:cs="Times New Roman"/>
          <w:noProof/>
          <w:sz w:val="24"/>
        </w:rPr>
        <w:t xml:space="preserve"> pēc tā būtības ir nepieciešami koordinēti pasākumi it īpaši valsts tiesību aktu jomā; tāpēc paredzams, ka valstis īstenos savas apņemšanās un centīsies nodrošināt konsekvenci un saskanību, kad lems par šo pasākumu īstenošanu.</w:t>
      </w:r>
    </w:p>
    <w:p w:rsidR="00376276" w:rsidRPr="00F30F64" w:rsidRDefault="00376276" w:rsidP="00376276">
      <w:pPr>
        <w:pStyle w:val="BodyText"/>
        <w:tabs>
          <w:tab w:val="left" w:pos="1487"/>
        </w:tabs>
        <w:ind w:left="0"/>
        <w:jc w:val="both"/>
        <w:rPr>
          <w:rFonts w:cs="Times New Roman"/>
          <w:noProof/>
          <w:sz w:val="24"/>
        </w:rPr>
      </w:pPr>
    </w:p>
    <w:p w:rsidR="00DB2100" w:rsidRPr="00F30F64" w:rsidRDefault="00DB2100" w:rsidP="000A61E6">
      <w:pPr>
        <w:pStyle w:val="BodyText"/>
        <w:numPr>
          <w:ilvl w:val="0"/>
          <w:numId w:val="2"/>
        </w:numPr>
        <w:tabs>
          <w:tab w:val="left" w:pos="1486"/>
        </w:tabs>
        <w:ind w:left="0" w:firstLine="0"/>
        <w:jc w:val="both"/>
        <w:rPr>
          <w:rFonts w:cs="Times New Roman"/>
          <w:noProof/>
          <w:sz w:val="24"/>
        </w:rPr>
      </w:pPr>
      <w:r w:rsidRPr="00F30F64">
        <w:rPr>
          <w:rFonts w:cs="Times New Roman"/>
          <w:noProof/>
          <w:sz w:val="24"/>
        </w:rPr>
        <w:t xml:space="preserve">Minēto pasākumu izstrādes gaitā ir nācies saskarties ar noteiktām grūtībām, </w:t>
      </w:r>
      <w:r w:rsidRPr="00F30F64">
        <w:rPr>
          <w:rFonts w:cs="Times New Roman"/>
          <w:noProof/>
          <w:sz w:val="24"/>
        </w:rPr>
        <w:lastRenderedPageBreak/>
        <w:t xml:space="preserve">proti, dažas valstis ir ieviesušas vienpusējus pasākumus, dažas nodokļu administrācijas ir bijušas agresīvākas un daži praktiķi ir norādījuši uz pieaugušo nenoteiktību, ko rada izmaiņas pasaules ekonomikā un uzlabotā informētība par </w:t>
      </w:r>
      <w:r w:rsidRPr="00F30F64">
        <w:rPr>
          <w:rFonts w:cs="Times New Roman"/>
          <w:i/>
          <w:noProof/>
          <w:sz w:val="24"/>
        </w:rPr>
        <w:t>BEPS</w:t>
      </w:r>
      <w:r w:rsidRPr="00F30F64">
        <w:rPr>
          <w:rFonts w:cs="Times New Roman"/>
          <w:noProof/>
          <w:sz w:val="24"/>
        </w:rPr>
        <w:t xml:space="preserve">. </w:t>
      </w:r>
      <w:r w:rsidRPr="00F30F64">
        <w:rPr>
          <w:rFonts w:cs="Times New Roman"/>
          <w:i/>
          <w:noProof/>
          <w:sz w:val="24"/>
        </w:rPr>
        <w:t>BEPS</w:t>
      </w:r>
      <w:r w:rsidRPr="00F30F64">
        <w:rPr>
          <w:rFonts w:cs="Times New Roman"/>
          <w:noProof/>
          <w:sz w:val="24"/>
        </w:rPr>
        <w:t xml:space="preserve"> rīcības plānā noteikts šādi:</w:t>
      </w:r>
    </w:p>
    <w:p w:rsidR="00376276" w:rsidRPr="00F30F64" w:rsidRDefault="00376276" w:rsidP="00376276">
      <w:pPr>
        <w:pStyle w:val="BodyText"/>
        <w:tabs>
          <w:tab w:val="left" w:pos="1486"/>
        </w:tabs>
        <w:ind w:left="0"/>
        <w:jc w:val="both"/>
        <w:rPr>
          <w:rFonts w:cs="Times New Roman"/>
          <w:noProof/>
          <w:sz w:val="24"/>
        </w:rPr>
      </w:pPr>
    </w:p>
    <w:p w:rsidR="00376276" w:rsidRPr="00F30F64" w:rsidRDefault="00DB2100" w:rsidP="000A61E6">
      <w:pPr>
        <w:jc w:val="both"/>
        <w:rPr>
          <w:rFonts w:ascii="Times New Roman" w:eastAsia="Times New Roman" w:hAnsi="Times New Roman" w:cs="Times New Roman"/>
          <w:i/>
          <w:noProof/>
          <w:sz w:val="24"/>
        </w:rPr>
      </w:pPr>
      <w:r w:rsidRPr="00F30F64">
        <w:rPr>
          <w:rFonts w:ascii="Times New Roman" w:hAnsi="Times New Roman" w:cs="Times New Roman"/>
          <w:i/>
          <w:noProof/>
          <w:sz w:val="24"/>
        </w:rPr>
        <w:t>“.. pretrunīgu starptautisko standartu kopumu parādīšanās un pašreizējās vienprātībā balstītās sistēmas aizstāšana ar vienpusējiem pasākumiem var izraisīt globālu haosu nodokļu jomā, ko iezīmēs nodokļu dubultās uzlikšanas atkārtota parādīšanās plašā mērogā.”</w:t>
      </w:r>
    </w:p>
    <w:p w:rsidR="00376276" w:rsidRPr="00F30F64" w:rsidRDefault="00376276" w:rsidP="000A61E6">
      <w:pPr>
        <w:jc w:val="both"/>
        <w:rPr>
          <w:rFonts w:ascii="Times New Roman" w:eastAsia="Times New Roman" w:hAnsi="Times New Roman" w:cs="Times New Roman"/>
          <w:i/>
          <w:noProof/>
          <w:sz w:val="24"/>
        </w:rPr>
      </w:pPr>
    </w:p>
    <w:p w:rsidR="00DB2100" w:rsidRPr="00F30F64" w:rsidRDefault="00DB2100" w:rsidP="000A61E6">
      <w:pPr>
        <w:numPr>
          <w:ilvl w:val="0"/>
          <w:numId w:val="2"/>
        </w:numPr>
        <w:tabs>
          <w:tab w:val="left" w:pos="1487"/>
        </w:tabs>
        <w:ind w:left="0" w:firstLine="0"/>
        <w:jc w:val="both"/>
        <w:rPr>
          <w:rFonts w:ascii="Times New Roman" w:hAnsi="Times New Roman" w:cs="Times New Roman"/>
          <w:noProof/>
          <w:sz w:val="24"/>
        </w:rPr>
      </w:pPr>
      <w:r w:rsidRPr="00F30F64">
        <w:rPr>
          <w:rFonts w:ascii="Times New Roman" w:hAnsi="Times New Roman" w:cs="Times New Roman"/>
          <w:noProof/>
          <w:sz w:val="24"/>
        </w:rPr>
        <w:t xml:space="preserve">Valstis atzīst šīs problēmas un to, ka </w:t>
      </w:r>
      <w:r w:rsidRPr="00F30F64">
        <w:rPr>
          <w:rFonts w:ascii="Times New Roman" w:hAnsi="Times New Roman" w:cs="Times New Roman"/>
          <w:b/>
          <w:noProof/>
          <w:sz w:val="24"/>
        </w:rPr>
        <w:t>ieviešanai un piemērošanai ir būtiska nozīme</w:t>
      </w:r>
      <w:r w:rsidRPr="00F30F64">
        <w:rPr>
          <w:rFonts w:ascii="Times New Roman" w:hAnsi="Times New Roman" w:cs="Times New Roman"/>
          <w:noProof/>
          <w:sz w:val="24"/>
        </w:rPr>
        <w:t>: iespējas, kas izstrādātas tā, lai tās varētu pielāgot dažādām nodokļu sistēmām, nedrīkst radīt pretrunas starp valstu sistēmām; jauno standartu interpretācija nedrīkst palielināt domstarpības. Tā vietā</w:t>
      </w:r>
      <w:r w:rsidRPr="00F30F64">
        <w:rPr>
          <w:rFonts w:ascii="Times New Roman" w:hAnsi="Times New Roman" w:cs="Times New Roman"/>
          <w:b/>
          <w:noProof/>
          <w:sz w:val="24"/>
        </w:rPr>
        <w:t xml:space="preserve"> ESAO un G20 valstis vienojas turpināt strādāt kopā </w:t>
      </w:r>
      <w:r w:rsidRPr="00F30F64">
        <w:rPr>
          <w:rFonts w:ascii="Times New Roman" w:hAnsi="Times New Roman" w:cs="Times New Roman"/>
          <w:b/>
          <w:i/>
          <w:noProof/>
          <w:sz w:val="24"/>
        </w:rPr>
        <w:t>BEPS</w:t>
      </w:r>
      <w:r w:rsidRPr="00F30F64">
        <w:rPr>
          <w:rFonts w:ascii="Times New Roman" w:hAnsi="Times New Roman" w:cs="Times New Roman"/>
          <w:b/>
          <w:noProof/>
          <w:sz w:val="24"/>
        </w:rPr>
        <w:t xml:space="preserve"> projektā</w:t>
      </w:r>
      <w:r w:rsidRPr="00F30F64">
        <w:rPr>
          <w:rFonts w:ascii="Times New Roman" w:hAnsi="Times New Roman" w:cs="Times New Roman"/>
          <w:noProof/>
          <w:sz w:val="24"/>
        </w:rPr>
        <w:t>, lai veicinātu efektīvu un saskanīgu ieviešanu.</w:t>
      </w:r>
      <w:r w:rsidRPr="00F30F64">
        <w:rPr>
          <w:rFonts w:ascii="Times New Roman" w:hAnsi="Times New Roman" w:cs="Times New Roman"/>
          <w:b/>
          <w:noProof/>
          <w:sz w:val="24"/>
        </w:rPr>
        <w:t xml:space="preserve"> ESAO un G20 valstu un arī citu valstu vidū jau tiek gatavotas iniciatīvas konsekventas un koordinētas ieviešanas turpmākai nodrošināšanai. </w:t>
      </w:r>
      <w:r w:rsidRPr="00F30F64">
        <w:rPr>
          <w:rFonts w:ascii="Times New Roman" w:hAnsi="Times New Roman" w:cs="Times New Roman"/>
          <w:noProof/>
          <w:sz w:val="24"/>
        </w:rPr>
        <w:t xml:space="preserve">Piemēram, Eiropas Komisija nesen ir publicējusi Paziņojumu par taisnīgu un efektīvu uzņēmumu ienākuma nodokļa sistēmu Eiropas Savienībā, kura mērķis ir izklāstīt to, kā </w:t>
      </w:r>
      <w:r w:rsidRPr="00F30F64">
        <w:rPr>
          <w:rFonts w:ascii="Times New Roman" w:hAnsi="Times New Roman" w:cs="Times New Roman"/>
          <w:i/>
          <w:noProof/>
          <w:sz w:val="24"/>
        </w:rPr>
        <w:t>BEPS</w:t>
      </w:r>
      <w:r w:rsidRPr="00F30F64">
        <w:rPr>
          <w:rFonts w:ascii="Times New Roman" w:hAnsi="Times New Roman" w:cs="Times New Roman"/>
          <w:noProof/>
          <w:sz w:val="24"/>
        </w:rPr>
        <w:t xml:space="preserve"> pasākumus iespējams īstenot Eiropas Savienībā. Arī aptuveni 90 valstu līdzdalība daudzpusējā instrumenta apspriešanā ir spēcīgs signāls tam, ka valstis ir apņēmības pilnas ātrai un konsekventai ieviešanai daudzpusējā līmenī.</w:t>
      </w:r>
    </w:p>
    <w:p w:rsidR="00376276" w:rsidRPr="00F30F64" w:rsidRDefault="00376276" w:rsidP="00376276">
      <w:pPr>
        <w:tabs>
          <w:tab w:val="left" w:pos="1487"/>
        </w:tabs>
        <w:jc w:val="both"/>
        <w:rPr>
          <w:rFonts w:ascii="Times New Roman" w:hAnsi="Times New Roman" w:cs="Times New Roman"/>
          <w:noProof/>
          <w:sz w:val="24"/>
        </w:rPr>
      </w:pPr>
    </w:p>
    <w:p w:rsidR="00DB2100" w:rsidRPr="00F30F64" w:rsidRDefault="00DB2100" w:rsidP="000A61E6">
      <w:pPr>
        <w:pStyle w:val="BodyText"/>
        <w:numPr>
          <w:ilvl w:val="0"/>
          <w:numId w:val="2"/>
        </w:numPr>
        <w:tabs>
          <w:tab w:val="left" w:pos="1486"/>
        </w:tabs>
        <w:ind w:left="0" w:firstLine="1"/>
        <w:jc w:val="both"/>
        <w:rPr>
          <w:rFonts w:cs="Times New Roman"/>
          <w:noProof/>
          <w:sz w:val="24"/>
        </w:rPr>
      </w:pPr>
      <w:r w:rsidRPr="00F30F64">
        <w:rPr>
          <w:rFonts w:cs="Times New Roman"/>
          <w:b/>
          <w:noProof/>
          <w:sz w:val="24"/>
        </w:rPr>
        <w:t xml:space="preserve">ESAO un G20 valstis arī turpinās strādāt atbilstīgi vienlīdzīgas līdzdalības principam, lai pabeigtu darbu jomās, kurās nepieciešams papildu darbs 2016. un 2017. gadā. </w:t>
      </w:r>
      <w:r w:rsidRPr="00F30F64">
        <w:rPr>
          <w:rFonts w:cs="Times New Roman"/>
          <w:noProof/>
          <w:sz w:val="24"/>
        </w:rPr>
        <w:t>Šādas jomas ir iekšējo cenu noteikšanas norādījumu pabeigšana attiecībā uz peļņas sadalīšanas transakcijas metodēm un finanšu darījumiem, apspriežot noteikumus par peļņas attiecināšanu uz pastāvīgajām uzņēmējdarbības vietām, ievērojot izmaiņas pastāvīgo uzņēmējdarbības vietu definīcijā, un paraugnoteikumu un detalizēta komentāra par priekšrocību ierobežošanas (</w:t>
      </w:r>
      <w:r w:rsidRPr="00F30F64">
        <w:rPr>
          <w:rFonts w:cs="Times New Roman"/>
          <w:i/>
          <w:noProof/>
          <w:sz w:val="24"/>
        </w:rPr>
        <w:t>LOB</w:t>
      </w:r>
      <w:r w:rsidRPr="00F30F64">
        <w:rPr>
          <w:rFonts w:cs="Times New Roman"/>
          <w:noProof/>
          <w:sz w:val="24"/>
        </w:rPr>
        <w:t>) noteikumu pabeigšana, turpinot izskatīt jautājumus, kas saistīti ar plašāku jautājumu par ieguldījumu fondu (izņemot kolektīvo ieguldījumu fondus) traktējumu nodokļu konvencijās. Tas nozīmēs arī detalizētu noteikumu pabeigšanu par izslēgšanu atbilstīgi grupas īpatsvaram un īpašu noteikumu pabeigšanu par apdrošināšanas un banku sektoriem procentu atskaitāmības jomā un stratēģijas izstrādi, lai paplašinātu līdzdalību, iesaistot valstis, kurām nav ESAO un G20 valsts statusa, darbā pie kaitējošas nodokļu piemērošanas prakses izskaušanas, tostarp attiecīgo kritēriju iespējamā pārskatīšanā.</w:t>
      </w:r>
    </w:p>
    <w:p w:rsidR="00376276" w:rsidRPr="00F30F64" w:rsidRDefault="00376276" w:rsidP="00376276">
      <w:pPr>
        <w:pStyle w:val="BodyText"/>
        <w:tabs>
          <w:tab w:val="left" w:pos="1486"/>
        </w:tabs>
        <w:ind w:left="1"/>
        <w:jc w:val="both"/>
        <w:rPr>
          <w:rFonts w:cs="Times New Roman"/>
          <w:noProof/>
          <w:sz w:val="24"/>
        </w:rPr>
      </w:pPr>
    </w:p>
    <w:p w:rsidR="00DB2100" w:rsidRPr="00F30F64" w:rsidRDefault="00DB2100" w:rsidP="000A61E6">
      <w:pPr>
        <w:pStyle w:val="BodyText"/>
        <w:numPr>
          <w:ilvl w:val="0"/>
          <w:numId w:val="2"/>
        </w:numPr>
        <w:tabs>
          <w:tab w:val="left" w:pos="1486"/>
        </w:tabs>
        <w:ind w:left="0" w:firstLine="0"/>
        <w:jc w:val="both"/>
        <w:rPr>
          <w:rFonts w:cs="Times New Roman"/>
          <w:noProof/>
          <w:sz w:val="24"/>
        </w:rPr>
      </w:pPr>
      <w:r w:rsidRPr="00F30F64">
        <w:rPr>
          <w:rFonts w:cs="Times New Roman"/>
          <w:noProof/>
          <w:sz w:val="24"/>
        </w:rPr>
        <w:t xml:space="preserve">Papildus šo pasākumu izstrādes pabeigšanai ESAO un G20 valstis mēģinās uzlabot minēto noteikumu piemērošanas skaidrību un noteiktību un apsvērs arī darbu saistītās jomās, kuras ir parādījušās, strādājot pie </w:t>
      </w:r>
      <w:r w:rsidRPr="00F30F64">
        <w:rPr>
          <w:rFonts w:cs="Times New Roman"/>
          <w:i/>
          <w:noProof/>
          <w:sz w:val="24"/>
        </w:rPr>
        <w:t>BEPS</w:t>
      </w:r>
      <w:r w:rsidRPr="00F30F64">
        <w:rPr>
          <w:rFonts w:cs="Times New Roman"/>
          <w:noProof/>
          <w:sz w:val="24"/>
        </w:rPr>
        <w:t>.</w:t>
      </w:r>
    </w:p>
    <w:p w:rsidR="00DB2100" w:rsidRPr="00F30F64" w:rsidRDefault="00376276" w:rsidP="00552D89">
      <w:pPr>
        <w:pStyle w:val="Heading2"/>
        <w:rPr>
          <w:noProof/>
        </w:rPr>
      </w:pPr>
      <w:bookmarkStart w:id="13" w:name="B._Monitoring_implementation_and_impact"/>
      <w:bookmarkStart w:id="14" w:name="_bookmark4"/>
      <w:bookmarkStart w:id="15" w:name="_Toc457555833"/>
      <w:bookmarkEnd w:id="13"/>
      <w:bookmarkEnd w:id="14"/>
      <w:r w:rsidRPr="00F30F64">
        <w:t>B. Ieviešanas un ietekmes uzraudzība</w:t>
      </w:r>
      <w:bookmarkEnd w:id="15"/>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numPr>
          <w:ilvl w:val="0"/>
          <w:numId w:val="2"/>
        </w:numPr>
        <w:tabs>
          <w:tab w:val="left" w:pos="1487"/>
        </w:tabs>
        <w:ind w:left="0" w:firstLine="0"/>
        <w:jc w:val="both"/>
        <w:rPr>
          <w:rFonts w:ascii="Times New Roman" w:eastAsia="Times New Roman" w:hAnsi="Times New Roman" w:cs="Times New Roman"/>
          <w:noProof/>
          <w:sz w:val="24"/>
        </w:rPr>
      </w:pPr>
      <w:r w:rsidRPr="00F30F64">
        <w:rPr>
          <w:rFonts w:ascii="Times New Roman" w:hAnsi="Times New Roman" w:cs="Times New Roman"/>
          <w:noProof/>
          <w:sz w:val="24"/>
        </w:rPr>
        <w:t xml:space="preserve">Ņemot vērā visu panākto progresu, tostarp jauna ESAO-G20 satvara izveidi plašākas apspriešanas nodrošināšanai, šķiet svarīgi turpināt sadarbības padziļināšanu un </w:t>
      </w:r>
      <w:r w:rsidRPr="00F30F64">
        <w:rPr>
          <w:rFonts w:ascii="Times New Roman" w:hAnsi="Times New Roman" w:cs="Times New Roman"/>
          <w:b/>
          <w:noProof/>
          <w:sz w:val="24"/>
        </w:rPr>
        <w:t xml:space="preserve">pievērsties </w:t>
      </w:r>
      <w:r w:rsidRPr="00F30F64">
        <w:rPr>
          <w:rFonts w:ascii="Times New Roman" w:hAnsi="Times New Roman" w:cs="Times New Roman"/>
          <w:b/>
          <w:i/>
          <w:noProof/>
          <w:sz w:val="24"/>
        </w:rPr>
        <w:t>BEPS</w:t>
      </w:r>
      <w:r w:rsidRPr="00F30F64">
        <w:rPr>
          <w:rFonts w:ascii="Times New Roman" w:hAnsi="Times New Roman" w:cs="Times New Roman"/>
          <w:b/>
          <w:noProof/>
          <w:sz w:val="24"/>
        </w:rPr>
        <w:t xml:space="preserve"> projektā pieņemto pasākumu īstenošanas un efektivitātes uzraudzībai, kā arī ietekmes uzraudzībai, vērtējot ietekmi gan uz nodokļu maksātāju atbilstību, gan to, kā nodokļu administrācijas veic ieviešanu</w:t>
      </w:r>
      <w:r w:rsidRPr="00F30F64">
        <w:rPr>
          <w:rFonts w:ascii="Times New Roman" w:hAnsi="Times New Roman" w:cs="Times New Roman"/>
          <w:noProof/>
          <w:sz w:val="24"/>
        </w:rPr>
        <w:t>.</w:t>
      </w:r>
    </w:p>
    <w:p w:rsidR="00376276" w:rsidRPr="00F30F64" w:rsidRDefault="00376276" w:rsidP="00376276">
      <w:pPr>
        <w:tabs>
          <w:tab w:val="left" w:pos="1487"/>
        </w:tabs>
        <w:jc w:val="both"/>
        <w:rPr>
          <w:rFonts w:ascii="Times New Roman" w:eastAsia="Times New Roman" w:hAnsi="Times New Roman" w:cs="Times New Roman"/>
          <w:noProof/>
          <w:sz w:val="24"/>
        </w:rPr>
      </w:pPr>
    </w:p>
    <w:p w:rsidR="00DB2100" w:rsidRPr="00F30F64" w:rsidRDefault="00DB2100" w:rsidP="000A61E6">
      <w:pPr>
        <w:numPr>
          <w:ilvl w:val="0"/>
          <w:numId w:val="2"/>
        </w:numPr>
        <w:tabs>
          <w:tab w:val="left" w:pos="1486"/>
        </w:tabs>
        <w:ind w:left="0" w:firstLine="0"/>
        <w:jc w:val="both"/>
        <w:rPr>
          <w:rFonts w:ascii="Times New Roman" w:hAnsi="Times New Roman" w:cs="Times New Roman"/>
          <w:noProof/>
          <w:sz w:val="24"/>
        </w:rPr>
      </w:pPr>
      <w:r w:rsidRPr="00F30F64">
        <w:rPr>
          <w:rFonts w:ascii="Times New Roman" w:hAnsi="Times New Roman" w:cs="Times New Roman"/>
          <w:b/>
          <w:noProof/>
          <w:sz w:val="24"/>
        </w:rPr>
        <w:t xml:space="preserve">ESAO un G20 valstis vienojas strādāt atbilstīgi vienlīdzīgas līdzdalības principam, lai uzraudzītu </w:t>
      </w:r>
      <w:r w:rsidRPr="00F30F64">
        <w:rPr>
          <w:rFonts w:ascii="Times New Roman" w:hAnsi="Times New Roman" w:cs="Times New Roman"/>
          <w:b/>
          <w:i/>
          <w:noProof/>
          <w:sz w:val="24"/>
        </w:rPr>
        <w:t>BEPS</w:t>
      </w:r>
      <w:r w:rsidRPr="00F30F64">
        <w:rPr>
          <w:rFonts w:ascii="Times New Roman" w:hAnsi="Times New Roman" w:cs="Times New Roman"/>
          <w:b/>
          <w:noProof/>
          <w:sz w:val="24"/>
        </w:rPr>
        <w:t xml:space="preserve"> pasākumu ieviešanu. </w:t>
      </w:r>
      <w:r w:rsidRPr="00F30F64">
        <w:rPr>
          <w:rFonts w:ascii="Times New Roman" w:hAnsi="Times New Roman" w:cs="Times New Roman"/>
          <w:noProof/>
          <w:sz w:val="24"/>
        </w:rPr>
        <w:t xml:space="preserve">Šajā uzraudzībā tiks vērtēta atbilstība obligātajiem standartiem, šim nolūkam izmantojot ziņojumus par to, kādus pasākumus valstis ir veikušas, lai ieviestu </w:t>
      </w:r>
      <w:r w:rsidRPr="00F30F64">
        <w:rPr>
          <w:rFonts w:ascii="Times New Roman" w:hAnsi="Times New Roman" w:cs="Times New Roman"/>
          <w:i/>
          <w:noProof/>
          <w:sz w:val="24"/>
        </w:rPr>
        <w:t>BEPS</w:t>
      </w:r>
      <w:r w:rsidRPr="00F30F64">
        <w:rPr>
          <w:rFonts w:ascii="Times New Roman" w:hAnsi="Times New Roman" w:cs="Times New Roman"/>
          <w:noProof/>
          <w:sz w:val="24"/>
        </w:rPr>
        <w:t xml:space="preserve"> ieteikumus. Šajā saistībā būs nepieciešamas noteikta veida savstarpējās pārbaudes, kas būs jānosaka un jāpielāgo dažādiem pasākumiem, </w:t>
      </w:r>
      <w:r w:rsidRPr="00F30F64">
        <w:rPr>
          <w:rFonts w:ascii="Times New Roman" w:hAnsi="Times New Roman" w:cs="Times New Roman"/>
          <w:noProof/>
          <w:sz w:val="24"/>
        </w:rPr>
        <w:lastRenderedPageBreak/>
        <w:t xml:space="preserve">ar mērķi izveidot līdzvērtīgus konkurences apstākļus, nodrošinot, ka visas valstis un jurisdikcijas īsteno savas apņemšanās tā, lai neviena valsts vai jurisdikcija negūtu negodīgas konkurences priekšrocības. Turklāt </w:t>
      </w:r>
      <w:r w:rsidRPr="00F30F64">
        <w:rPr>
          <w:rFonts w:ascii="Times New Roman" w:hAnsi="Times New Roman" w:cs="Times New Roman"/>
          <w:b/>
          <w:noProof/>
          <w:sz w:val="24"/>
        </w:rPr>
        <w:t xml:space="preserve">labāka izpratne par to, kā </w:t>
      </w:r>
      <w:r w:rsidRPr="00F30F64">
        <w:rPr>
          <w:rFonts w:ascii="Times New Roman" w:hAnsi="Times New Roman" w:cs="Times New Roman"/>
          <w:b/>
          <w:i/>
          <w:noProof/>
          <w:sz w:val="24"/>
        </w:rPr>
        <w:t>BEPS</w:t>
      </w:r>
      <w:r w:rsidRPr="00F30F64">
        <w:rPr>
          <w:rFonts w:ascii="Times New Roman" w:hAnsi="Times New Roman" w:cs="Times New Roman"/>
          <w:b/>
          <w:noProof/>
          <w:sz w:val="24"/>
        </w:rPr>
        <w:t xml:space="preserve"> ieteikumi tiek īstenoti praksē, var mazināt valdību savstarpējos pārpratumus un strīdus</w:t>
      </w:r>
      <w:r w:rsidRPr="00F30F64">
        <w:rPr>
          <w:rFonts w:ascii="Times New Roman" w:hAnsi="Times New Roman" w:cs="Times New Roman"/>
          <w:noProof/>
          <w:sz w:val="24"/>
        </w:rPr>
        <w:t xml:space="preserve">. Tāpēc pastiprinātas uzmanības pievēršana ieviešanai un nodokļu administrēšanai būs abpusēji izdevīga valdībām un uzņēmumiem, un šajā saistībā būtiska nozīme ir Nodokļu administrēšanas forumam. Visbeidzot, ierosinātie datu un analīzes uzlabojumi palīdzēs veikt </w:t>
      </w:r>
      <w:r w:rsidRPr="00F30F64">
        <w:rPr>
          <w:rFonts w:ascii="Times New Roman" w:hAnsi="Times New Roman" w:cs="Times New Roman"/>
          <w:i/>
          <w:noProof/>
          <w:sz w:val="24"/>
        </w:rPr>
        <w:t>BEPS</w:t>
      </w:r>
      <w:r w:rsidRPr="00F30F64">
        <w:rPr>
          <w:rFonts w:ascii="Times New Roman" w:hAnsi="Times New Roman" w:cs="Times New Roman"/>
          <w:noProof/>
          <w:sz w:val="24"/>
        </w:rPr>
        <w:t xml:space="preserve"> kvantitatīvās ietekmes regulāru novērtēšanu, kā arī novērtēt </w:t>
      </w:r>
      <w:r w:rsidRPr="00F30F64">
        <w:rPr>
          <w:rFonts w:ascii="Times New Roman" w:hAnsi="Times New Roman" w:cs="Times New Roman"/>
          <w:i/>
          <w:noProof/>
          <w:sz w:val="24"/>
        </w:rPr>
        <w:t>BEPS</w:t>
      </w:r>
      <w:r w:rsidRPr="00F30F64">
        <w:rPr>
          <w:rFonts w:ascii="Times New Roman" w:hAnsi="Times New Roman" w:cs="Times New Roman"/>
          <w:noProof/>
          <w:sz w:val="24"/>
        </w:rPr>
        <w:t xml:space="preserve"> projektā izstrādāto pretpasākumu ietekmi.</w:t>
      </w:r>
    </w:p>
    <w:p w:rsidR="00DB2100" w:rsidRPr="00F30F64" w:rsidRDefault="00DB2100" w:rsidP="000A61E6">
      <w:pPr>
        <w:jc w:val="both"/>
        <w:rPr>
          <w:rFonts w:ascii="Times New Roman" w:eastAsia="Times New Roman" w:hAnsi="Times New Roman" w:cs="Times New Roman"/>
          <w:noProof/>
          <w:sz w:val="24"/>
          <w:szCs w:val="20"/>
        </w:rPr>
      </w:pPr>
    </w:p>
    <w:p w:rsidR="00DB2100" w:rsidRPr="00F30F64" w:rsidRDefault="00376276" w:rsidP="00552D89">
      <w:pPr>
        <w:pStyle w:val="Heading2"/>
        <w:rPr>
          <w:noProof/>
        </w:rPr>
      </w:pPr>
      <w:bookmarkStart w:id="16" w:name="C._Designing_an_inclusive_framework"/>
      <w:bookmarkStart w:id="17" w:name="_bookmark5"/>
      <w:bookmarkStart w:id="18" w:name="_Toc457555834"/>
      <w:bookmarkEnd w:id="16"/>
      <w:bookmarkEnd w:id="17"/>
      <w:r w:rsidRPr="00F30F64">
        <w:t>C. Plaša satvara izstrāde</w:t>
      </w:r>
      <w:bookmarkEnd w:id="18"/>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numPr>
          <w:ilvl w:val="0"/>
          <w:numId w:val="2"/>
        </w:numPr>
        <w:tabs>
          <w:tab w:val="left" w:pos="1487"/>
        </w:tabs>
        <w:ind w:left="0" w:firstLine="0"/>
        <w:jc w:val="both"/>
        <w:rPr>
          <w:rFonts w:ascii="Times New Roman" w:hAnsi="Times New Roman" w:cs="Times New Roman"/>
          <w:noProof/>
          <w:sz w:val="24"/>
        </w:rPr>
      </w:pPr>
      <w:r w:rsidRPr="00F30F64">
        <w:rPr>
          <w:rFonts w:ascii="Times New Roman" w:hAnsi="Times New Roman" w:cs="Times New Roman"/>
          <w:noProof/>
          <w:sz w:val="24"/>
        </w:rPr>
        <w:t xml:space="preserve">Globalizācija nosaka nepieciešamību pēc tādu globālu risinājumu un globāla dialoga izveides, kas pārsniedz ESAO un G20 valstu robežas. Lielā ieinteresētība, ko izrādījušas attīstības valstis, piedaloties </w:t>
      </w:r>
      <w:r w:rsidRPr="00F30F64">
        <w:rPr>
          <w:rFonts w:ascii="Times New Roman" w:hAnsi="Times New Roman" w:cs="Times New Roman"/>
          <w:i/>
          <w:noProof/>
          <w:sz w:val="24"/>
        </w:rPr>
        <w:t>BEPS</w:t>
      </w:r>
      <w:r w:rsidRPr="00F30F64">
        <w:rPr>
          <w:rFonts w:ascii="Times New Roman" w:hAnsi="Times New Roman" w:cs="Times New Roman"/>
          <w:noProof/>
          <w:sz w:val="24"/>
        </w:rPr>
        <w:t xml:space="preserve"> projektā, </w:t>
      </w:r>
      <w:r w:rsidRPr="00F30F64">
        <w:rPr>
          <w:rFonts w:ascii="Times New Roman" w:hAnsi="Times New Roman" w:cs="Times New Roman"/>
          <w:b/>
          <w:noProof/>
          <w:sz w:val="24"/>
        </w:rPr>
        <w:t>ir jāuztur, paplašinot satvaru</w:t>
      </w:r>
      <w:r w:rsidRPr="00F30F64">
        <w:rPr>
          <w:rFonts w:ascii="Times New Roman" w:hAnsi="Times New Roman" w:cs="Times New Roman"/>
          <w:noProof/>
          <w:sz w:val="24"/>
        </w:rPr>
        <w:t xml:space="preserve">, kurā joprojām ietilps citas starptautiskas organizācijas un reģionālās nodokļu organizācijas. Pamatojoties uz Pasaules foruma par pārredzamības un informācijas apmaiņas jautājumiem nodokļu jomā veiksmīgo pieredzi 2016. gada sākumā, </w:t>
      </w:r>
      <w:r w:rsidRPr="00F30F64">
        <w:rPr>
          <w:rFonts w:ascii="Times New Roman" w:hAnsi="Times New Roman" w:cs="Times New Roman"/>
          <w:b/>
          <w:noProof/>
          <w:sz w:val="24"/>
        </w:rPr>
        <w:t xml:space="preserve">ESAO un G20 valstis kopīgi izstrādās un piedāvās plašāku satvaru </w:t>
      </w:r>
      <w:r w:rsidRPr="00F30F64">
        <w:rPr>
          <w:rFonts w:ascii="Times New Roman" w:hAnsi="Times New Roman" w:cs="Times New Roman"/>
          <w:b/>
          <w:i/>
          <w:noProof/>
          <w:sz w:val="24"/>
        </w:rPr>
        <w:t>BEPS</w:t>
      </w:r>
      <w:r w:rsidRPr="00F30F64">
        <w:rPr>
          <w:rFonts w:ascii="Times New Roman" w:hAnsi="Times New Roman" w:cs="Times New Roman"/>
          <w:b/>
          <w:noProof/>
          <w:sz w:val="24"/>
        </w:rPr>
        <w:t xml:space="preserve"> pasākumu kompleksa ieviešanas atbalstam un uzraudzībai, visām valstīm un jurisdikcijām piedaloties atbilstīgi vienlīdzīgas līdzdalības principam</w:t>
      </w:r>
      <w:r w:rsidRPr="00F30F64">
        <w:rPr>
          <w:rFonts w:ascii="Times New Roman" w:hAnsi="Times New Roman" w:cs="Times New Roman"/>
          <w:noProof/>
          <w:sz w:val="24"/>
        </w:rPr>
        <w:t>. Šajā darbā tiks apsvērts arī veids, kā valstis un jurisdikcijas, kas nav ESAO un G20 valstis un jurisdikcijas, var pieņemt apstiprinātos standartus un ieviest tos. Tas notiks, pamatojoties uz G20 finanšu ministru un centrālo banku pārvaldnieku izdoto pilnvarojumu, kas iekļauts viņu paziņojumā, kurš tika izdots Ankarā 2015. gada 5. septembrī:</w:t>
      </w:r>
    </w:p>
    <w:p w:rsidR="00376276" w:rsidRPr="00F30F64" w:rsidRDefault="00376276" w:rsidP="00376276">
      <w:pPr>
        <w:tabs>
          <w:tab w:val="left" w:pos="1487"/>
        </w:tabs>
        <w:jc w:val="both"/>
        <w:rPr>
          <w:rFonts w:ascii="Times New Roman" w:hAnsi="Times New Roman" w:cs="Times New Roman"/>
          <w:noProof/>
          <w:sz w:val="24"/>
        </w:rPr>
      </w:pPr>
    </w:p>
    <w:p w:rsidR="00DB2100" w:rsidRPr="00F30F64" w:rsidRDefault="00DB2100" w:rsidP="000A61E6">
      <w:pPr>
        <w:jc w:val="both"/>
        <w:rPr>
          <w:rFonts w:ascii="Times New Roman" w:eastAsia="Times New Roman" w:hAnsi="Times New Roman" w:cs="Times New Roman"/>
          <w:i/>
          <w:noProof/>
          <w:sz w:val="24"/>
        </w:rPr>
      </w:pPr>
      <w:r w:rsidRPr="00F30F64">
        <w:rPr>
          <w:rFonts w:ascii="Times New Roman" w:hAnsi="Times New Roman" w:cs="Times New Roman"/>
          <w:i/>
          <w:noProof/>
          <w:sz w:val="24"/>
        </w:rPr>
        <w:t>“.. Projekta efektivitāte tiks noteikta, pamatojoties uz tā plašo un konsekvento īstenošanu. Mēs turpināsim darbu atbilstīgi vienlīdzīgas līdzdalības principam, uzraugot BEPS projekta rezultātu ieviešanu globālajā līmenī, jo īpaši informācijas apmaiņu par pārrobežu nodokļu nolēmumiem. Mēs aicinām ESAO sagatavot satvaru līdz 2016. gada sākumam, atbilstīgi vienlīdzīgas līdzdalības principam iesaistot ieinteresētās valstis un jurisdikcijas, kas neietilpst G20, jo īpaši attīstības valstis ..”</w:t>
      </w:r>
    </w:p>
    <w:p w:rsidR="00DB2100" w:rsidRPr="00F30F64" w:rsidRDefault="00DB2100" w:rsidP="000A61E6">
      <w:pPr>
        <w:jc w:val="both"/>
        <w:rPr>
          <w:rFonts w:ascii="Times New Roman" w:eastAsia="Times New Roman" w:hAnsi="Times New Roman" w:cs="Times New Roman"/>
          <w:i/>
          <w:noProof/>
          <w:sz w:val="24"/>
        </w:rPr>
      </w:pPr>
    </w:p>
    <w:p w:rsidR="00DB2100" w:rsidRPr="00F30F64" w:rsidRDefault="00376276" w:rsidP="00552D89">
      <w:pPr>
        <w:pStyle w:val="Heading2"/>
        <w:rPr>
          <w:noProof/>
        </w:rPr>
      </w:pPr>
      <w:bookmarkStart w:id="19" w:name="D._Next_steps"/>
      <w:bookmarkStart w:id="20" w:name="_bookmark6"/>
      <w:bookmarkStart w:id="21" w:name="_Toc457555835"/>
      <w:bookmarkEnd w:id="19"/>
      <w:bookmarkEnd w:id="20"/>
      <w:r w:rsidRPr="00F30F64">
        <w:t>D. Turpmākie soļi</w:t>
      </w:r>
      <w:bookmarkEnd w:id="21"/>
    </w:p>
    <w:p w:rsidR="00DB2100" w:rsidRPr="00F30F64" w:rsidRDefault="00DB2100" w:rsidP="000A61E6">
      <w:pPr>
        <w:jc w:val="both"/>
        <w:rPr>
          <w:rFonts w:ascii="Times New Roman" w:eastAsia="Times New Roman" w:hAnsi="Times New Roman" w:cs="Times New Roman"/>
          <w:b/>
          <w:bCs/>
          <w:noProof/>
          <w:sz w:val="24"/>
          <w:szCs w:val="20"/>
        </w:rPr>
      </w:pPr>
    </w:p>
    <w:p w:rsidR="00376276" w:rsidRPr="00552D89" w:rsidRDefault="00DB2100" w:rsidP="006D2285">
      <w:pPr>
        <w:pStyle w:val="BodyText"/>
        <w:numPr>
          <w:ilvl w:val="0"/>
          <w:numId w:val="2"/>
        </w:numPr>
        <w:tabs>
          <w:tab w:val="left" w:pos="1565"/>
        </w:tabs>
        <w:ind w:left="0" w:firstLine="0"/>
        <w:jc w:val="both"/>
        <w:rPr>
          <w:rFonts w:cs="Times New Roman"/>
          <w:noProof/>
          <w:sz w:val="24"/>
          <w:szCs w:val="17"/>
        </w:rPr>
      </w:pPr>
      <w:r w:rsidRPr="00552D89">
        <w:rPr>
          <w:rFonts w:cs="Times New Roman"/>
          <w:noProof/>
          <w:sz w:val="24"/>
        </w:rPr>
        <w:t xml:space="preserve">ESAO un G20 valstis paplašinās savu sadarbību attiecībā uz </w:t>
      </w:r>
      <w:r w:rsidRPr="00552D89">
        <w:rPr>
          <w:rFonts w:cs="Times New Roman"/>
          <w:i/>
          <w:noProof/>
          <w:sz w:val="24"/>
        </w:rPr>
        <w:t>BEPS</w:t>
      </w:r>
      <w:r w:rsidRPr="00552D89">
        <w:rPr>
          <w:rFonts w:cs="Times New Roman"/>
          <w:noProof/>
          <w:sz w:val="24"/>
        </w:rPr>
        <w:t xml:space="preserve"> līdz 2020. gadam, lai pabeigtu darbu un nodrošinātu to pasākumu efektīvu un mērķorientētu uzraudzību, par kuriem panākta vienošanās. Tās 2016. gada sākumā izstrādās uzraudzības sistēmu ar mērķi labāk iesaistīt citas ieinteresētās valstis un jurisdikcijas.</w:t>
      </w:r>
      <w:r w:rsidR="00376276" w:rsidRPr="00552D89">
        <w:rPr>
          <w:rFonts w:cs="Times New Roman"/>
        </w:rPr>
        <w:br w:type="page"/>
      </w:r>
    </w:p>
    <w:p w:rsidR="003319F3" w:rsidRDefault="003319F3" w:rsidP="000A61E6">
      <w:pPr>
        <w:jc w:val="both"/>
        <w:rPr>
          <w:rFonts w:ascii="Times New Roman" w:hAnsi="Times New Roman" w:cs="Times New Roman"/>
          <w:b/>
          <w:i/>
          <w:noProof/>
          <w:sz w:val="24"/>
        </w:rPr>
      </w:pPr>
      <w:bookmarkStart w:id="22" w:name="Annex_A__Overview_of_BEPS_Package"/>
      <w:bookmarkStart w:id="23" w:name="_bookmark7"/>
      <w:bookmarkEnd w:id="22"/>
      <w:bookmarkEnd w:id="23"/>
    </w:p>
    <w:p w:rsidR="003319F3" w:rsidRDefault="003319F3" w:rsidP="000A61E6">
      <w:pPr>
        <w:jc w:val="both"/>
        <w:rPr>
          <w:rFonts w:ascii="Times New Roman" w:hAnsi="Times New Roman" w:cs="Times New Roman"/>
          <w:b/>
          <w:i/>
          <w:noProof/>
          <w:sz w:val="24"/>
        </w:rPr>
      </w:pPr>
    </w:p>
    <w:p w:rsidR="00DB2100" w:rsidRPr="00F30F64" w:rsidRDefault="00DB2100" w:rsidP="003319F3">
      <w:pPr>
        <w:pStyle w:val="Heading1"/>
      </w:pPr>
      <w:bookmarkStart w:id="24" w:name="_Toc457555836"/>
      <w:r w:rsidRPr="00F30F64">
        <w:t>A pielikums</w:t>
      </w:r>
      <w:bookmarkEnd w:id="24"/>
    </w:p>
    <w:p w:rsidR="00DB2100" w:rsidRPr="00F30F64" w:rsidRDefault="00DB2100" w:rsidP="003319F3">
      <w:pPr>
        <w:pStyle w:val="Heading1"/>
      </w:pPr>
    </w:p>
    <w:p w:rsidR="00DB2100" w:rsidRPr="00F30F64" w:rsidRDefault="00DB2100" w:rsidP="003319F3">
      <w:pPr>
        <w:pStyle w:val="Heading1"/>
      </w:pPr>
      <w:bookmarkStart w:id="25" w:name="_Toc457555837"/>
      <w:r w:rsidRPr="00F30F64">
        <w:t>Pārskats par BEPS pasākumu kompleksu</w:t>
      </w:r>
      <w:bookmarkEnd w:id="25"/>
    </w:p>
    <w:p w:rsidR="00DB2100" w:rsidRDefault="00DB2100" w:rsidP="000A61E6">
      <w:pPr>
        <w:jc w:val="both"/>
        <w:rPr>
          <w:rFonts w:ascii="Times New Roman" w:eastAsia="Times New Roman" w:hAnsi="Times New Roman" w:cs="Times New Roman"/>
          <w:b/>
          <w:bCs/>
          <w:noProof/>
          <w:sz w:val="24"/>
          <w:szCs w:val="34"/>
        </w:rPr>
      </w:pPr>
    </w:p>
    <w:p w:rsidR="003319F3" w:rsidRPr="00F30F64" w:rsidRDefault="003319F3" w:rsidP="000A61E6">
      <w:pPr>
        <w:jc w:val="both"/>
        <w:rPr>
          <w:rFonts w:ascii="Times New Roman" w:eastAsia="Times New Roman" w:hAnsi="Times New Roman" w:cs="Times New Roman"/>
          <w:b/>
          <w:bCs/>
          <w:noProof/>
          <w:sz w:val="24"/>
          <w:szCs w:val="34"/>
        </w:rPr>
      </w:pPr>
    </w:p>
    <w:p w:rsidR="00DB2100" w:rsidRPr="003319F3" w:rsidRDefault="00DB2100" w:rsidP="003319F3">
      <w:pPr>
        <w:pStyle w:val="Heading2"/>
      </w:pPr>
      <w:bookmarkStart w:id="26" w:name="Action_1_–_Address_the_Tax_Challenges_of"/>
      <w:bookmarkStart w:id="27" w:name="_bookmark8"/>
      <w:bookmarkStart w:id="28" w:name="_Toc457555838"/>
      <w:bookmarkEnd w:id="26"/>
      <w:bookmarkEnd w:id="27"/>
      <w:r w:rsidRPr="003319F3">
        <w:t>1. pasākums. Ar digitālo ekonomiku saistīto nodokļu problēmu risināšana</w:t>
      </w:r>
      <w:bookmarkEnd w:id="28"/>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t xml:space="preserve">Ziņojumā par 1. pasākumu secināts, ka digitālo ekonomiku nav iespējams norobežot, jo tā aizvien vairāk nostiprinās kā patstāvīga ekonomika. Ziņojumā analizēti </w:t>
      </w:r>
      <w:r w:rsidRPr="00F30F64">
        <w:rPr>
          <w:rFonts w:cs="Times New Roman"/>
          <w:i/>
          <w:noProof/>
          <w:sz w:val="24"/>
        </w:rPr>
        <w:t>BEPS</w:t>
      </w:r>
      <w:r w:rsidRPr="00F30F64">
        <w:rPr>
          <w:rFonts w:cs="Times New Roman"/>
          <w:noProof/>
          <w:sz w:val="24"/>
        </w:rPr>
        <w:t xml:space="preserve"> riski, kas pastiprinās digitālajā ekonomikā, un izklāstīta </w:t>
      </w:r>
      <w:r w:rsidRPr="00F30F64">
        <w:rPr>
          <w:rFonts w:cs="Times New Roman"/>
          <w:i/>
          <w:noProof/>
          <w:sz w:val="24"/>
        </w:rPr>
        <w:t>BEPS</w:t>
      </w:r>
      <w:r w:rsidRPr="00F30F64">
        <w:rPr>
          <w:rFonts w:cs="Times New Roman"/>
          <w:noProof/>
          <w:sz w:val="24"/>
        </w:rPr>
        <w:t xml:space="preserve"> projektā izstrādāto pasākumu paredzamā ietekme. Izstrādāti noteikumi un ieviešanas mehānismi, lai pārrobežu “bizness-patērētājam” darījumu gadījumā palīdzētu iekasēt pievienotās vērtības nodokli (PVN), pamatojoties uz valsti, kurā atrodas pircējs. Šo pasākumu nolūks ir nodrošināt vienlīdzīgus konkurences apstākļus vietējiem un ārvalstu piegādātājiem un veicināt par šiem darījumiem maksājamā PVN efektīvu iekasēšanu. Apspriestas un analizētas tehniskās iespējas risināt plašākas nodokļu problēmas, ko rada digitālā ekonomika, piemēram, ar saikni un datiem saistītās problēmas. Tā kā abas problēmas un iespējamie risinājumi rada sistēmiskas dabas jautājumus par pastāvošo sistēmu pārrobežu darbību aplikšanai ar nodokļiem, kuri neietilpst </w:t>
      </w:r>
      <w:r w:rsidRPr="00F30F64">
        <w:rPr>
          <w:rFonts w:cs="Times New Roman"/>
          <w:i/>
          <w:noProof/>
          <w:sz w:val="24"/>
        </w:rPr>
        <w:t>BEPS</w:t>
      </w:r>
      <w:r w:rsidRPr="00F30F64">
        <w:rPr>
          <w:rFonts w:cs="Times New Roman"/>
          <w:noProof/>
          <w:sz w:val="24"/>
        </w:rPr>
        <w:t xml:space="preserve"> projektā izskatīto jautājumu lokā, ESAO un G20 valstis ir vienojušās uzraudzīt turpmāko attīstību un analizēt datus, kad tie kļūs pieejami laika gaitā. Pamatojoties uz turpmāko uzraudzības darbu, tiks noteikts arī tas, vai ir nepieciešams papildu darbs attiecībā uz apspriestajām un analizētajām risinājumu iespējām. Tas jānosaka, plaši novērtējot pašreizējo starptautisko nodokļu standartu spēju risināt problēmas nodokļu jomā, ko rada digitālās ekonomikas attīstība.</w:t>
      </w:r>
    </w:p>
    <w:p w:rsidR="00DB2100" w:rsidRPr="00F30F64" w:rsidRDefault="00DB2100" w:rsidP="000A61E6">
      <w:pPr>
        <w:jc w:val="both"/>
        <w:rPr>
          <w:rFonts w:ascii="Times New Roman" w:eastAsia="Times New Roman" w:hAnsi="Times New Roman" w:cs="Times New Roman"/>
          <w:noProof/>
          <w:sz w:val="24"/>
          <w:szCs w:val="21"/>
        </w:rPr>
      </w:pPr>
    </w:p>
    <w:p w:rsidR="00DB2100" w:rsidRPr="00F30F64" w:rsidRDefault="00DB2100" w:rsidP="00552D89">
      <w:pPr>
        <w:pStyle w:val="Heading2"/>
        <w:rPr>
          <w:noProof/>
        </w:rPr>
      </w:pPr>
      <w:bookmarkStart w:id="29" w:name="Action_2_–_Neutralise_the_Effects_of_Hyb"/>
      <w:bookmarkStart w:id="30" w:name="_bookmark9"/>
      <w:bookmarkStart w:id="31" w:name="_Toc457555839"/>
      <w:bookmarkEnd w:id="29"/>
      <w:bookmarkEnd w:id="30"/>
      <w:r w:rsidRPr="00F30F64">
        <w:t>2. pasākums. Hibrīdās nesakritības pasākumu ietekmes neitralizēšana</w:t>
      </w:r>
      <w:bookmarkEnd w:id="31"/>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t xml:space="preserve">Kopīga pieeja, kas veicinās valstu prakses tuvināšanu ar valsts un nodokļu konvenciju noteikumu starpniecību, lai neitralizētu šādu pasākumu ietekmi. Tas palīdzēs novērst nodokļu dubulto neuzlikšanu, likvidējot nesakritību radītās nodokļu priekšrocības un izbeidzot dārgos vairākkārtīgos atskaitījumus par vieniem un tiem pašiem izdevumiem, atskaitījumus vienā valstī bez atbilstīgas aplikšanas ar nodokli citā valstī un vairāku ārvalsts nodokļu kredītu izveidi par vienu samaksātu ārvalsts nodokļa summu. Neitralizējot nesakritību nodokļu datos, taču citādi neiejaucoties šādu instrumentu vai vienību izmantošanā, minētie noteikumi apgrūtinās iespēju izmantot šādu pasākumu kā </w:t>
      </w:r>
      <w:r w:rsidRPr="00F30F64">
        <w:rPr>
          <w:rFonts w:cs="Times New Roman"/>
          <w:i/>
          <w:noProof/>
          <w:sz w:val="24"/>
        </w:rPr>
        <w:t>BEPS</w:t>
      </w:r>
      <w:r w:rsidRPr="00F30F64">
        <w:rPr>
          <w:rFonts w:cs="Times New Roman"/>
          <w:noProof/>
          <w:sz w:val="24"/>
        </w:rPr>
        <w:t xml:space="preserve"> rīku bez nelabvēlīgas ietekmes uz pārrobežu tirdzniecību un ieguldījumiem.</w:t>
      </w:r>
    </w:p>
    <w:p w:rsidR="00DB2100" w:rsidRPr="00F30F64" w:rsidRDefault="00DB2100" w:rsidP="000A61E6">
      <w:pPr>
        <w:jc w:val="both"/>
        <w:rPr>
          <w:rFonts w:ascii="Times New Roman" w:eastAsia="Times New Roman" w:hAnsi="Times New Roman" w:cs="Times New Roman"/>
          <w:noProof/>
          <w:sz w:val="24"/>
          <w:szCs w:val="21"/>
        </w:rPr>
      </w:pPr>
    </w:p>
    <w:p w:rsidR="00DB2100" w:rsidRPr="00F30F64" w:rsidRDefault="00DB2100" w:rsidP="00552D89">
      <w:pPr>
        <w:pStyle w:val="Heading2"/>
        <w:rPr>
          <w:noProof/>
        </w:rPr>
      </w:pPr>
      <w:bookmarkStart w:id="32" w:name="Action_3_–_Strengthen_CFC_Rules"/>
      <w:bookmarkStart w:id="33" w:name="_bookmark10"/>
      <w:bookmarkStart w:id="34" w:name="_Toc457555840"/>
      <w:bookmarkEnd w:id="32"/>
      <w:bookmarkEnd w:id="33"/>
      <w:r w:rsidRPr="00F30F64">
        <w:t xml:space="preserve">3. pasākums. </w:t>
      </w:r>
      <w:r w:rsidRPr="00F30F64">
        <w:rPr>
          <w:i/>
        </w:rPr>
        <w:t>CFC</w:t>
      </w:r>
      <w:r w:rsidRPr="00F30F64">
        <w:t xml:space="preserve"> noteikumu stiprināšana</w:t>
      </w:r>
      <w:bookmarkEnd w:id="34"/>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376276">
      <w:pPr>
        <w:pStyle w:val="BodyText"/>
        <w:ind w:left="0" w:firstLine="339"/>
        <w:jc w:val="both"/>
        <w:rPr>
          <w:rFonts w:cs="Times New Roman"/>
          <w:noProof/>
          <w:sz w:val="24"/>
        </w:rPr>
      </w:pPr>
      <w:r w:rsidRPr="00F30F64">
        <w:rPr>
          <w:rFonts w:cs="Times New Roman"/>
          <w:noProof/>
          <w:sz w:val="24"/>
        </w:rPr>
        <w:t>Ziņojumā sniegti ieteikumi efektīvu kontrolētu ārvalsts uzņēmumu (</w:t>
      </w:r>
      <w:r w:rsidRPr="00F30F64">
        <w:rPr>
          <w:rFonts w:cs="Times New Roman"/>
          <w:i/>
          <w:noProof/>
          <w:sz w:val="24"/>
        </w:rPr>
        <w:t>CFC</w:t>
      </w:r>
      <w:r w:rsidRPr="00F30F64">
        <w:rPr>
          <w:rFonts w:cs="Times New Roman"/>
          <w:noProof/>
          <w:sz w:val="24"/>
        </w:rPr>
        <w:t xml:space="preserve">) noteikumu struktūras moduļu formā, vienlaikus atzīstot, ka šo noteikumu politikas mērķi dažādās jurisdikcijās atšķiras. Ieteikumi nav obligātie standarti, taču tie ir izstrādāti, lai nodrošinātu, ka jurisdikcijām, kuras izvēlas īstenot šos ieteikumus, būtu noteikumi, kas faktiski attur nodokļu maksātājus no ienākumu novirzīšanai uz ārvalstu meitasuzņēmumiem. Tajos identificētas ar spēkā esošajiem </w:t>
      </w:r>
      <w:r w:rsidRPr="00F30F64">
        <w:rPr>
          <w:rFonts w:cs="Times New Roman"/>
          <w:i/>
          <w:noProof/>
          <w:sz w:val="24"/>
        </w:rPr>
        <w:t>CFC</w:t>
      </w:r>
      <w:r w:rsidRPr="00F30F64">
        <w:rPr>
          <w:rFonts w:cs="Times New Roman"/>
          <w:noProof/>
          <w:sz w:val="24"/>
        </w:rPr>
        <w:t xml:space="preserve"> noteikumiem saistītās problēmas, ko rada mobilie ienākumi, piemēram, no intelektuālā īpašuma, pakalpojumiem un digitālajiem darījumiem, un jurisdikcijām ļauts apsvērt politikas pasākumus, kas būtu piemēroti šajā saistībā. Darbā uzsvērts, ka </w:t>
      </w:r>
      <w:r w:rsidRPr="00F30F64">
        <w:rPr>
          <w:rFonts w:cs="Times New Roman"/>
          <w:i/>
          <w:noProof/>
          <w:sz w:val="24"/>
        </w:rPr>
        <w:t>CFC</w:t>
      </w:r>
      <w:r w:rsidRPr="00F30F64">
        <w:rPr>
          <w:rFonts w:cs="Times New Roman"/>
          <w:noProof/>
          <w:sz w:val="24"/>
        </w:rPr>
        <w:t xml:space="preserve"> noteikumi saglabā savu būtisko nozīmi </w:t>
      </w:r>
      <w:r w:rsidRPr="00F30F64">
        <w:rPr>
          <w:rFonts w:cs="Times New Roman"/>
          <w:i/>
          <w:noProof/>
          <w:sz w:val="24"/>
        </w:rPr>
        <w:t>BEPS</w:t>
      </w:r>
      <w:r w:rsidRPr="00F30F64">
        <w:rPr>
          <w:rFonts w:cs="Times New Roman"/>
          <w:noProof/>
          <w:sz w:val="24"/>
        </w:rPr>
        <w:t xml:space="preserve"> apkarošanā kā atbalsts iekšējo cenu noteikšanas un citiem noteikumiem.</w:t>
      </w:r>
    </w:p>
    <w:p w:rsidR="00DB2100" w:rsidRPr="00F30F64" w:rsidRDefault="00DB2100" w:rsidP="000A61E6">
      <w:pPr>
        <w:jc w:val="both"/>
        <w:rPr>
          <w:rFonts w:ascii="Times New Roman" w:eastAsia="Times New Roman" w:hAnsi="Times New Roman" w:cs="Times New Roman"/>
          <w:noProof/>
          <w:sz w:val="24"/>
          <w:szCs w:val="21"/>
        </w:rPr>
      </w:pPr>
    </w:p>
    <w:p w:rsidR="00DB2100" w:rsidRPr="00F30F64" w:rsidRDefault="00DB2100" w:rsidP="00552D89">
      <w:pPr>
        <w:pStyle w:val="Heading2"/>
        <w:rPr>
          <w:noProof/>
        </w:rPr>
      </w:pPr>
      <w:bookmarkStart w:id="35" w:name="Action_4_–_Limit_Base_Erosion_via_Intere"/>
      <w:bookmarkStart w:id="36" w:name="_bookmark11"/>
      <w:bookmarkStart w:id="37" w:name="_Toc457555841"/>
      <w:bookmarkEnd w:id="35"/>
      <w:bookmarkEnd w:id="36"/>
      <w:r w:rsidRPr="00F30F64">
        <w:t>4. pasākums. Ierobežot nodokļu bāzes samazināšanu, izmantojot procentu atskaitījumus un citus finanšu maksājumus</w:t>
      </w:r>
      <w:bookmarkEnd w:id="37"/>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lastRenderedPageBreak/>
        <w:t>Kopīga pieeja valsts noteikumu tuvināšanas veicināšanai procentu atskaitāmības jomā. Nodokļu noteikumu ietekme uz parāda atrašanās vietu starptautiskajās grupās ir konstatēta vairākos akadēmiskajos pētījumos, un ir vispārzināms, ka grupas spēj viegli palielināt parāda līmeni individuālas grupas vienības līmenī, izmantojot finansēšanu grupas iekšienē. Vienlaikus pret spēju nodrošināt pārmērīgus procentu atskaitījumus, tostarp tos, ar kuriem tiek finansēti neapliekamo vai atlikto ienākumu radīšana, vislabāk cīnīties koordinēti, ņemot vērā to, cik būtiski ir ievērot ar konkurenci saistītos apsvērumus un nodrošināt, ka attiecīgie procentu izdevumu ierobežojumi neizraisa nodokļu dubulto uzlikšanu. Kopīgās pieejas mērķis ir nodrošināt, ka vienības neto procentu atskaitījumi tiek tieši saistīti ar apliekamajiem ienākumiem, kas tiek radīti šīs vienības saimnieciskajā darbībā, un veicināt valsts noteikumu pastiprinātu koordinēšanu šajā jomā.</w:t>
      </w:r>
    </w:p>
    <w:p w:rsidR="00DB2100" w:rsidRPr="00F30F64" w:rsidRDefault="00DB2100" w:rsidP="000A61E6">
      <w:pPr>
        <w:jc w:val="both"/>
        <w:rPr>
          <w:rFonts w:ascii="Times New Roman" w:eastAsia="Times New Roman" w:hAnsi="Times New Roman" w:cs="Times New Roman"/>
          <w:noProof/>
          <w:sz w:val="24"/>
          <w:szCs w:val="21"/>
        </w:rPr>
      </w:pPr>
    </w:p>
    <w:p w:rsidR="00DB2100" w:rsidRPr="00F30F64" w:rsidRDefault="00DB2100" w:rsidP="00552D89">
      <w:pPr>
        <w:pStyle w:val="Heading2"/>
        <w:rPr>
          <w:noProof/>
        </w:rPr>
      </w:pPr>
      <w:bookmarkStart w:id="38" w:name="Action_5_–_Counter_Harmful_Tax_Practices"/>
      <w:bookmarkStart w:id="39" w:name="_bookmark12"/>
      <w:bookmarkStart w:id="40" w:name="_Toc457555842"/>
      <w:bookmarkEnd w:id="38"/>
      <w:bookmarkEnd w:id="39"/>
      <w:r w:rsidRPr="00F30F64">
        <w:t>5. pasākums. Efektīvāk apkarot kaitējošu nodokļu piemērošanas praksi, ņemot vērā caurskatāmību un būtību</w:t>
      </w:r>
      <w:bookmarkEnd w:id="40"/>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t xml:space="preserve">Pašlaik saistībā ar kaitējošu nodokļu piemērošanas praksi galvenās bažas ir par preferenču režīmiem, ko iespējams izmantot peļņas mākslīgai novirzīšanai, un par caurskatāmības trūkumu saistībā ar atsevišķiem nolēmumiem. Ziņojumā par 5. pasākumu noteikti obligātie standarti, pamatojoties uz apstiprinātu metodoloģiju, lai novērtētu, vai preferenču režīmā notiek būtiska darbība. Saistībā ar intelektuālā īpašuma režīmiem, piemēram, “patentlodziņa” režīmiem, tika panākta vienprātība par “saiknes” pieeju. Šajā pieejā valstī radušies izdevumi tiek izmantoti kā tuvinājums būtiskas darbības noteikšanai, un tā nodrošina, ka nodokļu maksātāji, kas gūst labumu no šiem režīmiem, ir faktiski iesaistījušies pētniecības un attīstības pasākumos un tiem šādos pasākumos ir faktiski radušies izdevumi. To pašu principu iespējams arī piemērot attiecībā uz citiem preferenču režīmiem tā, lai konstatētu, ka šādiem režīmiem nepieciešamas būtiskas darbības, ja tie sniedz priekšrocības nodokļu maksātājam, ciktāl nodokļu maksātājs ir veicis ienākumus nesošas pamatdarbības, kas nepieciešamas, lai gūtu tāda veida ienākumus, kādi ietilpst šā preferenču režīma darbības jomā. Caurskatāmības jomā ir panākta vienošanās par mehānismu informācijas obligātai apmaiņai bez iepriekšēja pieprasījuma par nolēmumiem, kuri gadījumā, ja šādas informācijas apmaiņas nebūtu, varētu radīt bažas par </w:t>
      </w:r>
      <w:r w:rsidRPr="00F30F64">
        <w:rPr>
          <w:rFonts w:cs="Times New Roman"/>
          <w:i/>
          <w:noProof/>
          <w:sz w:val="24"/>
        </w:rPr>
        <w:t>BEPS</w:t>
      </w:r>
      <w:r w:rsidRPr="00F30F64">
        <w:rPr>
          <w:rFonts w:cs="Times New Roman"/>
          <w:noProof/>
          <w:sz w:val="24"/>
        </w:rPr>
        <w:t>. Ziņojumā ir izklāstīti rezultāti, kas gūti, piemērojot sīki izstrādātus būtiskas darbības un caurskatāmības faktorus attiecībā uz vairākiem preferenču režīmiem.</w:t>
      </w:r>
    </w:p>
    <w:p w:rsidR="00DB2100" w:rsidRPr="00F30F64" w:rsidRDefault="00DB2100" w:rsidP="000A61E6">
      <w:pPr>
        <w:jc w:val="both"/>
        <w:rPr>
          <w:rFonts w:ascii="Times New Roman" w:eastAsia="Times New Roman" w:hAnsi="Times New Roman" w:cs="Times New Roman"/>
          <w:noProof/>
          <w:sz w:val="24"/>
          <w:szCs w:val="21"/>
        </w:rPr>
      </w:pPr>
    </w:p>
    <w:p w:rsidR="00DB2100" w:rsidRPr="00F30F64" w:rsidRDefault="00DB2100" w:rsidP="00552D89">
      <w:pPr>
        <w:pStyle w:val="Heading2"/>
        <w:rPr>
          <w:noProof/>
        </w:rPr>
      </w:pPr>
      <w:bookmarkStart w:id="41" w:name="Action_6_–_Prevent_Treaty_Abuse"/>
      <w:bookmarkStart w:id="42" w:name="_bookmark13"/>
      <w:bookmarkStart w:id="43" w:name="_Toc457555843"/>
      <w:bookmarkEnd w:id="41"/>
      <w:bookmarkEnd w:id="42"/>
      <w:r w:rsidRPr="00F30F64">
        <w:t>6. pasākums. Nodokļu konvencijas ļaunprātīgas izmantošanas novēršana</w:t>
      </w:r>
      <w:bookmarkEnd w:id="43"/>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376276">
      <w:pPr>
        <w:pStyle w:val="BodyText"/>
        <w:ind w:left="0" w:firstLine="339"/>
        <w:jc w:val="both"/>
        <w:rPr>
          <w:rFonts w:cs="Times New Roman"/>
          <w:noProof/>
          <w:sz w:val="24"/>
        </w:rPr>
      </w:pPr>
      <w:r w:rsidRPr="00F30F64">
        <w:rPr>
          <w:rFonts w:cs="Times New Roman"/>
          <w:noProof/>
          <w:sz w:val="24"/>
        </w:rPr>
        <w:t>Ziņojumā par 6. pasākumu iekļauti obligātie standarti, ar kuriem novērš ļaunprātīgu izmantošanu, kas notiek, izmantojot, piemēram, izdevīgākos nodokļu konvenciju nosacījumus, un jauni noteikumi, kas nodrošina aizsardzības pasākumus nodokļu konvencijas ļaunprātīgas izmantošanas novēršanai un sniedz noteiktu rīcības brīvību attiecībā uz īstenošanas paņēmieniem. Ziņojumā iekļautajos jaunajos nodokļu konvenciju ļaunprātīgas izmantošanas novēršanas noteikumos vispirms apspriesta izdevīgāko nodokļu konvenciju nosacījumu izmantošana, tostarp stratēģijas, ar kurām persona, kas nav valsts rezidents, mēģina izmantot priekšrocības, ko sniedz šīs valsts noslēgta nodokļu konvencija. Ir izstrādāti mērķorientētāki noteikumi, ar ko novērš citus nodokļu konvencijas ļaunprātīgas izmantošanas veidus. Panākta vienošanās par citām izmaiņām ESAO Nodokļu paraugkonvencijā, lai nodrošinātu, ka nodokļu konvencijas netīši neliedz piemērot valsts ļaunprātīga izmantošanas novēršanas noteikumus. Pārformulējot Nodokļu paraugkonvencijas nosaukumu un preambulu, ir paskaidrots, ka nodokļu konvencijas nav paredzēts izmantot nodokļu dubultās neuzlikšanas radīšanai. Visbeidzot, ziņojumā iekļauti politikas apsvērumi, kas jāņem vērā, kad tiek noslēgtas nodokļu konvencijas ar konkrētām zemu nodokļu vai beznodokļu jurisdikcijām.</w:t>
      </w:r>
    </w:p>
    <w:p w:rsidR="00DB2100" w:rsidRPr="00F30F64" w:rsidRDefault="00DB2100" w:rsidP="000A61E6">
      <w:pPr>
        <w:jc w:val="both"/>
        <w:rPr>
          <w:rFonts w:ascii="Times New Roman" w:eastAsia="Times New Roman" w:hAnsi="Times New Roman" w:cs="Times New Roman"/>
          <w:noProof/>
          <w:sz w:val="24"/>
          <w:szCs w:val="21"/>
        </w:rPr>
      </w:pPr>
    </w:p>
    <w:p w:rsidR="00DB2100" w:rsidRPr="00F30F64" w:rsidRDefault="00DB2100" w:rsidP="00552D89">
      <w:pPr>
        <w:pStyle w:val="Heading2"/>
        <w:rPr>
          <w:noProof/>
        </w:rPr>
      </w:pPr>
      <w:bookmarkStart w:id="44" w:name="Action_7_–_Prevent_the_Artificial_Avoida"/>
      <w:bookmarkStart w:id="45" w:name="_bookmark14"/>
      <w:bookmarkStart w:id="46" w:name="_Toc457555844"/>
      <w:bookmarkEnd w:id="44"/>
      <w:bookmarkEnd w:id="45"/>
      <w:r w:rsidRPr="00F30F64">
        <w:t xml:space="preserve">7. pasākums. Mākslīgas izvairīšanās no pastāvīgas uzņēmējdarbības vietas statusa </w:t>
      </w:r>
      <w:r w:rsidRPr="00F30F64">
        <w:lastRenderedPageBreak/>
        <w:t>novēršana</w:t>
      </w:r>
      <w:bookmarkEnd w:id="46"/>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t>Nodokļu konvencijās parasti noteikts, ka peļņa no uzņēmējdarbības, ko gūst ārvalsts uzņēmums, ir apliekama ar nodokli valstī vienīgi tad, ja uzņēmumam šajā valstī ir pastāvīga uzņēmējdarbības vieta, uz kuru šī peļņa ir attiecināma. Tāpēc nodokļu konvencijās iekļautajai pastāvīgas uzņēmējdarbības vietas definīcijai ir būtiska nozīme, lai noteiktu, vai uzņēmumam, kuram nav rezidenta statusa attiecīgajā valstī, ir jāmaksā ienākumu nodoklis citā valstī. Ziņojumā iekļautas izmaiņas pastāvīgas uzņēmējdarbības vietas definīcijā, kas sniegta ESAO Nodokļu paraugkonvencijas 5. pantā, kurš tiek plaši izmantots kā pamats nodokļu konvenciju apspriešanā. Ar šīm izmaiņām paredzēts cīnīties pret paņēmieniem, kuri tiek izmantoti, lai neatbilstīgi izvairītos no nodokļu saiknes, tostarp, aizstājot izplatītājus ar komisionāru darījumiem vai mākslīgi sadalot uzņēmējdarbību.</w:t>
      </w:r>
    </w:p>
    <w:p w:rsidR="00DB2100" w:rsidRPr="00F30F64" w:rsidRDefault="00DB2100" w:rsidP="000A61E6">
      <w:pPr>
        <w:jc w:val="both"/>
        <w:rPr>
          <w:rFonts w:ascii="Times New Roman" w:eastAsia="Times New Roman" w:hAnsi="Times New Roman" w:cs="Times New Roman"/>
          <w:noProof/>
          <w:sz w:val="24"/>
          <w:szCs w:val="21"/>
        </w:rPr>
      </w:pPr>
    </w:p>
    <w:p w:rsidR="00DB2100" w:rsidRPr="00F30F64" w:rsidRDefault="00DB2100" w:rsidP="00552D89">
      <w:pPr>
        <w:pStyle w:val="Heading2"/>
        <w:rPr>
          <w:noProof/>
        </w:rPr>
      </w:pPr>
      <w:bookmarkStart w:id="47" w:name="Actions_8-10_–_Assure_that_Transfer_Pric"/>
      <w:bookmarkStart w:id="48" w:name="_bookmark15"/>
      <w:bookmarkStart w:id="49" w:name="_Toc457555845"/>
      <w:bookmarkEnd w:id="47"/>
      <w:bookmarkEnd w:id="48"/>
      <w:r w:rsidRPr="00F30F64">
        <w:t>8.–10. pasākums. Nodrošināt, ka iekšējo cenu noteikšanas rezultāti atbilst vērtības radīšanai</w:t>
      </w:r>
      <w:bookmarkEnd w:id="49"/>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376276">
      <w:pPr>
        <w:pStyle w:val="BodyText"/>
        <w:ind w:left="0" w:firstLine="339"/>
        <w:jc w:val="both"/>
        <w:rPr>
          <w:rFonts w:cs="Times New Roman"/>
          <w:noProof/>
          <w:sz w:val="24"/>
        </w:rPr>
      </w:pPr>
      <w:r w:rsidRPr="00F30F64">
        <w:rPr>
          <w:rFonts w:cs="Times New Roman"/>
          <w:noProof/>
          <w:sz w:val="24"/>
        </w:rPr>
        <w:t>Iekšējo cenu noteikšanas noteikumi, kas ir iekļauti nodokļu konvenciju 9. pantā, pamatojoties uz ESAO un ANO Nodokļu paraugkonvencijām, tiek izmantoti, lai, pamatojoties uz nesaistītu pušu darījuma principu, noteiktu nosacījumus, tostarp cenu, darījumiem starptautiskas grupas iekšienē. Padarīti skaidrāki un pastiprināti pašreizējie standarti šajā jomā, tostarp norādījumi par nesaistītu pušu darījuma principu un pieeja, ar kuru nodrošina, ka vienošanās par grūti novērtējamu nemateriālo vērtību pienācīgu cenu ir notikusi saskaņā ar nesaistītu pušu darījuma principu. Darbā uzmanība pievērsta trīs galvenajām jomām. Pasākumu kompleksa 8. pasākumā uzmanība ir pievērsta jautājumiem par iekšējo cenu noteikšanu tādu kontrolēto darījumu gadījumā, kuri saistīti ar nemateriālajiem aktīviem, jo nemateriālie aktīvi pēc definīcijas ir mobili un bieži vien ir grūti noteikt to vērtību. No vērtīgajiem nemateriālajiem aktīviem gūtās peļņas nepareiza sadale ir ievērojami veicinājusi nodokļa bāzes samazināšanu un peļņas novirzīšanu. Pasākuma kompleksa 9. pasākums paredz, ka līgumos noteikta riska sadale tiek atzīta vienīgi tad, ja tā ir atbalstīta faktiskā lēmumpieņemšanas procesā un tādējādi šie riski tiek kontrolēti. Savukārt 10. pasākums veltīts citām augsta riska jomām, tostarp iespējām risināt jautājumu par komerciāli nepamatotos kontrolētajos darījumos gūtās peļņas sadalīšanu, jautājumu par iekšējo cenu noteikšanas metožu izmantošanu tādā veidā, ka peļņa tiek novirzīta no ekonomiski svarīgākajām starptautiskās grupas darbībām, un jautājumu par noteiktu veidu maksājumu izmantošanu starp starptautiskās grupas dalībniekiem (piemēram, par pārvaldības maksu un galvenā biroja izdevumu izmantošanu), lai samazinātu nodokļu bāzi, nepastāvot saiknei ar vērtības radīšanu. Apvienotajā ziņojumā iekļauti pārskatīti norādījumi attiecībā uz šiem jautājumiem, kas nodrošina, ka iekšējo cenu noteikšanas noteikumi sniedz rezultātus, kuri ļauj labāk savienot darbības peļņu ar saimniecisko darbību, kurā šāda peļņa gūta.</w:t>
      </w:r>
    </w:p>
    <w:p w:rsidR="00DB2100" w:rsidRPr="00F30F64" w:rsidRDefault="00DB2100" w:rsidP="00376276">
      <w:pPr>
        <w:pStyle w:val="BodyText"/>
        <w:ind w:left="0" w:firstLine="339"/>
        <w:jc w:val="both"/>
        <w:rPr>
          <w:rFonts w:cs="Times New Roman"/>
          <w:noProof/>
          <w:sz w:val="24"/>
        </w:rPr>
      </w:pPr>
      <w:r w:rsidRPr="00F30F64">
        <w:rPr>
          <w:rFonts w:cs="Times New Roman"/>
          <w:noProof/>
          <w:sz w:val="24"/>
        </w:rPr>
        <w:t>Ziņojumā arī iekļauti norādījumi par darījumiem, kuri ietver pārrobežu preču darījumus, kā arī par zemas pievienotās vērtības pakalpojumiem grupas iekšienē. Tā kā attīstības valstis norādījušas, ka šīs divas jomas ir ļoti svarīgas, norādījumi tiks papildināti turpmākā darbā, kuru pilnvarojusi G20 Attīstības darba grupa, un tādējādi attīstības valstīm tiks sniegtas zināšanas, labākā prakse un rīki cenu noteikšanai preču darījumos iekšējo cenu noteikšanas nolūkā un tādas nodokļa bāzes samazināšanas novēršanai, kas tiek veikta, izmantojot ierastos nodokļu bāzi samazinošu maksājumu veidus.</w:t>
      </w:r>
    </w:p>
    <w:p w:rsidR="00DB2100" w:rsidRPr="00F30F64" w:rsidRDefault="00DB2100" w:rsidP="000A61E6">
      <w:pPr>
        <w:jc w:val="both"/>
        <w:rPr>
          <w:rFonts w:ascii="Times New Roman" w:eastAsia="Times New Roman" w:hAnsi="Times New Roman" w:cs="Times New Roman"/>
          <w:noProof/>
          <w:sz w:val="24"/>
          <w:szCs w:val="20"/>
        </w:rPr>
      </w:pPr>
    </w:p>
    <w:p w:rsidR="00DB2100" w:rsidRPr="00F30F64" w:rsidRDefault="00DB2100" w:rsidP="00552D89">
      <w:pPr>
        <w:pStyle w:val="Heading2"/>
        <w:rPr>
          <w:noProof/>
        </w:rPr>
      </w:pPr>
      <w:bookmarkStart w:id="50" w:name="Action_11_–_Measuring_and_Monitoring_BEP"/>
      <w:bookmarkStart w:id="51" w:name="_bookmark16"/>
      <w:bookmarkStart w:id="52" w:name="_Toc457555846"/>
      <w:bookmarkEnd w:id="50"/>
      <w:bookmarkEnd w:id="51"/>
      <w:r w:rsidRPr="00F30F64">
        <w:t xml:space="preserve">11. pasākums. </w:t>
      </w:r>
      <w:r w:rsidRPr="00F30F64">
        <w:rPr>
          <w:i/>
        </w:rPr>
        <w:t>BEPS</w:t>
      </w:r>
      <w:r w:rsidRPr="00F30F64">
        <w:t xml:space="preserve"> mērīšana un uzraudzība</w:t>
      </w:r>
      <w:bookmarkEnd w:id="52"/>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t xml:space="preserve">Izmantojot dažādus datu avotus un aprēķināšanas stratēģijas, veikti simtiem empīrisku pētījumu, kuros gūti pierādījumi par peļņas novirzīšanu ar nodokļiem saistītu iemeslu dēļ. Lai arī </w:t>
      </w:r>
      <w:r w:rsidRPr="00F30F64">
        <w:rPr>
          <w:rFonts w:cs="Times New Roman"/>
          <w:i/>
          <w:noProof/>
          <w:sz w:val="24"/>
        </w:rPr>
        <w:t>BEPS</w:t>
      </w:r>
      <w:r w:rsidRPr="00F30F64">
        <w:rPr>
          <w:rFonts w:cs="Times New Roman"/>
          <w:noProof/>
          <w:sz w:val="24"/>
        </w:rPr>
        <w:t xml:space="preserve"> apmēra mērīšana ir apgrūtināta, ņemot vērā </w:t>
      </w:r>
      <w:r w:rsidRPr="00F30F64">
        <w:rPr>
          <w:rFonts w:cs="Times New Roman"/>
          <w:i/>
          <w:noProof/>
          <w:sz w:val="24"/>
        </w:rPr>
        <w:t>BEPS</w:t>
      </w:r>
      <w:r w:rsidRPr="00F30F64">
        <w:rPr>
          <w:rFonts w:cs="Times New Roman"/>
          <w:noProof/>
          <w:sz w:val="24"/>
        </w:rPr>
        <w:t xml:space="preserve"> sarežģītību un pastāvošos datu </w:t>
      </w:r>
      <w:r w:rsidRPr="00F30F64">
        <w:rPr>
          <w:rFonts w:cs="Times New Roman"/>
          <w:noProof/>
          <w:sz w:val="24"/>
        </w:rPr>
        <w:lastRenderedPageBreak/>
        <w:t xml:space="preserve">ierobežojumus, virknē nesen veiktu pētījumu pieļauts, ka </w:t>
      </w:r>
      <w:r w:rsidRPr="00F30F64">
        <w:rPr>
          <w:rFonts w:cs="Times New Roman"/>
          <w:i/>
          <w:noProof/>
          <w:sz w:val="24"/>
        </w:rPr>
        <w:t>BEPS</w:t>
      </w:r>
      <w:r w:rsidRPr="00F30F64">
        <w:rPr>
          <w:rFonts w:cs="Times New Roman"/>
          <w:noProof/>
          <w:sz w:val="24"/>
        </w:rPr>
        <w:t xml:space="preserve"> ir radījis ievērojamus UIN ieņēmumu zaudējumus visā pasaulē. Pasākumu kompleksa 11. pasākumā novērtēti pašlaik pieejamie dati un metodoloģijas un secināts, ka ievērojami ierobežojumi būtiski ierobežo </w:t>
      </w:r>
      <w:r w:rsidRPr="00F30F64">
        <w:rPr>
          <w:rFonts w:cs="Times New Roman"/>
          <w:i/>
          <w:noProof/>
          <w:sz w:val="24"/>
        </w:rPr>
        <w:t>BEPS</w:t>
      </w:r>
      <w:r w:rsidRPr="00F30F64">
        <w:rPr>
          <w:rFonts w:cs="Times New Roman"/>
          <w:noProof/>
          <w:sz w:val="24"/>
        </w:rPr>
        <w:t xml:space="preserve"> mēroga un ekonomiskās ietekmes ekonomisko analīzi un ka ir nepieciešami uzlaboti dati un metodoloģija. Ņemot vērā šos datu ierobežojumus, ir izveidots sešu </w:t>
      </w:r>
      <w:r w:rsidRPr="00F30F64">
        <w:rPr>
          <w:rFonts w:cs="Times New Roman"/>
          <w:i/>
          <w:noProof/>
          <w:sz w:val="24"/>
        </w:rPr>
        <w:t>BEPS</w:t>
      </w:r>
      <w:r w:rsidRPr="00F30F64">
        <w:rPr>
          <w:rFonts w:cs="Times New Roman"/>
          <w:noProof/>
          <w:sz w:val="24"/>
        </w:rPr>
        <w:t xml:space="preserve"> rādītāju infopanelis, izmantojot dažādus datu avotus un novērtējot dažādus </w:t>
      </w:r>
      <w:r w:rsidRPr="00F30F64">
        <w:rPr>
          <w:rFonts w:cs="Times New Roman"/>
          <w:i/>
          <w:noProof/>
          <w:sz w:val="24"/>
        </w:rPr>
        <w:t>BEPS</w:t>
      </w:r>
      <w:r w:rsidRPr="00F30F64">
        <w:rPr>
          <w:rFonts w:cs="Times New Roman"/>
          <w:noProof/>
          <w:sz w:val="24"/>
        </w:rPr>
        <w:t xml:space="preserve"> kanālus. Šie rādītāji sniedz spēcīgus signālus par to, ka </w:t>
      </w:r>
      <w:r w:rsidRPr="00F30F64">
        <w:rPr>
          <w:rFonts w:cs="Times New Roman"/>
          <w:i/>
          <w:noProof/>
          <w:sz w:val="24"/>
        </w:rPr>
        <w:t>BEPS</w:t>
      </w:r>
      <w:r w:rsidRPr="00F30F64">
        <w:rPr>
          <w:rFonts w:cs="Times New Roman"/>
          <w:noProof/>
          <w:sz w:val="24"/>
        </w:rPr>
        <w:t xml:space="preserve"> pastāv un ka laika gaitā šī problēma ir palielinājusies. Jaunā ESAO empīriskajā analīzē aplēsts (vienlaikus atzīstot </w:t>
      </w:r>
      <w:r w:rsidRPr="00F30F64">
        <w:rPr>
          <w:rFonts w:cs="Times New Roman"/>
          <w:i/>
          <w:noProof/>
          <w:sz w:val="24"/>
        </w:rPr>
        <w:t>BEPS</w:t>
      </w:r>
      <w:r w:rsidRPr="00F30F64">
        <w:rPr>
          <w:rFonts w:cs="Times New Roman"/>
          <w:noProof/>
          <w:sz w:val="24"/>
        </w:rPr>
        <w:t xml:space="preserve"> sarežģītību un arī metodoloģiskos un datu ierobežojumus), ka zaudēto uzņēmumu ienākuma nodokļa ieņēmumu apmērs katru gadu pasaulē varētu būt no 100 līdz 240 miljardiem </w:t>
      </w:r>
      <w:r w:rsidRPr="00F30F64">
        <w:rPr>
          <w:rFonts w:cs="Times New Roman"/>
          <w:i/>
          <w:noProof/>
          <w:sz w:val="24"/>
        </w:rPr>
        <w:t>USD</w:t>
      </w:r>
      <w:r w:rsidRPr="00F30F64">
        <w:rPr>
          <w:rFonts w:cs="Times New Roman"/>
          <w:noProof/>
          <w:sz w:val="24"/>
        </w:rPr>
        <w:t xml:space="preserve">. Šajā izpētē arī konstatēti ievērojami, ar nodokļiem nesaistīti ekonomiski izkropļojumi, kurus izraisa </w:t>
      </w:r>
      <w:r w:rsidRPr="00F30F64">
        <w:rPr>
          <w:rFonts w:cs="Times New Roman"/>
          <w:i/>
          <w:noProof/>
          <w:sz w:val="24"/>
        </w:rPr>
        <w:t>BEPS</w:t>
      </w:r>
      <w:r w:rsidRPr="00F30F64">
        <w:rPr>
          <w:rFonts w:cs="Times New Roman"/>
          <w:noProof/>
          <w:sz w:val="24"/>
        </w:rPr>
        <w:t xml:space="preserve">, un sniegti ieteikumi to priekšrocību labākai izmantošanai, kuras nodrošina pieejamie nodokļu dati, analīzes uzlabošanai, lai turpmāk nodrošinātu atbalstu </w:t>
      </w:r>
      <w:r w:rsidRPr="00F30F64">
        <w:rPr>
          <w:rFonts w:cs="Times New Roman"/>
          <w:i/>
          <w:noProof/>
          <w:sz w:val="24"/>
        </w:rPr>
        <w:t>BEPS</w:t>
      </w:r>
      <w:r w:rsidRPr="00F30F64">
        <w:rPr>
          <w:rFonts w:cs="Times New Roman"/>
          <w:noProof/>
          <w:sz w:val="24"/>
        </w:rPr>
        <w:t xml:space="preserve"> uzraudzībai, tostarp, izmantojot analītiskus rīkus, lai palīdzētu valstīm novērtēt </w:t>
      </w:r>
      <w:r w:rsidRPr="00F30F64">
        <w:rPr>
          <w:rFonts w:cs="Times New Roman"/>
          <w:i/>
          <w:noProof/>
          <w:sz w:val="24"/>
        </w:rPr>
        <w:t>BEPS</w:t>
      </w:r>
      <w:r w:rsidRPr="00F30F64">
        <w:rPr>
          <w:rFonts w:cs="Times New Roman"/>
          <w:noProof/>
          <w:sz w:val="24"/>
        </w:rPr>
        <w:t xml:space="preserve"> ietekmi uz nodokļiem un </w:t>
      </w:r>
      <w:r w:rsidRPr="00F30F64">
        <w:rPr>
          <w:rFonts w:cs="Times New Roman"/>
          <w:i/>
          <w:noProof/>
          <w:sz w:val="24"/>
        </w:rPr>
        <w:t>BEPS</w:t>
      </w:r>
      <w:r w:rsidRPr="00F30F64">
        <w:rPr>
          <w:rFonts w:cs="Times New Roman"/>
          <w:noProof/>
          <w:sz w:val="24"/>
        </w:rPr>
        <w:t xml:space="preserve"> pretpasākumu ietekmi šajās valstīs. Lai turpmāk uzlabotu ekonomisko analīzi un </w:t>
      </w:r>
      <w:r w:rsidRPr="00F30F64">
        <w:rPr>
          <w:rFonts w:cs="Times New Roman"/>
          <w:i/>
          <w:noProof/>
          <w:sz w:val="24"/>
        </w:rPr>
        <w:t>BEPS</w:t>
      </w:r>
      <w:r w:rsidRPr="00F30F64">
        <w:rPr>
          <w:rFonts w:cs="Times New Roman"/>
          <w:noProof/>
          <w:sz w:val="24"/>
        </w:rPr>
        <w:t xml:space="preserve"> uzraudzību, valstīm būs jāuzlabo datu vākšana, apkopošana un analīze.</w:t>
      </w:r>
    </w:p>
    <w:p w:rsidR="00DB2100" w:rsidRPr="00F30F64" w:rsidRDefault="00DB2100" w:rsidP="000A61E6">
      <w:pPr>
        <w:jc w:val="both"/>
        <w:rPr>
          <w:rFonts w:ascii="Times New Roman" w:eastAsia="Times New Roman" w:hAnsi="Times New Roman" w:cs="Times New Roman"/>
          <w:noProof/>
          <w:sz w:val="24"/>
          <w:szCs w:val="21"/>
        </w:rPr>
      </w:pPr>
    </w:p>
    <w:p w:rsidR="00DB2100" w:rsidRPr="00F30F64" w:rsidRDefault="00DB2100" w:rsidP="00552D89">
      <w:pPr>
        <w:pStyle w:val="Heading2"/>
        <w:rPr>
          <w:noProof/>
        </w:rPr>
      </w:pPr>
      <w:bookmarkStart w:id="53" w:name="Action_12_–_Require_Taxpayers_to_Disclos"/>
      <w:bookmarkStart w:id="54" w:name="_bookmark17"/>
      <w:bookmarkStart w:id="55" w:name="_Toc457555847"/>
      <w:bookmarkEnd w:id="53"/>
      <w:bookmarkEnd w:id="54"/>
      <w:r w:rsidRPr="00F30F64">
        <w:t>12. pasākums. Noteikt pienākumu nodokļu maksātājiem atklāt to agresīvos nodokļu plānošanas pasākumus</w:t>
      </w:r>
      <w:bookmarkEnd w:id="55"/>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t>Viena no galvenajām problēmām, ar ko saskaras nodokļu iestādes visā pasaulē, ir tas, ka trūkst laikus saņemta, vispusīga un būtiska informācija par agresīvām nodokļu plānošanas stratēģijām. Iespēja laikus piekļūt šādai informācijai sniedz iespēju ātri reaģēt uz nodokļu riskiem, veicot ar informāciju pamatotu riska novērtēšanu, revīzijas un izmaiņas tiesību aktos. Pasākumu kompleksa 12. pasākumā sniegts norādījumu modulārs satvars, kurš izstrādāts, pamatojoties uz labāko praksi, izmantošanai valstīs, kurās netiek piemēroti obligātas informācijas sniegšanas noteikumi, ar nolūku izveidot režīmu, kas atbilst šo valstu vajadzībai laikus iegūt informāciju par agresīvām vai ļaunprātīgām nodokļu plānošanas shēmām un to lietotājiem. Šajā ziņojumā sniegtie ieteikumi nav uzskatāmi par obligāto standartu, un valstis var izvēlēties, vai tās ieviesīs obligātas informācijas sniegšanas režīmus. Minētais satvars ir paredzēts arī kā atsauces materiāls valstīm, kurām jau ir obligātas informācijas sniegšanas režīmi, šo režīmu efektivitātes uzlabošanai. Ieteikumi sniedz rīcības brīvību, kas nepieciešama, lai līdzsvarotu valsts vajadzību pēc labākas un savlaicīgākas informācijas ar slogu, ko nodokļu maksātājiem rada atbilstības nodrošināšana. Tajā arī izklāstīti konkrēti labākās prakses ieteikumi attiecībā uz noteikumiem, kas vērsti pret starptautiskajām nodokļu shēmām, kā arī attiecībā uz efektīvākas informācijas apmaiņas un sadarbības starp nodokļu administrācijām izstrādi un īstenošanu.</w:t>
      </w:r>
    </w:p>
    <w:p w:rsidR="00376276" w:rsidRPr="00F30F64" w:rsidRDefault="00376276" w:rsidP="00376276">
      <w:pPr>
        <w:pStyle w:val="BodyText"/>
        <w:ind w:left="0"/>
        <w:jc w:val="both"/>
        <w:rPr>
          <w:rFonts w:cs="Times New Roman"/>
          <w:noProof/>
          <w:sz w:val="24"/>
        </w:rPr>
      </w:pPr>
    </w:p>
    <w:p w:rsidR="00DB2100" w:rsidRPr="00F30F64" w:rsidRDefault="00DB2100" w:rsidP="00552D89">
      <w:pPr>
        <w:pStyle w:val="Heading2"/>
        <w:rPr>
          <w:noProof/>
        </w:rPr>
      </w:pPr>
      <w:bookmarkStart w:id="56" w:name="Action_13_–_Re-examine_Transfer_Pricing_"/>
      <w:bookmarkStart w:id="57" w:name="_bookmark18"/>
      <w:bookmarkStart w:id="58" w:name="_Toc457555848"/>
      <w:bookmarkEnd w:id="56"/>
      <w:bookmarkEnd w:id="57"/>
      <w:r w:rsidRPr="00F30F64">
        <w:t>13. pasākums. Iekšējo cenu noteikšanas dokumentācijas pārskatīšana</w:t>
      </w:r>
      <w:bookmarkEnd w:id="58"/>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t xml:space="preserve">Uzlabota un labāk koordinēta iekšējo cenu noteikšanas dokumentācija paaugstinās nodokļu administrācijām sniegtās informācijas kvalitāti un ierobežos uzņēmumiem ar atbilstības nodrošināšanu saistīto slogu. Ziņojumā par 13. pasākumu iekļauta trīsdaļīga standartizēta pieeja iekšējo cenu noteikšanas dokumentācijai, tostarp obligātais standarts pārskatu sniegšanai sadalījumā pa valstīm. Šis obligātais standarts atspoguļo apņemšanos saskanīgi ieviest kopīgu pārskata sadalījumā pa valstīm standartformu. Pirmkārt, norādījumos par iekšējo cenu noteikšanas dokumentāciju noteikts, ka starptautiskajiem uzņēmumiem ir jāsniedz nodokļu administrācijām augsta līmeņa informācija par šo uzņēmumu globālo uzņēmējdarbību un iekšējo cenu noteikšanas politiku “pamatdatnē”, kas būs pieejama visām attiecīgajām nodokļu administrācijām. Otrkārt, tie paredz, ka detalizēta transakciju iekšējo cenu noteikšanas dokumentācija ir jāsniedz “vietējā datnē”, kas sagatavota atsevišķi par katru valsti, norādot tajā būtiskos saistīto pušu darījumus, šo darījumu summas, uzņēmuma analīzi </w:t>
      </w:r>
      <w:r w:rsidRPr="00F30F64">
        <w:rPr>
          <w:rFonts w:cs="Times New Roman"/>
          <w:noProof/>
          <w:sz w:val="24"/>
        </w:rPr>
        <w:lastRenderedPageBreak/>
        <w:t>par iekšējām cenām, kuras tie noteikuši saistībā ar šiem darījumiem. Treškārt, lielajiem starptautiskajiem uzņēmumiem ir pienākums iesniegt pārskatu sadalījumā pa valstīm, kurā attiecībā uz katru gadu un katru nodokļu jurisdikciju, kurā tie veic uzņēmējdarbību, jānorāda ieņēmumu summa, peļņa pirms ienākumu nodokļu nomaksas un samaksātais un uzkrātais ienākumu nodoklis un citi saimniecisko darbību rādītāji. Pārskati sadalījumā pa valstīm ir jāiesniedz galvenās struktūrvienības jurisdikcijā un automātiski jāizplata valstu savstarpējā informācijas apmaiņā. Atsevišķos gadījumos kā rezerves risinājumu var izmantot sekundārus mehānismus, tostarp iesniegšanu vietējā līmenī. Apstiprinātais ieviešanas plāns nodrošinās, ka informācija tiek sniegta nodokļu administrācijām pienācīgā laikā, tiek ievērota sniegtās informācijas konfidencialitāte un pārskats sadalījumā pa valstīm tiek atbilstīgi izmantots.</w:t>
      </w: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t>Kopumā šīs trīs dokumentācijas daļas liks nodokļu maksātājiem skaidri formulēt konsekventas iekšējo cenu noteikšanas pozīcijas un sniegs nodokļu administrācijām derīgu informāciju iekšējo cenu noteikšanas risku novērtēšanai un revīzijas resursu efektīvākās izvietošanas noteikšanai, un gadījumā, ja tiek pieprasīta revīzija, sniedz revīzijas pārbaužu sākšanai un to mērķu noteikšanai nepieciešamo informāciju. Nodrošinot saskanīgu pieeju iekšējo cenu noteikšanas dokumentācijai starp valstīm un samazinot nepieciešamību vairākkārtīgi sniegt pārskatus sadalījumā pa valstīm, šim nolūkam izmantojot informācijas apmaiņu starp nodokļu administrācijām, arī starptautiskie uzņēmumi spēs saskatīt ieguvumus, jo tiem samazināsies atbilstības nodrošināšanas slogs.</w:t>
      </w:r>
    </w:p>
    <w:p w:rsidR="00DB2100" w:rsidRPr="00F30F64" w:rsidRDefault="00DB2100" w:rsidP="000A61E6">
      <w:pPr>
        <w:jc w:val="both"/>
        <w:rPr>
          <w:rFonts w:ascii="Times New Roman" w:eastAsia="Times New Roman" w:hAnsi="Times New Roman" w:cs="Times New Roman"/>
          <w:noProof/>
          <w:sz w:val="24"/>
          <w:szCs w:val="20"/>
        </w:rPr>
      </w:pPr>
    </w:p>
    <w:p w:rsidR="00DB2100" w:rsidRPr="00F30F64" w:rsidRDefault="00DB2100" w:rsidP="00552D89">
      <w:pPr>
        <w:pStyle w:val="Heading2"/>
        <w:rPr>
          <w:noProof/>
        </w:rPr>
      </w:pPr>
      <w:bookmarkStart w:id="59" w:name="Action_14_–_Make_Dispute_Resolution_Mech"/>
      <w:bookmarkStart w:id="60" w:name="_bookmark19"/>
      <w:bookmarkStart w:id="61" w:name="_Toc457555849"/>
      <w:bookmarkEnd w:id="59"/>
      <w:bookmarkEnd w:id="60"/>
      <w:r w:rsidRPr="00F30F64">
        <w:t>14. pasākums. Strīdu izšķiršanas mehānismu efektivitātes uzlabošana</w:t>
      </w:r>
      <w:bookmarkEnd w:id="61"/>
    </w:p>
    <w:p w:rsidR="00DB2100" w:rsidRPr="00F30F64" w:rsidRDefault="00DB2100" w:rsidP="000A61E6">
      <w:pPr>
        <w:jc w:val="both"/>
        <w:rPr>
          <w:rFonts w:ascii="Times New Roman" w:eastAsia="Times New Roman" w:hAnsi="Times New Roman" w:cs="Times New Roman"/>
          <w:b/>
          <w:bCs/>
          <w:noProof/>
          <w:sz w:val="24"/>
          <w:szCs w:val="20"/>
        </w:rPr>
      </w:pPr>
    </w:p>
    <w:p w:rsidR="00DB2100" w:rsidRPr="00F30F64" w:rsidRDefault="00DB2100" w:rsidP="000A61E6">
      <w:pPr>
        <w:pStyle w:val="BodyText"/>
        <w:ind w:left="0" w:firstLine="339"/>
        <w:jc w:val="both"/>
        <w:rPr>
          <w:rFonts w:cs="Times New Roman"/>
          <w:noProof/>
          <w:sz w:val="24"/>
        </w:rPr>
      </w:pPr>
      <w:r w:rsidRPr="00F30F64">
        <w:rPr>
          <w:rFonts w:cs="Times New Roman"/>
          <w:noProof/>
          <w:sz w:val="24"/>
        </w:rPr>
        <w:t xml:space="preserve">Valstis atzīst, ka izmaiņas, kas tiek ieviestas ar </w:t>
      </w:r>
      <w:r w:rsidRPr="00F30F64">
        <w:rPr>
          <w:rFonts w:cs="Times New Roman"/>
          <w:i/>
          <w:noProof/>
          <w:sz w:val="24"/>
        </w:rPr>
        <w:t>BEPS</w:t>
      </w:r>
      <w:r w:rsidRPr="00F30F64">
        <w:rPr>
          <w:rFonts w:cs="Times New Roman"/>
          <w:noProof/>
          <w:sz w:val="24"/>
        </w:rPr>
        <w:t xml:space="preserve"> projektu, var radīt zināmu neskaidrību un, ja netiks veikta atbilstīga darbība, īstermiņā var palielināt nodokļu dubulto uzlikšanu un </w:t>
      </w:r>
      <w:r w:rsidRPr="00F30F64">
        <w:rPr>
          <w:rFonts w:cs="Times New Roman"/>
          <w:i/>
          <w:noProof/>
          <w:sz w:val="24"/>
        </w:rPr>
        <w:t>MAP</w:t>
      </w:r>
      <w:r w:rsidRPr="00F30F64">
        <w:rPr>
          <w:rFonts w:cs="Times New Roman"/>
          <w:noProof/>
          <w:sz w:val="24"/>
        </w:rPr>
        <w:t xml:space="preserve"> strīdus. Atzīstot to, cik būtiski ir likvidēt nodokļu dubulto uzlikšanu kā šķērsli pārrobežu tirdzniecībai un ieguldījumiem, valstis ir apņēmušās ievērot obligāto standartu attiecībā uz tādu strīdu atrisināšanu, kas saistīti ar nodokļu konvencijām. Jo īpaši tas nozīmē stingru politisku apņemšanos nodrošināt efektīvu un ātru strīdu izšķiršanu, izmantojot savstarpējās vienošanās procedūru. Šī apņemšanās arī ietver efektīva uzraudzības mehānisma izveidi, lai nodrošinātu obligātā standarta izpildi un valstis uzlabotu spēju ātri atrisināt strīdus. Turklāt liela valstu grupa ir apņēmusies ātri noteikt obligātu un saistošu arbitrāžu to divpusējās nodokļu konvencijās.</w:t>
      </w:r>
    </w:p>
    <w:p w:rsidR="00DB2100" w:rsidRPr="00F30F64" w:rsidRDefault="00DB2100" w:rsidP="000A61E6">
      <w:pPr>
        <w:jc w:val="both"/>
        <w:rPr>
          <w:rFonts w:ascii="Times New Roman" w:eastAsia="Times New Roman" w:hAnsi="Times New Roman" w:cs="Times New Roman"/>
          <w:noProof/>
          <w:sz w:val="24"/>
          <w:szCs w:val="17"/>
        </w:rPr>
      </w:pPr>
    </w:p>
    <w:p w:rsidR="00DB2100" w:rsidRPr="00F30F64" w:rsidRDefault="00DB2100" w:rsidP="00552D89">
      <w:pPr>
        <w:pStyle w:val="Heading2"/>
        <w:rPr>
          <w:noProof/>
        </w:rPr>
      </w:pPr>
      <w:bookmarkStart w:id="62" w:name="Action_15_–_Develop_a_Multilateral_Instr"/>
      <w:bookmarkStart w:id="63" w:name="_bookmark20"/>
      <w:bookmarkStart w:id="64" w:name="_Toc457555850"/>
      <w:bookmarkEnd w:id="62"/>
      <w:bookmarkEnd w:id="63"/>
      <w:r w:rsidRPr="00F30F64">
        <w:t>15. pasākums. Izstrādāt daudzpusēju instrumentu</w:t>
      </w:r>
      <w:bookmarkEnd w:id="64"/>
    </w:p>
    <w:p w:rsidR="00DB2100" w:rsidRPr="00F30F64" w:rsidRDefault="00DB2100" w:rsidP="000A61E6">
      <w:pPr>
        <w:jc w:val="both"/>
        <w:rPr>
          <w:rFonts w:ascii="Times New Roman" w:eastAsia="Times New Roman" w:hAnsi="Times New Roman" w:cs="Times New Roman"/>
          <w:b/>
          <w:bCs/>
          <w:noProof/>
          <w:sz w:val="24"/>
          <w:szCs w:val="20"/>
        </w:rPr>
      </w:pPr>
    </w:p>
    <w:p w:rsidR="00376276" w:rsidRPr="00F30F64" w:rsidRDefault="00DB2100" w:rsidP="003319F3">
      <w:pPr>
        <w:pStyle w:val="BodyText"/>
        <w:ind w:left="0" w:firstLine="339"/>
        <w:jc w:val="both"/>
        <w:rPr>
          <w:rFonts w:cs="Times New Roman"/>
          <w:b/>
          <w:bCs/>
          <w:noProof/>
          <w:sz w:val="24"/>
          <w:szCs w:val="20"/>
        </w:rPr>
      </w:pPr>
      <w:r w:rsidRPr="00F30F64">
        <w:rPr>
          <w:rFonts w:cs="Times New Roman"/>
          <w:noProof/>
          <w:sz w:val="24"/>
        </w:rPr>
        <w:t xml:space="preserve">Pamatojoties uz zināšanām starptautisko publisko tiesību jomā un nodokļu ekspertu sniegto informāciju, 15. pasākumā izskatīta tāda daudzpusēja instrumenta iespējamība no tehniskā viedokļa, ar ko tiktu ieviesti ar nodokļu konvencijām saistītie </w:t>
      </w:r>
      <w:r w:rsidRPr="00F30F64">
        <w:rPr>
          <w:rFonts w:cs="Times New Roman"/>
          <w:i/>
          <w:noProof/>
          <w:sz w:val="24"/>
        </w:rPr>
        <w:t>BEPS</w:t>
      </w:r>
      <w:r w:rsidRPr="00F30F64">
        <w:rPr>
          <w:rFonts w:cs="Times New Roman"/>
          <w:noProof/>
          <w:sz w:val="24"/>
        </w:rPr>
        <w:t xml:space="preserve"> pasākumi un grozītas divpusējās nodokļu konvencijas. Tajā secināts, ka daudzpusējs instruments ir vēlams un iespējams un ka šāda instrumenta apspriešana jāsasauc īsā laikā. Pamatojoties uz šo analīzi, ir izstrādāts pilnvarojums </w:t>
      </w:r>
      <w:r w:rsidRPr="00F30F64">
        <w:rPr>
          <w:rFonts w:cs="Times New Roman"/>
          <w:i/>
          <w:noProof/>
          <w:sz w:val="24"/>
        </w:rPr>
        <w:t>ad hoc</w:t>
      </w:r>
      <w:r w:rsidRPr="00F30F64">
        <w:rPr>
          <w:rFonts w:cs="Times New Roman"/>
          <w:noProof/>
          <w:sz w:val="24"/>
        </w:rPr>
        <w:t xml:space="preserve"> grupai, kurā var piedalīties ikviena valsts, izstrādāt daudzpusēju instrumentu un nodot to parakstīšanai 2016. gadā. Līdz šim šajā darbā atbilstīgi vienlīdzīgas līdzdalības principam ir iesaistījušās aptuveni 90 valstis.</w:t>
      </w:r>
      <w:r w:rsidR="00376276" w:rsidRPr="00F30F64">
        <w:rPr>
          <w:rFonts w:cs="Times New Roman"/>
        </w:rPr>
        <w:br w:type="page"/>
      </w:r>
    </w:p>
    <w:p w:rsidR="003319F3" w:rsidRDefault="003319F3" w:rsidP="006A4821">
      <w:pPr>
        <w:pStyle w:val="Heading1"/>
      </w:pPr>
      <w:bookmarkStart w:id="65" w:name="Notes"/>
      <w:bookmarkStart w:id="66" w:name="_bookmark21"/>
      <w:bookmarkEnd w:id="65"/>
      <w:bookmarkEnd w:id="66"/>
    </w:p>
    <w:p w:rsidR="003319F3" w:rsidRDefault="003319F3" w:rsidP="006A4821">
      <w:pPr>
        <w:pStyle w:val="Heading1"/>
      </w:pPr>
    </w:p>
    <w:p w:rsidR="00DB2100" w:rsidRPr="00F30F64" w:rsidRDefault="00DB2100" w:rsidP="006A4821">
      <w:pPr>
        <w:pStyle w:val="Heading1"/>
      </w:pPr>
      <w:bookmarkStart w:id="67" w:name="_Toc457555851"/>
      <w:bookmarkStart w:id="68" w:name="_GoBack"/>
      <w:bookmarkEnd w:id="68"/>
      <w:r w:rsidRPr="00F30F64">
        <w:t>Piezīmes.</w:t>
      </w:r>
      <w:bookmarkEnd w:id="67"/>
    </w:p>
    <w:p w:rsidR="00DB2100" w:rsidRDefault="00DB2100" w:rsidP="000A61E6">
      <w:pPr>
        <w:jc w:val="both"/>
        <w:rPr>
          <w:rFonts w:ascii="Times New Roman" w:eastAsia="Times New Roman" w:hAnsi="Times New Roman" w:cs="Times New Roman"/>
          <w:b/>
          <w:bCs/>
          <w:noProof/>
          <w:sz w:val="24"/>
          <w:szCs w:val="28"/>
        </w:rPr>
      </w:pPr>
    </w:p>
    <w:p w:rsidR="003319F3" w:rsidRPr="00F30F64" w:rsidRDefault="003319F3" w:rsidP="000A61E6">
      <w:pPr>
        <w:jc w:val="both"/>
        <w:rPr>
          <w:rFonts w:ascii="Times New Roman" w:eastAsia="Times New Roman" w:hAnsi="Times New Roman" w:cs="Times New Roman"/>
          <w:b/>
          <w:bCs/>
          <w:noProof/>
          <w:sz w:val="24"/>
          <w:szCs w:val="28"/>
        </w:rPr>
      </w:pPr>
    </w:p>
    <w:p w:rsidR="00DB2100" w:rsidRPr="00F30F64" w:rsidRDefault="00DB2100" w:rsidP="00376276">
      <w:pPr>
        <w:numPr>
          <w:ilvl w:val="0"/>
          <w:numId w:val="1"/>
        </w:numPr>
        <w:tabs>
          <w:tab w:val="left" w:pos="1484"/>
        </w:tabs>
        <w:ind w:left="709" w:hanging="709"/>
        <w:jc w:val="both"/>
        <w:rPr>
          <w:rFonts w:ascii="Times New Roman" w:hAnsi="Times New Roman" w:cs="Times New Roman"/>
          <w:noProof/>
          <w:sz w:val="24"/>
        </w:rPr>
      </w:pPr>
      <w:bookmarkStart w:id="69" w:name="_bookmark22"/>
      <w:bookmarkEnd w:id="69"/>
      <w:r w:rsidRPr="00F30F64">
        <w:rPr>
          <w:rFonts w:ascii="Times New Roman" w:hAnsi="Times New Roman" w:cs="Times New Roman"/>
          <w:noProof/>
          <w:sz w:val="24"/>
        </w:rPr>
        <w:t>Atsauces uz ESAO un G20 valstīm ietver arī uz Kolumbiju un Latviju.</w:t>
      </w:r>
    </w:p>
    <w:p w:rsidR="00DB2100" w:rsidRPr="00F30F64" w:rsidRDefault="00DB2100" w:rsidP="00376276">
      <w:pPr>
        <w:numPr>
          <w:ilvl w:val="0"/>
          <w:numId w:val="1"/>
        </w:numPr>
        <w:tabs>
          <w:tab w:val="left" w:pos="1484"/>
        </w:tabs>
        <w:ind w:left="709" w:hanging="709"/>
        <w:jc w:val="both"/>
        <w:rPr>
          <w:rFonts w:ascii="Times New Roman" w:eastAsia="Times New Roman" w:hAnsi="Times New Roman" w:cs="Times New Roman"/>
          <w:noProof/>
          <w:sz w:val="24"/>
          <w:szCs w:val="21"/>
        </w:rPr>
      </w:pPr>
      <w:bookmarkStart w:id="70" w:name="_bookmark23"/>
      <w:bookmarkEnd w:id="70"/>
      <w:r w:rsidRPr="00F30F64">
        <w:rPr>
          <w:rFonts w:ascii="Times New Roman" w:hAnsi="Times New Roman" w:cs="Times New Roman"/>
          <w:noProof/>
          <w:sz w:val="24"/>
        </w:rPr>
        <w:t>Albānija, Amerikas Savienotās Valstis, Apvienotā Karaliste, Argentīna, Austrālija, Austrija, Azerbaidžāna, Bangladeša, Beļģija, Brazīlija, Čehijas Republika, Čīle, Dānija, Dienvidāfrika, Francija, Filipīnas, Grieķija, Gruzija, Horvātija, Igaunija, Indija, Indonēzija, Islande, Itālija, Izraēla, Īrija, Jamaika, Japāna, Jaunzēlande, Kanāda, Kenija, Kolumbija, Koreja, Kostarika, Krievijas Federācija, Ķīnas Tautas Republika, Latvija, Lietuva, Luksemburga, Malaizija, Maroka, Meksika, Nigērija, Nīderlande, Norvēģija, Peru, Polija, Portugāle, Saūda Arābija, Senegāla, Singapūra, Slovākijas Republika, Slovēnija, Somija, Spānija, Šveice, Tunisija, Turcija, Ungārija, Vācija, Vjetnama un Zviedrija.</w:t>
      </w:r>
    </w:p>
    <w:p w:rsidR="00DB2100" w:rsidRPr="00F30F64" w:rsidRDefault="00DB2100" w:rsidP="00376276">
      <w:pPr>
        <w:numPr>
          <w:ilvl w:val="0"/>
          <w:numId w:val="1"/>
        </w:numPr>
        <w:tabs>
          <w:tab w:val="left" w:pos="1484"/>
        </w:tabs>
        <w:ind w:left="709" w:hanging="709"/>
        <w:jc w:val="both"/>
        <w:rPr>
          <w:rFonts w:ascii="Times New Roman" w:eastAsia="Times New Roman" w:hAnsi="Times New Roman" w:cs="Times New Roman"/>
          <w:noProof/>
          <w:sz w:val="24"/>
          <w:szCs w:val="21"/>
        </w:rPr>
      </w:pPr>
      <w:bookmarkStart w:id="71" w:name="_bookmark24"/>
      <w:bookmarkEnd w:id="71"/>
      <w:r w:rsidRPr="00F30F64">
        <w:rPr>
          <w:rFonts w:ascii="Times New Roman" w:hAnsi="Times New Roman" w:cs="Times New Roman"/>
          <w:noProof/>
          <w:sz w:val="24"/>
        </w:rPr>
        <w:t xml:space="preserve">Pieejams </w:t>
      </w:r>
      <w:hyperlink r:id="rId15">
        <w:r w:rsidRPr="00F30F64">
          <w:rPr>
            <w:rFonts w:ascii="Times New Roman" w:hAnsi="Times New Roman" w:cs="Times New Roman"/>
            <w:noProof/>
            <w:color w:val="0000FF"/>
            <w:sz w:val="24"/>
            <w:u w:val="single" w:color="0000FF"/>
          </w:rPr>
          <w:t>www.oecd.org/tax/tax-global/report-to-g20-dwg-on-the-impact-of-beps-</w:t>
        </w:r>
      </w:hyperlink>
      <w:r w:rsidRPr="00F30F64">
        <w:rPr>
          <w:rFonts w:ascii="Times New Roman" w:hAnsi="Times New Roman" w:cs="Times New Roman"/>
          <w:noProof/>
          <w:color w:val="0000FF"/>
          <w:sz w:val="24"/>
        </w:rPr>
        <w:t xml:space="preserve"> </w:t>
      </w:r>
      <w:hyperlink r:id="rId16">
        <w:r w:rsidRPr="00F30F64">
          <w:rPr>
            <w:rFonts w:ascii="Times New Roman" w:hAnsi="Times New Roman" w:cs="Times New Roman"/>
            <w:noProof/>
            <w:color w:val="0000FF"/>
            <w:sz w:val="24"/>
          </w:rPr>
          <w:t xml:space="preserve"> </w:t>
        </w:r>
        <w:r w:rsidRPr="00F30F64">
          <w:rPr>
            <w:rFonts w:ascii="Times New Roman" w:hAnsi="Times New Roman" w:cs="Times New Roman"/>
            <w:noProof/>
            <w:color w:val="0000FF"/>
            <w:sz w:val="24"/>
            <w:u w:val="single" w:color="0000FF"/>
          </w:rPr>
          <w:t>in-low-income-countries.pdf</w:t>
        </w:r>
        <w:r w:rsidRPr="00F30F64">
          <w:rPr>
            <w:rFonts w:ascii="Times New Roman" w:hAnsi="Times New Roman" w:cs="Times New Roman"/>
            <w:noProof/>
            <w:sz w:val="24"/>
          </w:rPr>
          <w:t>.</w:t>
        </w:r>
      </w:hyperlink>
    </w:p>
    <w:p w:rsidR="00376276" w:rsidRPr="00F30F64" w:rsidRDefault="00376276">
      <w:pPr>
        <w:rPr>
          <w:rFonts w:ascii="Times New Roman" w:eastAsia="Times New Roman" w:hAnsi="Times New Roman" w:cs="Times New Roman"/>
          <w:noProof/>
          <w:sz w:val="24"/>
          <w:szCs w:val="20"/>
        </w:rPr>
      </w:pPr>
      <w:r w:rsidRPr="00F30F64">
        <w:rPr>
          <w:rFonts w:ascii="Times New Roman" w:hAnsi="Times New Roman" w:cs="Times New Roman"/>
        </w:rPr>
        <w:br w:type="page"/>
      </w:r>
    </w:p>
    <w:p w:rsidR="00DB2100" w:rsidRPr="003319F3" w:rsidRDefault="00DB2100" w:rsidP="003319F3">
      <w:pPr>
        <w:pStyle w:val="BodyText"/>
        <w:ind w:left="0"/>
        <w:rPr>
          <w:rFonts w:eastAsia="Arial"/>
          <w:b/>
          <w:noProof/>
          <w:sz w:val="24"/>
          <w:szCs w:val="24"/>
        </w:rPr>
      </w:pPr>
      <w:r w:rsidRPr="003319F3">
        <w:rPr>
          <w:b/>
          <w:noProof/>
          <w:sz w:val="24"/>
          <w:szCs w:val="24"/>
        </w:rPr>
        <w:lastRenderedPageBreak/>
        <w:t>ESAO/G20 Projekts par nodokļu bāzes samazināšanu un peļņas novirzīšanu</w:t>
      </w:r>
    </w:p>
    <w:p w:rsidR="00DB2100" w:rsidRPr="00F30F64" w:rsidRDefault="00DB2100" w:rsidP="000A61E6">
      <w:pPr>
        <w:jc w:val="both"/>
        <w:rPr>
          <w:rFonts w:ascii="Times New Roman" w:eastAsia="Arial" w:hAnsi="Times New Roman" w:cs="Times New Roman"/>
          <w:b/>
          <w:bCs/>
          <w:noProof/>
          <w:sz w:val="24"/>
          <w:szCs w:val="27"/>
        </w:rPr>
      </w:pPr>
    </w:p>
    <w:p w:rsidR="00DB2100" w:rsidRPr="003319F3" w:rsidRDefault="00DB2100" w:rsidP="000A61E6">
      <w:pPr>
        <w:jc w:val="both"/>
        <w:rPr>
          <w:rFonts w:ascii="Times New Roman" w:hAnsi="Times New Roman" w:cs="Times New Roman"/>
          <w:b/>
          <w:noProof/>
          <w:color w:val="231F20"/>
          <w:sz w:val="32"/>
          <w:szCs w:val="32"/>
        </w:rPr>
      </w:pPr>
      <w:r w:rsidRPr="003319F3">
        <w:rPr>
          <w:rFonts w:ascii="Times New Roman" w:hAnsi="Times New Roman" w:cs="Times New Roman"/>
          <w:b/>
          <w:noProof/>
          <w:color w:val="231F20"/>
          <w:sz w:val="32"/>
          <w:szCs w:val="32"/>
        </w:rPr>
        <w:t>Paskaidrojuma raksts</w:t>
      </w:r>
    </w:p>
    <w:p w:rsidR="00DB2100" w:rsidRDefault="00DB2100" w:rsidP="000A61E6">
      <w:pPr>
        <w:jc w:val="both"/>
        <w:rPr>
          <w:rFonts w:ascii="Times New Roman" w:eastAsia="Arial" w:hAnsi="Times New Roman" w:cs="Times New Roman"/>
          <w:b/>
          <w:bCs/>
          <w:noProof/>
          <w:sz w:val="24"/>
          <w:szCs w:val="32"/>
        </w:rPr>
      </w:pPr>
    </w:p>
    <w:p w:rsidR="003319F3" w:rsidRPr="00F30F64" w:rsidRDefault="003319F3" w:rsidP="000A61E6">
      <w:pPr>
        <w:jc w:val="both"/>
        <w:rPr>
          <w:rFonts w:ascii="Times New Roman" w:eastAsia="Arial" w:hAnsi="Times New Roman" w:cs="Times New Roman"/>
          <w:b/>
          <w:bCs/>
          <w:noProof/>
          <w:sz w:val="24"/>
          <w:szCs w:val="32"/>
        </w:rPr>
      </w:pPr>
    </w:p>
    <w:p w:rsidR="00DB2100" w:rsidRPr="00F30F64" w:rsidRDefault="00DB2100" w:rsidP="000A61E6">
      <w:pPr>
        <w:pStyle w:val="Heading3"/>
        <w:ind w:left="0"/>
        <w:jc w:val="both"/>
        <w:rPr>
          <w:rFonts w:ascii="Times New Roman" w:hAnsi="Times New Roman" w:cs="Times New Roman"/>
          <w:noProof/>
          <w:color w:val="231F20"/>
        </w:rPr>
      </w:pPr>
      <w:bookmarkStart w:id="72" w:name="_Toc457555852"/>
      <w:r w:rsidRPr="00F30F64">
        <w:rPr>
          <w:rFonts w:ascii="Times New Roman" w:hAnsi="Times New Roman" w:cs="Times New Roman"/>
          <w:noProof/>
          <w:color w:val="231F20"/>
        </w:rPr>
        <w:t xml:space="preserve">Nodokļu bāzes samazināšanas un peļņas novirzīšanas problēmas risināšana ir valdību prioritāte visā pasaulē. ESAO un G20 valstis 2013. gadā, strādājot kopā atbilstīgi vienlīdzīgas līdzdalības principam, pieņēma 15 punktu rīcības plānu </w:t>
      </w:r>
      <w:r w:rsidRPr="00F30F64">
        <w:rPr>
          <w:rFonts w:ascii="Times New Roman" w:hAnsi="Times New Roman" w:cs="Times New Roman"/>
          <w:i/>
          <w:noProof/>
          <w:color w:val="231F20"/>
        </w:rPr>
        <w:t>BEPS</w:t>
      </w:r>
      <w:r w:rsidRPr="00F30F64">
        <w:rPr>
          <w:rFonts w:ascii="Times New Roman" w:hAnsi="Times New Roman" w:cs="Times New Roman"/>
          <w:noProof/>
          <w:color w:val="231F20"/>
        </w:rPr>
        <w:t xml:space="preserve"> jautājuma risināšanai.</w:t>
      </w:r>
      <w:bookmarkEnd w:id="72"/>
    </w:p>
    <w:p w:rsidR="00DB2100" w:rsidRPr="00F30F64" w:rsidRDefault="00DB2100" w:rsidP="000A61E6">
      <w:pPr>
        <w:jc w:val="both"/>
        <w:rPr>
          <w:rFonts w:ascii="Times New Roman" w:eastAsia="Arial" w:hAnsi="Times New Roman" w:cs="Times New Roman"/>
          <w:noProof/>
          <w:sz w:val="24"/>
          <w:szCs w:val="25"/>
        </w:rPr>
      </w:pPr>
    </w:p>
    <w:p w:rsidR="00DB2100" w:rsidRPr="00F30F64" w:rsidRDefault="00DB2100" w:rsidP="000A61E6">
      <w:pPr>
        <w:jc w:val="both"/>
        <w:rPr>
          <w:rFonts w:ascii="Times New Roman" w:hAnsi="Times New Roman" w:cs="Times New Roman"/>
          <w:noProof/>
          <w:color w:val="231F20"/>
          <w:sz w:val="24"/>
        </w:rPr>
      </w:pPr>
      <w:r w:rsidRPr="00F30F64">
        <w:rPr>
          <w:rFonts w:ascii="Times New Roman" w:hAnsi="Times New Roman" w:cs="Times New Roman"/>
          <w:noProof/>
          <w:color w:val="231F20"/>
          <w:sz w:val="24"/>
        </w:rPr>
        <w:t xml:space="preserve">Papildus ieņēmumu gūšanai, piemērojot nodokļus saimnieciskai darbībai un vērtības radīšanai, ESAO/G20 </w:t>
      </w:r>
      <w:r w:rsidRPr="00F30F64">
        <w:rPr>
          <w:rFonts w:ascii="Times New Roman" w:hAnsi="Times New Roman" w:cs="Times New Roman"/>
          <w:i/>
          <w:noProof/>
          <w:color w:val="231F20"/>
          <w:sz w:val="24"/>
        </w:rPr>
        <w:t xml:space="preserve">BEPS </w:t>
      </w:r>
      <w:r w:rsidRPr="00F30F64">
        <w:rPr>
          <w:rFonts w:ascii="Times New Roman" w:hAnsi="Times New Roman" w:cs="Times New Roman"/>
          <w:noProof/>
          <w:color w:val="231F20"/>
          <w:sz w:val="24"/>
        </w:rPr>
        <w:t xml:space="preserve">projekta mērķis ir radīt atsevišķus uz vienprātības pamata izveidotus starptautiskos nodokļu noteikumus </w:t>
      </w:r>
      <w:r w:rsidRPr="00F30F64">
        <w:rPr>
          <w:rFonts w:ascii="Times New Roman" w:hAnsi="Times New Roman" w:cs="Times New Roman"/>
          <w:i/>
          <w:noProof/>
          <w:color w:val="231F20"/>
          <w:sz w:val="24"/>
        </w:rPr>
        <w:t>BEPS</w:t>
      </w:r>
      <w:r w:rsidRPr="00F30F64">
        <w:rPr>
          <w:rFonts w:ascii="Times New Roman" w:hAnsi="Times New Roman" w:cs="Times New Roman"/>
          <w:noProof/>
          <w:color w:val="231F20"/>
          <w:sz w:val="24"/>
        </w:rPr>
        <w:t xml:space="preserve"> jautājuma risināšanai, lai aizsargātu nodokļu bāzes, vienlaikus nodrošinot lielāku skaidrību un paredzamību nodokļu maksātājiem. Galvenā uzmanība šajā darbā vērsta uz nodokļu dubultās neuzlikšanas novēršanu. Tomēr, šādi rīkojoties, nedrīkst pieņemt jaunus noteikumus, kas rada nodokļu dubultu piemērošanu, nepamatotu atbilstības nodrošināšanas slogu vai ierobežojumus likumīgām pārrobežu darbībām.</w:t>
      </w:r>
    </w:p>
    <w:p w:rsidR="00DB2100" w:rsidRPr="00F30F64" w:rsidRDefault="00DB2100" w:rsidP="000A61E6">
      <w:pPr>
        <w:jc w:val="both"/>
        <w:rPr>
          <w:rFonts w:ascii="Times New Roman" w:eastAsia="Arial" w:hAnsi="Times New Roman" w:cs="Times New Roman"/>
          <w:noProof/>
          <w:sz w:val="24"/>
          <w:szCs w:val="25"/>
        </w:rPr>
      </w:pPr>
    </w:p>
    <w:p w:rsidR="00DB2100" w:rsidRPr="00F30F64" w:rsidRDefault="004F281A" w:rsidP="000A61E6">
      <w:pPr>
        <w:jc w:val="both"/>
        <w:rPr>
          <w:rFonts w:ascii="Times New Roman" w:eastAsia="Arial" w:hAnsi="Times New Roman" w:cs="Times New Roman"/>
          <w:noProof/>
          <w:sz w:val="24"/>
          <w:szCs w:val="24"/>
        </w:rPr>
      </w:pPr>
      <w:hyperlink r:id="rId17">
        <w:r w:rsidR="0083028A" w:rsidRPr="00F30F64">
          <w:rPr>
            <w:rFonts w:ascii="Times New Roman" w:hAnsi="Times New Roman" w:cs="Times New Roman"/>
            <w:i/>
            <w:noProof/>
            <w:color w:val="231F20"/>
            <w:sz w:val="24"/>
          </w:rPr>
          <w:t>www.oecd.org/tax/beps.htm</w:t>
        </w:r>
      </w:hyperlink>
    </w:p>
    <w:sectPr w:rsidR="00DB2100" w:rsidRPr="00F30F64" w:rsidSect="000A61E6">
      <w:headerReference w:type="default" r:id="rId18"/>
      <w:footerReference w:type="even" r:id="rId19"/>
      <w:footerReference w:type="default" r:id="rId20"/>
      <w:headerReference w:type="first" r:id="rId21"/>
      <w:footerReference w:type="first" r:id="rId22"/>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6C3" w:rsidRPr="00DB2100" w:rsidRDefault="00E546F9">
      <w:pPr>
        <w:rPr>
          <w:noProof/>
        </w:rPr>
      </w:pPr>
      <w:r w:rsidRPr="00DB2100">
        <w:rPr>
          <w:noProof/>
        </w:rPr>
        <w:separator/>
      </w:r>
    </w:p>
  </w:endnote>
  <w:endnote w:type="continuationSeparator" w:id="0">
    <w:p w:rsidR="00B836C3" w:rsidRPr="00DB2100" w:rsidRDefault="00E546F9">
      <w:pPr>
        <w:rPr>
          <w:noProof/>
        </w:rPr>
      </w:pPr>
      <w:r w:rsidRPr="00DB2100">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Palatino Linotype">
    <w:altName w:val="Palatino Linotype"/>
    <w:panose1 w:val="02040502050505030304"/>
    <w:charset w:val="BA"/>
    <w:family w:val="roman"/>
    <w:pitch w:val="variable"/>
    <w:sig w:usb0="E0000287" w:usb1="40000013" w:usb2="00000000" w:usb3="00000000" w:csb0="0000019F" w:csb1="00000000"/>
  </w:font>
  <w:font w:name="Book Antiqua">
    <w:altName w:val="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380" w:rsidRPr="00DB2100" w:rsidRDefault="00CF7380">
    <w:pPr>
      <w:spacing w:line="14" w:lineRule="auto"/>
      <w:rPr>
        <w:noProof/>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64" w:rsidRPr="00F30F64" w:rsidRDefault="00F30F64" w:rsidP="00F30F64">
    <w:pPr>
      <w:pStyle w:val="Header"/>
      <w:tabs>
        <w:tab w:val="left" w:pos="9072"/>
      </w:tabs>
      <w:rPr>
        <w:rStyle w:val="PageNumber"/>
        <w:rFonts w:ascii="Times New Roman" w:hAnsi="Times New Roman" w:cs="Times New Roman"/>
        <w:sz w:val="20"/>
        <w:szCs w:val="20"/>
      </w:rPr>
    </w:pPr>
  </w:p>
  <w:p w:rsidR="00F30F64" w:rsidRPr="00F30F64" w:rsidRDefault="00F30F64" w:rsidP="00F30F64">
    <w:pPr>
      <w:pStyle w:val="Header"/>
      <w:tabs>
        <w:tab w:val="clear" w:pos="4153"/>
        <w:tab w:val="clear" w:pos="8306"/>
        <w:tab w:val="right" w:leader="underscore" w:pos="9072"/>
      </w:tabs>
      <w:rPr>
        <w:rStyle w:val="PageNumber"/>
        <w:rFonts w:ascii="Times New Roman" w:hAnsi="Times New Roman" w:cs="Times New Roman"/>
        <w:sz w:val="20"/>
        <w:szCs w:val="20"/>
      </w:rPr>
    </w:pPr>
    <w:r w:rsidRPr="00F30F64">
      <w:rPr>
        <w:rStyle w:val="PageNumber"/>
        <w:rFonts w:ascii="Times New Roman" w:hAnsi="Times New Roman" w:cs="Times New Roman"/>
        <w:sz w:val="20"/>
        <w:szCs w:val="20"/>
      </w:rPr>
      <w:tab/>
    </w:r>
  </w:p>
  <w:p w:rsidR="00F30F64" w:rsidRPr="00F30F64" w:rsidRDefault="00F30F64" w:rsidP="00F30F64">
    <w:pPr>
      <w:pStyle w:val="Header"/>
      <w:tabs>
        <w:tab w:val="right" w:pos="9072"/>
      </w:tabs>
      <w:rPr>
        <w:rStyle w:val="PageNumber"/>
        <w:rFonts w:ascii="Times New Roman" w:hAnsi="Times New Roman" w:cs="Times New Roman"/>
        <w:sz w:val="20"/>
        <w:szCs w:val="20"/>
      </w:rPr>
    </w:pPr>
  </w:p>
  <w:p w:rsidR="00F30F64" w:rsidRPr="00F30F64" w:rsidRDefault="00F30F64" w:rsidP="00F30F64">
    <w:pPr>
      <w:pStyle w:val="Footer"/>
      <w:tabs>
        <w:tab w:val="clear" w:pos="4153"/>
        <w:tab w:val="clear" w:pos="8306"/>
        <w:tab w:val="right" w:pos="9072"/>
      </w:tabs>
      <w:rPr>
        <w:rFonts w:ascii="Times New Roman" w:hAnsi="Times New Roman" w:cs="Times New Roman"/>
        <w:sz w:val="20"/>
        <w:szCs w:val="20"/>
      </w:rPr>
    </w:pPr>
    <w:r w:rsidRPr="00F30F64">
      <w:rPr>
        <w:rFonts w:ascii="Times New Roman" w:hAnsi="Times New Roman" w:cs="Times New Roman"/>
        <w:noProof/>
        <w:sz w:val="20"/>
        <w:szCs w:val="20"/>
      </w:rPr>
      <w:t xml:space="preserve">Tulkojums </w:t>
    </w:r>
    <w:r w:rsidRPr="00F30F64">
      <w:rPr>
        <w:rFonts w:ascii="Times New Roman" w:hAnsi="Times New Roman" w:cs="Times New Roman"/>
        <w:noProof/>
        <w:sz w:val="20"/>
        <w:szCs w:val="20"/>
      </w:rPr>
      <w:fldChar w:fldCharType="begin"/>
    </w:r>
    <w:r w:rsidRPr="00F30F64">
      <w:rPr>
        <w:rFonts w:ascii="Times New Roman" w:hAnsi="Times New Roman" w:cs="Times New Roman"/>
        <w:noProof/>
        <w:sz w:val="20"/>
        <w:szCs w:val="20"/>
      </w:rPr>
      <w:instrText>symbol 211 \f "Symbol" \s 9</w:instrText>
    </w:r>
    <w:r w:rsidRPr="00F30F64">
      <w:rPr>
        <w:rFonts w:ascii="Times New Roman" w:hAnsi="Times New Roman" w:cs="Times New Roman"/>
        <w:noProof/>
        <w:sz w:val="20"/>
        <w:szCs w:val="20"/>
      </w:rPr>
      <w:fldChar w:fldCharType="separate"/>
    </w:r>
    <w:r w:rsidRPr="00F30F64">
      <w:rPr>
        <w:rFonts w:ascii="Times New Roman" w:hAnsi="Times New Roman" w:cs="Times New Roman"/>
        <w:noProof/>
        <w:sz w:val="20"/>
        <w:szCs w:val="20"/>
      </w:rPr>
      <w:t>Ó</w:t>
    </w:r>
    <w:r w:rsidRPr="00F30F64">
      <w:rPr>
        <w:rFonts w:ascii="Times New Roman" w:hAnsi="Times New Roman" w:cs="Times New Roman"/>
        <w:noProof/>
        <w:sz w:val="20"/>
        <w:szCs w:val="20"/>
      </w:rPr>
      <w:fldChar w:fldCharType="end"/>
    </w:r>
    <w:r w:rsidRPr="00F30F64">
      <w:rPr>
        <w:rFonts w:ascii="Times New Roman" w:hAnsi="Times New Roman" w:cs="Times New Roman"/>
        <w:noProof/>
        <w:sz w:val="20"/>
        <w:szCs w:val="20"/>
      </w:rPr>
      <w:t xml:space="preserve"> Valsts valodas centrs, 2016</w:t>
    </w:r>
    <w:r w:rsidRPr="00F30F64">
      <w:rPr>
        <w:rFonts w:ascii="Times New Roman" w:hAnsi="Times New Roman" w:cs="Times New Roman"/>
        <w:sz w:val="20"/>
        <w:szCs w:val="20"/>
      </w:rPr>
      <w:tab/>
    </w:r>
    <w:r w:rsidRPr="00F30F64">
      <w:rPr>
        <w:rStyle w:val="PageNumber"/>
        <w:rFonts w:ascii="Times New Roman" w:hAnsi="Times New Roman" w:cs="Times New Roman"/>
        <w:sz w:val="20"/>
        <w:szCs w:val="20"/>
      </w:rPr>
      <w:fldChar w:fldCharType="begin"/>
    </w:r>
    <w:r w:rsidRPr="00F30F64">
      <w:rPr>
        <w:rStyle w:val="PageNumber"/>
        <w:rFonts w:ascii="Times New Roman" w:hAnsi="Times New Roman" w:cs="Times New Roman"/>
        <w:sz w:val="20"/>
        <w:szCs w:val="20"/>
      </w:rPr>
      <w:instrText xml:space="preserve">page </w:instrText>
    </w:r>
    <w:r w:rsidRPr="00F30F64">
      <w:rPr>
        <w:rStyle w:val="PageNumber"/>
        <w:rFonts w:ascii="Times New Roman" w:hAnsi="Times New Roman" w:cs="Times New Roman"/>
        <w:sz w:val="20"/>
        <w:szCs w:val="20"/>
      </w:rPr>
      <w:fldChar w:fldCharType="separate"/>
    </w:r>
    <w:r w:rsidR="004F281A">
      <w:rPr>
        <w:rStyle w:val="PageNumber"/>
        <w:rFonts w:ascii="Times New Roman" w:hAnsi="Times New Roman" w:cs="Times New Roman"/>
        <w:noProof/>
        <w:sz w:val="20"/>
        <w:szCs w:val="20"/>
      </w:rPr>
      <w:t>19</w:t>
    </w:r>
    <w:r w:rsidRPr="00F30F64">
      <w:rPr>
        <w:rStyle w:val="PageNumber"/>
        <w:rFonts w:ascii="Times New Roman" w:hAnsi="Times New Roman" w:cs="Times New Roman"/>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64" w:rsidRPr="00F30F64" w:rsidRDefault="00F30F64" w:rsidP="00F30F64">
    <w:pPr>
      <w:pStyle w:val="Header"/>
      <w:tabs>
        <w:tab w:val="left" w:pos="9072"/>
      </w:tabs>
      <w:rPr>
        <w:rStyle w:val="PageNumber"/>
        <w:rFonts w:ascii="Times New Roman" w:hAnsi="Times New Roman" w:cs="Times New Roman"/>
        <w:sz w:val="20"/>
        <w:szCs w:val="20"/>
      </w:rPr>
    </w:pPr>
  </w:p>
  <w:p w:rsidR="00F30F64" w:rsidRPr="00F30F64" w:rsidRDefault="00F30F64" w:rsidP="00F30F64">
    <w:pPr>
      <w:pStyle w:val="Header"/>
      <w:tabs>
        <w:tab w:val="clear" w:pos="4153"/>
        <w:tab w:val="clear" w:pos="8306"/>
        <w:tab w:val="left" w:leader="underscore" w:pos="9072"/>
      </w:tabs>
      <w:rPr>
        <w:rStyle w:val="PageNumber"/>
        <w:rFonts w:ascii="Times New Roman" w:hAnsi="Times New Roman" w:cs="Times New Roman"/>
        <w:sz w:val="20"/>
        <w:szCs w:val="20"/>
      </w:rPr>
    </w:pPr>
    <w:r w:rsidRPr="00F30F64">
      <w:rPr>
        <w:rStyle w:val="PageNumber"/>
        <w:rFonts w:ascii="Times New Roman" w:hAnsi="Times New Roman" w:cs="Times New Roman"/>
        <w:sz w:val="20"/>
        <w:szCs w:val="20"/>
      </w:rPr>
      <w:tab/>
    </w:r>
  </w:p>
  <w:p w:rsidR="00F30F64" w:rsidRPr="00F30F64" w:rsidRDefault="00F30F64" w:rsidP="00F30F64">
    <w:pPr>
      <w:pStyle w:val="Header"/>
      <w:tabs>
        <w:tab w:val="left" w:pos="9072"/>
      </w:tabs>
      <w:rPr>
        <w:rStyle w:val="PageNumber"/>
        <w:rFonts w:ascii="Times New Roman" w:hAnsi="Times New Roman" w:cs="Times New Roman"/>
        <w:sz w:val="20"/>
        <w:szCs w:val="20"/>
      </w:rPr>
    </w:pPr>
  </w:p>
  <w:p w:rsidR="00F30F64" w:rsidRPr="00F30F64" w:rsidRDefault="00F30F64" w:rsidP="00F30F64">
    <w:pPr>
      <w:pStyle w:val="Footer"/>
      <w:rPr>
        <w:rFonts w:ascii="Times New Roman" w:hAnsi="Times New Roman" w:cs="Times New Roman"/>
        <w:sz w:val="20"/>
        <w:szCs w:val="20"/>
      </w:rPr>
    </w:pPr>
    <w:r w:rsidRPr="00F30F64">
      <w:rPr>
        <w:rFonts w:ascii="Times New Roman" w:hAnsi="Times New Roman" w:cs="Times New Roman"/>
        <w:noProof/>
        <w:sz w:val="20"/>
        <w:szCs w:val="20"/>
      </w:rPr>
      <w:t xml:space="preserve">Tulkojums </w:t>
    </w:r>
    <w:r w:rsidRPr="00F30F64">
      <w:rPr>
        <w:rFonts w:ascii="Times New Roman" w:hAnsi="Times New Roman" w:cs="Times New Roman"/>
        <w:noProof/>
        <w:sz w:val="20"/>
        <w:szCs w:val="20"/>
      </w:rPr>
      <w:fldChar w:fldCharType="begin"/>
    </w:r>
    <w:r w:rsidRPr="00F30F64">
      <w:rPr>
        <w:rFonts w:ascii="Times New Roman" w:hAnsi="Times New Roman" w:cs="Times New Roman"/>
        <w:noProof/>
        <w:sz w:val="20"/>
        <w:szCs w:val="20"/>
      </w:rPr>
      <w:instrText>symbol 211 \f "Symbol" \s 9</w:instrText>
    </w:r>
    <w:r w:rsidRPr="00F30F64">
      <w:rPr>
        <w:rFonts w:ascii="Times New Roman" w:hAnsi="Times New Roman" w:cs="Times New Roman"/>
        <w:noProof/>
        <w:sz w:val="20"/>
        <w:szCs w:val="20"/>
      </w:rPr>
      <w:fldChar w:fldCharType="separate"/>
    </w:r>
    <w:r w:rsidRPr="00F30F64">
      <w:rPr>
        <w:rFonts w:ascii="Times New Roman" w:hAnsi="Times New Roman" w:cs="Times New Roman"/>
        <w:noProof/>
        <w:sz w:val="20"/>
        <w:szCs w:val="20"/>
      </w:rPr>
      <w:t>Ó</w:t>
    </w:r>
    <w:r w:rsidRPr="00F30F64">
      <w:rPr>
        <w:rFonts w:ascii="Times New Roman" w:hAnsi="Times New Roman" w:cs="Times New Roman"/>
        <w:noProof/>
        <w:sz w:val="20"/>
        <w:szCs w:val="20"/>
      </w:rPr>
      <w:fldChar w:fldCharType="end"/>
    </w:r>
    <w:r w:rsidRPr="00F30F64">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6C3" w:rsidRPr="00DB2100" w:rsidRDefault="00E546F9">
      <w:pPr>
        <w:rPr>
          <w:noProof/>
        </w:rPr>
      </w:pPr>
      <w:r w:rsidRPr="00DB2100">
        <w:rPr>
          <w:noProof/>
        </w:rPr>
        <w:separator/>
      </w:r>
    </w:p>
  </w:footnote>
  <w:footnote w:type="continuationSeparator" w:id="0">
    <w:p w:rsidR="00B836C3" w:rsidRPr="00DB2100" w:rsidRDefault="00E546F9">
      <w:pPr>
        <w:rPr>
          <w:noProof/>
        </w:rPr>
      </w:pPr>
      <w:r w:rsidRPr="00DB2100">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64" w:rsidRPr="00F30F64" w:rsidRDefault="00F30F64" w:rsidP="00F30F64">
    <w:pPr>
      <w:pStyle w:val="Header"/>
      <w:rPr>
        <w:rStyle w:val="PageNumber"/>
        <w:rFonts w:ascii="Times New Roman" w:hAnsi="Times New Roman" w:cs="Times New Roman"/>
        <w:sz w:val="20"/>
        <w:szCs w:val="20"/>
      </w:rPr>
    </w:pPr>
  </w:p>
  <w:p w:rsidR="00F30F64" w:rsidRPr="00F30F64" w:rsidRDefault="00F30F64" w:rsidP="00F30F64">
    <w:pPr>
      <w:pStyle w:val="Header"/>
      <w:tabs>
        <w:tab w:val="clear" w:pos="4153"/>
        <w:tab w:val="clear" w:pos="8306"/>
        <w:tab w:val="right" w:leader="underscore" w:pos="9072"/>
      </w:tabs>
      <w:rPr>
        <w:rStyle w:val="PageNumber"/>
        <w:rFonts w:ascii="Times New Roman" w:hAnsi="Times New Roman" w:cs="Times New Roman"/>
        <w:sz w:val="20"/>
        <w:szCs w:val="20"/>
      </w:rPr>
    </w:pPr>
    <w:r w:rsidRPr="00F30F64">
      <w:rPr>
        <w:rStyle w:val="PageNumber"/>
        <w:rFonts w:ascii="Times New Roman" w:hAnsi="Times New Roman" w:cs="Times New Roman"/>
        <w:sz w:val="20"/>
        <w:szCs w:val="20"/>
      </w:rPr>
      <w:tab/>
    </w:r>
  </w:p>
  <w:p w:rsidR="00F30F64" w:rsidRPr="00F30F64" w:rsidRDefault="00F30F64" w:rsidP="00F30F64">
    <w:pPr>
      <w:pStyle w:val="Header"/>
      <w:tabs>
        <w:tab w:val="center" w:pos="4820"/>
        <w:tab w:val="right" w:pos="9639"/>
      </w:tabs>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F64" w:rsidRPr="00F30F64" w:rsidRDefault="00F30F64" w:rsidP="00F30F64">
    <w:pPr>
      <w:pBdr>
        <w:bottom w:val="single" w:sz="12" w:space="5" w:color="auto"/>
      </w:pBdr>
      <w:rPr>
        <w:rFonts w:ascii="Times New Roman" w:hAnsi="Times New Roman" w:cs="Times New Roman"/>
        <w:spacing w:val="-2"/>
        <w:sz w:val="20"/>
        <w:szCs w:val="20"/>
      </w:rPr>
    </w:pPr>
  </w:p>
  <w:p w:rsidR="00F30F64" w:rsidRPr="00F30F64" w:rsidRDefault="00F30F64" w:rsidP="00F30F64">
    <w:pPr>
      <w:pStyle w:val="Header"/>
      <w:tabs>
        <w:tab w:val="center" w:pos="4820"/>
        <w:tab w:val="right" w:pos="9639"/>
      </w:tabs>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0031"/>
    <w:multiLevelType w:val="hybridMultilevel"/>
    <w:tmpl w:val="EFDED5B6"/>
    <w:lvl w:ilvl="0" w:tplc="22FC81F0">
      <w:start w:val="1"/>
      <w:numFmt w:val="upperLetter"/>
      <w:lvlText w:val="%1."/>
      <w:lvlJc w:val="left"/>
      <w:pPr>
        <w:ind w:left="1668" w:hanging="269"/>
        <w:jc w:val="left"/>
      </w:pPr>
      <w:rPr>
        <w:rFonts w:ascii="Times New Roman" w:eastAsia="Times New Roman" w:hAnsi="Times New Roman" w:hint="default"/>
        <w:spacing w:val="-1"/>
        <w:w w:val="99"/>
        <w:sz w:val="22"/>
        <w:szCs w:val="22"/>
      </w:rPr>
    </w:lvl>
    <w:lvl w:ilvl="1" w:tplc="51EAD8E0">
      <w:start w:val="1"/>
      <w:numFmt w:val="bullet"/>
      <w:lvlText w:val="•"/>
      <w:lvlJc w:val="left"/>
      <w:pPr>
        <w:ind w:left="2454" w:hanging="269"/>
      </w:pPr>
      <w:rPr>
        <w:rFonts w:hint="default"/>
      </w:rPr>
    </w:lvl>
    <w:lvl w:ilvl="2" w:tplc="B172F990">
      <w:start w:val="1"/>
      <w:numFmt w:val="bullet"/>
      <w:lvlText w:val="•"/>
      <w:lvlJc w:val="left"/>
      <w:pPr>
        <w:ind w:left="3240" w:hanging="269"/>
      </w:pPr>
      <w:rPr>
        <w:rFonts w:hint="default"/>
      </w:rPr>
    </w:lvl>
    <w:lvl w:ilvl="3" w:tplc="8AFA233E">
      <w:start w:val="1"/>
      <w:numFmt w:val="bullet"/>
      <w:lvlText w:val="•"/>
      <w:lvlJc w:val="left"/>
      <w:pPr>
        <w:ind w:left="4026" w:hanging="269"/>
      </w:pPr>
      <w:rPr>
        <w:rFonts w:hint="default"/>
      </w:rPr>
    </w:lvl>
    <w:lvl w:ilvl="4" w:tplc="857A2B06">
      <w:start w:val="1"/>
      <w:numFmt w:val="bullet"/>
      <w:lvlText w:val="•"/>
      <w:lvlJc w:val="left"/>
      <w:pPr>
        <w:ind w:left="4812" w:hanging="269"/>
      </w:pPr>
      <w:rPr>
        <w:rFonts w:hint="default"/>
      </w:rPr>
    </w:lvl>
    <w:lvl w:ilvl="5" w:tplc="EBE8A418">
      <w:start w:val="1"/>
      <w:numFmt w:val="bullet"/>
      <w:lvlText w:val="•"/>
      <w:lvlJc w:val="left"/>
      <w:pPr>
        <w:ind w:left="5598" w:hanging="269"/>
      </w:pPr>
      <w:rPr>
        <w:rFonts w:hint="default"/>
      </w:rPr>
    </w:lvl>
    <w:lvl w:ilvl="6" w:tplc="9976D550">
      <w:start w:val="1"/>
      <w:numFmt w:val="bullet"/>
      <w:lvlText w:val="•"/>
      <w:lvlJc w:val="left"/>
      <w:pPr>
        <w:ind w:left="6383" w:hanging="269"/>
      </w:pPr>
      <w:rPr>
        <w:rFonts w:hint="default"/>
      </w:rPr>
    </w:lvl>
    <w:lvl w:ilvl="7" w:tplc="DCCAC8AA">
      <w:start w:val="1"/>
      <w:numFmt w:val="bullet"/>
      <w:lvlText w:val="•"/>
      <w:lvlJc w:val="left"/>
      <w:pPr>
        <w:ind w:left="7169" w:hanging="269"/>
      </w:pPr>
      <w:rPr>
        <w:rFonts w:hint="default"/>
      </w:rPr>
    </w:lvl>
    <w:lvl w:ilvl="8" w:tplc="BD7244D2">
      <w:start w:val="1"/>
      <w:numFmt w:val="bullet"/>
      <w:lvlText w:val="•"/>
      <w:lvlJc w:val="left"/>
      <w:pPr>
        <w:ind w:left="7955" w:hanging="269"/>
      </w:pPr>
      <w:rPr>
        <w:rFonts w:hint="default"/>
      </w:rPr>
    </w:lvl>
  </w:abstractNum>
  <w:abstractNum w:abstractNumId="1">
    <w:nsid w:val="1A130DE2"/>
    <w:multiLevelType w:val="hybridMultilevel"/>
    <w:tmpl w:val="AF864140"/>
    <w:lvl w:ilvl="0" w:tplc="99B431D4">
      <w:start w:val="1"/>
      <w:numFmt w:val="upperLetter"/>
      <w:lvlText w:val="%1."/>
      <w:lvlJc w:val="left"/>
      <w:pPr>
        <w:ind w:left="1137" w:hanging="293"/>
        <w:jc w:val="left"/>
      </w:pPr>
      <w:rPr>
        <w:rFonts w:ascii="Times New Roman" w:eastAsia="Times New Roman" w:hAnsi="Times New Roman" w:hint="default"/>
        <w:b/>
        <w:bCs/>
        <w:spacing w:val="-1"/>
        <w:sz w:val="24"/>
        <w:szCs w:val="24"/>
      </w:rPr>
    </w:lvl>
    <w:lvl w:ilvl="1" w:tplc="033C95F6">
      <w:start w:val="1"/>
      <w:numFmt w:val="bullet"/>
      <w:lvlText w:val="•"/>
      <w:lvlJc w:val="left"/>
      <w:pPr>
        <w:ind w:left="1976" w:hanging="293"/>
      </w:pPr>
      <w:rPr>
        <w:rFonts w:hint="default"/>
      </w:rPr>
    </w:lvl>
    <w:lvl w:ilvl="2" w:tplc="7CC8A418">
      <w:start w:val="1"/>
      <w:numFmt w:val="bullet"/>
      <w:lvlText w:val="•"/>
      <w:lvlJc w:val="left"/>
      <w:pPr>
        <w:ind w:left="2815" w:hanging="293"/>
      </w:pPr>
      <w:rPr>
        <w:rFonts w:hint="default"/>
      </w:rPr>
    </w:lvl>
    <w:lvl w:ilvl="3" w:tplc="A40E2A30">
      <w:start w:val="1"/>
      <w:numFmt w:val="bullet"/>
      <w:lvlText w:val="•"/>
      <w:lvlJc w:val="left"/>
      <w:pPr>
        <w:ind w:left="3654" w:hanging="293"/>
      </w:pPr>
      <w:rPr>
        <w:rFonts w:hint="default"/>
      </w:rPr>
    </w:lvl>
    <w:lvl w:ilvl="4" w:tplc="CC6CD64E">
      <w:start w:val="1"/>
      <w:numFmt w:val="bullet"/>
      <w:lvlText w:val="•"/>
      <w:lvlJc w:val="left"/>
      <w:pPr>
        <w:ind w:left="4493" w:hanging="293"/>
      </w:pPr>
      <w:rPr>
        <w:rFonts w:hint="default"/>
      </w:rPr>
    </w:lvl>
    <w:lvl w:ilvl="5" w:tplc="0E7CEEBC">
      <w:start w:val="1"/>
      <w:numFmt w:val="bullet"/>
      <w:lvlText w:val="•"/>
      <w:lvlJc w:val="left"/>
      <w:pPr>
        <w:ind w:left="5332" w:hanging="293"/>
      </w:pPr>
      <w:rPr>
        <w:rFonts w:hint="default"/>
      </w:rPr>
    </w:lvl>
    <w:lvl w:ilvl="6" w:tplc="56C07482">
      <w:start w:val="1"/>
      <w:numFmt w:val="bullet"/>
      <w:lvlText w:val="•"/>
      <w:lvlJc w:val="left"/>
      <w:pPr>
        <w:ind w:left="6171" w:hanging="293"/>
      </w:pPr>
      <w:rPr>
        <w:rFonts w:hint="default"/>
      </w:rPr>
    </w:lvl>
    <w:lvl w:ilvl="7" w:tplc="1A1E3D72">
      <w:start w:val="1"/>
      <w:numFmt w:val="bullet"/>
      <w:lvlText w:val="•"/>
      <w:lvlJc w:val="left"/>
      <w:pPr>
        <w:ind w:left="7010" w:hanging="293"/>
      </w:pPr>
      <w:rPr>
        <w:rFonts w:hint="default"/>
      </w:rPr>
    </w:lvl>
    <w:lvl w:ilvl="8" w:tplc="8EEA28A0">
      <w:start w:val="1"/>
      <w:numFmt w:val="bullet"/>
      <w:lvlText w:val="•"/>
      <w:lvlJc w:val="left"/>
      <w:pPr>
        <w:ind w:left="7849" w:hanging="293"/>
      </w:pPr>
      <w:rPr>
        <w:rFonts w:hint="default"/>
      </w:rPr>
    </w:lvl>
  </w:abstractNum>
  <w:abstractNum w:abstractNumId="2">
    <w:nsid w:val="58796877"/>
    <w:multiLevelType w:val="hybridMultilevel"/>
    <w:tmpl w:val="267E2AF2"/>
    <w:lvl w:ilvl="0" w:tplc="FD6CB730">
      <w:start w:val="1"/>
      <w:numFmt w:val="decimal"/>
      <w:lvlText w:val="%1."/>
      <w:lvlJc w:val="left"/>
      <w:pPr>
        <w:ind w:left="1483" w:hanging="680"/>
        <w:jc w:val="left"/>
      </w:pPr>
      <w:rPr>
        <w:rFonts w:ascii="Times New Roman" w:eastAsia="Times New Roman" w:hAnsi="Times New Roman" w:hint="default"/>
        <w:sz w:val="24"/>
        <w:szCs w:val="24"/>
      </w:rPr>
    </w:lvl>
    <w:lvl w:ilvl="1" w:tplc="DF6A6D06">
      <w:start w:val="1"/>
      <w:numFmt w:val="bullet"/>
      <w:lvlText w:val="•"/>
      <w:lvlJc w:val="left"/>
      <w:pPr>
        <w:ind w:left="2288" w:hanging="680"/>
      </w:pPr>
      <w:rPr>
        <w:rFonts w:hint="default"/>
      </w:rPr>
    </w:lvl>
    <w:lvl w:ilvl="2" w:tplc="1ADCCE7A">
      <w:start w:val="1"/>
      <w:numFmt w:val="bullet"/>
      <w:lvlText w:val="•"/>
      <w:lvlJc w:val="left"/>
      <w:pPr>
        <w:ind w:left="3092" w:hanging="680"/>
      </w:pPr>
      <w:rPr>
        <w:rFonts w:hint="default"/>
      </w:rPr>
    </w:lvl>
    <w:lvl w:ilvl="3" w:tplc="AEB03A70">
      <w:start w:val="1"/>
      <w:numFmt w:val="bullet"/>
      <w:lvlText w:val="•"/>
      <w:lvlJc w:val="left"/>
      <w:pPr>
        <w:ind w:left="3896" w:hanging="680"/>
      </w:pPr>
      <w:rPr>
        <w:rFonts w:hint="default"/>
      </w:rPr>
    </w:lvl>
    <w:lvl w:ilvl="4" w:tplc="48C058B8">
      <w:start w:val="1"/>
      <w:numFmt w:val="bullet"/>
      <w:lvlText w:val="•"/>
      <w:lvlJc w:val="left"/>
      <w:pPr>
        <w:ind w:left="4701" w:hanging="680"/>
      </w:pPr>
      <w:rPr>
        <w:rFonts w:hint="default"/>
      </w:rPr>
    </w:lvl>
    <w:lvl w:ilvl="5" w:tplc="F06E70B2">
      <w:start w:val="1"/>
      <w:numFmt w:val="bullet"/>
      <w:lvlText w:val="•"/>
      <w:lvlJc w:val="left"/>
      <w:pPr>
        <w:ind w:left="5505" w:hanging="680"/>
      </w:pPr>
      <w:rPr>
        <w:rFonts w:hint="default"/>
      </w:rPr>
    </w:lvl>
    <w:lvl w:ilvl="6" w:tplc="E3ACCD70">
      <w:start w:val="1"/>
      <w:numFmt w:val="bullet"/>
      <w:lvlText w:val="•"/>
      <w:lvlJc w:val="left"/>
      <w:pPr>
        <w:ind w:left="6310" w:hanging="680"/>
      </w:pPr>
      <w:rPr>
        <w:rFonts w:hint="default"/>
      </w:rPr>
    </w:lvl>
    <w:lvl w:ilvl="7" w:tplc="D29EA256">
      <w:start w:val="1"/>
      <w:numFmt w:val="bullet"/>
      <w:lvlText w:val="•"/>
      <w:lvlJc w:val="left"/>
      <w:pPr>
        <w:ind w:left="7114" w:hanging="680"/>
      </w:pPr>
      <w:rPr>
        <w:rFonts w:hint="default"/>
      </w:rPr>
    </w:lvl>
    <w:lvl w:ilvl="8" w:tplc="44E4464A">
      <w:start w:val="1"/>
      <w:numFmt w:val="bullet"/>
      <w:lvlText w:val="•"/>
      <w:lvlJc w:val="left"/>
      <w:pPr>
        <w:ind w:left="7918" w:hanging="680"/>
      </w:pPr>
      <w:rPr>
        <w:rFonts w:hint="default"/>
      </w:rPr>
    </w:lvl>
  </w:abstractNum>
  <w:abstractNum w:abstractNumId="3">
    <w:nsid w:val="7CB036C7"/>
    <w:multiLevelType w:val="hybridMultilevel"/>
    <w:tmpl w:val="8EB2C2A2"/>
    <w:lvl w:ilvl="0" w:tplc="3C5E6FC0">
      <w:start w:val="1"/>
      <w:numFmt w:val="decimal"/>
      <w:lvlText w:val="%1."/>
      <w:lvlJc w:val="left"/>
      <w:pPr>
        <w:ind w:left="804" w:hanging="682"/>
        <w:jc w:val="left"/>
      </w:pPr>
      <w:rPr>
        <w:rFonts w:ascii="Times New Roman" w:eastAsia="Times New Roman" w:hAnsi="Times New Roman" w:hint="default"/>
        <w:b w:val="0"/>
        <w:w w:val="99"/>
        <w:sz w:val="24"/>
        <w:szCs w:val="24"/>
      </w:rPr>
    </w:lvl>
    <w:lvl w:ilvl="1" w:tplc="5ACE0ABE">
      <w:start w:val="1"/>
      <w:numFmt w:val="bullet"/>
      <w:lvlText w:val="•"/>
      <w:lvlJc w:val="left"/>
      <w:pPr>
        <w:ind w:left="804" w:hanging="682"/>
      </w:pPr>
      <w:rPr>
        <w:rFonts w:hint="default"/>
      </w:rPr>
    </w:lvl>
    <w:lvl w:ilvl="2" w:tplc="7F00BC40">
      <w:start w:val="1"/>
      <w:numFmt w:val="bullet"/>
      <w:lvlText w:val="•"/>
      <w:lvlJc w:val="left"/>
      <w:pPr>
        <w:ind w:left="1774" w:hanging="682"/>
      </w:pPr>
      <w:rPr>
        <w:rFonts w:hint="default"/>
      </w:rPr>
    </w:lvl>
    <w:lvl w:ilvl="3" w:tplc="6CD0C44E">
      <w:start w:val="1"/>
      <w:numFmt w:val="bullet"/>
      <w:lvlText w:val="•"/>
      <w:lvlJc w:val="left"/>
      <w:pPr>
        <w:ind w:left="2743" w:hanging="682"/>
      </w:pPr>
      <w:rPr>
        <w:rFonts w:hint="default"/>
      </w:rPr>
    </w:lvl>
    <w:lvl w:ilvl="4" w:tplc="8890A48A">
      <w:start w:val="1"/>
      <w:numFmt w:val="bullet"/>
      <w:lvlText w:val="•"/>
      <w:lvlJc w:val="left"/>
      <w:pPr>
        <w:ind w:left="3712" w:hanging="682"/>
      </w:pPr>
      <w:rPr>
        <w:rFonts w:hint="default"/>
      </w:rPr>
    </w:lvl>
    <w:lvl w:ilvl="5" w:tplc="AB4AB8AC">
      <w:start w:val="1"/>
      <w:numFmt w:val="bullet"/>
      <w:lvlText w:val="•"/>
      <w:lvlJc w:val="left"/>
      <w:pPr>
        <w:ind w:left="4681" w:hanging="682"/>
      </w:pPr>
      <w:rPr>
        <w:rFonts w:hint="default"/>
      </w:rPr>
    </w:lvl>
    <w:lvl w:ilvl="6" w:tplc="484AD606">
      <w:start w:val="1"/>
      <w:numFmt w:val="bullet"/>
      <w:lvlText w:val="•"/>
      <w:lvlJc w:val="left"/>
      <w:pPr>
        <w:ind w:left="5650" w:hanging="682"/>
      </w:pPr>
      <w:rPr>
        <w:rFonts w:hint="default"/>
      </w:rPr>
    </w:lvl>
    <w:lvl w:ilvl="7" w:tplc="358459B8">
      <w:start w:val="1"/>
      <w:numFmt w:val="bullet"/>
      <w:lvlText w:val="•"/>
      <w:lvlJc w:val="left"/>
      <w:pPr>
        <w:ind w:left="6620" w:hanging="682"/>
      </w:pPr>
      <w:rPr>
        <w:rFonts w:hint="default"/>
      </w:rPr>
    </w:lvl>
    <w:lvl w:ilvl="8" w:tplc="84BCC7D0">
      <w:start w:val="1"/>
      <w:numFmt w:val="bullet"/>
      <w:lvlText w:val="•"/>
      <w:lvlJc w:val="left"/>
      <w:pPr>
        <w:ind w:left="7589" w:hanging="682"/>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
  <w:rsids>
    <w:rsidRoot w:val="00CF7380"/>
    <w:rsid w:val="000A61E6"/>
    <w:rsid w:val="000D1C14"/>
    <w:rsid w:val="003319F3"/>
    <w:rsid w:val="00376276"/>
    <w:rsid w:val="004F281A"/>
    <w:rsid w:val="00552D89"/>
    <w:rsid w:val="006A4821"/>
    <w:rsid w:val="0083028A"/>
    <w:rsid w:val="00B22DB8"/>
    <w:rsid w:val="00B836C3"/>
    <w:rsid w:val="00CF7380"/>
    <w:rsid w:val="00DB2100"/>
    <w:rsid w:val="00E546F9"/>
    <w:rsid w:val="00F30F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6A4821"/>
    <w:pPr>
      <w:jc w:val="center"/>
      <w:outlineLvl w:val="0"/>
    </w:pPr>
    <w:rPr>
      <w:rFonts w:ascii="Times New Roman" w:eastAsia="Times New Roman" w:hAnsi="Times New Roman" w:cs="Times New Roman"/>
      <w:b/>
      <w:bCs/>
      <w:noProof/>
      <w:sz w:val="28"/>
      <w:szCs w:val="28"/>
    </w:rPr>
  </w:style>
  <w:style w:type="paragraph" w:styleId="Heading2">
    <w:name w:val="heading 2"/>
    <w:basedOn w:val="Normal"/>
    <w:uiPriority w:val="1"/>
    <w:qFormat/>
    <w:rsid w:val="00552D89"/>
    <w:pPr>
      <w:tabs>
        <w:tab w:val="left" w:pos="1138"/>
      </w:tabs>
      <w:jc w:val="both"/>
      <w:outlineLvl w:val="1"/>
    </w:pPr>
    <w:rPr>
      <w:rFonts w:ascii="Times New Roman" w:eastAsia="Times New Roman" w:hAnsi="Times New Roman" w:cs="Times New Roman"/>
      <w:b/>
      <w:bCs/>
      <w:sz w:val="24"/>
      <w:szCs w:val="24"/>
    </w:rPr>
  </w:style>
  <w:style w:type="paragraph" w:styleId="Heading3">
    <w:name w:val="heading 3"/>
    <w:basedOn w:val="Normal"/>
    <w:uiPriority w:val="1"/>
    <w:qFormat/>
    <w:pPr>
      <w:ind w:left="108"/>
      <w:outlineLvl w:val="2"/>
    </w:pPr>
    <w:rPr>
      <w:rFonts w:ascii="Arial" w:eastAsia="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47"/>
    </w:pPr>
    <w:rPr>
      <w:rFonts w:ascii="Times New Roman" w:eastAsia="Times New Roman" w:hAnsi="Times New Roman"/>
      <w:b/>
      <w:bCs/>
    </w:rPr>
  </w:style>
  <w:style w:type="paragraph" w:styleId="TOC2">
    <w:name w:val="toc 2"/>
    <w:basedOn w:val="Normal"/>
    <w:uiPriority w:val="39"/>
    <w:qFormat/>
    <w:pPr>
      <w:spacing w:before="241"/>
      <w:ind w:left="50"/>
    </w:pPr>
    <w:rPr>
      <w:rFonts w:ascii="Times New Roman" w:eastAsia="Times New Roman" w:hAnsi="Times New Roman"/>
      <w:b/>
      <w:bCs/>
      <w:i/>
    </w:rPr>
  </w:style>
  <w:style w:type="paragraph" w:styleId="TOC3">
    <w:name w:val="toc 3"/>
    <w:basedOn w:val="Normal"/>
    <w:uiPriority w:val="39"/>
    <w:qFormat/>
    <w:pPr>
      <w:ind w:left="1400"/>
    </w:pPr>
    <w:rPr>
      <w:rFonts w:ascii="Times New Roman" w:eastAsia="Times New Roman" w:hAnsi="Times New Roman"/>
    </w:rPr>
  </w:style>
  <w:style w:type="paragraph" w:styleId="TOC4">
    <w:name w:val="toc 4"/>
    <w:basedOn w:val="Normal"/>
    <w:uiPriority w:val="1"/>
    <w:qFormat/>
    <w:pPr>
      <w:ind w:left="2762"/>
    </w:pPr>
    <w:rPr>
      <w:rFonts w:ascii="Times New Roman" w:eastAsia="Times New Roman" w:hAnsi="Times New Roman"/>
    </w:rPr>
  </w:style>
  <w:style w:type="paragraph" w:styleId="BodyText">
    <w:name w:val="Body Text"/>
    <w:basedOn w:val="Normal"/>
    <w:uiPriority w:val="1"/>
    <w:qFormat/>
    <w:pPr>
      <w:ind w:left="804"/>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B22DB8"/>
    <w:pPr>
      <w:tabs>
        <w:tab w:val="center" w:pos="4153"/>
        <w:tab w:val="right" w:pos="8306"/>
      </w:tabs>
    </w:pPr>
  </w:style>
  <w:style w:type="character" w:customStyle="1" w:styleId="HeaderChar">
    <w:name w:val="Header Char"/>
    <w:basedOn w:val="DefaultParagraphFont"/>
    <w:link w:val="Header"/>
    <w:uiPriority w:val="99"/>
    <w:rsid w:val="00B22DB8"/>
  </w:style>
  <w:style w:type="paragraph" w:styleId="Footer">
    <w:name w:val="footer"/>
    <w:basedOn w:val="Normal"/>
    <w:link w:val="FooterChar"/>
    <w:unhideWhenUsed/>
    <w:rsid w:val="00B22DB8"/>
    <w:pPr>
      <w:tabs>
        <w:tab w:val="center" w:pos="4153"/>
        <w:tab w:val="right" w:pos="8306"/>
      </w:tabs>
    </w:pPr>
  </w:style>
  <w:style w:type="character" w:customStyle="1" w:styleId="FooterChar">
    <w:name w:val="Footer Char"/>
    <w:basedOn w:val="DefaultParagraphFont"/>
    <w:link w:val="Footer"/>
    <w:uiPriority w:val="99"/>
    <w:rsid w:val="00B22DB8"/>
  </w:style>
  <w:style w:type="table" w:styleId="TableGrid">
    <w:name w:val="Table Grid"/>
    <w:basedOn w:val="TableNormal"/>
    <w:uiPriority w:val="39"/>
    <w:rsid w:val="000A61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30F64"/>
  </w:style>
  <w:style w:type="paragraph" w:styleId="TOCHeading">
    <w:name w:val="TOC Heading"/>
    <w:basedOn w:val="Heading1"/>
    <w:next w:val="Normal"/>
    <w:uiPriority w:val="39"/>
    <w:unhideWhenUsed/>
    <w:qFormat/>
    <w:rsid w:val="004F281A"/>
    <w:pPr>
      <w:keepNext/>
      <w:keepLines/>
      <w:widowControl/>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eastAsia="en-US" w:bidi="ar-SA"/>
    </w:rPr>
  </w:style>
  <w:style w:type="character" w:styleId="Hyperlink">
    <w:name w:val="Hyperlink"/>
    <w:basedOn w:val="DefaultParagraphFont"/>
    <w:uiPriority w:val="99"/>
    <w:unhideWhenUsed/>
    <w:rsid w:val="004F28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copyright.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rights@oecd.org" TargetMode="External"/><Relationship Id="rId17" Type="http://schemas.openxmlformats.org/officeDocument/2006/relationships/hyperlink" Target="http://www.oecd.org/tax/beps.htm" TargetMode="External"/><Relationship Id="rId2" Type="http://schemas.openxmlformats.org/officeDocument/2006/relationships/numbering" Target="numbering.xml"/><Relationship Id="rId16" Type="http://schemas.openxmlformats.org/officeDocument/2006/relationships/hyperlink" Target="http://www.oecd.org/tax/tax-global/report-to-g20-dwg-on-the-impact-of-beps-in-low-income-countrie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cd.org/tax/beps-explanatory-statement-201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ecd.org/tax/tax-global/report-to-g20-dwg-on-the-impact-of-beps-in-low-income-countries.pdf"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ontact@cfcopie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0F77-18ED-4899-A57D-5E81A45BF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35468</Words>
  <Characters>20217</Characters>
  <Application>Microsoft Office Word</Application>
  <DocSecurity>0</DocSecurity>
  <Lines>168</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2016-06-22T12:45:00Z</dcterms:created>
  <dcterms:modified xsi:type="dcterms:W3CDTF">2016-07-29T08:45:00Z</dcterms:modified>
</cp:coreProperties>
</file>