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FEF5" w14:textId="77777777" w:rsidR="0072138D" w:rsidRPr="0072138D" w:rsidRDefault="0072138D" w:rsidP="0072138D">
      <w:pPr>
        <w:spacing w:after="0" w:line="240" w:lineRule="auto"/>
        <w:rPr>
          <w:rFonts w:ascii="Times New Roman" w:eastAsia="Times New Roman" w:hAnsi="Times New Roman" w:cs="Times New Roman"/>
          <w:snapToGrid w:val="0"/>
          <w:sz w:val="24"/>
          <w:szCs w:val="20"/>
        </w:rPr>
      </w:pPr>
    </w:p>
    <w:p w14:paraId="5F63BAD1" w14:textId="77777777" w:rsidR="0072138D" w:rsidRPr="0072138D" w:rsidRDefault="0072138D" w:rsidP="0072138D">
      <w:pPr>
        <w:widowControl w:val="0"/>
        <w:spacing w:after="0" w:line="240" w:lineRule="auto"/>
        <w:jc w:val="both"/>
        <w:rPr>
          <w:rFonts w:ascii="Times New Roman" w:eastAsia="Times New Roman" w:hAnsi="Times New Roman" w:cs="Times New Roman"/>
          <w:snapToGrid w:val="0"/>
          <w:sz w:val="20"/>
          <w:szCs w:val="20"/>
        </w:rPr>
      </w:pPr>
      <w:r w:rsidRPr="0072138D">
        <w:rPr>
          <w:rFonts w:ascii="Times New Roman" w:eastAsia="Times New Roman" w:hAnsi="Times New Roman" w:cs="Times New Roman"/>
          <w:snapToGrid w:val="0"/>
          <w:sz w:val="20"/>
          <w:szCs w:val="20"/>
        </w:rPr>
        <w:t>Text consolidated by Valsts valodas centrs (State Language Centre) with amending laws of:</w:t>
      </w:r>
    </w:p>
    <w:p w14:paraId="0909C993" w14:textId="0B3553EF" w:rsidR="0072138D" w:rsidRPr="0072138D" w:rsidRDefault="00E84624" w:rsidP="007213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April 2006</w:t>
      </w:r>
      <w:r w:rsidR="0072138D" w:rsidRPr="0072138D">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9 May 2006</w:t>
      </w:r>
      <w:r w:rsidR="0072138D" w:rsidRPr="0072138D">
        <w:rPr>
          <w:rFonts w:ascii="Times New Roman" w:eastAsia="Times New Roman" w:hAnsi="Times New Roman" w:cs="Times New Roman"/>
          <w:sz w:val="20"/>
          <w:szCs w:val="24"/>
        </w:rPr>
        <w:t>].</w:t>
      </w:r>
    </w:p>
    <w:p w14:paraId="5786D3E2" w14:textId="77777777" w:rsidR="0072138D" w:rsidRPr="0072138D" w:rsidRDefault="0072138D" w:rsidP="0072138D">
      <w:pPr>
        <w:widowControl w:val="0"/>
        <w:spacing w:after="0" w:line="240" w:lineRule="auto"/>
        <w:ind w:right="26"/>
        <w:jc w:val="both"/>
        <w:rPr>
          <w:rFonts w:ascii="Times New Roman" w:eastAsia="Times New Roman" w:hAnsi="Times New Roman" w:cs="Times New Roman"/>
          <w:snapToGrid w:val="0"/>
          <w:sz w:val="20"/>
          <w:szCs w:val="24"/>
        </w:rPr>
      </w:pPr>
      <w:r w:rsidRPr="0072138D">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72138D">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5F2885B3" w14:textId="77777777" w:rsidR="0072138D" w:rsidRDefault="0072138D" w:rsidP="00DF2978">
      <w:pPr>
        <w:spacing w:after="0" w:line="240" w:lineRule="auto"/>
        <w:jc w:val="right"/>
        <w:rPr>
          <w:rFonts w:ascii="Times New Roman" w:hAnsi="Times New Roman"/>
          <w:sz w:val="24"/>
        </w:rPr>
      </w:pPr>
    </w:p>
    <w:p w14:paraId="3AFB1E79" w14:textId="77777777" w:rsidR="0072138D" w:rsidRDefault="0072138D" w:rsidP="00DF2978">
      <w:pPr>
        <w:spacing w:after="0" w:line="240" w:lineRule="auto"/>
        <w:jc w:val="right"/>
        <w:rPr>
          <w:rFonts w:ascii="Times New Roman" w:hAnsi="Times New Roman"/>
          <w:sz w:val="24"/>
        </w:rPr>
      </w:pPr>
    </w:p>
    <w:p w14:paraId="62D058DF" w14:textId="309E10E6" w:rsidR="00DF2978" w:rsidRDefault="00065AA1" w:rsidP="00DF297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1C2220">
        <w:rPr>
          <w:rFonts w:ascii="Times New Roman" w:hAnsi="Times New Roman"/>
          <w:i/>
          <w:iCs/>
          <w:sz w:val="24"/>
        </w:rPr>
        <w:t> </w:t>
      </w:r>
      <w:r w:rsidR="001C2220" w:rsidRPr="001C2220">
        <w:rPr>
          <w:rFonts w:ascii="Times New Roman" w:hAnsi="Times New Roman"/>
          <w:sz w:val="24"/>
          <w:vertAlign w:val="superscript"/>
        </w:rPr>
        <w:t>1</w:t>
      </w:r>
      <w:r>
        <w:rPr>
          <w:rFonts w:ascii="Times New Roman" w:hAnsi="Times New Roman"/>
          <w:sz w:val="24"/>
        </w:rPr>
        <w:t xml:space="preserve"> has adopted and</w:t>
      </w:r>
    </w:p>
    <w:p w14:paraId="4501F875" w14:textId="06EA5F63" w:rsidR="00065AA1" w:rsidRDefault="00065AA1" w:rsidP="00DF297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859FBF4" w14:textId="5F23B92C"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7883BEA6" w14:textId="77777777" w:rsidR="00DF2978" w:rsidRPr="00065AA1" w:rsidRDefault="00DF2978" w:rsidP="00DF2978">
      <w:pPr>
        <w:spacing w:after="0" w:line="240" w:lineRule="auto"/>
        <w:jc w:val="both"/>
        <w:rPr>
          <w:rFonts w:ascii="Times New Roman" w:eastAsia="Times New Roman" w:hAnsi="Times New Roman" w:cs="Times New Roman"/>
          <w:noProof/>
          <w:sz w:val="24"/>
          <w:szCs w:val="24"/>
          <w:lang w:eastAsia="lv-LV"/>
        </w:rPr>
      </w:pPr>
    </w:p>
    <w:p w14:paraId="77A58401" w14:textId="7135D532" w:rsidR="00065AA1" w:rsidRPr="00DF2978" w:rsidRDefault="00065AA1" w:rsidP="00DF297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Biofuel Law</w:t>
      </w:r>
    </w:p>
    <w:p w14:paraId="3940D8C6" w14:textId="07C8F648"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439CCD2C" w14:textId="77777777" w:rsidR="00DF2978" w:rsidRPr="00065AA1" w:rsidRDefault="00DF2978" w:rsidP="00DF2978">
      <w:pPr>
        <w:spacing w:after="0" w:line="240" w:lineRule="auto"/>
        <w:jc w:val="both"/>
        <w:rPr>
          <w:rFonts w:ascii="Times New Roman" w:eastAsia="Times New Roman" w:hAnsi="Times New Roman" w:cs="Times New Roman"/>
          <w:noProof/>
          <w:sz w:val="24"/>
          <w:szCs w:val="24"/>
          <w:lang w:eastAsia="lv-LV"/>
        </w:rPr>
      </w:pPr>
    </w:p>
    <w:p w14:paraId="23C622F6" w14:textId="7177E07B" w:rsidR="00065AA1" w:rsidRPr="00DF2978" w:rsidRDefault="00065AA1" w:rsidP="00DF2978">
      <w:pPr>
        <w:spacing w:after="0" w:line="240" w:lineRule="auto"/>
        <w:jc w:val="center"/>
        <w:rPr>
          <w:rFonts w:ascii="Times New Roman" w:eastAsia="Times New Roman" w:hAnsi="Times New Roman" w:cs="Times New Roman"/>
          <w:b/>
          <w:bCs/>
          <w:noProof/>
          <w:sz w:val="24"/>
          <w:szCs w:val="24"/>
        </w:rPr>
      </w:pPr>
      <w:bookmarkStart w:id="0" w:name="n1"/>
      <w:bookmarkStart w:id="1" w:name="n-31467"/>
      <w:bookmarkEnd w:id="0"/>
      <w:bookmarkEnd w:id="1"/>
      <w:r>
        <w:rPr>
          <w:rFonts w:ascii="Times New Roman" w:hAnsi="Times New Roman"/>
          <w:b/>
          <w:sz w:val="24"/>
        </w:rPr>
        <w:t>Chapter I. General Provisions</w:t>
      </w:r>
    </w:p>
    <w:p w14:paraId="1EEBC42C" w14:textId="77777777" w:rsidR="00DF2978" w:rsidRPr="00065AA1" w:rsidRDefault="00DF2978" w:rsidP="00DF2978">
      <w:pPr>
        <w:spacing w:after="0" w:line="240" w:lineRule="auto"/>
        <w:jc w:val="both"/>
        <w:rPr>
          <w:rFonts w:ascii="Times New Roman" w:eastAsia="Times New Roman" w:hAnsi="Times New Roman" w:cs="Times New Roman"/>
          <w:noProof/>
          <w:sz w:val="24"/>
          <w:szCs w:val="24"/>
          <w:lang w:eastAsia="lv-LV"/>
        </w:rPr>
      </w:pPr>
    </w:p>
    <w:p w14:paraId="0337EFF1" w14:textId="55D19EA1" w:rsidR="00065AA1" w:rsidRDefault="00065AA1" w:rsidP="00DF2978">
      <w:pPr>
        <w:spacing w:after="0" w:line="240" w:lineRule="auto"/>
        <w:jc w:val="both"/>
        <w:rPr>
          <w:rFonts w:ascii="Times New Roman" w:eastAsia="Times New Roman" w:hAnsi="Times New Roman" w:cs="Times New Roman"/>
          <w:b/>
          <w:bCs/>
          <w:noProof/>
          <w:sz w:val="24"/>
          <w:szCs w:val="24"/>
        </w:rPr>
      </w:pPr>
      <w:bookmarkStart w:id="2" w:name="p1"/>
      <w:bookmarkStart w:id="3" w:name="p-50697"/>
      <w:bookmarkEnd w:id="2"/>
      <w:bookmarkEnd w:id="3"/>
      <w:r>
        <w:rPr>
          <w:rFonts w:ascii="Times New Roman" w:hAnsi="Times New Roman"/>
          <w:b/>
          <w:sz w:val="24"/>
        </w:rPr>
        <w:t>Section 1. Terms Used in the Law</w:t>
      </w:r>
    </w:p>
    <w:p w14:paraId="65BF6DBD" w14:textId="77777777" w:rsidR="00DF2978" w:rsidRPr="00065AA1" w:rsidRDefault="00DF2978" w:rsidP="00DF2978">
      <w:pPr>
        <w:spacing w:after="0" w:line="240" w:lineRule="auto"/>
        <w:jc w:val="both"/>
        <w:rPr>
          <w:rFonts w:ascii="Times New Roman" w:eastAsia="Times New Roman" w:hAnsi="Times New Roman" w:cs="Times New Roman"/>
          <w:b/>
          <w:bCs/>
          <w:noProof/>
          <w:sz w:val="24"/>
          <w:szCs w:val="24"/>
          <w:lang w:eastAsia="lv-LV"/>
        </w:rPr>
      </w:pPr>
    </w:p>
    <w:p w14:paraId="13FCA959"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5EF98909"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t>
      </w:r>
      <w:r>
        <w:rPr>
          <w:rFonts w:ascii="Times New Roman" w:hAnsi="Times New Roman"/>
          <w:b/>
          <w:sz w:val="24"/>
        </w:rPr>
        <w:t>biofuel –</w:t>
      </w:r>
      <w:r>
        <w:rPr>
          <w:rFonts w:ascii="Times New Roman" w:hAnsi="Times New Roman"/>
          <w:sz w:val="24"/>
        </w:rPr>
        <w:t xml:space="preserve"> liquid or gaseous fuel used in internal combustion engines which is produced from biomass;</w:t>
      </w:r>
    </w:p>
    <w:p w14:paraId="260AF69D"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t>
      </w:r>
      <w:r>
        <w:rPr>
          <w:rFonts w:ascii="Times New Roman" w:hAnsi="Times New Roman"/>
          <w:b/>
          <w:sz w:val="24"/>
        </w:rPr>
        <w:t>trade in biofuel </w:t>
      </w:r>
      <w:r>
        <w:rPr>
          <w:rFonts w:ascii="Times New Roman" w:hAnsi="Times New Roman"/>
          <w:sz w:val="24"/>
        </w:rPr>
        <w:t>– any activities with biofuel (the production and processing of raw materials, and also the production, marking, storage, transportation, import, export, distribution, marketing, disposal etc. of biofuel), and also the provision of information to consumers;</w:t>
      </w:r>
    </w:p>
    <w:p w14:paraId="0DA39E6F"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t>
      </w:r>
      <w:r>
        <w:rPr>
          <w:rFonts w:ascii="Times New Roman" w:hAnsi="Times New Roman"/>
          <w:b/>
          <w:sz w:val="24"/>
        </w:rPr>
        <w:t>biomass –</w:t>
      </w:r>
      <w:r>
        <w:rPr>
          <w:rFonts w:ascii="Times New Roman" w:hAnsi="Times New Roman"/>
          <w:sz w:val="24"/>
        </w:rPr>
        <w:t xml:space="preserve"> the biodegradable fraction of products, waste and residues (including vegetal and animal substances) from agriculture, forestry and related industries, and also the biodegradable fraction of industrial and municipal waste;</w:t>
      </w:r>
    </w:p>
    <w:p w14:paraId="5901C10B"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t>
      </w:r>
      <w:r>
        <w:rPr>
          <w:rFonts w:ascii="Times New Roman" w:hAnsi="Times New Roman"/>
          <w:b/>
          <w:sz w:val="24"/>
        </w:rPr>
        <w:t>biodiesel </w:t>
      </w:r>
      <w:r>
        <w:rPr>
          <w:rFonts w:ascii="Times New Roman" w:hAnsi="Times New Roman"/>
          <w:sz w:val="24"/>
        </w:rPr>
        <w:t>– a methyl ester or ethyl ester that is produced from pure vegetable oil or animal fats which have diesel fuel qualities and which may be used as fuel in internal combustion engines;</w:t>
      </w:r>
    </w:p>
    <w:p w14:paraId="3357B018"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t>
      </w:r>
      <w:r>
        <w:rPr>
          <w:rFonts w:ascii="Times New Roman" w:hAnsi="Times New Roman"/>
          <w:b/>
          <w:sz w:val="24"/>
        </w:rPr>
        <w:t>bioethanol </w:t>
      </w:r>
      <w:r>
        <w:rPr>
          <w:rFonts w:ascii="Times New Roman" w:hAnsi="Times New Roman"/>
          <w:sz w:val="24"/>
        </w:rPr>
        <w:t>– an ethanol that is produced from biomass or the biodegradable fraction of waste in order to be used in the production of fuel or as biofuel;</w:t>
      </w:r>
    </w:p>
    <w:p w14:paraId="460B4E2D"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t>
      </w:r>
      <w:r>
        <w:rPr>
          <w:rFonts w:ascii="Times New Roman" w:hAnsi="Times New Roman"/>
          <w:b/>
          <w:sz w:val="24"/>
        </w:rPr>
        <w:t>biogas </w:t>
      </w:r>
      <w:r>
        <w:rPr>
          <w:rFonts w:ascii="Times New Roman" w:hAnsi="Times New Roman"/>
          <w:sz w:val="24"/>
        </w:rPr>
        <w:t>– a gas that is produced from biomass or from the biodegradable fraction of waste and that can be purified to such quality as to be used as fuel or wood gas generator gas;</w:t>
      </w:r>
    </w:p>
    <w:p w14:paraId="3AC2FCCC"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t>
      </w:r>
      <w:r>
        <w:rPr>
          <w:rFonts w:ascii="Times New Roman" w:hAnsi="Times New Roman"/>
          <w:b/>
          <w:sz w:val="24"/>
        </w:rPr>
        <w:t>pure vegetable oil</w:t>
      </w:r>
      <w:r>
        <w:rPr>
          <w:rFonts w:ascii="Times New Roman" w:hAnsi="Times New Roman"/>
          <w:sz w:val="24"/>
        </w:rPr>
        <w:t> – a not refined or refined but not chemically modified vegetable oil obtained from oil plants by pressing, extracting or by using an equivalent technique which is suitable for use as fuel in specific types of internal combustion engines, and also complies with the emission requirements.</w:t>
      </w:r>
    </w:p>
    <w:p w14:paraId="6568FFE4" w14:textId="77777777"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April 2006</w:t>
      </w:r>
      <w:r>
        <w:rPr>
          <w:rFonts w:ascii="Times New Roman" w:hAnsi="Times New Roman"/>
          <w:sz w:val="24"/>
        </w:rPr>
        <w:t>]</w:t>
      </w:r>
    </w:p>
    <w:p w14:paraId="211D3D42" w14:textId="77777777" w:rsidR="00DF2978" w:rsidRDefault="00DF2978" w:rsidP="00DF2978">
      <w:pPr>
        <w:spacing w:after="0" w:line="240" w:lineRule="auto"/>
        <w:jc w:val="both"/>
        <w:rPr>
          <w:rFonts w:ascii="Times New Roman" w:eastAsia="Times New Roman" w:hAnsi="Times New Roman" w:cs="Times New Roman"/>
          <w:b/>
          <w:bCs/>
          <w:noProof/>
          <w:sz w:val="24"/>
          <w:szCs w:val="24"/>
        </w:rPr>
      </w:pPr>
      <w:bookmarkStart w:id="4" w:name="p2"/>
      <w:bookmarkStart w:id="5" w:name="p-31469"/>
      <w:bookmarkEnd w:id="4"/>
      <w:bookmarkEnd w:id="5"/>
    </w:p>
    <w:p w14:paraId="082DA93F" w14:textId="7BE1D109" w:rsidR="00065AA1" w:rsidRPr="00065AA1" w:rsidRDefault="00065AA1" w:rsidP="00DF297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684A5653" w14:textId="77777777"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5AC27A13" w14:textId="79C3D188"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promote the trade in biofuel, thereby supporting the use of environmentally friendly and safe in supply renewable energy resources.</w:t>
      </w:r>
    </w:p>
    <w:p w14:paraId="5BC38462" w14:textId="77777777" w:rsidR="00DF2978" w:rsidRDefault="00DF2978" w:rsidP="00DF2978">
      <w:pPr>
        <w:spacing w:after="0" w:line="240" w:lineRule="auto"/>
        <w:jc w:val="both"/>
        <w:rPr>
          <w:rFonts w:ascii="Times New Roman" w:eastAsia="Times New Roman" w:hAnsi="Times New Roman" w:cs="Times New Roman"/>
          <w:b/>
          <w:bCs/>
          <w:noProof/>
          <w:sz w:val="24"/>
          <w:szCs w:val="24"/>
        </w:rPr>
      </w:pPr>
      <w:bookmarkStart w:id="6" w:name="p3"/>
      <w:bookmarkStart w:id="7" w:name="p-31470"/>
      <w:bookmarkEnd w:id="6"/>
      <w:bookmarkEnd w:id="7"/>
    </w:p>
    <w:p w14:paraId="71D220D6" w14:textId="0C595FF9" w:rsidR="00065AA1" w:rsidRPr="00065AA1" w:rsidRDefault="00065AA1" w:rsidP="00DF297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6EEEE13E" w14:textId="77777777"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2542AE33" w14:textId="76BA94E4"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prescribes:</w:t>
      </w:r>
    </w:p>
    <w:p w14:paraId="0A21A921"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guiding principles of the State policy regarding the trade in biofuel, also biodiesel, bioethanol, and biogas;</w:t>
      </w:r>
    </w:p>
    <w:p w14:paraId="48621F38"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competence of authorities involved in the trade in biofuel;</w:t>
      </w:r>
    </w:p>
    <w:p w14:paraId="77548513"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State aid for the production of biofuel;</w:t>
      </w:r>
    </w:p>
    <w:p w14:paraId="00823306"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rights, duties and the liability of persons involved in the trade in biofuel;</w:t>
      </w:r>
    </w:p>
    <w:p w14:paraId="1DEC303E"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for the provision of information to biofuel consumers.</w:t>
      </w:r>
    </w:p>
    <w:p w14:paraId="1245E639" w14:textId="77777777" w:rsidR="00DF2978" w:rsidRDefault="00DF2978" w:rsidP="00DF2978">
      <w:pPr>
        <w:spacing w:after="0" w:line="240" w:lineRule="auto"/>
        <w:jc w:val="both"/>
        <w:rPr>
          <w:rFonts w:ascii="Times New Roman" w:eastAsia="Times New Roman" w:hAnsi="Times New Roman" w:cs="Times New Roman"/>
          <w:noProof/>
          <w:sz w:val="24"/>
          <w:szCs w:val="24"/>
        </w:rPr>
      </w:pPr>
      <w:bookmarkStart w:id="8" w:name="n2"/>
      <w:bookmarkStart w:id="9" w:name="n-31471"/>
      <w:bookmarkEnd w:id="8"/>
      <w:bookmarkEnd w:id="9"/>
    </w:p>
    <w:p w14:paraId="090383CF" w14:textId="5D43EF73" w:rsidR="00065AA1" w:rsidRPr="00065AA1" w:rsidRDefault="00065AA1" w:rsidP="00DF297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 Competence of State Authorities and Local Governments</w:t>
      </w:r>
    </w:p>
    <w:p w14:paraId="26899A6E" w14:textId="77777777" w:rsidR="00DF2978" w:rsidRDefault="00DF2978" w:rsidP="00DF2978">
      <w:pPr>
        <w:spacing w:after="0" w:line="240" w:lineRule="auto"/>
        <w:jc w:val="both"/>
        <w:rPr>
          <w:rFonts w:ascii="Times New Roman" w:eastAsia="Times New Roman" w:hAnsi="Times New Roman" w:cs="Times New Roman"/>
          <w:b/>
          <w:bCs/>
          <w:noProof/>
          <w:sz w:val="24"/>
          <w:szCs w:val="24"/>
        </w:rPr>
      </w:pPr>
      <w:bookmarkStart w:id="10" w:name="p4"/>
      <w:bookmarkStart w:id="11" w:name="p-50698"/>
      <w:bookmarkEnd w:id="10"/>
      <w:bookmarkEnd w:id="11"/>
    </w:p>
    <w:p w14:paraId="66E44D8A" w14:textId="1E9DCB36" w:rsidR="00065AA1" w:rsidRPr="00065AA1" w:rsidRDefault="00065AA1" w:rsidP="00DF297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Competence of the Cabinet</w:t>
      </w:r>
    </w:p>
    <w:p w14:paraId="0AA3DDE3" w14:textId="77777777"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5F7F8534" w14:textId="07F63034"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The Cabinet shall:</w:t>
      </w:r>
    </w:p>
    <w:p w14:paraId="3A260AC9"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implement the State policy regarding the trade in biofuel in accordance with the provisions of this Law;</w:t>
      </w:r>
    </w:p>
    <w:p w14:paraId="60789443"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upon submitting a draft annual State budget law to the </w:t>
      </w:r>
      <w:r>
        <w:rPr>
          <w:rFonts w:ascii="Times New Roman" w:hAnsi="Times New Roman"/>
          <w:i/>
          <w:iCs/>
          <w:sz w:val="24"/>
        </w:rPr>
        <w:t>Saeima</w:t>
      </w:r>
      <w:r>
        <w:rPr>
          <w:rFonts w:ascii="Times New Roman" w:hAnsi="Times New Roman"/>
          <w:sz w:val="24"/>
        </w:rPr>
        <w:t>, provide the financing necessary for attaining the purpose of this Law;</w:t>
      </w:r>
    </w:p>
    <w:p w14:paraId="0CDCC6FA"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specify the measures which would ensure that biofuel comprises not less than 2 per cent of the total amount of fuel existing in the national economy intended for transport by 31 December 2005, but by 31 December 2010 – not less than 5.75 per cent;</w:t>
      </w:r>
    </w:p>
    <w:p w14:paraId="0CCA293C"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determine quality requirements for other renewable energy sources produced from biomass, and also the procedures for use and control of such energy resources;</w:t>
      </w:r>
    </w:p>
    <w:p w14:paraId="429C900E"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each year prepare information regarding the amount of biofuel produced, imported, and marketed in Latvia and exported from Latvia in the previous calendar year;</w:t>
      </w:r>
    </w:p>
    <w:p w14:paraId="0B4F37D7"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evaluate the economic efficiency of biofuel in comparison to the average indicators of the European Union;</w:t>
      </w:r>
    </w:p>
    <w:p w14:paraId="791DE2E8"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compile information regarding the development of biofuel market and the provision thereof with raw materials in the previous reference period;</w:t>
      </w:r>
    </w:p>
    <w:p w14:paraId="0A96DA24"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prepare and submit a report to the European Commission regarding the measures of biofuel introduction and trade in biofuel.</w:t>
      </w:r>
    </w:p>
    <w:p w14:paraId="583B544B" w14:textId="77777777"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delegate the fulfilment of the tasks specified in Paragraph one, Clauses 5–8 of this Section to the relevant member of the Cabinet.</w:t>
      </w:r>
    </w:p>
    <w:p w14:paraId="771DAA71" w14:textId="77777777"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April 2006</w:t>
      </w:r>
      <w:r>
        <w:rPr>
          <w:rFonts w:ascii="Times New Roman" w:hAnsi="Times New Roman"/>
          <w:sz w:val="24"/>
        </w:rPr>
        <w:t>]</w:t>
      </w:r>
    </w:p>
    <w:p w14:paraId="3E1742AE" w14:textId="77777777" w:rsidR="00DF2978" w:rsidRDefault="00DF2978" w:rsidP="00DF2978">
      <w:pPr>
        <w:spacing w:after="0" w:line="240" w:lineRule="auto"/>
        <w:jc w:val="both"/>
        <w:rPr>
          <w:rFonts w:ascii="Times New Roman" w:eastAsia="Times New Roman" w:hAnsi="Times New Roman" w:cs="Times New Roman"/>
          <w:b/>
          <w:bCs/>
          <w:noProof/>
          <w:sz w:val="24"/>
          <w:szCs w:val="24"/>
        </w:rPr>
      </w:pPr>
      <w:bookmarkStart w:id="12" w:name="p5"/>
      <w:bookmarkStart w:id="13" w:name="p-31473"/>
      <w:bookmarkEnd w:id="12"/>
      <w:bookmarkEnd w:id="13"/>
    </w:p>
    <w:p w14:paraId="4820B227" w14:textId="1D721EE0" w:rsidR="00065AA1" w:rsidRPr="00065AA1" w:rsidRDefault="00065AA1" w:rsidP="00DF297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Competence of Local Governments</w:t>
      </w:r>
    </w:p>
    <w:p w14:paraId="66C5AD44" w14:textId="77777777"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295F5ACF" w14:textId="1D65D5BE"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Local governments shall provide incentives to fuel users within the territory thereof to use biofuel and, within the competence thereof, create favourable conditions for the production of biofuel and investment in the development of biofuel.</w:t>
      </w:r>
    </w:p>
    <w:p w14:paraId="4A2B8C78" w14:textId="77777777"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Local governments shall promote the use of biofuel in public transport.</w:t>
      </w:r>
    </w:p>
    <w:p w14:paraId="17878805" w14:textId="77777777" w:rsidR="00DF2978" w:rsidRDefault="00DF2978" w:rsidP="00DF2978">
      <w:pPr>
        <w:spacing w:after="0" w:line="240" w:lineRule="auto"/>
        <w:jc w:val="both"/>
        <w:rPr>
          <w:rFonts w:ascii="Times New Roman" w:eastAsia="Times New Roman" w:hAnsi="Times New Roman" w:cs="Times New Roman"/>
          <w:noProof/>
          <w:sz w:val="24"/>
          <w:szCs w:val="24"/>
        </w:rPr>
      </w:pPr>
      <w:bookmarkStart w:id="14" w:name="n3"/>
      <w:bookmarkStart w:id="15" w:name="n-31474"/>
      <w:bookmarkEnd w:id="14"/>
      <w:bookmarkEnd w:id="15"/>
    </w:p>
    <w:p w14:paraId="03B8A633" w14:textId="48950256" w:rsidR="00065AA1" w:rsidRPr="00065AA1" w:rsidRDefault="00065AA1" w:rsidP="00DF297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 Requirements to be Set for Commercial Activities with Biofuel</w:t>
      </w:r>
    </w:p>
    <w:p w14:paraId="6DF008A6" w14:textId="77777777" w:rsidR="00DF2978" w:rsidRDefault="00DF2978" w:rsidP="00DF2978">
      <w:pPr>
        <w:spacing w:after="0" w:line="240" w:lineRule="auto"/>
        <w:jc w:val="both"/>
        <w:rPr>
          <w:rFonts w:ascii="Times New Roman" w:eastAsia="Times New Roman" w:hAnsi="Times New Roman" w:cs="Times New Roman"/>
          <w:b/>
          <w:bCs/>
          <w:noProof/>
          <w:sz w:val="24"/>
          <w:szCs w:val="24"/>
        </w:rPr>
      </w:pPr>
      <w:bookmarkStart w:id="16" w:name="p6"/>
      <w:bookmarkStart w:id="17" w:name="p-31475"/>
      <w:bookmarkEnd w:id="16"/>
      <w:bookmarkEnd w:id="17"/>
    </w:p>
    <w:p w14:paraId="5DCC9465" w14:textId="4579D513" w:rsidR="00065AA1" w:rsidRPr="00065AA1" w:rsidRDefault="00065AA1" w:rsidP="00DF297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Biofuel Production and Quality</w:t>
      </w:r>
    </w:p>
    <w:p w14:paraId="15F41B63" w14:textId="77777777"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0C65C46E" w14:textId="2C88C4D6"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performing commercial activities with biofuel shall comply with the laws and regulations governing trade in oil products (fuel) and procedures for the application of excise duty.</w:t>
      </w:r>
    </w:p>
    <w:p w14:paraId="372D6C5B" w14:textId="77777777"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following:</w:t>
      </w:r>
    </w:p>
    <w:p w14:paraId="64A2A1F8"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quality requirements to be set for biofuel;</w:t>
      </w:r>
    </w:p>
    <w:p w14:paraId="4E2C88CD"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conformity assessment of biofuel and transfer for processing shall be performed;</w:t>
      </w:r>
    </w:p>
    <w:p w14:paraId="1D88F4EB"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by which the production of biofuel and blending with fossil fuel shall be controlled;</w:t>
      </w:r>
    </w:p>
    <w:p w14:paraId="2A28AA0C" w14:textId="77777777" w:rsidR="00065AA1" w:rsidRPr="00065AA1" w:rsidRDefault="00065AA1" w:rsidP="00DF2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by which biofuel not conforming to the quality requirements shall be destroyed.</w:t>
      </w:r>
    </w:p>
    <w:p w14:paraId="71EB5A25" w14:textId="77777777" w:rsidR="00DF2978" w:rsidRDefault="00DF2978" w:rsidP="00DF2978">
      <w:pPr>
        <w:spacing w:after="0" w:line="240" w:lineRule="auto"/>
        <w:jc w:val="both"/>
        <w:rPr>
          <w:rFonts w:ascii="Times New Roman" w:eastAsia="Times New Roman" w:hAnsi="Times New Roman" w:cs="Times New Roman"/>
          <w:b/>
          <w:bCs/>
          <w:noProof/>
          <w:sz w:val="24"/>
          <w:szCs w:val="24"/>
        </w:rPr>
      </w:pPr>
      <w:bookmarkStart w:id="18" w:name="p7"/>
      <w:bookmarkStart w:id="19" w:name="p-31476"/>
      <w:bookmarkEnd w:id="18"/>
      <w:bookmarkEnd w:id="19"/>
    </w:p>
    <w:p w14:paraId="75105D8E" w14:textId="210257B4" w:rsidR="00065AA1" w:rsidRPr="00065AA1" w:rsidRDefault="00065AA1" w:rsidP="00DF297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Consumer Information</w:t>
      </w:r>
    </w:p>
    <w:p w14:paraId="0B5DCDA7" w14:textId="77777777"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0FE21091" w14:textId="6CEE41C3"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Biofuel and biofuel blends with fossil fuel, if the amount of biofuel therein is more than 5 per cent, shall be labelled with special indications at sales points.</w:t>
      </w:r>
    </w:p>
    <w:p w14:paraId="6EA24771" w14:textId="77777777"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specify the procedures by which consumers shall be informed regarding the content of biofuel present at sales points and the conformity thereof with the quality requirements.</w:t>
      </w:r>
    </w:p>
    <w:p w14:paraId="33F146A1" w14:textId="77777777" w:rsidR="00DF2978" w:rsidRDefault="00DF2978" w:rsidP="00DF2978">
      <w:pPr>
        <w:spacing w:after="0" w:line="240" w:lineRule="auto"/>
        <w:jc w:val="both"/>
        <w:rPr>
          <w:rFonts w:ascii="Times New Roman" w:eastAsia="Times New Roman" w:hAnsi="Times New Roman" w:cs="Times New Roman"/>
          <w:noProof/>
          <w:sz w:val="24"/>
          <w:szCs w:val="24"/>
        </w:rPr>
      </w:pPr>
      <w:bookmarkStart w:id="20" w:name="n4"/>
      <w:bookmarkStart w:id="21" w:name="n-31477"/>
      <w:bookmarkEnd w:id="20"/>
      <w:bookmarkEnd w:id="21"/>
    </w:p>
    <w:p w14:paraId="629B9FCD" w14:textId="28A7443B" w:rsidR="00065AA1" w:rsidRPr="00065AA1" w:rsidRDefault="00065AA1" w:rsidP="00DF297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 Promotion of Trade in Biofuel</w:t>
      </w:r>
    </w:p>
    <w:p w14:paraId="14DC918E" w14:textId="77777777" w:rsidR="00DF2978" w:rsidRDefault="00DF2978" w:rsidP="00DF2978">
      <w:pPr>
        <w:spacing w:after="0" w:line="240" w:lineRule="auto"/>
        <w:jc w:val="both"/>
        <w:rPr>
          <w:rFonts w:ascii="Times New Roman" w:eastAsia="Times New Roman" w:hAnsi="Times New Roman" w:cs="Times New Roman"/>
          <w:b/>
          <w:bCs/>
          <w:noProof/>
          <w:sz w:val="24"/>
          <w:szCs w:val="24"/>
        </w:rPr>
      </w:pPr>
      <w:bookmarkStart w:id="22" w:name="p8"/>
      <w:bookmarkStart w:id="23" w:name="p-31478"/>
      <w:bookmarkEnd w:id="22"/>
      <w:bookmarkEnd w:id="23"/>
    </w:p>
    <w:p w14:paraId="074E6F17" w14:textId="4A2F54FF" w:rsidR="00065AA1" w:rsidRPr="00065AA1" w:rsidRDefault="00065AA1" w:rsidP="00DF297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State Aid</w:t>
      </w:r>
    </w:p>
    <w:p w14:paraId="6CEF10ED" w14:textId="77777777"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6708833F" w14:textId="6CC8C309"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aid shall be granted for the production of minimum necessary annual amount of biofuel and the financial aid quotas for biofuel types shall be determined in accordance with the procedures stipulated by the Cabinet.</w:t>
      </w:r>
    </w:p>
    <w:p w14:paraId="4C9FE313" w14:textId="77777777"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specify the deadline by which a report regarding the State aid granted in the previous reference year shall be submitted, and also the time period and the procedures by which a calculation of the aid necessary and a justification thereof shall be submitted each year.</w:t>
      </w:r>
    </w:p>
    <w:p w14:paraId="21EB8CBA" w14:textId="77777777"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2CD72BEA" w14:textId="2A693A3A" w:rsidR="00065AA1" w:rsidRPr="00065AA1" w:rsidRDefault="00065AA1" w:rsidP="00DF297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Procedures for the Payment of Excise Duty and the Receipt of a Guarantee</w:t>
      </w:r>
    </w:p>
    <w:p w14:paraId="7E186C6E" w14:textId="77777777"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55BC8BF2" w14:textId="64828440"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procedures by which the excise duty shall be imposed on biofuel are prescribed by the law On Excise Duties.</w:t>
      </w:r>
    </w:p>
    <w:p w14:paraId="3D5197E2" w14:textId="77777777"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Merchants who have a valid special permit (licence) for the activities of a tax warehouse-keeper and who produce biofuel or blend such biofuel with fossil fuel may receive a State guarantee within the framework of the annual State budget and in accordance with the procedures specified by the law On Budget and Financial Management.</w:t>
      </w:r>
    </w:p>
    <w:p w14:paraId="7E3C9230" w14:textId="77777777"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intended State guarantee may be qualified as aid to commercial activity, a receipt of the decision of the European Commission regarding the compliance of such guarantee with the Treaty establishing the European Community shall be necessary prior to granting the State guarantee. The State guarantee shall be provided in compliance with the conditions of the European Commission decision.</w:t>
      </w:r>
    </w:p>
    <w:p w14:paraId="6FBB7037" w14:textId="77777777" w:rsidR="00DF2978" w:rsidRDefault="00DF2978" w:rsidP="00DF2978">
      <w:pPr>
        <w:spacing w:after="0" w:line="240" w:lineRule="auto"/>
        <w:jc w:val="both"/>
        <w:rPr>
          <w:rFonts w:ascii="Times New Roman" w:eastAsia="Times New Roman" w:hAnsi="Times New Roman" w:cs="Times New Roman"/>
          <w:noProof/>
          <w:sz w:val="24"/>
          <w:szCs w:val="24"/>
        </w:rPr>
      </w:pPr>
      <w:bookmarkStart w:id="24" w:name="31479"/>
      <w:bookmarkEnd w:id="24"/>
    </w:p>
    <w:p w14:paraId="74C13A83" w14:textId="0A04A85B" w:rsidR="00065AA1" w:rsidRPr="00065AA1" w:rsidRDefault="00065AA1" w:rsidP="00DF297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5" w:name="pn-31479"/>
      <w:bookmarkEnd w:id="25"/>
    </w:p>
    <w:p w14:paraId="42DD89C9" w14:textId="77777777" w:rsidR="00DF2978" w:rsidRDefault="00DF2978" w:rsidP="00DF2978">
      <w:pPr>
        <w:spacing w:after="0" w:line="240" w:lineRule="auto"/>
        <w:jc w:val="both"/>
        <w:rPr>
          <w:rFonts w:ascii="Times New Roman" w:eastAsia="Times New Roman" w:hAnsi="Times New Roman" w:cs="Times New Roman"/>
          <w:noProof/>
          <w:sz w:val="24"/>
          <w:szCs w:val="24"/>
        </w:rPr>
      </w:pPr>
      <w:bookmarkStart w:id="26" w:name="p-31480"/>
      <w:bookmarkEnd w:id="26"/>
    </w:p>
    <w:p w14:paraId="33EEB631" w14:textId="04CCE0ED"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by 1 May 2005, issue the regulations referred to in Section 6, Paragraph two and Section 7, Paragraph two of this Law.</w:t>
      </w:r>
      <w:bookmarkStart w:id="27" w:name="pn1"/>
      <w:bookmarkEnd w:id="27"/>
    </w:p>
    <w:p w14:paraId="21C8FA69" w14:textId="77777777" w:rsidR="00DF2978" w:rsidRDefault="00DF2978" w:rsidP="00DF2978">
      <w:pPr>
        <w:spacing w:after="0" w:line="240" w:lineRule="auto"/>
        <w:jc w:val="both"/>
        <w:rPr>
          <w:rFonts w:ascii="Times New Roman" w:eastAsia="Times New Roman" w:hAnsi="Times New Roman" w:cs="Times New Roman"/>
          <w:noProof/>
          <w:sz w:val="24"/>
          <w:szCs w:val="24"/>
        </w:rPr>
      </w:pPr>
      <w:bookmarkStart w:id="28" w:name="p-31481"/>
      <w:bookmarkEnd w:id="28"/>
    </w:p>
    <w:p w14:paraId="67D0405A" w14:textId="47FBCBDF"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1 May 2005, specify the measures which shall be taken in order to ensure the proportion of biofuel specified in Section 4, Paragraph one, Clause 3 of this Law in the total amount of fuel that is intended for transport and exists in the national economy.</w:t>
      </w:r>
      <w:bookmarkStart w:id="29" w:name="pn2"/>
      <w:bookmarkEnd w:id="29"/>
    </w:p>
    <w:p w14:paraId="1F7E66D1" w14:textId="77777777" w:rsidR="00DF2978" w:rsidRDefault="00DF2978" w:rsidP="00DF2978">
      <w:pPr>
        <w:spacing w:after="0" w:line="240" w:lineRule="auto"/>
        <w:jc w:val="both"/>
        <w:rPr>
          <w:rFonts w:ascii="Times New Roman" w:eastAsia="Times New Roman" w:hAnsi="Times New Roman" w:cs="Times New Roman"/>
          <w:noProof/>
          <w:sz w:val="24"/>
          <w:szCs w:val="24"/>
        </w:rPr>
      </w:pPr>
      <w:bookmarkStart w:id="30" w:name="p-50699"/>
      <w:bookmarkEnd w:id="30"/>
    </w:p>
    <w:p w14:paraId="3B41B2A2" w14:textId="363B642A"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not later than by 1 August 2006, issue the regulations referred to in Section 4, Paragraph one, Clause 4 of this Law which determine the quality requirements for renewable energy sources produced from biomass, and also the procedures for use and control of such energy resources.</w:t>
      </w:r>
      <w:bookmarkStart w:id="31" w:name="pn3"/>
      <w:bookmarkEnd w:id="31"/>
    </w:p>
    <w:p w14:paraId="626EC6F1" w14:textId="77777777"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April 2006</w:t>
      </w:r>
      <w:r>
        <w:rPr>
          <w:rFonts w:ascii="Times New Roman" w:hAnsi="Times New Roman"/>
          <w:sz w:val="24"/>
        </w:rPr>
        <w:t>]</w:t>
      </w:r>
    </w:p>
    <w:p w14:paraId="2B13292F" w14:textId="77777777" w:rsidR="00DF2978" w:rsidRDefault="00DF2978" w:rsidP="00DF2978">
      <w:pPr>
        <w:spacing w:after="0" w:line="240" w:lineRule="auto"/>
        <w:jc w:val="both"/>
        <w:rPr>
          <w:rFonts w:ascii="Times New Roman" w:eastAsia="Times New Roman" w:hAnsi="Times New Roman" w:cs="Times New Roman"/>
          <w:noProof/>
          <w:sz w:val="24"/>
          <w:szCs w:val="24"/>
        </w:rPr>
      </w:pPr>
      <w:bookmarkStart w:id="32" w:name="31483"/>
      <w:bookmarkEnd w:id="32"/>
    </w:p>
    <w:p w14:paraId="4ED30070" w14:textId="4F3B254F" w:rsidR="00065AA1" w:rsidRPr="00065AA1" w:rsidRDefault="00065AA1" w:rsidP="00557D5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a European Union Directive</w:t>
      </w:r>
      <w:bookmarkStart w:id="33" w:name="es-31483"/>
      <w:bookmarkEnd w:id="33"/>
    </w:p>
    <w:p w14:paraId="6FA0F512" w14:textId="77777777" w:rsidR="00DF2978" w:rsidRDefault="00DF2978" w:rsidP="00557D5E">
      <w:pPr>
        <w:keepNext/>
        <w:spacing w:after="0" w:line="240" w:lineRule="auto"/>
        <w:jc w:val="both"/>
        <w:rPr>
          <w:rFonts w:ascii="Times New Roman" w:eastAsia="Times New Roman" w:hAnsi="Times New Roman" w:cs="Times New Roman"/>
          <w:noProof/>
          <w:sz w:val="24"/>
          <w:szCs w:val="24"/>
        </w:rPr>
      </w:pPr>
      <w:bookmarkStart w:id="34" w:name="p2003"/>
      <w:bookmarkStart w:id="35" w:name="p-31484"/>
      <w:bookmarkEnd w:id="34"/>
      <w:bookmarkEnd w:id="35"/>
    </w:p>
    <w:p w14:paraId="0FC4B051" w14:textId="191FAF9E" w:rsidR="00065AA1" w:rsidRPr="00065AA1" w:rsidRDefault="00065AA1" w:rsidP="00557D5E">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includes legal norms arising from Directive 2003/30/EC of the European Parliament and of the Council of 8 May 2003 on the promotion of the use of biofuels or other renewable fuels for transport.</w:t>
      </w:r>
    </w:p>
    <w:p w14:paraId="07C70627" w14:textId="77777777"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3774D242" w14:textId="77777777"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07ACCEEC" w14:textId="7943C1F5"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17 March 2005.</w:t>
      </w:r>
    </w:p>
    <w:p w14:paraId="4AA16A33" w14:textId="77777777"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582D5193" w14:textId="77777777" w:rsidR="00DF2978" w:rsidRDefault="00DF2978" w:rsidP="00DF2978">
      <w:pPr>
        <w:spacing w:after="0" w:line="240" w:lineRule="auto"/>
        <w:jc w:val="both"/>
        <w:rPr>
          <w:rFonts w:ascii="Times New Roman" w:eastAsia="Times New Roman" w:hAnsi="Times New Roman" w:cs="Times New Roman"/>
          <w:noProof/>
          <w:sz w:val="24"/>
          <w:szCs w:val="24"/>
          <w:lang w:eastAsia="lv-LV"/>
        </w:rPr>
      </w:pPr>
    </w:p>
    <w:p w14:paraId="0B8AEFC1" w14:textId="5717D30E" w:rsid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557D5E">
        <w:rPr>
          <w:rFonts w:ascii="Times New Roman" w:hAnsi="Times New Roman"/>
          <w:sz w:val="24"/>
        </w:rPr>
        <w:tab/>
      </w:r>
      <w:r w:rsidR="00557D5E">
        <w:rPr>
          <w:rFonts w:ascii="Times New Roman" w:hAnsi="Times New Roman"/>
          <w:sz w:val="24"/>
        </w:rPr>
        <w:tab/>
      </w:r>
      <w:r w:rsidR="00557D5E">
        <w:rPr>
          <w:rFonts w:ascii="Times New Roman" w:hAnsi="Times New Roman"/>
          <w:sz w:val="24"/>
        </w:rPr>
        <w:tab/>
      </w:r>
      <w:r w:rsidR="00557D5E">
        <w:rPr>
          <w:rFonts w:ascii="Times New Roman" w:hAnsi="Times New Roman"/>
          <w:sz w:val="24"/>
        </w:rPr>
        <w:tab/>
      </w:r>
      <w:r w:rsidR="00557D5E">
        <w:rPr>
          <w:rFonts w:ascii="Times New Roman" w:hAnsi="Times New Roman"/>
          <w:sz w:val="24"/>
        </w:rPr>
        <w:tab/>
      </w:r>
      <w:r>
        <w:rPr>
          <w:rFonts w:ascii="Times New Roman" w:hAnsi="Times New Roman"/>
          <w:sz w:val="24"/>
        </w:rPr>
        <w:t>I. Ūdre</w:t>
      </w:r>
    </w:p>
    <w:p w14:paraId="0C1965E5" w14:textId="77777777" w:rsidR="00DF2978" w:rsidRPr="00065AA1" w:rsidRDefault="00DF2978" w:rsidP="00DF2978">
      <w:pPr>
        <w:spacing w:after="0" w:line="240" w:lineRule="auto"/>
        <w:jc w:val="both"/>
        <w:rPr>
          <w:rFonts w:ascii="Times New Roman" w:eastAsia="Times New Roman" w:hAnsi="Times New Roman" w:cs="Times New Roman"/>
          <w:noProof/>
          <w:sz w:val="24"/>
          <w:szCs w:val="24"/>
          <w:lang w:eastAsia="lv-LV"/>
        </w:rPr>
      </w:pPr>
    </w:p>
    <w:p w14:paraId="6C1C858B" w14:textId="77777777" w:rsidR="00065AA1" w:rsidRPr="00065AA1" w:rsidRDefault="00065AA1" w:rsidP="00DF29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 April 2005</w:t>
      </w:r>
    </w:p>
    <w:p w14:paraId="1D3C1BCF" w14:textId="77777777" w:rsidR="00065AA1" w:rsidRPr="00DF2978" w:rsidRDefault="00065AA1" w:rsidP="00DF2978">
      <w:pPr>
        <w:spacing w:after="0" w:line="240" w:lineRule="auto"/>
        <w:jc w:val="both"/>
        <w:rPr>
          <w:rFonts w:ascii="Times New Roman" w:hAnsi="Times New Roman"/>
          <w:noProof/>
          <w:sz w:val="24"/>
        </w:rPr>
      </w:pPr>
    </w:p>
    <w:sectPr w:rsidR="00065AA1" w:rsidRPr="00DF2978" w:rsidSect="00DF297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FFF1" w14:textId="77777777" w:rsidR="00065AA1" w:rsidRPr="00065AA1" w:rsidRDefault="00065AA1" w:rsidP="00065AA1">
      <w:pPr>
        <w:spacing w:after="0" w:line="240" w:lineRule="auto"/>
        <w:rPr>
          <w:noProof/>
          <w:lang w:val="en-US"/>
        </w:rPr>
      </w:pPr>
      <w:r w:rsidRPr="00065AA1">
        <w:rPr>
          <w:noProof/>
          <w:lang w:val="en-US"/>
        </w:rPr>
        <w:separator/>
      </w:r>
    </w:p>
  </w:endnote>
  <w:endnote w:type="continuationSeparator" w:id="0">
    <w:p w14:paraId="4E1E9EA1" w14:textId="77777777" w:rsidR="00065AA1" w:rsidRPr="00065AA1" w:rsidRDefault="00065AA1" w:rsidP="00065AA1">
      <w:pPr>
        <w:spacing w:after="0" w:line="240" w:lineRule="auto"/>
        <w:rPr>
          <w:noProof/>
          <w:lang w:val="en-US"/>
        </w:rPr>
      </w:pPr>
      <w:r w:rsidRPr="00065AA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BE0E" w14:textId="77777777" w:rsidR="003B0709" w:rsidRPr="003B0709" w:rsidRDefault="003B0709" w:rsidP="003B0709">
    <w:pPr>
      <w:tabs>
        <w:tab w:val="center" w:pos="4153"/>
        <w:tab w:val="right" w:pos="8306"/>
      </w:tabs>
      <w:spacing w:after="0" w:line="240" w:lineRule="auto"/>
      <w:rPr>
        <w:rFonts w:ascii="Times New Roman" w:eastAsia="Times New Roman" w:hAnsi="Times New Roman" w:cs="Times New Roman"/>
        <w:snapToGrid w:val="0"/>
        <w:sz w:val="20"/>
        <w:szCs w:val="20"/>
      </w:rPr>
    </w:pPr>
  </w:p>
  <w:p w14:paraId="6538D0B0" w14:textId="77777777" w:rsidR="003B0709" w:rsidRPr="003B0709" w:rsidRDefault="003B0709" w:rsidP="003B070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B0709">
      <w:rPr>
        <w:rFonts w:ascii="Times New Roman" w:eastAsia="Times New Roman" w:hAnsi="Times New Roman" w:cs="Times New Roman"/>
        <w:snapToGrid w:val="0"/>
        <w:sz w:val="20"/>
        <w:szCs w:val="20"/>
      </w:rPr>
      <w:fldChar w:fldCharType="begin"/>
    </w:r>
    <w:r w:rsidRPr="003B0709">
      <w:rPr>
        <w:rFonts w:ascii="Times New Roman" w:eastAsia="Times New Roman" w:hAnsi="Times New Roman" w:cs="Times New Roman"/>
        <w:snapToGrid w:val="0"/>
        <w:sz w:val="20"/>
        <w:szCs w:val="20"/>
      </w:rPr>
      <w:instrText xml:space="preserve"> PAGE </w:instrText>
    </w:r>
    <w:r w:rsidRPr="003B0709">
      <w:rPr>
        <w:rFonts w:ascii="Times New Roman" w:eastAsia="Times New Roman" w:hAnsi="Times New Roman" w:cs="Times New Roman"/>
        <w:snapToGrid w:val="0"/>
        <w:sz w:val="20"/>
        <w:szCs w:val="20"/>
      </w:rPr>
      <w:fldChar w:fldCharType="separate"/>
    </w:r>
    <w:r w:rsidRPr="003B0709">
      <w:rPr>
        <w:rFonts w:ascii="Times New Roman" w:eastAsia="Times New Roman" w:hAnsi="Times New Roman" w:cs="Times New Roman"/>
        <w:snapToGrid w:val="0"/>
        <w:sz w:val="20"/>
        <w:szCs w:val="20"/>
      </w:rPr>
      <w:t>2</w:t>
    </w:r>
    <w:r w:rsidRPr="003B0709">
      <w:rPr>
        <w:rFonts w:ascii="Times New Roman" w:eastAsia="Times New Roman" w:hAnsi="Times New Roman" w:cs="Times New Roman"/>
        <w:snapToGrid w:val="0"/>
        <w:sz w:val="20"/>
        <w:szCs w:val="20"/>
      </w:rPr>
      <w:fldChar w:fldCharType="end"/>
    </w:r>
    <w:r w:rsidRPr="003B0709">
      <w:rPr>
        <w:rFonts w:ascii="Times New Roman" w:eastAsia="Times New Roman" w:hAnsi="Times New Roman" w:cs="Times New Roman"/>
        <w:snapToGrid w:val="0"/>
        <w:sz w:val="20"/>
        <w:szCs w:val="20"/>
      </w:rPr>
      <w:t xml:space="preserve"> </w:t>
    </w:r>
  </w:p>
  <w:p w14:paraId="4FAAD338" w14:textId="77777777" w:rsidR="003B0709" w:rsidRPr="003B0709" w:rsidRDefault="003B0709" w:rsidP="003B0709">
    <w:pPr>
      <w:tabs>
        <w:tab w:val="center" w:pos="4153"/>
        <w:tab w:val="right" w:pos="8306"/>
      </w:tabs>
      <w:spacing w:after="0" w:line="240" w:lineRule="auto"/>
      <w:rPr>
        <w:rFonts w:ascii="Times New Roman" w:eastAsia="Times New Roman" w:hAnsi="Times New Roman" w:cs="Times New Roman"/>
        <w:snapToGrid w:val="0"/>
        <w:sz w:val="20"/>
        <w:szCs w:val="20"/>
      </w:rPr>
    </w:pPr>
    <w:r w:rsidRPr="003B0709">
      <w:rPr>
        <w:rFonts w:ascii="Times New Roman" w:eastAsia="Times New Roman" w:hAnsi="Times New Roman" w:cs="Times New Roman"/>
        <w:snapToGrid w:val="0"/>
        <w:sz w:val="20"/>
        <w:szCs w:val="20"/>
      </w:rPr>
      <w:t xml:space="preserve">Translation </w:t>
    </w:r>
    <w:r w:rsidRPr="003B0709">
      <w:rPr>
        <w:rFonts w:ascii="Times New Roman" w:eastAsia="Times New Roman" w:hAnsi="Times New Roman" w:cs="Times New Roman"/>
        <w:snapToGrid w:val="0"/>
        <w:sz w:val="20"/>
        <w:szCs w:val="20"/>
      </w:rPr>
      <w:fldChar w:fldCharType="begin"/>
    </w:r>
    <w:r w:rsidRPr="003B0709">
      <w:rPr>
        <w:rFonts w:ascii="Times New Roman" w:eastAsia="Times New Roman" w:hAnsi="Times New Roman" w:cs="Times New Roman"/>
        <w:snapToGrid w:val="0"/>
        <w:sz w:val="20"/>
        <w:szCs w:val="20"/>
      </w:rPr>
      <w:instrText>symbol 169 \f "UnivrstyRoman TL" \s 8</w:instrText>
    </w:r>
    <w:r w:rsidRPr="003B0709">
      <w:rPr>
        <w:rFonts w:ascii="Times New Roman" w:eastAsia="Times New Roman" w:hAnsi="Times New Roman" w:cs="Times New Roman"/>
        <w:snapToGrid w:val="0"/>
        <w:sz w:val="20"/>
        <w:szCs w:val="20"/>
      </w:rPr>
      <w:fldChar w:fldCharType="separate"/>
    </w:r>
    <w:r w:rsidRPr="003B0709">
      <w:rPr>
        <w:rFonts w:ascii="Times New Roman" w:eastAsia="Times New Roman" w:hAnsi="Times New Roman" w:cs="Times New Roman"/>
        <w:snapToGrid w:val="0"/>
        <w:sz w:val="20"/>
        <w:szCs w:val="20"/>
      </w:rPr>
      <w:t>©</w:t>
    </w:r>
    <w:r w:rsidRPr="003B0709">
      <w:rPr>
        <w:rFonts w:ascii="Times New Roman" w:eastAsia="Times New Roman" w:hAnsi="Times New Roman" w:cs="Times New Roman"/>
        <w:snapToGrid w:val="0"/>
        <w:sz w:val="20"/>
        <w:szCs w:val="20"/>
      </w:rPr>
      <w:fldChar w:fldCharType="end"/>
    </w:r>
    <w:r w:rsidRPr="003B0709">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DC42" w14:textId="77777777" w:rsidR="00213542" w:rsidRPr="00213542" w:rsidRDefault="00213542" w:rsidP="00213542">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6" w:name="_Hlk32478718"/>
    <w:bookmarkStart w:id="37" w:name="_Hlk32478719"/>
    <w:bookmarkStart w:id="38" w:name="_Hlk60650487"/>
    <w:bookmarkStart w:id="39" w:name="_Hlk60650488"/>
    <w:bookmarkStart w:id="40" w:name="_Hlk60650489"/>
    <w:bookmarkStart w:id="41" w:name="_Hlk60650490"/>
  </w:p>
  <w:p w14:paraId="530CB8CD" w14:textId="77777777" w:rsidR="00213542" w:rsidRPr="00213542" w:rsidRDefault="00213542" w:rsidP="00213542">
    <w:pPr>
      <w:tabs>
        <w:tab w:val="center" w:pos="4153"/>
        <w:tab w:val="right" w:pos="8306"/>
      </w:tabs>
      <w:spacing w:after="0" w:line="240" w:lineRule="auto"/>
      <w:rPr>
        <w:rFonts w:ascii="Times New Roman" w:eastAsia="Times New Roman" w:hAnsi="Times New Roman" w:cs="Times New Roman"/>
        <w:snapToGrid w:val="0"/>
        <w:sz w:val="20"/>
        <w:szCs w:val="20"/>
      </w:rPr>
    </w:pPr>
    <w:bookmarkStart w:id="42" w:name="_Hlk32310318"/>
    <w:bookmarkStart w:id="43" w:name="_Hlk32310319"/>
    <w:r w:rsidRPr="00213542">
      <w:rPr>
        <w:rFonts w:ascii="Times New Roman" w:eastAsia="Times New Roman" w:hAnsi="Times New Roman" w:cs="Times New Roman"/>
        <w:snapToGrid w:val="0"/>
        <w:sz w:val="20"/>
        <w:szCs w:val="20"/>
        <w:vertAlign w:val="superscript"/>
      </w:rPr>
      <w:t>1</w:t>
    </w:r>
    <w:r w:rsidRPr="00213542">
      <w:rPr>
        <w:rFonts w:ascii="Times New Roman" w:eastAsia="Times New Roman" w:hAnsi="Times New Roman" w:cs="Times New Roman"/>
        <w:snapToGrid w:val="0"/>
        <w:sz w:val="20"/>
        <w:szCs w:val="20"/>
      </w:rPr>
      <w:t xml:space="preserve"> The Parliament of the Republic of Latvia</w:t>
    </w:r>
  </w:p>
  <w:p w14:paraId="2A1A6EBC" w14:textId="77777777" w:rsidR="00213542" w:rsidRPr="00213542" w:rsidRDefault="00213542" w:rsidP="00213542">
    <w:pPr>
      <w:tabs>
        <w:tab w:val="center" w:pos="4153"/>
        <w:tab w:val="right" w:pos="8306"/>
      </w:tabs>
      <w:spacing w:after="0" w:line="240" w:lineRule="auto"/>
      <w:rPr>
        <w:rFonts w:ascii="Times New Roman" w:eastAsia="Times New Roman" w:hAnsi="Times New Roman" w:cs="Times New Roman"/>
        <w:snapToGrid w:val="0"/>
        <w:sz w:val="20"/>
        <w:szCs w:val="20"/>
      </w:rPr>
    </w:pPr>
  </w:p>
  <w:p w14:paraId="5316E91A" w14:textId="77777777" w:rsidR="00213542" w:rsidRPr="00213542" w:rsidRDefault="00213542" w:rsidP="00213542">
    <w:pPr>
      <w:tabs>
        <w:tab w:val="center" w:pos="4153"/>
        <w:tab w:val="right" w:pos="8306"/>
      </w:tabs>
      <w:spacing w:after="0" w:line="240" w:lineRule="auto"/>
      <w:rPr>
        <w:rFonts w:ascii="Times New Roman" w:eastAsia="Times New Roman" w:hAnsi="Times New Roman" w:cs="Times New Roman"/>
        <w:snapToGrid w:val="0"/>
        <w:sz w:val="20"/>
        <w:szCs w:val="20"/>
      </w:rPr>
    </w:pPr>
    <w:r w:rsidRPr="00213542">
      <w:rPr>
        <w:rFonts w:ascii="Times New Roman" w:eastAsia="Times New Roman" w:hAnsi="Times New Roman" w:cs="Times New Roman"/>
        <w:snapToGrid w:val="0"/>
        <w:sz w:val="20"/>
        <w:szCs w:val="20"/>
      </w:rPr>
      <w:t xml:space="preserve">Translation </w:t>
    </w:r>
    <w:r w:rsidRPr="00213542">
      <w:rPr>
        <w:rFonts w:ascii="Times New Roman" w:eastAsia="Times New Roman" w:hAnsi="Times New Roman" w:cs="Times New Roman"/>
        <w:snapToGrid w:val="0"/>
        <w:sz w:val="20"/>
        <w:szCs w:val="20"/>
      </w:rPr>
      <w:fldChar w:fldCharType="begin"/>
    </w:r>
    <w:r w:rsidRPr="00213542">
      <w:rPr>
        <w:rFonts w:ascii="Times New Roman" w:eastAsia="Times New Roman" w:hAnsi="Times New Roman" w:cs="Times New Roman"/>
        <w:snapToGrid w:val="0"/>
        <w:sz w:val="20"/>
        <w:szCs w:val="20"/>
      </w:rPr>
      <w:instrText>symbol 169 \f "UnivrstyRoman TL" \s 8</w:instrText>
    </w:r>
    <w:r w:rsidRPr="00213542">
      <w:rPr>
        <w:rFonts w:ascii="Times New Roman" w:eastAsia="Times New Roman" w:hAnsi="Times New Roman" w:cs="Times New Roman"/>
        <w:snapToGrid w:val="0"/>
        <w:sz w:val="20"/>
        <w:szCs w:val="20"/>
      </w:rPr>
      <w:fldChar w:fldCharType="separate"/>
    </w:r>
    <w:r w:rsidRPr="00213542">
      <w:rPr>
        <w:rFonts w:ascii="Times New Roman" w:eastAsia="Times New Roman" w:hAnsi="Times New Roman" w:cs="Times New Roman"/>
        <w:snapToGrid w:val="0"/>
        <w:sz w:val="20"/>
        <w:szCs w:val="20"/>
      </w:rPr>
      <w:t>©</w:t>
    </w:r>
    <w:r w:rsidRPr="00213542">
      <w:rPr>
        <w:rFonts w:ascii="Times New Roman" w:eastAsia="Times New Roman" w:hAnsi="Times New Roman" w:cs="Times New Roman"/>
        <w:snapToGrid w:val="0"/>
        <w:sz w:val="20"/>
        <w:szCs w:val="20"/>
      </w:rPr>
      <w:fldChar w:fldCharType="end"/>
    </w:r>
    <w:r w:rsidRPr="00213542">
      <w:rPr>
        <w:rFonts w:ascii="Times New Roman" w:eastAsia="Times New Roman" w:hAnsi="Times New Roman" w:cs="Times New Roman"/>
        <w:snapToGrid w:val="0"/>
        <w:sz w:val="20"/>
        <w:szCs w:val="20"/>
      </w:rPr>
      <w:t xml:space="preserve"> 2021 Valsts valodas centrs (State Language Centre)</w:t>
    </w:r>
    <w:bookmarkEnd w:id="36"/>
    <w:bookmarkEnd w:id="37"/>
    <w:bookmarkEnd w:id="38"/>
    <w:bookmarkEnd w:id="39"/>
    <w:bookmarkEnd w:id="40"/>
    <w:bookmarkEnd w:id="41"/>
  </w:p>
  <w:bookmarkEnd w:id="42"/>
  <w:bookmarkEnd w:id="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C7C3" w14:textId="77777777" w:rsidR="00065AA1" w:rsidRPr="00065AA1" w:rsidRDefault="00065AA1" w:rsidP="00065AA1">
      <w:pPr>
        <w:spacing w:after="0" w:line="240" w:lineRule="auto"/>
        <w:rPr>
          <w:noProof/>
          <w:lang w:val="en-US"/>
        </w:rPr>
      </w:pPr>
      <w:r w:rsidRPr="00065AA1">
        <w:rPr>
          <w:noProof/>
          <w:lang w:val="en-US"/>
        </w:rPr>
        <w:separator/>
      </w:r>
    </w:p>
  </w:footnote>
  <w:footnote w:type="continuationSeparator" w:id="0">
    <w:p w14:paraId="47C724E7" w14:textId="77777777" w:rsidR="00065AA1" w:rsidRPr="00065AA1" w:rsidRDefault="00065AA1" w:rsidP="00065AA1">
      <w:pPr>
        <w:spacing w:after="0" w:line="240" w:lineRule="auto"/>
        <w:rPr>
          <w:noProof/>
          <w:lang w:val="en-US"/>
        </w:rPr>
      </w:pPr>
      <w:r w:rsidRPr="00065AA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29"/>
    <w:rsid w:val="00065AA1"/>
    <w:rsid w:val="001C2220"/>
    <w:rsid w:val="00213542"/>
    <w:rsid w:val="003B0709"/>
    <w:rsid w:val="00497229"/>
    <w:rsid w:val="00557D5E"/>
    <w:rsid w:val="00612425"/>
    <w:rsid w:val="0072138D"/>
    <w:rsid w:val="00921840"/>
    <w:rsid w:val="00B07742"/>
    <w:rsid w:val="00DF2978"/>
    <w:rsid w:val="00DF4F51"/>
    <w:rsid w:val="00E846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9D0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065A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065AA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65AA1"/>
    <w:rPr>
      <w:color w:val="0000FF"/>
      <w:u w:val="single"/>
    </w:rPr>
  </w:style>
  <w:style w:type="paragraph" w:styleId="Galvene">
    <w:name w:val="header"/>
    <w:basedOn w:val="Parasts"/>
    <w:link w:val="GalveneRakstz"/>
    <w:uiPriority w:val="99"/>
    <w:unhideWhenUsed/>
    <w:rsid w:val="00065AA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65AA1"/>
  </w:style>
  <w:style w:type="paragraph" w:styleId="Kjene">
    <w:name w:val="footer"/>
    <w:basedOn w:val="Parasts"/>
    <w:link w:val="KjeneRakstz"/>
    <w:uiPriority w:val="99"/>
    <w:unhideWhenUsed/>
    <w:rsid w:val="00065AA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6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6121">
      <w:bodyDiv w:val="1"/>
      <w:marLeft w:val="0"/>
      <w:marRight w:val="0"/>
      <w:marTop w:val="0"/>
      <w:marBottom w:val="0"/>
      <w:divBdr>
        <w:top w:val="none" w:sz="0" w:space="0" w:color="auto"/>
        <w:left w:val="none" w:sz="0" w:space="0" w:color="auto"/>
        <w:bottom w:val="none" w:sz="0" w:space="0" w:color="auto"/>
        <w:right w:val="none" w:sz="0" w:space="0" w:color="auto"/>
      </w:divBdr>
      <w:divsChild>
        <w:div w:id="1933708224">
          <w:marLeft w:val="0"/>
          <w:marRight w:val="0"/>
          <w:marTop w:val="0"/>
          <w:marBottom w:val="0"/>
          <w:divBdr>
            <w:top w:val="none" w:sz="0" w:space="0" w:color="auto"/>
            <w:left w:val="none" w:sz="0" w:space="0" w:color="auto"/>
            <w:bottom w:val="none" w:sz="0" w:space="0" w:color="auto"/>
            <w:right w:val="none" w:sz="0" w:space="0" w:color="auto"/>
          </w:divBdr>
        </w:div>
        <w:div w:id="1152451109">
          <w:marLeft w:val="0"/>
          <w:marRight w:val="0"/>
          <w:marTop w:val="0"/>
          <w:marBottom w:val="0"/>
          <w:divBdr>
            <w:top w:val="none" w:sz="0" w:space="0" w:color="auto"/>
            <w:left w:val="none" w:sz="0" w:space="0" w:color="auto"/>
            <w:bottom w:val="none" w:sz="0" w:space="0" w:color="auto"/>
            <w:right w:val="none" w:sz="0" w:space="0" w:color="auto"/>
          </w:divBdr>
        </w:div>
        <w:div w:id="1300309615">
          <w:marLeft w:val="0"/>
          <w:marRight w:val="0"/>
          <w:marTop w:val="0"/>
          <w:marBottom w:val="0"/>
          <w:divBdr>
            <w:top w:val="none" w:sz="0" w:space="0" w:color="auto"/>
            <w:left w:val="none" w:sz="0" w:space="0" w:color="auto"/>
            <w:bottom w:val="none" w:sz="0" w:space="0" w:color="auto"/>
            <w:right w:val="none" w:sz="0" w:space="0" w:color="auto"/>
          </w:divBdr>
        </w:div>
        <w:div w:id="292713638">
          <w:marLeft w:val="0"/>
          <w:marRight w:val="0"/>
          <w:marTop w:val="0"/>
          <w:marBottom w:val="0"/>
          <w:divBdr>
            <w:top w:val="none" w:sz="0" w:space="0" w:color="auto"/>
            <w:left w:val="none" w:sz="0" w:space="0" w:color="auto"/>
            <w:bottom w:val="none" w:sz="0" w:space="0" w:color="auto"/>
            <w:right w:val="none" w:sz="0" w:space="0" w:color="auto"/>
          </w:divBdr>
        </w:div>
        <w:div w:id="524828316">
          <w:marLeft w:val="0"/>
          <w:marRight w:val="0"/>
          <w:marTop w:val="0"/>
          <w:marBottom w:val="0"/>
          <w:divBdr>
            <w:top w:val="none" w:sz="0" w:space="0" w:color="auto"/>
            <w:left w:val="none" w:sz="0" w:space="0" w:color="auto"/>
            <w:bottom w:val="none" w:sz="0" w:space="0" w:color="auto"/>
            <w:right w:val="none" w:sz="0" w:space="0" w:color="auto"/>
          </w:divBdr>
        </w:div>
        <w:div w:id="2030796723">
          <w:marLeft w:val="0"/>
          <w:marRight w:val="0"/>
          <w:marTop w:val="0"/>
          <w:marBottom w:val="0"/>
          <w:divBdr>
            <w:top w:val="none" w:sz="0" w:space="0" w:color="auto"/>
            <w:left w:val="none" w:sz="0" w:space="0" w:color="auto"/>
            <w:bottom w:val="none" w:sz="0" w:space="0" w:color="auto"/>
            <w:right w:val="none" w:sz="0" w:space="0" w:color="auto"/>
          </w:divBdr>
        </w:div>
        <w:div w:id="663439613">
          <w:marLeft w:val="0"/>
          <w:marRight w:val="0"/>
          <w:marTop w:val="0"/>
          <w:marBottom w:val="0"/>
          <w:divBdr>
            <w:top w:val="none" w:sz="0" w:space="0" w:color="auto"/>
            <w:left w:val="none" w:sz="0" w:space="0" w:color="auto"/>
            <w:bottom w:val="none" w:sz="0" w:space="0" w:color="auto"/>
            <w:right w:val="none" w:sz="0" w:space="0" w:color="auto"/>
          </w:divBdr>
        </w:div>
        <w:div w:id="802380573">
          <w:marLeft w:val="0"/>
          <w:marRight w:val="0"/>
          <w:marTop w:val="0"/>
          <w:marBottom w:val="0"/>
          <w:divBdr>
            <w:top w:val="none" w:sz="0" w:space="0" w:color="auto"/>
            <w:left w:val="none" w:sz="0" w:space="0" w:color="auto"/>
            <w:bottom w:val="none" w:sz="0" w:space="0" w:color="auto"/>
            <w:right w:val="none" w:sz="0" w:space="0" w:color="auto"/>
          </w:divBdr>
        </w:div>
        <w:div w:id="484198388">
          <w:marLeft w:val="0"/>
          <w:marRight w:val="0"/>
          <w:marTop w:val="0"/>
          <w:marBottom w:val="0"/>
          <w:divBdr>
            <w:top w:val="none" w:sz="0" w:space="0" w:color="auto"/>
            <w:left w:val="none" w:sz="0" w:space="0" w:color="auto"/>
            <w:bottom w:val="none" w:sz="0" w:space="0" w:color="auto"/>
            <w:right w:val="none" w:sz="0" w:space="0" w:color="auto"/>
          </w:divBdr>
        </w:div>
        <w:div w:id="1855654698">
          <w:marLeft w:val="0"/>
          <w:marRight w:val="0"/>
          <w:marTop w:val="0"/>
          <w:marBottom w:val="0"/>
          <w:divBdr>
            <w:top w:val="none" w:sz="0" w:space="0" w:color="auto"/>
            <w:left w:val="none" w:sz="0" w:space="0" w:color="auto"/>
            <w:bottom w:val="none" w:sz="0" w:space="0" w:color="auto"/>
            <w:right w:val="none" w:sz="0" w:space="0" w:color="auto"/>
          </w:divBdr>
        </w:div>
        <w:div w:id="1653018614">
          <w:marLeft w:val="0"/>
          <w:marRight w:val="0"/>
          <w:marTop w:val="0"/>
          <w:marBottom w:val="0"/>
          <w:divBdr>
            <w:top w:val="none" w:sz="0" w:space="0" w:color="auto"/>
            <w:left w:val="none" w:sz="0" w:space="0" w:color="auto"/>
            <w:bottom w:val="none" w:sz="0" w:space="0" w:color="auto"/>
            <w:right w:val="none" w:sz="0" w:space="0" w:color="auto"/>
          </w:divBdr>
        </w:div>
        <w:div w:id="1858617357">
          <w:marLeft w:val="0"/>
          <w:marRight w:val="0"/>
          <w:marTop w:val="0"/>
          <w:marBottom w:val="0"/>
          <w:divBdr>
            <w:top w:val="none" w:sz="0" w:space="0" w:color="auto"/>
            <w:left w:val="none" w:sz="0" w:space="0" w:color="auto"/>
            <w:bottom w:val="none" w:sz="0" w:space="0" w:color="auto"/>
            <w:right w:val="none" w:sz="0" w:space="0" w:color="auto"/>
          </w:divBdr>
        </w:div>
        <w:div w:id="1199201621">
          <w:marLeft w:val="0"/>
          <w:marRight w:val="0"/>
          <w:marTop w:val="0"/>
          <w:marBottom w:val="0"/>
          <w:divBdr>
            <w:top w:val="none" w:sz="0" w:space="0" w:color="auto"/>
            <w:left w:val="none" w:sz="0" w:space="0" w:color="auto"/>
            <w:bottom w:val="none" w:sz="0" w:space="0" w:color="auto"/>
            <w:right w:val="none" w:sz="0" w:space="0" w:color="auto"/>
          </w:divBdr>
        </w:div>
        <w:div w:id="748356379">
          <w:marLeft w:val="0"/>
          <w:marRight w:val="0"/>
          <w:marTop w:val="0"/>
          <w:marBottom w:val="0"/>
          <w:divBdr>
            <w:top w:val="none" w:sz="0" w:space="0" w:color="auto"/>
            <w:left w:val="none" w:sz="0" w:space="0" w:color="auto"/>
            <w:bottom w:val="none" w:sz="0" w:space="0" w:color="auto"/>
            <w:right w:val="none" w:sz="0" w:space="0" w:color="auto"/>
          </w:divBdr>
        </w:div>
        <w:div w:id="796334522">
          <w:marLeft w:val="0"/>
          <w:marRight w:val="0"/>
          <w:marTop w:val="0"/>
          <w:marBottom w:val="0"/>
          <w:divBdr>
            <w:top w:val="none" w:sz="0" w:space="0" w:color="auto"/>
            <w:left w:val="none" w:sz="0" w:space="0" w:color="auto"/>
            <w:bottom w:val="none" w:sz="0" w:space="0" w:color="auto"/>
            <w:right w:val="none" w:sz="0" w:space="0" w:color="auto"/>
          </w:divBdr>
        </w:div>
        <w:div w:id="194974161">
          <w:marLeft w:val="0"/>
          <w:marRight w:val="0"/>
          <w:marTop w:val="0"/>
          <w:marBottom w:val="0"/>
          <w:divBdr>
            <w:top w:val="none" w:sz="0" w:space="0" w:color="auto"/>
            <w:left w:val="none" w:sz="0" w:space="0" w:color="auto"/>
            <w:bottom w:val="none" w:sz="0" w:space="0" w:color="auto"/>
            <w:right w:val="none" w:sz="0" w:space="0" w:color="auto"/>
          </w:divBdr>
        </w:div>
        <w:div w:id="298850626">
          <w:marLeft w:val="0"/>
          <w:marRight w:val="0"/>
          <w:marTop w:val="0"/>
          <w:marBottom w:val="0"/>
          <w:divBdr>
            <w:top w:val="none" w:sz="0" w:space="0" w:color="auto"/>
            <w:left w:val="none" w:sz="0" w:space="0" w:color="auto"/>
            <w:bottom w:val="none" w:sz="0" w:space="0" w:color="auto"/>
            <w:right w:val="none" w:sz="0" w:space="0" w:color="auto"/>
          </w:divBdr>
        </w:div>
        <w:div w:id="2080861726">
          <w:marLeft w:val="0"/>
          <w:marRight w:val="0"/>
          <w:marTop w:val="0"/>
          <w:marBottom w:val="0"/>
          <w:divBdr>
            <w:top w:val="none" w:sz="0" w:space="0" w:color="auto"/>
            <w:left w:val="none" w:sz="0" w:space="0" w:color="auto"/>
            <w:bottom w:val="none" w:sz="0" w:space="0" w:color="auto"/>
            <w:right w:val="none" w:sz="0" w:space="0" w:color="auto"/>
          </w:divBdr>
        </w:div>
        <w:div w:id="505680081">
          <w:marLeft w:val="0"/>
          <w:marRight w:val="0"/>
          <w:marTop w:val="0"/>
          <w:marBottom w:val="0"/>
          <w:divBdr>
            <w:top w:val="none" w:sz="0" w:space="0" w:color="auto"/>
            <w:left w:val="none" w:sz="0" w:space="0" w:color="auto"/>
            <w:bottom w:val="none" w:sz="0" w:space="0" w:color="auto"/>
            <w:right w:val="none" w:sz="0" w:space="0" w:color="auto"/>
          </w:divBdr>
        </w:div>
        <w:div w:id="798837170">
          <w:marLeft w:val="0"/>
          <w:marRight w:val="0"/>
          <w:marTop w:val="0"/>
          <w:marBottom w:val="0"/>
          <w:divBdr>
            <w:top w:val="none" w:sz="0" w:space="0" w:color="auto"/>
            <w:left w:val="none" w:sz="0" w:space="0" w:color="auto"/>
            <w:bottom w:val="none" w:sz="0" w:space="0" w:color="auto"/>
            <w:right w:val="none" w:sz="0" w:space="0" w:color="auto"/>
          </w:divBdr>
        </w:div>
        <w:div w:id="1248807453">
          <w:marLeft w:val="0"/>
          <w:marRight w:val="0"/>
          <w:marTop w:val="0"/>
          <w:marBottom w:val="0"/>
          <w:divBdr>
            <w:top w:val="none" w:sz="0" w:space="0" w:color="auto"/>
            <w:left w:val="none" w:sz="0" w:space="0" w:color="auto"/>
            <w:bottom w:val="none" w:sz="0" w:space="0" w:color="auto"/>
            <w:right w:val="none" w:sz="0" w:space="0" w:color="auto"/>
          </w:divBdr>
        </w:div>
        <w:div w:id="1465655987">
          <w:marLeft w:val="0"/>
          <w:marRight w:val="0"/>
          <w:marTop w:val="0"/>
          <w:marBottom w:val="0"/>
          <w:divBdr>
            <w:top w:val="none" w:sz="0" w:space="0" w:color="auto"/>
            <w:left w:val="none" w:sz="0" w:space="0" w:color="auto"/>
            <w:bottom w:val="none" w:sz="0" w:space="0" w:color="auto"/>
            <w:right w:val="none" w:sz="0" w:space="0" w:color="auto"/>
          </w:divBdr>
        </w:div>
        <w:div w:id="92040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835D3-4E42-4C11-AD9D-CA4350669F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655BCB-10D4-488B-85AA-39799CB61DF3}">
  <ds:schemaRefs>
    <ds:schemaRef ds:uri="http://schemas.microsoft.com/sharepoint/v3/contenttype/forms"/>
  </ds:schemaRefs>
</ds:datastoreItem>
</file>

<file path=customXml/itemProps3.xml><?xml version="1.0" encoding="utf-8"?>
<ds:datastoreItem xmlns:ds="http://schemas.openxmlformats.org/officeDocument/2006/customXml" ds:itemID="{C22915F7-B9CF-4037-8DB0-E6D7F7971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5376</Words>
  <Characters>3065</Characters>
  <Application>Microsoft Office Word</Application>
  <DocSecurity>0</DocSecurity>
  <Lines>25</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2021-07-22T07:26:00Z</dcterms:created>
  <dcterms:modified xsi:type="dcterms:W3CDTF">2021-08-06T08:55:00Z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