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A9822" w14:textId="77777777" w:rsidR="00AE1A86" w:rsidRDefault="00AE1A86" w:rsidP="00311768">
      <w:pPr>
        <w:jc w:val="both"/>
        <w:rPr>
          <w:rFonts w:ascii="Times New Roman" w:eastAsia="Times New Roman" w:hAnsi="Times New Roman" w:cs="Times New Roman"/>
          <w:noProof/>
          <w:sz w:val="24"/>
          <w:szCs w:val="7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1"/>
        <w:gridCol w:w="1842"/>
        <w:gridCol w:w="6258"/>
      </w:tblGrid>
      <w:tr w:rsidR="00311768" w14:paraId="53F8A797" w14:textId="77777777" w:rsidTr="009145A6">
        <w:tc>
          <w:tcPr>
            <w:tcW w:w="1021" w:type="dxa"/>
            <w:vAlign w:val="center"/>
          </w:tcPr>
          <w:p w14:paraId="1F7B307D" w14:textId="77777777" w:rsidR="00311768" w:rsidRPr="00311768" w:rsidRDefault="00311768" w:rsidP="009145A6">
            <w:pPr>
              <w:jc w:val="center"/>
              <w:rPr>
                <w:rFonts w:ascii="Times New Roman" w:hAnsi="Times New Roman"/>
                <w:b/>
                <w:noProof/>
                <w:sz w:val="24"/>
              </w:rPr>
            </w:pPr>
            <w:r>
              <w:rPr>
                <w:rFonts w:ascii="Times New Roman" w:hAnsi="Times New Roman"/>
                <w:b/>
                <w:i/>
                <w:iCs/>
                <w:sz w:val="24"/>
              </w:rPr>
              <w:t>OTIF</w:t>
            </w:r>
          </w:p>
        </w:tc>
        <w:tc>
          <w:tcPr>
            <w:tcW w:w="1842" w:type="dxa"/>
            <w:vAlign w:val="center"/>
          </w:tcPr>
          <w:p w14:paraId="53FFE09C" w14:textId="77777777" w:rsidR="00311768" w:rsidRDefault="00311768" w:rsidP="009145A6">
            <w:pPr>
              <w:jc w:val="center"/>
              <w:rPr>
                <w:rFonts w:ascii="Times New Roman" w:eastAsia="Times New Roman" w:hAnsi="Times New Roman" w:cs="Times New Roman"/>
                <w:noProof/>
                <w:sz w:val="24"/>
                <w:szCs w:val="71"/>
              </w:rPr>
            </w:pPr>
            <w:r>
              <w:rPr>
                <w:rFonts w:ascii="Times New Roman" w:hAnsi="Times New Roman"/>
                <w:noProof/>
                <w:sz w:val="24"/>
                <w:szCs w:val="71"/>
              </w:rPr>
              <w:drawing>
                <wp:inline distT="0" distB="0" distL="0" distR="0" wp14:anchorId="2132CF1F" wp14:editId="3540A271">
                  <wp:extent cx="981075" cy="9048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tc>
        <w:tc>
          <w:tcPr>
            <w:tcW w:w="6258" w:type="dxa"/>
            <w:vAlign w:val="center"/>
          </w:tcPr>
          <w:p w14:paraId="1A58992A" w14:textId="77777777" w:rsidR="00311768" w:rsidRPr="00311768" w:rsidRDefault="00311768" w:rsidP="009145A6">
            <w:pPr>
              <w:jc w:val="center"/>
              <w:rPr>
                <w:rFonts w:ascii="Times New Roman" w:hAnsi="Times New Roman"/>
                <w:b/>
                <w:noProof/>
                <w:sz w:val="24"/>
              </w:rPr>
            </w:pPr>
            <w:r>
              <w:rPr>
                <w:rFonts w:ascii="Times New Roman" w:hAnsi="Times New Roman"/>
                <w:b/>
                <w:sz w:val="24"/>
              </w:rPr>
              <w:t>STARPTAUTISKO DZELZCEĻA PĀRVADĀJUMU STARPVALDĪBU ORGANIZĀCIJA</w:t>
            </w:r>
          </w:p>
        </w:tc>
      </w:tr>
    </w:tbl>
    <w:p w14:paraId="054222B4" w14:textId="77777777" w:rsidR="00311768" w:rsidRDefault="00311768" w:rsidP="00311768">
      <w:pPr>
        <w:jc w:val="both"/>
        <w:rPr>
          <w:rFonts w:ascii="Times New Roman" w:eastAsia="Times New Roman" w:hAnsi="Times New Roman" w:cs="Times New Roman"/>
          <w:noProof/>
          <w:sz w:val="24"/>
          <w:szCs w:val="71"/>
        </w:rPr>
      </w:pPr>
    </w:p>
    <w:p w14:paraId="5539F482" w14:textId="77777777" w:rsidR="00AE1A86" w:rsidRPr="00311768" w:rsidRDefault="00AE1A86" w:rsidP="00311768">
      <w:pPr>
        <w:jc w:val="right"/>
        <w:rPr>
          <w:rFonts w:ascii="Times New Roman" w:hAnsi="Times New Roman"/>
          <w:b/>
          <w:noProof/>
          <w:sz w:val="24"/>
        </w:rPr>
      </w:pPr>
      <w:r>
        <w:rPr>
          <w:rFonts w:ascii="Times New Roman" w:hAnsi="Times New Roman"/>
          <w:b/>
          <w:sz w:val="24"/>
        </w:rPr>
        <w:t>Revīzijas komiteja</w:t>
      </w:r>
    </w:p>
    <w:p w14:paraId="2B660402" w14:textId="77777777" w:rsidR="00AE1A86" w:rsidRPr="00311768" w:rsidRDefault="00AE1A86" w:rsidP="00311768">
      <w:pPr>
        <w:jc w:val="right"/>
        <w:rPr>
          <w:rFonts w:ascii="Times New Roman" w:eastAsia="Arial" w:hAnsi="Times New Roman" w:cs="Arial"/>
          <w:b/>
          <w:bCs/>
          <w:noProof/>
          <w:sz w:val="24"/>
          <w:szCs w:val="24"/>
        </w:rPr>
      </w:pPr>
    </w:p>
    <w:p w14:paraId="03B47FF8" w14:textId="77777777" w:rsidR="00311768" w:rsidRDefault="00AE1A86" w:rsidP="00311768">
      <w:pPr>
        <w:jc w:val="right"/>
        <w:rPr>
          <w:rFonts w:ascii="Times New Roman" w:hAnsi="Times New Roman"/>
          <w:b/>
          <w:noProof/>
          <w:sz w:val="24"/>
        </w:rPr>
      </w:pPr>
      <w:r>
        <w:rPr>
          <w:rFonts w:ascii="Times New Roman" w:hAnsi="Times New Roman"/>
          <w:b/>
          <w:sz w:val="24"/>
        </w:rPr>
        <w:t>CR 24/NOT/Add.2</w:t>
      </w:r>
    </w:p>
    <w:p w14:paraId="3E9E0C42" w14:textId="77777777" w:rsidR="00AE1A86" w:rsidRPr="00311768" w:rsidRDefault="00AE1A86" w:rsidP="00311768">
      <w:pPr>
        <w:jc w:val="right"/>
        <w:rPr>
          <w:rFonts w:ascii="Times New Roman" w:hAnsi="Times New Roman"/>
          <w:b/>
          <w:noProof/>
          <w:sz w:val="24"/>
        </w:rPr>
      </w:pPr>
      <w:r>
        <w:rPr>
          <w:rFonts w:ascii="Times New Roman" w:hAnsi="Times New Roman"/>
          <w:b/>
          <w:sz w:val="24"/>
        </w:rPr>
        <w:t>21.12.2009.</w:t>
      </w:r>
    </w:p>
    <w:p w14:paraId="50491E89" w14:textId="77777777" w:rsidR="00AE1A86" w:rsidRPr="00311768" w:rsidRDefault="00AE1A86" w:rsidP="00311768">
      <w:pPr>
        <w:jc w:val="right"/>
        <w:rPr>
          <w:rFonts w:ascii="Times New Roman" w:eastAsia="Arial" w:hAnsi="Times New Roman" w:cs="Arial"/>
          <w:b/>
          <w:bCs/>
          <w:noProof/>
          <w:sz w:val="24"/>
          <w:szCs w:val="23"/>
        </w:rPr>
      </w:pPr>
    </w:p>
    <w:p w14:paraId="20255074" w14:textId="77777777" w:rsidR="00AE1A86" w:rsidRPr="00311768" w:rsidRDefault="00AE1A86" w:rsidP="00311768">
      <w:pPr>
        <w:jc w:val="right"/>
        <w:rPr>
          <w:rFonts w:ascii="Times New Roman" w:hAnsi="Times New Roman"/>
          <w:noProof/>
          <w:sz w:val="24"/>
        </w:rPr>
      </w:pPr>
      <w:r>
        <w:rPr>
          <w:rFonts w:ascii="Times New Roman" w:hAnsi="Times New Roman"/>
          <w:sz w:val="24"/>
        </w:rPr>
        <w:t>Oriģināls: angļu valodā</w:t>
      </w:r>
    </w:p>
    <w:p w14:paraId="528C2E15" w14:textId="7A5A25FE" w:rsidR="00AE1A86" w:rsidRDefault="00AE1A86" w:rsidP="00311768">
      <w:pPr>
        <w:jc w:val="both"/>
        <w:rPr>
          <w:rFonts w:ascii="Times New Roman" w:eastAsia="Arial" w:hAnsi="Times New Roman" w:cs="Arial"/>
          <w:noProof/>
          <w:sz w:val="24"/>
          <w:szCs w:val="20"/>
        </w:rPr>
      </w:pPr>
    </w:p>
    <w:p w14:paraId="6F706CDE" w14:textId="470D7A8F" w:rsidR="009145A6" w:rsidRDefault="009145A6" w:rsidP="00311768">
      <w:pPr>
        <w:jc w:val="both"/>
        <w:rPr>
          <w:rFonts w:ascii="Times New Roman" w:eastAsia="Arial" w:hAnsi="Times New Roman" w:cs="Arial"/>
          <w:noProof/>
          <w:sz w:val="24"/>
          <w:szCs w:val="20"/>
        </w:rPr>
      </w:pPr>
    </w:p>
    <w:p w14:paraId="6B2387CE" w14:textId="4D1DCB18" w:rsidR="009145A6" w:rsidRDefault="009145A6" w:rsidP="00311768">
      <w:pPr>
        <w:jc w:val="both"/>
        <w:rPr>
          <w:rFonts w:ascii="Times New Roman" w:eastAsia="Arial" w:hAnsi="Times New Roman" w:cs="Arial"/>
          <w:noProof/>
          <w:sz w:val="24"/>
          <w:szCs w:val="20"/>
        </w:rPr>
      </w:pPr>
    </w:p>
    <w:p w14:paraId="0B0528DF" w14:textId="5FFD9B9F" w:rsidR="009145A6" w:rsidRDefault="009145A6" w:rsidP="00311768">
      <w:pPr>
        <w:jc w:val="both"/>
        <w:rPr>
          <w:rFonts w:ascii="Times New Roman" w:eastAsia="Arial" w:hAnsi="Times New Roman" w:cs="Arial"/>
          <w:noProof/>
          <w:sz w:val="24"/>
          <w:szCs w:val="20"/>
        </w:rPr>
      </w:pPr>
    </w:p>
    <w:p w14:paraId="1F480DD6" w14:textId="77777777" w:rsidR="009145A6" w:rsidRPr="00311768" w:rsidRDefault="009145A6" w:rsidP="00311768">
      <w:pPr>
        <w:jc w:val="both"/>
        <w:rPr>
          <w:rFonts w:ascii="Times New Roman" w:eastAsia="Arial" w:hAnsi="Times New Roman" w:cs="Arial"/>
          <w:noProof/>
          <w:sz w:val="24"/>
          <w:szCs w:val="20"/>
        </w:rPr>
      </w:pPr>
    </w:p>
    <w:p w14:paraId="66D0C174" w14:textId="77777777" w:rsidR="00AE1A86" w:rsidRPr="00311768" w:rsidRDefault="00AE1A86" w:rsidP="00311768">
      <w:pPr>
        <w:jc w:val="both"/>
        <w:rPr>
          <w:rFonts w:ascii="Times New Roman" w:eastAsia="Arial" w:hAnsi="Times New Roman" w:cs="Arial"/>
          <w:noProof/>
          <w:sz w:val="24"/>
          <w:szCs w:val="18"/>
        </w:rPr>
      </w:pPr>
    </w:p>
    <w:p w14:paraId="719A7992" w14:textId="77777777" w:rsidR="00AE1A86" w:rsidRPr="00311768" w:rsidRDefault="00AE1A86" w:rsidP="00311768">
      <w:pPr>
        <w:jc w:val="both"/>
        <w:rPr>
          <w:rFonts w:ascii="Times New Roman" w:eastAsia="Times New Roman" w:hAnsi="Times New Roman" w:cs="Times New Roman"/>
          <w:noProof/>
          <w:sz w:val="24"/>
          <w:szCs w:val="28"/>
        </w:rPr>
      </w:pPr>
      <w:r>
        <w:rPr>
          <w:rFonts w:ascii="Times New Roman" w:hAnsi="Times New Roman"/>
          <w:b/>
          <w:sz w:val="24"/>
        </w:rPr>
        <w:t>24. sesija</w:t>
      </w:r>
    </w:p>
    <w:p w14:paraId="4E36CE99" w14:textId="77777777" w:rsidR="00AE1A86" w:rsidRPr="00311768" w:rsidRDefault="00AE1A86" w:rsidP="00311768">
      <w:pPr>
        <w:jc w:val="both"/>
        <w:rPr>
          <w:rFonts w:ascii="Times New Roman" w:eastAsia="Times New Roman" w:hAnsi="Times New Roman" w:cs="Times New Roman"/>
          <w:b/>
          <w:bCs/>
          <w:noProof/>
          <w:sz w:val="24"/>
          <w:szCs w:val="28"/>
        </w:rPr>
      </w:pPr>
    </w:p>
    <w:p w14:paraId="27A0A777" w14:textId="6DE8F79A" w:rsidR="00311768" w:rsidRDefault="00810C32" w:rsidP="00311768">
      <w:pPr>
        <w:jc w:val="both"/>
        <w:rPr>
          <w:rFonts w:ascii="Times New Roman" w:hAnsi="Times New Roman"/>
          <w:noProof/>
          <w:sz w:val="24"/>
        </w:rPr>
      </w:pPr>
      <w:r>
        <w:rPr>
          <w:rFonts w:ascii="Times New Roman" w:hAnsi="Times New Roman"/>
          <w:sz w:val="24"/>
        </w:rPr>
        <w:t>1980. gada 9. maija Konvencijas par starptautiskajiem dzelzceļa pārvadājumiem (</w:t>
      </w:r>
      <w:r>
        <w:rPr>
          <w:rFonts w:ascii="Times New Roman" w:hAnsi="Times New Roman"/>
          <w:i/>
          <w:iCs/>
          <w:sz w:val="24"/>
        </w:rPr>
        <w:t>COTIF</w:t>
      </w:r>
      <w:r>
        <w:rPr>
          <w:rFonts w:ascii="Times New Roman" w:hAnsi="Times New Roman"/>
          <w:sz w:val="24"/>
        </w:rPr>
        <w:t>) 1999. gada 3. jūnija protokola (Viļņas protokols) redakcijas</w:t>
      </w:r>
      <w:r w:rsidR="00AE1A86">
        <w:rPr>
          <w:rFonts w:ascii="Times New Roman" w:hAnsi="Times New Roman"/>
          <w:sz w:val="24"/>
        </w:rPr>
        <w:t xml:space="preserve"> E papildinājuma</w:t>
      </w:r>
      <w:r>
        <w:rPr>
          <w:rFonts w:ascii="Times New Roman" w:hAnsi="Times New Roman"/>
          <w:sz w:val="24"/>
        </w:rPr>
        <w:t xml:space="preserve"> “Vienveida noteikumi attiecībā uz līgumu par dzelzceļa infrastruktūras izmantošanu starptautiskajā dzelzceļa satiksmē”</w:t>
      </w:r>
      <w:r w:rsidR="00AE1A86">
        <w:rPr>
          <w:rFonts w:ascii="Times New Roman" w:hAnsi="Times New Roman"/>
          <w:sz w:val="24"/>
        </w:rPr>
        <w:t xml:space="preserve"> (</w:t>
      </w:r>
      <w:r w:rsidR="00AE1A86">
        <w:rPr>
          <w:rFonts w:ascii="Times New Roman" w:hAnsi="Times New Roman"/>
          <w:i/>
          <w:iCs/>
          <w:sz w:val="24"/>
        </w:rPr>
        <w:t>CUI</w:t>
      </w:r>
      <w:r w:rsidR="00AE1A86">
        <w:rPr>
          <w:rFonts w:ascii="Times New Roman" w:hAnsi="Times New Roman"/>
          <w:sz w:val="24"/>
        </w:rPr>
        <w:t>) daļēja pārskatīšana</w:t>
      </w:r>
    </w:p>
    <w:p w14:paraId="59453893" w14:textId="77777777" w:rsidR="00AE1A86" w:rsidRPr="00311768" w:rsidRDefault="00AE1A86" w:rsidP="00311768">
      <w:pPr>
        <w:jc w:val="both"/>
        <w:rPr>
          <w:rFonts w:ascii="Times New Roman" w:hAnsi="Times New Roman"/>
          <w:noProof/>
          <w:sz w:val="24"/>
        </w:rPr>
      </w:pPr>
      <w:r>
        <w:rPr>
          <w:rFonts w:ascii="Times New Roman" w:hAnsi="Times New Roman"/>
          <w:sz w:val="24"/>
        </w:rPr>
        <w:t>(Grozītais teksts un paskaidrojuma ziņojums)</w:t>
      </w:r>
    </w:p>
    <w:p w14:paraId="4F985005" w14:textId="2A4793E0" w:rsidR="00AE1A86" w:rsidRDefault="00AE1A86" w:rsidP="00311768">
      <w:pPr>
        <w:jc w:val="both"/>
        <w:rPr>
          <w:rFonts w:ascii="Times New Roman" w:eastAsia="Times New Roman" w:hAnsi="Times New Roman" w:cs="Times New Roman"/>
          <w:noProof/>
          <w:sz w:val="24"/>
          <w:szCs w:val="20"/>
        </w:rPr>
      </w:pPr>
    </w:p>
    <w:p w14:paraId="1700B6A5" w14:textId="116B893F" w:rsidR="009145A6" w:rsidRDefault="009145A6" w:rsidP="00311768">
      <w:pPr>
        <w:jc w:val="both"/>
        <w:rPr>
          <w:rFonts w:ascii="Times New Roman" w:eastAsia="Times New Roman" w:hAnsi="Times New Roman" w:cs="Times New Roman"/>
          <w:noProof/>
          <w:sz w:val="24"/>
          <w:szCs w:val="20"/>
        </w:rPr>
      </w:pPr>
    </w:p>
    <w:p w14:paraId="657CFD4B" w14:textId="070E040F" w:rsidR="009145A6" w:rsidRDefault="009145A6" w:rsidP="00311768">
      <w:pPr>
        <w:jc w:val="both"/>
        <w:rPr>
          <w:rFonts w:ascii="Times New Roman" w:eastAsia="Times New Roman" w:hAnsi="Times New Roman" w:cs="Times New Roman"/>
          <w:noProof/>
          <w:sz w:val="24"/>
          <w:szCs w:val="20"/>
        </w:rPr>
      </w:pPr>
    </w:p>
    <w:p w14:paraId="3FBE76CF" w14:textId="08E0C85B" w:rsidR="009145A6" w:rsidRDefault="009145A6" w:rsidP="00311768">
      <w:pPr>
        <w:jc w:val="both"/>
        <w:rPr>
          <w:rFonts w:ascii="Times New Roman" w:eastAsia="Times New Roman" w:hAnsi="Times New Roman" w:cs="Times New Roman"/>
          <w:noProof/>
          <w:sz w:val="24"/>
          <w:szCs w:val="20"/>
        </w:rPr>
      </w:pPr>
    </w:p>
    <w:p w14:paraId="327306C7" w14:textId="01D7D138" w:rsidR="009145A6" w:rsidRDefault="009145A6" w:rsidP="00311768">
      <w:pPr>
        <w:jc w:val="both"/>
        <w:rPr>
          <w:rFonts w:ascii="Times New Roman" w:eastAsia="Times New Roman" w:hAnsi="Times New Roman" w:cs="Times New Roman"/>
          <w:noProof/>
          <w:sz w:val="24"/>
          <w:szCs w:val="20"/>
        </w:rPr>
      </w:pPr>
    </w:p>
    <w:p w14:paraId="4F820B6A" w14:textId="4AFCB295" w:rsidR="009145A6" w:rsidRDefault="009145A6" w:rsidP="00311768">
      <w:pPr>
        <w:jc w:val="both"/>
        <w:rPr>
          <w:rFonts w:ascii="Times New Roman" w:eastAsia="Times New Roman" w:hAnsi="Times New Roman" w:cs="Times New Roman"/>
          <w:noProof/>
          <w:sz w:val="24"/>
          <w:szCs w:val="20"/>
        </w:rPr>
      </w:pPr>
    </w:p>
    <w:p w14:paraId="5B5BDD23" w14:textId="6E3F6DD7" w:rsidR="009145A6" w:rsidRDefault="009145A6" w:rsidP="00311768">
      <w:pPr>
        <w:jc w:val="both"/>
        <w:rPr>
          <w:rFonts w:ascii="Times New Roman" w:eastAsia="Times New Roman" w:hAnsi="Times New Roman" w:cs="Times New Roman"/>
          <w:noProof/>
          <w:sz w:val="24"/>
          <w:szCs w:val="20"/>
        </w:rPr>
      </w:pPr>
    </w:p>
    <w:p w14:paraId="1265C10D" w14:textId="64ABD195" w:rsidR="009145A6" w:rsidRDefault="009145A6" w:rsidP="00311768">
      <w:pPr>
        <w:jc w:val="both"/>
        <w:rPr>
          <w:rFonts w:ascii="Times New Roman" w:eastAsia="Times New Roman" w:hAnsi="Times New Roman" w:cs="Times New Roman"/>
          <w:noProof/>
          <w:sz w:val="24"/>
          <w:szCs w:val="20"/>
        </w:rPr>
      </w:pPr>
    </w:p>
    <w:p w14:paraId="2E94345F" w14:textId="06A9E1EE" w:rsidR="009145A6" w:rsidRDefault="009145A6" w:rsidP="00311768">
      <w:pPr>
        <w:jc w:val="both"/>
        <w:rPr>
          <w:rFonts w:ascii="Times New Roman" w:eastAsia="Times New Roman" w:hAnsi="Times New Roman" w:cs="Times New Roman"/>
          <w:noProof/>
          <w:sz w:val="24"/>
          <w:szCs w:val="20"/>
        </w:rPr>
      </w:pPr>
    </w:p>
    <w:p w14:paraId="3E4D0A87" w14:textId="2C99B72F" w:rsidR="009145A6" w:rsidRDefault="009145A6" w:rsidP="00311768">
      <w:pPr>
        <w:jc w:val="both"/>
        <w:rPr>
          <w:rFonts w:ascii="Times New Roman" w:eastAsia="Times New Roman" w:hAnsi="Times New Roman" w:cs="Times New Roman"/>
          <w:noProof/>
          <w:sz w:val="24"/>
          <w:szCs w:val="20"/>
        </w:rPr>
      </w:pPr>
    </w:p>
    <w:p w14:paraId="20154D42" w14:textId="6C41A5E1" w:rsidR="009145A6" w:rsidRDefault="009145A6" w:rsidP="00311768">
      <w:pPr>
        <w:jc w:val="both"/>
        <w:rPr>
          <w:rFonts w:ascii="Times New Roman" w:eastAsia="Times New Roman" w:hAnsi="Times New Roman" w:cs="Times New Roman"/>
          <w:noProof/>
          <w:sz w:val="24"/>
          <w:szCs w:val="20"/>
        </w:rPr>
      </w:pPr>
    </w:p>
    <w:p w14:paraId="2D859ED4" w14:textId="7A2AE8AE" w:rsidR="009145A6" w:rsidRDefault="009145A6" w:rsidP="00311768">
      <w:pPr>
        <w:jc w:val="both"/>
        <w:rPr>
          <w:rFonts w:ascii="Times New Roman" w:eastAsia="Times New Roman" w:hAnsi="Times New Roman" w:cs="Times New Roman"/>
          <w:noProof/>
          <w:sz w:val="24"/>
          <w:szCs w:val="20"/>
        </w:rPr>
      </w:pPr>
    </w:p>
    <w:p w14:paraId="5B2D47DB" w14:textId="732A8515" w:rsidR="009145A6" w:rsidRDefault="009145A6" w:rsidP="00311768">
      <w:pPr>
        <w:jc w:val="both"/>
        <w:rPr>
          <w:rFonts w:ascii="Times New Roman" w:eastAsia="Times New Roman" w:hAnsi="Times New Roman" w:cs="Times New Roman"/>
          <w:noProof/>
          <w:sz w:val="24"/>
          <w:szCs w:val="20"/>
        </w:rPr>
      </w:pPr>
    </w:p>
    <w:p w14:paraId="41405F61" w14:textId="5D97E3AE" w:rsidR="009145A6" w:rsidRDefault="009145A6" w:rsidP="00311768">
      <w:pPr>
        <w:jc w:val="both"/>
        <w:rPr>
          <w:rFonts w:ascii="Times New Roman" w:eastAsia="Times New Roman" w:hAnsi="Times New Roman" w:cs="Times New Roman"/>
          <w:noProof/>
          <w:sz w:val="24"/>
          <w:szCs w:val="20"/>
        </w:rPr>
      </w:pPr>
    </w:p>
    <w:p w14:paraId="27066314" w14:textId="7A82BBCB" w:rsidR="009145A6" w:rsidRDefault="009145A6" w:rsidP="00311768">
      <w:pPr>
        <w:jc w:val="both"/>
        <w:rPr>
          <w:rFonts w:ascii="Times New Roman" w:eastAsia="Times New Roman" w:hAnsi="Times New Roman" w:cs="Times New Roman"/>
          <w:noProof/>
          <w:sz w:val="24"/>
          <w:szCs w:val="20"/>
        </w:rPr>
      </w:pPr>
    </w:p>
    <w:p w14:paraId="046B64C5" w14:textId="27057D29" w:rsidR="009145A6" w:rsidRDefault="009145A6" w:rsidP="00311768">
      <w:pPr>
        <w:jc w:val="both"/>
        <w:rPr>
          <w:rFonts w:ascii="Times New Roman" w:eastAsia="Times New Roman" w:hAnsi="Times New Roman" w:cs="Times New Roman"/>
          <w:noProof/>
          <w:sz w:val="24"/>
          <w:szCs w:val="20"/>
        </w:rPr>
      </w:pPr>
    </w:p>
    <w:p w14:paraId="189F4C16" w14:textId="3236B8B1" w:rsidR="009145A6" w:rsidRDefault="009145A6" w:rsidP="00311768">
      <w:pPr>
        <w:jc w:val="both"/>
        <w:rPr>
          <w:rFonts w:ascii="Times New Roman" w:eastAsia="Times New Roman" w:hAnsi="Times New Roman" w:cs="Times New Roman"/>
          <w:noProof/>
          <w:sz w:val="24"/>
          <w:szCs w:val="20"/>
        </w:rPr>
      </w:pPr>
    </w:p>
    <w:p w14:paraId="785829D3" w14:textId="77777777" w:rsidR="009145A6" w:rsidRDefault="009145A6" w:rsidP="00311768">
      <w:pPr>
        <w:jc w:val="both"/>
        <w:rPr>
          <w:rFonts w:ascii="Times New Roman" w:eastAsia="Times New Roman" w:hAnsi="Times New Roman" w:cs="Times New Roman"/>
          <w:noProof/>
          <w:sz w:val="24"/>
          <w:szCs w:val="20"/>
        </w:rPr>
      </w:pPr>
    </w:p>
    <w:p w14:paraId="31B9E558" w14:textId="43A03770" w:rsidR="009145A6" w:rsidRDefault="009145A6" w:rsidP="00311768">
      <w:pPr>
        <w:jc w:val="both"/>
        <w:rPr>
          <w:rFonts w:ascii="Times New Roman" w:eastAsia="Times New Roman" w:hAnsi="Times New Roman" w:cs="Times New Roman"/>
          <w:noProof/>
          <w:sz w:val="24"/>
          <w:szCs w:val="20"/>
        </w:rPr>
      </w:pPr>
    </w:p>
    <w:p w14:paraId="747B8EB0" w14:textId="431DEF52" w:rsidR="009145A6" w:rsidRDefault="009145A6" w:rsidP="00311768">
      <w:pPr>
        <w:jc w:val="both"/>
        <w:rPr>
          <w:rFonts w:ascii="Times New Roman" w:eastAsia="Times New Roman" w:hAnsi="Times New Roman" w:cs="Times New Roman"/>
          <w:noProof/>
          <w:sz w:val="24"/>
          <w:szCs w:val="20"/>
        </w:rPr>
      </w:pPr>
    </w:p>
    <w:p w14:paraId="6E730084" w14:textId="77777777" w:rsidR="009145A6" w:rsidRPr="00311768" w:rsidRDefault="009145A6" w:rsidP="00311768">
      <w:pPr>
        <w:jc w:val="both"/>
        <w:rPr>
          <w:rFonts w:ascii="Times New Roman" w:eastAsia="Times New Roman" w:hAnsi="Times New Roman" w:cs="Times New Roman"/>
          <w:noProof/>
          <w:sz w:val="24"/>
          <w:szCs w:val="20"/>
        </w:rPr>
      </w:pPr>
    </w:p>
    <w:p w14:paraId="2142A9E2" w14:textId="77777777" w:rsidR="00AE1A86" w:rsidRPr="00311768" w:rsidRDefault="00AE1A86" w:rsidP="00311768">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1984"/>
        <w:gridCol w:w="2127"/>
        <w:gridCol w:w="1701"/>
        <w:gridCol w:w="1296"/>
      </w:tblGrid>
      <w:tr w:rsidR="00BF6ECC" w:rsidRPr="00BF6ECC" w14:paraId="0AB45A32" w14:textId="77777777" w:rsidTr="009145A6">
        <w:tc>
          <w:tcPr>
            <w:tcW w:w="2013" w:type="dxa"/>
          </w:tcPr>
          <w:p w14:paraId="157C0351" w14:textId="77777777" w:rsidR="00BF6ECC" w:rsidRPr="00BF6ECC" w:rsidRDefault="00BF6ECC" w:rsidP="00311768">
            <w:pPr>
              <w:jc w:val="both"/>
              <w:rPr>
                <w:rFonts w:ascii="Times New Roman" w:hAnsi="Times New Roman"/>
                <w:b/>
                <w:noProof/>
                <w:sz w:val="16"/>
                <w:szCs w:val="16"/>
              </w:rPr>
            </w:pPr>
            <w:r>
              <w:rPr>
                <w:rFonts w:ascii="Times New Roman" w:hAnsi="Times New Roman"/>
                <w:b/>
                <w:sz w:val="16"/>
                <w:szCs w:val="16"/>
              </w:rPr>
              <w:t>Tālr. (++41) 31 - 359 10 10</w:t>
            </w:r>
          </w:p>
        </w:tc>
        <w:tc>
          <w:tcPr>
            <w:tcW w:w="1984" w:type="dxa"/>
          </w:tcPr>
          <w:p w14:paraId="51980774" w14:textId="77777777" w:rsidR="00BF6ECC" w:rsidRPr="00BF6ECC" w:rsidRDefault="00BF6ECC" w:rsidP="00311768">
            <w:pPr>
              <w:jc w:val="both"/>
              <w:rPr>
                <w:rFonts w:ascii="Times New Roman" w:hAnsi="Times New Roman"/>
                <w:b/>
                <w:noProof/>
                <w:sz w:val="16"/>
                <w:szCs w:val="16"/>
              </w:rPr>
            </w:pPr>
            <w:r>
              <w:rPr>
                <w:rFonts w:ascii="Times New Roman" w:hAnsi="Times New Roman"/>
                <w:b/>
                <w:sz w:val="16"/>
                <w:szCs w:val="16"/>
              </w:rPr>
              <w:t>Fakss (++41) 31 - 359 10 11</w:t>
            </w:r>
          </w:p>
        </w:tc>
        <w:tc>
          <w:tcPr>
            <w:tcW w:w="2127" w:type="dxa"/>
          </w:tcPr>
          <w:p w14:paraId="5062BC7D" w14:textId="77777777" w:rsidR="00BF6ECC" w:rsidRPr="00BF6ECC" w:rsidRDefault="00BF6ECC" w:rsidP="00311768">
            <w:pPr>
              <w:jc w:val="both"/>
              <w:rPr>
                <w:rFonts w:ascii="Times New Roman" w:hAnsi="Times New Roman"/>
                <w:b/>
                <w:noProof/>
                <w:sz w:val="16"/>
                <w:szCs w:val="16"/>
              </w:rPr>
            </w:pPr>
            <w:r>
              <w:rPr>
                <w:rFonts w:ascii="Times New Roman" w:hAnsi="Times New Roman"/>
                <w:b/>
                <w:sz w:val="16"/>
                <w:szCs w:val="16"/>
              </w:rPr>
              <w:t>E-pasta adrese info@otif.org</w:t>
            </w:r>
          </w:p>
        </w:tc>
        <w:tc>
          <w:tcPr>
            <w:tcW w:w="1701" w:type="dxa"/>
          </w:tcPr>
          <w:p w14:paraId="76E5EEF5" w14:textId="77777777" w:rsidR="00BF6ECC" w:rsidRPr="00BF6ECC" w:rsidRDefault="00BF6ECC" w:rsidP="00311768">
            <w:pPr>
              <w:jc w:val="both"/>
              <w:rPr>
                <w:rFonts w:ascii="Times New Roman" w:hAnsi="Times New Roman"/>
                <w:b/>
                <w:noProof/>
                <w:sz w:val="16"/>
                <w:szCs w:val="16"/>
              </w:rPr>
            </w:pPr>
            <w:r>
              <w:rPr>
                <w:rFonts w:ascii="Times New Roman" w:hAnsi="Times New Roman"/>
                <w:b/>
                <w:sz w:val="16"/>
                <w:szCs w:val="16"/>
              </w:rPr>
              <w:t>Gryphenhübeliweg 30</w:t>
            </w:r>
          </w:p>
        </w:tc>
        <w:tc>
          <w:tcPr>
            <w:tcW w:w="1296" w:type="dxa"/>
          </w:tcPr>
          <w:p w14:paraId="6E0D2E41" w14:textId="77777777" w:rsidR="00BF6ECC" w:rsidRPr="00BF6ECC" w:rsidRDefault="00BF6ECC" w:rsidP="00311768">
            <w:pPr>
              <w:jc w:val="both"/>
              <w:rPr>
                <w:rFonts w:ascii="Times New Roman" w:eastAsia="Arial" w:hAnsi="Times New Roman" w:cs="Arial"/>
                <w:noProof/>
                <w:sz w:val="16"/>
                <w:szCs w:val="16"/>
              </w:rPr>
            </w:pPr>
            <w:r>
              <w:rPr>
                <w:rFonts w:ascii="Times New Roman" w:hAnsi="Times New Roman"/>
                <w:b/>
                <w:sz w:val="16"/>
                <w:szCs w:val="16"/>
              </w:rPr>
              <w:t>CH - 3006 Berne</w:t>
            </w:r>
          </w:p>
        </w:tc>
      </w:tr>
    </w:tbl>
    <w:p w14:paraId="43F4D6E7" w14:textId="77777777" w:rsidR="00BF6ECC" w:rsidRDefault="00BF6ECC" w:rsidP="00311768">
      <w:pPr>
        <w:jc w:val="both"/>
        <w:rPr>
          <w:rFonts w:ascii="Times New Roman" w:eastAsia="Times New Roman" w:hAnsi="Times New Roman" w:cs="Times New Roman"/>
          <w:noProof/>
          <w:sz w:val="24"/>
          <w:szCs w:val="20"/>
        </w:rPr>
      </w:pPr>
    </w:p>
    <w:p w14:paraId="22E5323D" w14:textId="77777777" w:rsidR="00BF6ECC" w:rsidRDefault="00BF6ECC">
      <w:pPr>
        <w:rPr>
          <w:rFonts w:ascii="Times New Roman" w:eastAsia="Times New Roman" w:hAnsi="Times New Roman" w:cs="Times New Roman"/>
          <w:noProof/>
          <w:sz w:val="24"/>
          <w:szCs w:val="20"/>
        </w:rPr>
      </w:pPr>
      <w:r>
        <w:br w:type="page"/>
      </w:r>
    </w:p>
    <w:p w14:paraId="4DC50B3A" w14:textId="77777777" w:rsidR="00AE1A86" w:rsidRPr="00311768" w:rsidRDefault="00AE1A86" w:rsidP="00311768">
      <w:pPr>
        <w:jc w:val="both"/>
        <w:rPr>
          <w:rFonts w:ascii="Times New Roman" w:eastAsia="Arial" w:hAnsi="Times New Roman" w:cs="Arial"/>
          <w:b/>
          <w:bCs/>
          <w:noProof/>
          <w:sz w:val="24"/>
          <w:szCs w:val="20"/>
        </w:rPr>
      </w:pPr>
    </w:p>
    <w:p w14:paraId="1B4C8B56" w14:textId="77777777" w:rsidR="00AE1A86" w:rsidRPr="00311768" w:rsidRDefault="00AE1A86" w:rsidP="00BF6ECC">
      <w:pPr>
        <w:pStyle w:val="Heading1"/>
        <w:ind w:left="0"/>
        <w:jc w:val="center"/>
        <w:rPr>
          <w:noProof/>
        </w:rPr>
      </w:pPr>
      <w:r>
        <w:t>Teksta grozījumi</w:t>
      </w:r>
    </w:p>
    <w:p w14:paraId="628A1EDB" w14:textId="77777777" w:rsidR="00AE1A86" w:rsidRPr="00311768" w:rsidRDefault="00AE1A86" w:rsidP="00BF6ECC">
      <w:pPr>
        <w:jc w:val="center"/>
        <w:rPr>
          <w:rFonts w:ascii="Times New Roman" w:eastAsia="Times New Roman" w:hAnsi="Times New Roman" w:cs="Times New Roman"/>
          <w:b/>
          <w:bCs/>
          <w:noProof/>
          <w:sz w:val="24"/>
          <w:szCs w:val="21"/>
        </w:rPr>
      </w:pPr>
    </w:p>
    <w:p w14:paraId="67CEB5BC" w14:textId="77777777" w:rsidR="00BF6ECC" w:rsidRDefault="00AE1A86" w:rsidP="00BF6ECC">
      <w:pPr>
        <w:jc w:val="center"/>
        <w:rPr>
          <w:rFonts w:ascii="Times New Roman" w:hAnsi="Times New Roman"/>
          <w:b/>
          <w:noProof/>
          <w:sz w:val="24"/>
        </w:rPr>
      </w:pPr>
      <w:r>
        <w:rPr>
          <w:rFonts w:ascii="Times New Roman" w:hAnsi="Times New Roman"/>
          <w:b/>
          <w:sz w:val="24"/>
        </w:rPr>
        <w:t>I sadaļa</w:t>
      </w:r>
    </w:p>
    <w:p w14:paraId="001EE902" w14:textId="77777777" w:rsidR="00AE1A86" w:rsidRDefault="00AE1A86" w:rsidP="00BF6ECC">
      <w:pPr>
        <w:jc w:val="center"/>
        <w:rPr>
          <w:rFonts w:ascii="Times New Roman" w:hAnsi="Times New Roman"/>
          <w:b/>
          <w:noProof/>
          <w:sz w:val="24"/>
        </w:rPr>
      </w:pPr>
      <w:r>
        <w:rPr>
          <w:rFonts w:ascii="Times New Roman" w:hAnsi="Times New Roman"/>
          <w:b/>
          <w:sz w:val="24"/>
        </w:rPr>
        <w:t>Vispārīgie noteikumi</w:t>
      </w:r>
    </w:p>
    <w:p w14:paraId="3CDDA0EF" w14:textId="77777777" w:rsidR="00BF6ECC" w:rsidRPr="00BF6ECC" w:rsidRDefault="00BF6ECC" w:rsidP="00BF6ECC">
      <w:pPr>
        <w:jc w:val="center"/>
        <w:rPr>
          <w:rFonts w:ascii="Times New Roman" w:hAnsi="Times New Roman"/>
          <w:b/>
          <w:noProof/>
          <w:sz w:val="24"/>
        </w:rPr>
      </w:pPr>
    </w:p>
    <w:p w14:paraId="1D73B4F0" w14:textId="77777777" w:rsidR="00BF6ECC" w:rsidRDefault="00AE1A86" w:rsidP="00BF6ECC">
      <w:pPr>
        <w:jc w:val="center"/>
        <w:rPr>
          <w:rFonts w:ascii="Times New Roman" w:hAnsi="Times New Roman"/>
          <w:b/>
          <w:noProof/>
          <w:sz w:val="24"/>
        </w:rPr>
      </w:pPr>
      <w:r>
        <w:rPr>
          <w:rFonts w:ascii="Times New Roman" w:hAnsi="Times New Roman"/>
          <w:b/>
          <w:sz w:val="24"/>
        </w:rPr>
        <w:t>3. pants</w:t>
      </w:r>
    </w:p>
    <w:p w14:paraId="7AF12151" w14:textId="77777777" w:rsidR="00AE1A86" w:rsidRPr="00311768" w:rsidRDefault="00AE1A86" w:rsidP="00BF6ECC">
      <w:pPr>
        <w:jc w:val="center"/>
        <w:rPr>
          <w:rFonts w:ascii="Times New Roman" w:hAnsi="Times New Roman"/>
          <w:b/>
          <w:noProof/>
          <w:sz w:val="24"/>
        </w:rPr>
      </w:pPr>
      <w:r>
        <w:rPr>
          <w:rFonts w:ascii="Times New Roman" w:hAnsi="Times New Roman"/>
          <w:b/>
          <w:sz w:val="24"/>
        </w:rPr>
        <w:t>Definīcijas</w:t>
      </w:r>
    </w:p>
    <w:p w14:paraId="0F98213B" w14:textId="77777777" w:rsidR="00AE1A86" w:rsidRPr="00311768" w:rsidRDefault="00AE1A86" w:rsidP="00311768">
      <w:pPr>
        <w:jc w:val="both"/>
        <w:rPr>
          <w:rFonts w:ascii="Times New Roman" w:eastAsia="Times New Roman" w:hAnsi="Times New Roman" w:cs="Times New Roman"/>
          <w:b/>
          <w:bCs/>
          <w:noProof/>
          <w:sz w:val="24"/>
          <w:szCs w:val="14"/>
        </w:rPr>
      </w:pPr>
    </w:p>
    <w:p w14:paraId="5A3F9133" w14:textId="77777777" w:rsidR="00AE1A86" w:rsidRPr="00311768" w:rsidRDefault="00AE1A86" w:rsidP="00311768">
      <w:pPr>
        <w:jc w:val="both"/>
        <w:rPr>
          <w:rFonts w:ascii="Times New Roman" w:hAnsi="Times New Roman"/>
          <w:i/>
          <w:noProof/>
          <w:sz w:val="24"/>
        </w:rPr>
      </w:pPr>
      <w:r>
        <w:rPr>
          <w:rFonts w:ascii="Times New Roman" w:hAnsi="Times New Roman"/>
          <w:i/>
          <w:sz w:val="24"/>
        </w:rPr>
        <w:t>Groza b), c), f) un g) punktu, to izsakot šādā redakcijā:</w:t>
      </w:r>
    </w:p>
    <w:p w14:paraId="53B23747" w14:textId="77777777" w:rsidR="00AE1A86" w:rsidRPr="00311768" w:rsidRDefault="00AE1A86" w:rsidP="00311768">
      <w:pPr>
        <w:jc w:val="both"/>
        <w:rPr>
          <w:rFonts w:ascii="Times New Roman" w:eastAsia="Times New Roman" w:hAnsi="Times New Roman" w:cs="Times New Roman"/>
          <w:i/>
          <w:noProof/>
          <w:sz w:val="24"/>
          <w:szCs w:val="20"/>
        </w:rPr>
      </w:pPr>
    </w:p>
    <w:p w14:paraId="76FF9241" w14:textId="77777777" w:rsidR="00AE1A86" w:rsidRPr="00311768" w:rsidRDefault="00AE1A86" w:rsidP="00311768">
      <w:pPr>
        <w:jc w:val="both"/>
        <w:rPr>
          <w:rFonts w:ascii="Times New Roman" w:hAnsi="Times New Roman"/>
          <w:i/>
          <w:noProof/>
          <w:sz w:val="24"/>
        </w:rPr>
      </w:pPr>
      <w:r>
        <w:rPr>
          <w:rFonts w:ascii="Times New Roman" w:hAnsi="Times New Roman"/>
          <w:i/>
          <w:sz w:val="24"/>
        </w:rPr>
        <w:t>(Vienveida noteikumu nolūkiem termins)</w:t>
      </w:r>
    </w:p>
    <w:p w14:paraId="459AC44B" w14:textId="77777777" w:rsidR="00AE1A86" w:rsidRPr="00311768" w:rsidRDefault="00AE1A86" w:rsidP="00311768">
      <w:pPr>
        <w:jc w:val="both"/>
        <w:rPr>
          <w:rFonts w:ascii="Times New Roman" w:eastAsia="Times New Roman" w:hAnsi="Times New Roman" w:cs="Times New Roman"/>
          <w:i/>
          <w:noProof/>
          <w:sz w:val="24"/>
          <w:szCs w:val="21"/>
        </w:rPr>
      </w:pPr>
    </w:p>
    <w:p w14:paraId="5D6954AD" w14:textId="77777777" w:rsidR="00AE1A86" w:rsidRPr="00311768" w:rsidRDefault="00BF6ECC" w:rsidP="00BF6ECC">
      <w:pPr>
        <w:pStyle w:val="BodyText"/>
        <w:tabs>
          <w:tab w:val="left" w:pos="970"/>
        </w:tabs>
        <w:ind w:left="0" w:firstLine="0"/>
        <w:jc w:val="both"/>
        <w:rPr>
          <w:noProof/>
        </w:rPr>
      </w:pPr>
      <w:r>
        <w:t>b) “pārvaldītājs” nozīmē personu, kura nodrošina piekļuvi dzelzceļa infrastruktūrai un kurai ir pienākumi saskaņā ar likumiem un noteikumiem, kas ir spēkā valstī, kurā atrodas šī dzelzceļa infrastruktūra;</w:t>
      </w:r>
    </w:p>
    <w:p w14:paraId="2CE24C1D" w14:textId="77777777" w:rsidR="00AE1A86" w:rsidRPr="00311768" w:rsidRDefault="00AE1A86" w:rsidP="00311768">
      <w:pPr>
        <w:jc w:val="both"/>
        <w:rPr>
          <w:rFonts w:ascii="Times New Roman" w:eastAsia="Times New Roman" w:hAnsi="Times New Roman" w:cs="Times New Roman"/>
          <w:noProof/>
          <w:sz w:val="24"/>
          <w:szCs w:val="20"/>
        </w:rPr>
      </w:pPr>
    </w:p>
    <w:p w14:paraId="008EB128" w14:textId="77777777" w:rsidR="00AE1A86" w:rsidRPr="00311768" w:rsidRDefault="00BF6ECC" w:rsidP="00BF6ECC">
      <w:pPr>
        <w:pStyle w:val="BodyText"/>
        <w:tabs>
          <w:tab w:val="left" w:pos="969"/>
        </w:tabs>
        <w:ind w:left="0" w:firstLine="0"/>
        <w:jc w:val="both"/>
        <w:rPr>
          <w:noProof/>
        </w:rPr>
      </w:pPr>
      <w:r>
        <w:t xml:space="preserve">c) “pārvadātājs” nozīmē personu, kura saskaņā ar </w:t>
      </w:r>
      <w:r>
        <w:rPr>
          <w:i/>
          <w:iCs/>
        </w:rPr>
        <w:t xml:space="preserve">CIV </w:t>
      </w:r>
      <w:r>
        <w:t xml:space="preserve">Vienveida noteikumiem un </w:t>
      </w:r>
      <w:r>
        <w:rPr>
          <w:i/>
          <w:iCs/>
        </w:rPr>
        <w:t>CIM</w:t>
      </w:r>
      <w:r>
        <w:t xml:space="preserve"> Vienveida noteikumiem veic pasažieru vai preču starptautiskos dzelzceļa pārvadājumus un kura ir licencēta saskaņā ar likumiem un noteikumiem, kas attiecas uz licencēšanu un licenču atzīšanu un kas ir spēkā valstī, kurā minētā persona veic šo darbību;</w:t>
      </w:r>
    </w:p>
    <w:p w14:paraId="7D2EFCFB" w14:textId="77777777" w:rsidR="00AE1A86" w:rsidRPr="00311768" w:rsidRDefault="00AE1A86" w:rsidP="00311768">
      <w:pPr>
        <w:jc w:val="both"/>
        <w:rPr>
          <w:rFonts w:ascii="Times New Roman" w:eastAsia="Times New Roman" w:hAnsi="Times New Roman" w:cs="Times New Roman"/>
          <w:noProof/>
          <w:sz w:val="24"/>
          <w:szCs w:val="20"/>
        </w:rPr>
      </w:pPr>
    </w:p>
    <w:p w14:paraId="0EAC24E5" w14:textId="77777777" w:rsidR="00AE1A86" w:rsidRPr="00311768" w:rsidRDefault="00BF6ECC" w:rsidP="00BF6ECC">
      <w:pPr>
        <w:pStyle w:val="BodyText"/>
        <w:tabs>
          <w:tab w:val="left" w:pos="970"/>
        </w:tabs>
        <w:ind w:left="0" w:firstLine="0"/>
        <w:jc w:val="both"/>
        <w:rPr>
          <w:noProof/>
        </w:rPr>
      </w:pPr>
      <w:r>
        <w:t>f) “licence” nozīmē atļauju, ko saskaņā ar valsts spēkā esošajiem likumiem un noteikumiem dzelzceļa pārvadājumu uzņēmumam izsniegusi tā valsts, kura atzinusi attiecīgā pārvadātāja spēju veikt pārvadājumus;</w:t>
      </w:r>
    </w:p>
    <w:p w14:paraId="7D102002" w14:textId="77777777" w:rsidR="00AE1A86" w:rsidRPr="00311768" w:rsidRDefault="00AE1A86" w:rsidP="00311768">
      <w:pPr>
        <w:jc w:val="both"/>
        <w:rPr>
          <w:rFonts w:ascii="Times New Roman" w:eastAsia="Times New Roman" w:hAnsi="Times New Roman" w:cs="Times New Roman"/>
          <w:noProof/>
          <w:sz w:val="24"/>
          <w:szCs w:val="20"/>
        </w:rPr>
      </w:pPr>
    </w:p>
    <w:p w14:paraId="6EA8DD1E" w14:textId="77777777" w:rsidR="00AE1A86" w:rsidRPr="00311768" w:rsidRDefault="00BF6ECC" w:rsidP="00BF6ECC">
      <w:pPr>
        <w:pStyle w:val="BodyText"/>
        <w:tabs>
          <w:tab w:val="left" w:pos="970"/>
        </w:tabs>
        <w:ind w:left="0" w:firstLine="0"/>
        <w:jc w:val="both"/>
        <w:rPr>
          <w:noProof/>
        </w:rPr>
      </w:pPr>
      <w:r>
        <w:t>g) “drošības sertifikāts” nozīmē dokumentu, kurš saskaņā ar tajā valstī spēkā esošajiem likumiem un noteikumiem, kurā atrodas attiecīgā infrastruktūra, apliecina, ka tiktāl, ciktāl tas skar pārvadātāju,</w:t>
      </w:r>
    </w:p>
    <w:p w14:paraId="5F37B36B" w14:textId="77777777" w:rsidR="00AE1A86" w:rsidRPr="00311768" w:rsidRDefault="00AE1A86" w:rsidP="00311768">
      <w:pPr>
        <w:jc w:val="both"/>
        <w:rPr>
          <w:rFonts w:ascii="Times New Roman" w:eastAsia="Times New Roman" w:hAnsi="Times New Roman" w:cs="Times New Roman"/>
          <w:noProof/>
          <w:sz w:val="24"/>
          <w:szCs w:val="24"/>
        </w:rPr>
      </w:pPr>
    </w:p>
    <w:p w14:paraId="76EB02E2" w14:textId="77777777" w:rsidR="00AE1A86" w:rsidRPr="00311768" w:rsidRDefault="00AE1A86" w:rsidP="00BF6ECC">
      <w:pPr>
        <w:pStyle w:val="BodyText"/>
        <w:numPr>
          <w:ilvl w:val="1"/>
          <w:numId w:val="9"/>
        </w:numPr>
        <w:ind w:left="426" w:hanging="426"/>
        <w:jc w:val="both"/>
        <w:rPr>
          <w:noProof/>
        </w:rPr>
      </w:pPr>
      <w:r>
        <w:t>uzņēmuma iekšējā organizācija, kā arī</w:t>
      </w:r>
    </w:p>
    <w:p w14:paraId="30DA9156" w14:textId="77777777" w:rsidR="00AE1A86" w:rsidRPr="00311768" w:rsidRDefault="00AE1A86" w:rsidP="00BF6ECC">
      <w:pPr>
        <w:pStyle w:val="BodyText"/>
        <w:numPr>
          <w:ilvl w:val="1"/>
          <w:numId w:val="9"/>
        </w:numPr>
        <w:ind w:left="426" w:hanging="426"/>
        <w:jc w:val="both"/>
        <w:rPr>
          <w:noProof/>
        </w:rPr>
      </w:pPr>
      <w:r>
        <w:t>infrastruktūrā nodarbinātais personāls un izmantojamie ritekļi</w:t>
      </w:r>
    </w:p>
    <w:p w14:paraId="4C06662F" w14:textId="77777777" w:rsidR="00AE1A86" w:rsidRPr="00311768" w:rsidRDefault="00AE1A86" w:rsidP="00311768">
      <w:pPr>
        <w:jc w:val="both"/>
        <w:rPr>
          <w:rFonts w:ascii="Times New Roman" w:eastAsia="Times New Roman" w:hAnsi="Times New Roman" w:cs="Times New Roman"/>
          <w:noProof/>
          <w:sz w:val="24"/>
          <w:szCs w:val="21"/>
        </w:rPr>
      </w:pPr>
    </w:p>
    <w:p w14:paraId="2C8B0007" w14:textId="77777777" w:rsidR="00AE1A86" w:rsidRPr="00311768" w:rsidRDefault="00AE1A86" w:rsidP="00311768">
      <w:pPr>
        <w:pStyle w:val="BodyText"/>
        <w:ind w:left="0" w:firstLine="0"/>
        <w:jc w:val="both"/>
        <w:rPr>
          <w:noProof/>
        </w:rPr>
      </w:pPr>
      <w:r>
        <w:t>atbilst noteiktajām drošības prasībām, lai šajā infrastruktūrā nodrošinātu drošus pakalpojumus.</w:t>
      </w:r>
    </w:p>
    <w:p w14:paraId="6B8CD60C" w14:textId="77777777" w:rsidR="00BF6ECC" w:rsidRDefault="00BF6ECC">
      <w:pPr>
        <w:rPr>
          <w:rFonts w:ascii="Times New Roman" w:hAnsi="Times New Roman"/>
          <w:noProof/>
          <w:sz w:val="24"/>
        </w:rPr>
      </w:pPr>
      <w:r>
        <w:br w:type="page"/>
      </w:r>
    </w:p>
    <w:p w14:paraId="14FC6B78" w14:textId="77777777" w:rsidR="00AE1A86" w:rsidRPr="00311768" w:rsidRDefault="00AE1A86" w:rsidP="00311768">
      <w:pPr>
        <w:jc w:val="both"/>
        <w:rPr>
          <w:rFonts w:ascii="Times New Roman" w:eastAsia="Times New Roman" w:hAnsi="Times New Roman" w:cs="Times New Roman"/>
          <w:noProof/>
          <w:sz w:val="24"/>
          <w:szCs w:val="20"/>
        </w:rPr>
      </w:pPr>
    </w:p>
    <w:p w14:paraId="32B39DA8" w14:textId="77777777" w:rsidR="00BF6ECC" w:rsidRDefault="00AE1A86" w:rsidP="00BF6ECC">
      <w:pPr>
        <w:pStyle w:val="Heading1"/>
        <w:ind w:left="0"/>
        <w:jc w:val="center"/>
        <w:rPr>
          <w:noProof/>
        </w:rPr>
      </w:pPr>
      <w:r>
        <w:t>II sadaļa</w:t>
      </w:r>
    </w:p>
    <w:p w14:paraId="2FB3FF50" w14:textId="77777777" w:rsidR="00AE1A86" w:rsidRPr="00311768" w:rsidRDefault="00AE1A86" w:rsidP="00BF6ECC">
      <w:pPr>
        <w:pStyle w:val="Heading1"/>
        <w:ind w:left="0"/>
        <w:jc w:val="center"/>
        <w:rPr>
          <w:noProof/>
        </w:rPr>
      </w:pPr>
      <w:r>
        <w:t>Izmantošanas līgums</w:t>
      </w:r>
    </w:p>
    <w:p w14:paraId="27566C44" w14:textId="77777777" w:rsidR="00AE1A86" w:rsidRPr="00311768" w:rsidRDefault="00AE1A86" w:rsidP="00BF6ECC">
      <w:pPr>
        <w:jc w:val="center"/>
        <w:rPr>
          <w:rFonts w:ascii="Times New Roman" w:eastAsia="Times New Roman" w:hAnsi="Times New Roman" w:cs="Times New Roman"/>
          <w:b/>
          <w:bCs/>
          <w:noProof/>
          <w:sz w:val="24"/>
          <w:szCs w:val="20"/>
        </w:rPr>
      </w:pPr>
    </w:p>
    <w:p w14:paraId="39843C21" w14:textId="77777777" w:rsidR="00BF6ECC" w:rsidRDefault="00AE1A86" w:rsidP="00BF6ECC">
      <w:pPr>
        <w:jc w:val="center"/>
        <w:rPr>
          <w:rFonts w:ascii="Times New Roman" w:hAnsi="Times New Roman"/>
          <w:b/>
          <w:noProof/>
          <w:sz w:val="24"/>
        </w:rPr>
      </w:pPr>
      <w:r>
        <w:rPr>
          <w:rFonts w:ascii="Times New Roman" w:hAnsi="Times New Roman"/>
          <w:b/>
          <w:sz w:val="24"/>
        </w:rPr>
        <w:t>5. pants</w:t>
      </w:r>
    </w:p>
    <w:p w14:paraId="21038625" w14:textId="77777777" w:rsidR="00AE1A86" w:rsidRPr="00311768" w:rsidRDefault="00AE1A86" w:rsidP="00BF6ECC">
      <w:pPr>
        <w:jc w:val="center"/>
        <w:rPr>
          <w:rFonts w:ascii="Times New Roman" w:hAnsi="Times New Roman"/>
          <w:b/>
          <w:noProof/>
          <w:sz w:val="24"/>
        </w:rPr>
      </w:pPr>
      <w:r>
        <w:rPr>
          <w:rFonts w:ascii="Times New Roman" w:hAnsi="Times New Roman"/>
          <w:b/>
          <w:sz w:val="24"/>
        </w:rPr>
        <w:t>Saturs un forma</w:t>
      </w:r>
    </w:p>
    <w:p w14:paraId="1F3E1036" w14:textId="77777777" w:rsidR="00AE1A86" w:rsidRPr="00311768" w:rsidRDefault="00AE1A86" w:rsidP="00311768">
      <w:pPr>
        <w:jc w:val="both"/>
        <w:rPr>
          <w:rFonts w:ascii="Times New Roman" w:eastAsia="Times New Roman" w:hAnsi="Times New Roman" w:cs="Times New Roman"/>
          <w:b/>
          <w:bCs/>
          <w:noProof/>
          <w:sz w:val="24"/>
          <w:szCs w:val="14"/>
        </w:rPr>
      </w:pPr>
    </w:p>
    <w:p w14:paraId="2B00A822" w14:textId="77777777" w:rsidR="00AE1A86" w:rsidRPr="00311768" w:rsidRDefault="00AE1A86" w:rsidP="00311768">
      <w:pPr>
        <w:jc w:val="both"/>
        <w:rPr>
          <w:rFonts w:ascii="Times New Roman" w:eastAsia="Times New Roman" w:hAnsi="Times New Roman" w:cs="Times New Roman"/>
          <w:i/>
          <w:noProof/>
          <w:sz w:val="24"/>
          <w:szCs w:val="24"/>
        </w:rPr>
      </w:pPr>
      <w:r>
        <w:rPr>
          <w:rFonts w:ascii="Times New Roman" w:hAnsi="Times New Roman"/>
          <w:i/>
          <w:sz w:val="24"/>
          <w:szCs w:val="24"/>
        </w:rPr>
        <w:t>Groza 1. un 2. §, tos izsakot šādā redakcijā:</w:t>
      </w:r>
    </w:p>
    <w:p w14:paraId="533EE2E3" w14:textId="77777777" w:rsidR="00AE1A86" w:rsidRPr="00311768" w:rsidRDefault="00AE1A86" w:rsidP="00311768">
      <w:pPr>
        <w:jc w:val="both"/>
        <w:rPr>
          <w:rFonts w:ascii="Times New Roman" w:eastAsia="Times New Roman" w:hAnsi="Times New Roman" w:cs="Times New Roman"/>
          <w:i/>
          <w:noProof/>
          <w:sz w:val="24"/>
          <w:szCs w:val="15"/>
        </w:rPr>
      </w:pPr>
    </w:p>
    <w:p w14:paraId="2E9303B2" w14:textId="77777777" w:rsidR="00AE1A86" w:rsidRPr="00311768" w:rsidRDefault="00AE1A86" w:rsidP="00BF6ECC">
      <w:pPr>
        <w:pStyle w:val="BodyText"/>
        <w:ind w:left="0" w:firstLine="0"/>
        <w:jc w:val="center"/>
        <w:rPr>
          <w:noProof/>
        </w:rPr>
      </w:pPr>
      <w:r>
        <w:t>“1. §.</w:t>
      </w:r>
    </w:p>
    <w:p w14:paraId="59018659" w14:textId="77777777" w:rsidR="00AE1A86" w:rsidRPr="00311768" w:rsidRDefault="00AE1A86" w:rsidP="00311768">
      <w:pPr>
        <w:jc w:val="both"/>
        <w:rPr>
          <w:rFonts w:ascii="Times New Roman" w:eastAsia="Times New Roman" w:hAnsi="Times New Roman" w:cs="Times New Roman"/>
          <w:noProof/>
          <w:sz w:val="24"/>
          <w:szCs w:val="21"/>
        </w:rPr>
      </w:pPr>
    </w:p>
    <w:p w14:paraId="2A8BF780" w14:textId="77777777" w:rsidR="00AE1A86" w:rsidRPr="00311768" w:rsidRDefault="00AE1A86" w:rsidP="00311768">
      <w:pPr>
        <w:pStyle w:val="BodyText"/>
        <w:ind w:left="0" w:firstLine="0"/>
        <w:jc w:val="both"/>
        <w:rPr>
          <w:noProof/>
        </w:rPr>
      </w:pPr>
      <w:r>
        <w:t>Attiecības starp pārvaldītāju un pārvadātāju vai jebkuru citu personu, kura ir tiesīga noslēgt šādu līgumu saskaņā ar likumiem un noteikumiem, kas ir spēkā valstī, kurā atrodas attiecīgā infrastruktūra, regulē izmantošanas līgumā.</w:t>
      </w:r>
    </w:p>
    <w:p w14:paraId="56A2A3F1" w14:textId="77777777" w:rsidR="00AE1A86" w:rsidRPr="00311768" w:rsidRDefault="00AE1A86" w:rsidP="00311768">
      <w:pPr>
        <w:jc w:val="both"/>
        <w:rPr>
          <w:rFonts w:ascii="Times New Roman" w:eastAsia="Times New Roman" w:hAnsi="Times New Roman" w:cs="Times New Roman"/>
          <w:noProof/>
          <w:sz w:val="24"/>
          <w:szCs w:val="20"/>
        </w:rPr>
      </w:pPr>
    </w:p>
    <w:p w14:paraId="38784877" w14:textId="77777777" w:rsidR="00AE1A86" w:rsidRPr="00311768" w:rsidRDefault="00AE1A86" w:rsidP="00BF6ECC">
      <w:pPr>
        <w:pStyle w:val="BodyText"/>
        <w:ind w:left="0" w:firstLine="0"/>
        <w:jc w:val="center"/>
        <w:rPr>
          <w:noProof/>
        </w:rPr>
      </w:pPr>
      <w:r>
        <w:t>2. §.</w:t>
      </w:r>
    </w:p>
    <w:p w14:paraId="7980D6FE" w14:textId="77777777" w:rsidR="00AE1A86" w:rsidRPr="00311768" w:rsidRDefault="00AE1A86" w:rsidP="00311768">
      <w:pPr>
        <w:jc w:val="both"/>
        <w:rPr>
          <w:rFonts w:ascii="Times New Roman" w:eastAsia="Times New Roman" w:hAnsi="Times New Roman" w:cs="Times New Roman"/>
          <w:noProof/>
          <w:sz w:val="24"/>
          <w:szCs w:val="21"/>
        </w:rPr>
      </w:pPr>
    </w:p>
    <w:p w14:paraId="5EC4BF57" w14:textId="77777777" w:rsidR="00AE1A86" w:rsidRPr="00311768" w:rsidRDefault="00AE1A86" w:rsidP="00311768">
      <w:pPr>
        <w:pStyle w:val="BodyText"/>
        <w:ind w:left="0" w:firstLine="0"/>
        <w:jc w:val="both"/>
        <w:rPr>
          <w:noProof/>
        </w:rPr>
      </w:pPr>
      <w:r>
        <w:t>Līgums regulē to, kāda informācija ir nepieciešama, lai noteiktu izmantošanas administratīvos, tehniskos un finanšu nosacījumus.”</w:t>
      </w:r>
    </w:p>
    <w:p w14:paraId="3CED4A31" w14:textId="77777777" w:rsidR="00AE1A86" w:rsidRPr="00311768" w:rsidRDefault="00AE1A86" w:rsidP="00311768">
      <w:pPr>
        <w:jc w:val="both"/>
        <w:rPr>
          <w:rFonts w:ascii="Times New Roman" w:eastAsia="Times New Roman" w:hAnsi="Times New Roman" w:cs="Times New Roman"/>
          <w:noProof/>
          <w:sz w:val="24"/>
          <w:szCs w:val="20"/>
        </w:rPr>
      </w:pPr>
    </w:p>
    <w:p w14:paraId="76440E9E" w14:textId="77777777" w:rsidR="00AE1A86" w:rsidRPr="00311768" w:rsidRDefault="00AE1A86" w:rsidP="00311768">
      <w:pPr>
        <w:jc w:val="both"/>
        <w:rPr>
          <w:rFonts w:ascii="Times New Roman" w:hAnsi="Times New Roman"/>
          <w:i/>
          <w:noProof/>
          <w:sz w:val="24"/>
        </w:rPr>
      </w:pPr>
      <w:r>
        <w:rPr>
          <w:rFonts w:ascii="Times New Roman" w:hAnsi="Times New Roman"/>
          <w:i/>
          <w:sz w:val="24"/>
        </w:rPr>
        <w:t>Pēc 5. panta iekļauj šādu jaunu 5.bis pantu:</w:t>
      </w:r>
    </w:p>
    <w:p w14:paraId="2BF1B4EB" w14:textId="77777777" w:rsidR="00AE1A86" w:rsidRPr="00311768" w:rsidRDefault="00AE1A86" w:rsidP="00311768">
      <w:pPr>
        <w:jc w:val="both"/>
        <w:rPr>
          <w:rFonts w:ascii="Times New Roman" w:eastAsia="Times New Roman" w:hAnsi="Times New Roman" w:cs="Times New Roman"/>
          <w:i/>
          <w:noProof/>
          <w:sz w:val="24"/>
          <w:szCs w:val="21"/>
        </w:rPr>
      </w:pPr>
    </w:p>
    <w:p w14:paraId="72B6560A" w14:textId="77777777" w:rsidR="00AE1A86" w:rsidRPr="00311768" w:rsidRDefault="00AE1A86" w:rsidP="00BF6ECC">
      <w:pPr>
        <w:pStyle w:val="Heading1"/>
        <w:ind w:left="0"/>
        <w:jc w:val="center"/>
        <w:rPr>
          <w:noProof/>
        </w:rPr>
      </w:pPr>
      <w:r>
        <w:t>“5.bis pants</w:t>
      </w:r>
    </w:p>
    <w:p w14:paraId="580FA016" w14:textId="77777777" w:rsidR="00AE1A86" w:rsidRPr="00311768" w:rsidRDefault="00AE1A86" w:rsidP="00BF6ECC">
      <w:pPr>
        <w:jc w:val="center"/>
        <w:rPr>
          <w:rFonts w:ascii="Times New Roman" w:hAnsi="Times New Roman"/>
          <w:b/>
          <w:noProof/>
          <w:sz w:val="24"/>
        </w:rPr>
      </w:pPr>
      <w:r>
        <w:rPr>
          <w:rFonts w:ascii="Times New Roman" w:hAnsi="Times New Roman"/>
          <w:b/>
          <w:sz w:val="24"/>
        </w:rPr>
        <w:t>Neskartie tiesību akti</w:t>
      </w:r>
    </w:p>
    <w:p w14:paraId="6A7D5FE7" w14:textId="77777777" w:rsidR="00AE1A86" w:rsidRPr="00311768" w:rsidRDefault="00AE1A86" w:rsidP="00311768">
      <w:pPr>
        <w:jc w:val="both"/>
        <w:rPr>
          <w:rFonts w:ascii="Times New Roman" w:eastAsia="Times New Roman" w:hAnsi="Times New Roman" w:cs="Times New Roman"/>
          <w:b/>
          <w:bCs/>
          <w:noProof/>
          <w:sz w:val="24"/>
          <w:szCs w:val="20"/>
        </w:rPr>
      </w:pPr>
    </w:p>
    <w:p w14:paraId="66D5210B" w14:textId="77777777" w:rsidR="00AE1A86" w:rsidRPr="00311768" w:rsidRDefault="00AE1A86" w:rsidP="00311768">
      <w:pPr>
        <w:pStyle w:val="BodyText"/>
        <w:ind w:left="0" w:firstLine="0"/>
        <w:jc w:val="both"/>
        <w:rPr>
          <w:noProof/>
        </w:rPr>
      </w:pPr>
      <w:r>
        <w:t>1. §. Šā papildinājuma 5., 6., 7. un 22. panta noteikumi neietekmē saistības, kuras infrastruktūras izmantošanas līguma pusēm ir jāizpilda saskaņā ar likumiem un noteikumiem, kas ir spēkā valstī, kurā atrodas attiecīgā infrastruktūra, tostarp, attiecīgos gadījumos, saskaņā ar Eiropas Kopienas tiesību aktiem.</w:t>
      </w:r>
    </w:p>
    <w:p w14:paraId="19619411" w14:textId="77777777" w:rsidR="00AE1A86" w:rsidRPr="00311768" w:rsidRDefault="00AE1A86" w:rsidP="00311768">
      <w:pPr>
        <w:jc w:val="both"/>
        <w:rPr>
          <w:rFonts w:ascii="Times New Roman" w:eastAsia="Times New Roman" w:hAnsi="Times New Roman" w:cs="Times New Roman"/>
          <w:noProof/>
          <w:sz w:val="24"/>
          <w:szCs w:val="20"/>
        </w:rPr>
      </w:pPr>
    </w:p>
    <w:p w14:paraId="4F7A0753" w14:textId="77777777" w:rsidR="00AE1A86" w:rsidRPr="00311768" w:rsidRDefault="00AE1A86" w:rsidP="00311768">
      <w:pPr>
        <w:pStyle w:val="BodyText"/>
        <w:ind w:left="0" w:firstLine="0"/>
        <w:jc w:val="both"/>
        <w:rPr>
          <w:noProof/>
        </w:rPr>
      </w:pPr>
      <w:r>
        <w:t>2. §. Šā papildinājuma 8 un 9. panta noteikumi neietekmē saistības, kas infrastruktūras izmantošanas līguma pusēm ir jāizpilda EK dalībvalstī vai valstī, kurā Kopienas tiesību akti tiek piemēroti, pamatojoties uz starptautiskiem nolīgumiem ar Eiropas Kopienu.</w:t>
      </w:r>
    </w:p>
    <w:p w14:paraId="1777C901" w14:textId="77777777" w:rsidR="00AE1A86" w:rsidRPr="00311768" w:rsidRDefault="00AE1A86" w:rsidP="00311768">
      <w:pPr>
        <w:jc w:val="both"/>
        <w:rPr>
          <w:rFonts w:ascii="Times New Roman" w:eastAsia="Times New Roman" w:hAnsi="Times New Roman" w:cs="Times New Roman"/>
          <w:noProof/>
          <w:sz w:val="24"/>
          <w:szCs w:val="20"/>
        </w:rPr>
      </w:pPr>
    </w:p>
    <w:p w14:paraId="6966FAA3" w14:textId="77777777" w:rsidR="00AE1A86" w:rsidRPr="00311768" w:rsidRDefault="00AE1A86" w:rsidP="00311768">
      <w:pPr>
        <w:pStyle w:val="BodyText"/>
        <w:ind w:left="0" w:firstLine="0"/>
        <w:jc w:val="both"/>
        <w:rPr>
          <w:noProof/>
        </w:rPr>
      </w:pPr>
      <w:r>
        <w:t>3. §. Šā panta 1. un 2. § īpaši attiecas uz:</w:t>
      </w:r>
    </w:p>
    <w:p w14:paraId="2EAA1FCC" w14:textId="77777777" w:rsidR="00AE1A86" w:rsidRPr="00311768" w:rsidRDefault="00AE1A86" w:rsidP="00311768">
      <w:pPr>
        <w:jc w:val="both"/>
        <w:rPr>
          <w:rFonts w:ascii="Times New Roman" w:eastAsia="Times New Roman" w:hAnsi="Times New Roman" w:cs="Times New Roman"/>
          <w:noProof/>
          <w:sz w:val="24"/>
          <w:szCs w:val="21"/>
        </w:rPr>
      </w:pPr>
    </w:p>
    <w:p w14:paraId="4F92B41E" w14:textId="77777777" w:rsidR="00AE1A86" w:rsidRPr="00311768" w:rsidRDefault="00AE1A86" w:rsidP="00BF6ECC">
      <w:pPr>
        <w:pStyle w:val="BodyText"/>
        <w:numPr>
          <w:ilvl w:val="0"/>
          <w:numId w:val="8"/>
        </w:numPr>
        <w:ind w:left="426" w:hanging="426"/>
        <w:jc w:val="both"/>
        <w:rPr>
          <w:noProof/>
        </w:rPr>
      </w:pPr>
      <w:r>
        <w:t>līgumiem, kas noslēdzami starp dzelzceļa pārvadājumu uzņēmumu vai pilnvarotiem pretendentiem un infrastruktūras pārvaldītājiem;</w:t>
      </w:r>
    </w:p>
    <w:p w14:paraId="4A14C907" w14:textId="77777777" w:rsidR="00AE1A86" w:rsidRPr="00311768" w:rsidRDefault="00AE1A86" w:rsidP="00BF6ECC">
      <w:pPr>
        <w:pStyle w:val="BodyText"/>
        <w:numPr>
          <w:ilvl w:val="0"/>
          <w:numId w:val="8"/>
        </w:numPr>
        <w:ind w:left="426" w:hanging="426"/>
        <w:jc w:val="both"/>
        <w:rPr>
          <w:noProof/>
        </w:rPr>
      </w:pPr>
      <w:r>
        <w:t>licencēšanu;</w:t>
      </w:r>
    </w:p>
    <w:p w14:paraId="1A70DB20" w14:textId="77777777" w:rsidR="00AE1A86" w:rsidRPr="00311768" w:rsidRDefault="00AE1A86" w:rsidP="00BF6ECC">
      <w:pPr>
        <w:pStyle w:val="BodyText"/>
        <w:numPr>
          <w:ilvl w:val="0"/>
          <w:numId w:val="8"/>
        </w:numPr>
        <w:ind w:left="426" w:hanging="426"/>
        <w:jc w:val="both"/>
        <w:rPr>
          <w:noProof/>
        </w:rPr>
      </w:pPr>
      <w:r>
        <w:t>drošības sertifikāciju;</w:t>
      </w:r>
    </w:p>
    <w:p w14:paraId="76931C56" w14:textId="77777777" w:rsidR="00AE1A86" w:rsidRPr="00311768" w:rsidRDefault="00AE1A86" w:rsidP="00BF6ECC">
      <w:pPr>
        <w:pStyle w:val="BodyText"/>
        <w:numPr>
          <w:ilvl w:val="0"/>
          <w:numId w:val="8"/>
        </w:numPr>
        <w:ind w:left="426" w:hanging="426"/>
        <w:jc w:val="both"/>
        <w:rPr>
          <w:noProof/>
        </w:rPr>
      </w:pPr>
      <w:r>
        <w:t>apdrošināšanu;</w:t>
      </w:r>
    </w:p>
    <w:p w14:paraId="04B2F48D" w14:textId="77777777" w:rsidR="00AE1A86" w:rsidRPr="00311768" w:rsidRDefault="00AE1A86" w:rsidP="00BF6ECC">
      <w:pPr>
        <w:pStyle w:val="BodyText"/>
        <w:numPr>
          <w:ilvl w:val="0"/>
          <w:numId w:val="8"/>
        </w:numPr>
        <w:ind w:left="426" w:hanging="426"/>
        <w:jc w:val="both"/>
        <w:rPr>
          <w:noProof/>
        </w:rPr>
      </w:pPr>
      <w:r>
        <w:t>maksas iekasēšanu, izmantojot darbības uzlabošanas shēmas, lai samazinātu aizkavēšanos un pārtraukšanu, kā arī uzlabotu dzelzceļa tīkla darbību;</w:t>
      </w:r>
    </w:p>
    <w:p w14:paraId="605C6883" w14:textId="77777777" w:rsidR="00AE1A86" w:rsidRPr="00311768" w:rsidRDefault="00AE1A86" w:rsidP="00BF6ECC">
      <w:pPr>
        <w:pStyle w:val="BodyText"/>
        <w:numPr>
          <w:ilvl w:val="0"/>
          <w:numId w:val="8"/>
        </w:numPr>
        <w:ind w:left="426" w:hanging="426"/>
        <w:jc w:val="both"/>
        <w:rPr>
          <w:noProof/>
        </w:rPr>
      </w:pPr>
      <w:r>
        <w:t>kompensācijas pasākumiem par labu klientiem un</w:t>
      </w:r>
    </w:p>
    <w:p w14:paraId="542258A2" w14:textId="77777777" w:rsidR="00AE1A86" w:rsidRPr="00311768" w:rsidRDefault="00AE1A86" w:rsidP="00BF6ECC">
      <w:pPr>
        <w:pStyle w:val="BodyText"/>
        <w:numPr>
          <w:ilvl w:val="0"/>
          <w:numId w:val="8"/>
        </w:numPr>
        <w:ind w:left="426" w:hanging="426"/>
        <w:jc w:val="both"/>
        <w:rPr>
          <w:noProof/>
        </w:rPr>
      </w:pPr>
      <w:r>
        <w:t>strīdu izšķiršanu.”</w:t>
      </w:r>
    </w:p>
    <w:p w14:paraId="44AF2009" w14:textId="77777777" w:rsidR="00AE1A86" w:rsidRPr="00311768" w:rsidRDefault="00AE1A86" w:rsidP="00311768">
      <w:pPr>
        <w:jc w:val="both"/>
        <w:rPr>
          <w:rFonts w:ascii="Times New Roman" w:eastAsia="Times New Roman" w:hAnsi="Times New Roman" w:cs="Times New Roman"/>
          <w:noProof/>
          <w:sz w:val="24"/>
          <w:szCs w:val="20"/>
        </w:rPr>
      </w:pPr>
    </w:p>
    <w:p w14:paraId="0D6CC34D" w14:textId="77777777" w:rsidR="00AE1A86" w:rsidRPr="00311768" w:rsidRDefault="00AE1A86" w:rsidP="00BF6ECC">
      <w:pPr>
        <w:pStyle w:val="Heading1"/>
        <w:ind w:left="0"/>
        <w:jc w:val="center"/>
        <w:rPr>
          <w:noProof/>
        </w:rPr>
      </w:pPr>
      <w:r>
        <w:t>6. pants</w:t>
      </w:r>
    </w:p>
    <w:p w14:paraId="208D2622" w14:textId="77777777" w:rsidR="00AE1A86" w:rsidRPr="00311768" w:rsidRDefault="00AE1A86" w:rsidP="00BF6ECC">
      <w:pPr>
        <w:jc w:val="center"/>
        <w:rPr>
          <w:rFonts w:ascii="Times New Roman" w:hAnsi="Times New Roman"/>
          <w:b/>
          <w:noProof/>
          <w:sz w:val="24"/>
        </w:rPr>
      </w:pPr>
      <w:r>
        <w:rPr>
          <w:rFonts w:ascii="Times New Roman" w:hAnsi="Times New Roman"/>
          <w:b/>
          <w:sz w:val="24"/>
        </w:rPr>
        <w:t>Pārvadātāja un pārvaldītāja īpašās saistības</w:t>
      </w:r>
    </w:p>
    <w:p w14:paraId="61FCB2ED" w14:textId="77777777" w:rsidR="00AE1A86" w:rsidRPr="00311768" w:rsidRDefault="00AE1A86" w:rsidP="00311768">
      <w:pPr>
        <w:jc w:val="both"/>
        <w:rPr>
          <w:rFonts w:ascii="Times New Roman" w:eastAsia="Times New Roman" w:hAnsi="Times New Roman" w:cs="Times New Roman"/>
          <w:b/>
          <w:bCs/>
          <w:noProof/>
          <w:sz w:val="24"/>
          <w:szCs w:val="14"/>
        </w:rPr>
      </w:pPr>
    </w:p>
    <w:p w14:paraId="3669205D" w14:textId="77777777" w:rsidR="00AE1A86" w:rsidRPr="00311768" w:rsidRDefault="00AE1A86" w:rsidP="00311768">
      <w:pPr>
        <w:jc w:val="both"/>
        <w:rPr>
          <w:rFonts w:ascii="Times New Roman" w:eastAsia="Times New Roman" w:hAnsi="Times New Roman" w:cs="Times New Roman"/>
          <w:i/>
          <w:noProof/>
          <w:sz w:val="24"/>
          <w:szCs w:val="24"/>
        </w:rPr>
      </w:pPr>
      <w:r>
        <w:rPr>
          <w:rFonts w:ascii="Times New Roman" w:hAnsi="Times New Roman"/>
          <w:i/>
          <w:sz w:val="24"/>
          <w:szCs w:val="24"/>
        </w:rPr>
        <w:t>Groza 1. §, to izsakot šādā redakcijā:</w:t>
      </w:r>
    </w:p>
    <w:p w14:paraId="7A0B69B2" w14:textId="77777777" w:rsidR="00AE1A86" w:rsidRPr="00311768" w:rsidRDefault="00AE1A86" w:rsidP="00311768">
      <w:pPr>
        <w:jc w:val="both"/>
        <w:rPr>
          <w:rFonts w:ascii="Times New Roman" w:eastAsia="Times New Roman" w:hAnsi="Times New Roman" w:cs="Times New Roman"/>
          <w:i/>
          <w:noProof/>
          <w:sz w:val="24"/>
          <w:szCs w:val="15"/>
        </w:rPr>
      </w:pPr>
    </w:p>
    <w:p w14:paraId="22E2D0AB" w14:textId="77777777" w:rsidR="00AE1A86" w:rsidRPr="00311768" w:rsidRDefault="00AE1A86" w:rsidP="00BF6ECC">
      <w:pPr>
        <w:pStyle w:val="BodyText"/>
        <w:ind w:left="0" w:firstLine="0"/>
        <w:jc w:val="center"/>
        <w:rPr>
          <w:noProof/>
        </w:rPr>
      </w:pPr>
      <w:r>
        <w:lastRenderedPageBreak/>
        <w:t>“1. §.</w:t>
      </w:r>
    </w:p>
    <w:p w14:paraId="726C0576" w14:textId="77777777" w:rsidR="00AE1A86" w:rsidRPr="00311768" w:rsidRDefault="00AE1A86" w:rsidP="00311768">
      <w:pPr>
        <w:jc w:val="both"/>
        <w:rPr>
          <w:rFonts w:ascii="Times New Roman" w:eastAsia="Times New Roman" w:hAnsi="Times New Roman" w:cs="Times New Roman"/>
          <w:noProof/>
          <w:sz w:val="24"/>
          <w:szCs w:val="21"/>
        </w:rPr>
      </w:pPr>
    </w:p>
    <w:p w14:paraId="351A7BCD" w14:textId="77777777" w:rsidR="00AE1A86" w:rsidRPr="00311768" w:rsidRDefault="00AE1A86" w:rsidP="00311768">
      <w:pPr>
        <w:pStyle w:val="BodyText"/>
        <w:ind w:left="0" w:firstLine="0"/>
        <w:jc w:val="both"/>
        <w:rPr>
          <w:noProof/>
        </w:rPr>
      </w:pPr>
      <w:r>
        <w:t>Pārvadātājam jābūt pilnvarotam veikt dzelzceļa pārvadātāja darbības. Algotajam personālam un izmantojamajiem ritekļiem jāatbilst drošības prasībām. Pārvaldītājs var prasīt pārvadātājam pierādīt, uzrādot derīgu licenci un drošības sertifikātu vai to apliecinātas kopijas vai kādā citā veidā, ka šīs prasības ir izpildītas.”</w:t>
      </w:r>
    </w:p>
    <w:p w14:paraId="540C2BBB" w14:textId="77777777" w:rsidR="00AE1A86" w:rsidRPr="00311768" w:rsidRDefault="00AE1A86" w:rsidP="00311768">
      <w:pPr>
        <w:jc w:val="both"/>
        <w:rPr>
          <w:rFonts w:ascii="Times New Roman" w:eastAsia="Times New Roman" w:hAnsi="Times New Roman" w:cs="Times New Roman"/>
          <w:noProof/>
          <w:sz w:val="24"/>
          <w:szCs w:val="21"/>
        </w:rPr>
      </w:pPr>
    </w:p>
    <w:p w14:paraId="71F690FA" w14:textId="77777777" w:rsidR="00BF6ECC" w:rsidRDefault="00AE1A86" w:rsidP="00BF6ECC">
      <w:pPr>
        <w:pStyle w:val="Heading1"/>
        <w:ind w:left="0"/>
        <w:jc w:val="center"/>
        <w:rPr>
          <w:noProof/>
        </w:rPr>
      </w:pPr>
      <w:r>
        <w:t>7. pants</w:t>
      </w:r>
    </w:p>
    <w:p w14:paraId="1B24C42E" w14:textId="77777777" w:rsidR="00AE1A86" w:rsidRPr="00311768" w:rsidRDefault="00AE1A86" w:rsidP="00BF6ECC">
      <w:pPr>
        <w:pStyle w:val="Heading1"/>
        <w:ind w:left="0"/>
        <w:jc w:val="center"/>
        <w:rPr>
          <w:noProof/>
        </w:rPr>
      </w:pPr>
      <w:r>
        <w:t>Līguma darbības ilgums</w:t>
      </w:r>
    </w:p>
    <w:p w14:paraId="6C86C7D7" w14:textId="77777777" w:rsidR="00AE1A86" w:rsidRPr="00311768" w:rsidRDefault="00AE1A86" w:rsidP="00311768">
      <w:pPr>
        <w:jc w:val="both"/>
        <w:rPr>
          <w:rFonts w:ascii="Times New Roman" w:eastAsia="Times New Roman" w:hAnsi="Times New Roman" w:cs="Times New Roman"/>
          <w:b/>
          <w:bCs/>
          <w:noProof/>
          <w:sz w:val="24"/>
          <w:szCs w:val="20"/>
        </w:rPr>
      </w:pPr>
    </w:p>
    <w:p w14:paraId="09AD669D" w14:textId="77777777" w:rsidR="00AE1A86" w:rsidRPr="00311768" w:rsidRDefault="00AE1A86" w:rsidP="00311768">
      <w:pPr>
        <w:jc w:val="both"/>
        <w:rPr>
          <w:rFonts w:ascii="Times New Roman" w:eastAsia="Times New Roman" w:hAnsi="Times New Roman" w:cs="Times New Roman"/>
          <w:noProof/>
          <w:sz w:val="24"/>
          <w:szCs w:val="24"/>
        </w:rPr>
      </w:pPr>
      <w:r>
        <w:rPr>
          <w:rFonts w:ascii="Times New Roman" w:hAnsi="Times New Roman"/>
          <w:i/>
          <w:sz w:val="24"/>
          <w:szCs w:val="24"/>
        </w:rPr>
        <w:t>Svītro 1. §, attiecīgi pārnumurē 2.–6. § un virsrakstu izsaka šādā redakcijā</w:t>
      </w:r>
      <w:r>
        <w:rPr>
          <w:rFonts w:ascii="Times New Roman" w:hAnsi="Times New Roman"/>
          <w:sz w:val="24"/>
          <w:szCs w:val="24"/>
        </w:rPr>
        <w:t xml:space="preserve"> “</w:t>
      </w:r>
      <w:r>
        <w:rPr>
          <w:rFonts w:ascii="Times New Roman" w:hAnsi="Times New Roman"/>
          <w:b/>
          <w:bCs/>
          <w:sz w:val="24"/>
          <w:szCs w:val="24"/>
        </w:rPr>
        <w:t>Līguma darbības izbeigšana</w:t>
      </w:r>
      <w:r>
        <w:rPr>
          <w:rFonts w:ascii="Times New Roman" w:hAnsi="Times New Roman"/>
          <w:sz w:val="24"/>
          <w:szCs w:val="24"/>
        </w:rPr>
        <w:t>”.</w:t>
      </w:r>
    </w:p>
    <w:p w14:paraId="5C4650E7" w14:textId="77777777" w:rsidR="00BF6ECC" w:rsidRDefault="00BF6ECC">
      <w:pPr>
        <w:rPr>
          <w:rFonts w:ascii="Times New Roman" w:eastAsia="Times New Roman" w:hAnsi="Times New Roman" w:cs="Times New Roman"/>
          <w:noProof/>
          <w:sz w:val="24"/>
          <w:szCs w:val="24"/>
        </w:rPr>
      </w:pPr>
      <w:r>
        <w:br w:type="page"/>
      </w:r>
    </w:p>
    <w:p w14:paraId="109A8CC8" w14:textId="77777777" w:rsidR="00AE1A86" w:rsidRPr="00311768" w:rsidRDefault="00AE1A86" w:rsidP="00311768">
      <w:pPr>
        <w:jc w:val="both"/>
        <w:rPr>
          <w:rFonts w:ascii="Times New Roman" w:eastAsia="Times New Roman" w:hAnsi="Times New Roman" w:cs="Times New Roman"/>
          <w:noProof/>
          <w:sz w:val="24"/>
          <w:szCs w:val="20"/>
        </w:rPr>
      </w:pPr>
    </w:p>
    <w:p w14:paraId="1417867D" w14:textId="77777777" w:rsidR="00AE1A86" w:rsidRPr="00311768" w:rsidRDefault="00AE1A86" w:rsidP="00BF6ECC">
      <w:pPr>
        <w:pStyle w:val="Heading1"/>
        <w:ind w:left="0"/>
        <w:jc w:val="center"/>
        <w:rPr>
          <w:noProof/>
        </w:rPr>
      </w:pPr>
      <w:r>
        <w:t>Paskaidrojuma ziņojums</w:t>
      </w:r>
    </w:p>
    <w:p w14:paraId="658F14DE" w14:textId="77777777" w:rsidR="00AE1A86" w:rsidRPr="00311768" w:rsidRDefault="00AE1A86" w:rsidP="00311768">
      <w:pPr>
        <w:jc w:val="both"/>
        <w:rPr>
          <w:rFonts w:ascii="Times New Roman" w:eastAsia="Times New Roman" w:hAnsi="Times New Roman" w:cs="Times New Roman"/>
          <w:b/>
          <w:bCs/>
          <w:noProof/>
          <w:sz w:val="24"/>
          <w:szCs w:val="24"/>
        </w:rPr>
      </w:pPr>
    </w:p>
    <w:p w14:paraId="3D206FFA" w14:textId="77777777" w:rsidR="00AE1A86" w:rsidRPr="00311768" w:rsidRDefault="00AE1A86" w:rsidP="00311768">
      <w:pPr>
        <w:pStyle w:val="BodyText"/>
        <w:ind w:left="0" w:firstLine="0"/>
        <w:jc w:val="both"/>
        <w:rPr>
          <w:noProof/>
        </w:rPr>
      </w:pPr>
      <w:r>
        <w:rPr>
          <w:b/>
        </w:rPr>
        <w:t xml:space="preserve">PIEZĪME. </w:t>
      </w:r>
      <w:r>
        <w:t>Šajā paskaidrojuma ziņojumā ietvertās vispārīgās piezīmes un piezīmes par atsevišķiem noteikumiem ir informatīvs kopsavilkums par turpmāk minēto:</w:t>
      </w:r>
    </w:p>
    <w:p w14:paraId="20748FCE" w14:textId="77777777" w:rsidR="00AE1A86" w:rsidRPr="00311768" w:rsidRDefault="00AE1A86" w:rsidP="00311768">
      <w:pPr>
        <w:jc w:val="both"/>
        <w:rPr>
          <w:rFonts w:ascii="Times New Roman" w:eastAsia="Times New Roman" w:hAnsi="Times New Roman" w:cs="Times New Roman"/>
          <w:noProof/>
          <w:sz w:val="24"/>
          <w:szCs w:val="20"/>
        </w:rPr>
      </w:pPr>
    </w:p>
    <w:p w14:paraId="32BD9E57" w14:textId="77777777" w:rsidR="00AE1A86" w:rsidRPr="00311768" w:rsidRDefault="00BF6ECC" w:rsidP="000141E6">
      <w:pPr>
        <w:pStyle w:val="BodyText"/>
        <w:tabs>
          <w:tab w:val="left" w:pos="1537"/>
        </w:tabs>
        <w:ind w:left="426" w:firstLine="0"/>
        <w:jc w:val="both"/>
        <w:rPr>
          <w:noProof/>
        </w:rPr>
      </w:pPr>
      <w:r>
        <w:t>a) Revīzijas komitejai iesniegto un tās pieņemto grozījumu paskaidrojumu un pamatojumu;</w:t>
      </w:r>
    </w:p>
    <w:p w14:paraId="2F70348A" w14:textId="77777777" w:rsidR="00AE1A86" w:rsidRPr="00311768" w:rsidRDefault="00AE1A86" w:rsidP="000141E6">
      <w:pPr>
        <w:ind w:left="426"/>
        <w:jc w:val="both"/>
        <w:rPr>
          <w:rFonts w:ascii="Times New Roman" w:eastAsia="Times New Roman" w:hAnsi="Times New Roman" w:cs="Times New Roman"/>
          <w:noProof/>
          <w:sz w:val="24"/>
          <w:szCs w:val="20"/>
        </w:rPr>
      </w:pPr>
    </w:p>
    <w:p w14:paraId="7E9C702A" w14:textId="77777777" w:rsidR="00AE1A86" w:rsidRPr="00311768" w:rsidRDefault="00BF6ECC" w:rsidP="000141E6">
      <w:pPr>
        <w:pStyle w:val="BodyText"/>
        <w:tabs>
          <w:tab w:val="left" w:pos="1537"/>
        </w:tabs>
        <w:ind w:left="426" w:firstLine="0"/>
        <w:jc w:val="both"/>
        <w:rPr>
          <w:noProof/>
        </w:rPr>
      </w:pPr>
      <w:r>
        <w:t>b) apspriešanos par noteikumiem, par kuru grozīšanu, tostarp redakcionāliem grozījumiem, ir atbildīga Ģenerālā asambleja saskaņā ar Konvencijas 33. panta 2. § un 4. § e) punktu.</w:t>
      </w:r>
    </w:p>
    <w:p w14:paraId="5287F9E3" w14:textId="77777777" w:rsidR="00AE1A86" w:rsidRPr="00311768" w:rsidRDefault="00AE1A86" w:rsidP="00311768">
      <w:pPr>
        <w:jc w:val="both"/>
        <w:rPr>
          <w:rFonts w:ascii="Times New Roman" w:eastAsia="Times New Roman" w:hAnsi="Times New Roman" w:cs="Times New Roman"/>
          <w:noProof/>
          <w:sz w:val="24"/>
          <w:szCs w:val="20"/>
        </w:rPr>
      </w:pPr>
    </w:p>
    <w:p w14:paraId="458A5268" w14:textId="77777777" w:rsidR="00AE1A86" w:rsidRPr="00311768" w:rsidRDefault="00AE1A86" w:rsidP="00311768">
      <w:pPr>
        <w:pStyle w:val="BodyText"/>
        <w:ind w:left="0" w:firstLine="0"/>
        <w:jc w:val="both"/>
        <w:rPr>
          <w:noProof/>
        </w:rPr>
      </w:pPr>
      <w:r>
        <w:t>Minēto informāciju</w:t>
      </w:r>
    </w:p>
    <w:p w14:paraId="66882A8F" w14:textId="77777777" w:rsidR="00AE1A86" w:rsidRPr="00311768" w:rsidRDefault="00AE1A86" w:rsidP="00311768">
      <w:pPr>
        <w:jc w:val="both"/>
        <w:rPr>
          <w:rFonts w:ascii="Times New Roman" w:eastAsia="Times New Roman" w:hAnsi="Times New Roman" w:cs="Times New Roman"/>
          <w:noProof/>
          <w:sz w:val="24"/>
          <w:szCs w:val="21"/>
        </w:rPr>
      </w:pPr>
    </w:p>
    <w:p w14:paraId="10D5946E" w14:textId="77777777" w:rsidR="00AE1A86" w:rsidRPr="00311768" w:rsidRDefault="00BF6ECC" w:rsidP="000141E6">
      <w:pPr>
        <w:pStyle w:val="BodyText"/>
        <w:tabs>
          <w:tab w:val="left" w:pos="1537"/>
        </w:tabs>
        <w:ind w:left="426" w:firstLine="0"/>
        <w:jc w:val="both"/>
        <w:rPr>
          <w:noProof/>
        </w:rPr>
      </w:pPr>
      <w:r>
        <w:t>a) kopā ar apstiprinātajiem grozījumiem ir izskatījusi un apstiprinājusi Revīzijas komiteja, un Ģenerālā asambleja ar tiem ir iepazinusies;</w:t>
      </w:r>
    </w:p>
    <w:p w14:paraId="6CAC09B0" w14:textId="77777777" w:rsidR="00AE1A86" w:rsidRPr="00311768" w:rsidRDefault="00AE1A86" w:rsidP="000141E6">
      <w:pPr>
        <w:ind w:left="426"/>
        <w:jc w:val="both"/>
        <w:rPr>
          <w:rFonts w:ascii="Times New Roman" w:eastAsia="Times New Roman" w:hAnsi="Times New Roman" w:cs="Times New Roman"/>
          <w:noProof/>
          <w:sz w:val="24"/>
          <w:szCs w:val="20"/>
        </w:rPr>
      </w:pPr>
    </w:p>
    <w:p w14:paraId="1EFC9AF4" w14:textId="77777777" w:rsidR="00AE1A86" w:rsidRPr="00311768" w:rsidRDefault="00BF6ECC" w:rsidP="000141E6">
      <w:pPr>
        <w:pStyle w:val="BodyText"/>
        <w:tabs>
          <w:tab w:val="left" w:pos="1537"/>
        </w:tabs>
        <w:ind w:left="426" w:firstLine="0"/>
        <w:jc w:val="both"/>
        <w:rPr>
          <w:noProof/>
        </w:rPr>
      </w:pPr>
      <w:r>
        <w:t>b) ir izskatījusi un apstiprinājusi Ģenerālā asambleja, ievērojot Revīzijas komitejas apsvērumus un ieteikumus šajā saistībā.</w:t>
      </w:r>
    </w:p>
    <w:p w14:paraId="5BD13969" w14:textId="77777777" w:rsidR="00AE1A86" w:rsidRPr="00311768" w:rsidRDefault="00AE1A86" w:rsidP="00311768">
      <w:pPr>
        <w:jc w:val="both"/>
        <w:rPr>
          <w:rFonts w:ascii="Times New Roman" w:eastAsia="Times New Roman" w:hAnsi="Times New Roman" w:cs="Times New Roman"/>
          <w:noProof/>
          <w:sz w:val="24"/>
          <w:szCs w:val="21"/>
        </w:rPr>
      </w:pPr>
    </w:p>
    <w:p w14:paraId="049468E2" w14:textId="77777777" w:rsidR="00AE1A86" w:rsidRPr="00311768" w:rsidRDefault="00AE1A86" w:rsidP="00BF6ECC">
      <w:pPr>
        <w:pStyle w:val="Heading1"/>
        <w:ind w:left="0"/>
        <w:jc w:val="center"/>
        <w:rPr>
          <w:noProof/>
        </w:rPr>
      </w:pPr>
      <w:r>
        <w:t>Vispārīgi norādījumi</w:t>
      </w:r>
    </w:p>
    <w:p w14:paraId="4C88639E" w14:textId="77777777" w:rsidR="00BF6ECC" w:rsidRDefault="00BF6ECC" w:rsidP="00BF6ECC">
      <w:pPr>
        <w:pStyle w:val="BodyText"/>
        <w:tabs>
          <w:tab w:val="left" w:pos="970"/>
        </w:tabs>
        <w:ind w:left="0" w:firstLine="0"/>
        <w:jc w:val="both"/>
        <w:rPr>
          <w:noProof/>
        </w:rPr>
      </w:pPr>
    </w:p>
    <w:p w14:paraId="2762831C" w14:textId="77777777" w:rsidR="00AE1A86" w:rsidRPr="00311768" w:rsidRDefault="00BF6ECC" w:rsidP="00BF6ECC">
      <w:pPr>
        <w:pStyle w:val="BodyText"/>
        <w:tabs>
          <w:tab w:val="left" w:pos="970"/>
        </w:tabs>
        <w:ind w:left="0" w:firstLine="0"/>
        <w:jc w:val="both"/>
        <w:rPr>
          <w:noProof/>
        </w:rPr>
      </w:pPr>
      <w:r>
        <w:t xml:space="preserve">1. Ģenerālās asamblejas 7. un 8. sesijā pieņemtie lēmumi, kas atbalsta iniciatīvas juridisko un praktisko problēmu risināšanai starp Eiropas Kopienas (EK) tiesību aktiem un </w:t>
      </w:r>
      <w:r>
        <w:rPr>
          <w:i/>
          <w:iCs/>
        </w:rPr>
        <w:t>COTIF</w:t>
      </w:r>
      <w:r>
        <w:t xml:space="preserve">, paredz, ka saistībā ar </w:t>
      </w:r>
      <w:r>
        <w:rPr>
          <w:i/>
          <w:iCs/>
        </w:rPr>
        <w:t>COTIF</w:t>
      </w:r>
      <w:r>
        <w:t xml:space="preserve"> papildinājumiem, izņemot F un G papildinājumu, neatrisinātie jautājumi tiek izskatīti attiecīgajā līmenī, lai rastu praktiskus risinājumus, tostarp, iespējams, izveidotu atbilstošas darba grupas.</w:t>
      </w:r>
    </w:p>
    <w:p w14:paraId="094C936E" w14:textId="77777777" w:rsidR="00AE1A86" w:rsidRPr="00311768" w:rsidRDefault="00AE1A86" w:rsidP="00311768">
      <w:pPr>
        <w:jc w:val="both"/>
        <w:rPr>
          <w:rFonts w:ascii="Times New Roman" w:eastAsia="Times New Roman" w:hAnsi="Times New Roman" w:cs="Times New Roman"/>
          <w:noProof/>
          <w:sz w:val="24"/>
          <w:szCs w:val="20"/>
        </w:rPr>
      </w:pPr>
    </w:p>
    <w:p w14:paraId="59C096A9" w14:textId="77777777" w:rsidR="00AE1A86" w:rsidRPr="00311768" w:rsidRDefault="00BF6ECC" w:rsidP="00BF6ECC">
      <w:pPr>
        <w:pStyle w:val="BodyText"/>
        <w:tabs>
          <w:tab w:val="left" w:pos="970"/>
        </w:tabs>
        <w:ind w:left="0" w:firstLine="0"/>
        <w:jc w:val="both"/>
        <w:rPr>
          <w:noProof/>
        </w:rPr>
      </w:pPr>
      <w:r>
        <w:t>2. Saskaņā ar šiem lēmumiem un Padomes Sauszemes transporta jautājumu darba grupas 2007. gada 12. decembra iniciatīvu tika izveidota E papildinājuma (</w:t>
      </w:r>
      <w:r>
        <w:rPr>
          <w:i/>
          <w:iCs/>
        </w:rPr>
        <w:t>CUI</w:t>
      </w:r>
      <w:r>
        <w:t xml:space="preserve">) </w:t>
      </w:r>
      <w:r>
        <w:rPr>
          <w:i/>
          <w:iCs/>
        </w:rPr>
        <w:t>ad hoc</w:t>
      </w:r>
      <w:r>
        <w:t xml:space="preserve"> darba grupa, kurā iesaistīti Eiropas Komisijas un</w:t>
      </w:r>
      <w:r>
        <w:rPr>
          <w:i/>
          <w:iCs/>
        </w:rPr>
        <w:t xml:space="preserve"> OTIF</w:t>
      </w:r>
      <w:r>
        <w:t xml:space="preserve"> Sekretariāta pārstāvji, kā arī Eiropas Savienības (ES) dalībvalstu un Šveices tiesību eksperti (turpmāk “</w:t>
      </w:r>
      <w:r>
        <w:rPr>
          <w:i/>
          <w:iCs/>
        </w:rPr>
        <w:t>CUI</w:t>
      </w:r>
      <w:r>
        <w:t xml:space="preserve"> grupa”) un kuras pirmais uzdevums bija pārskatīt attiecīgos tiesiskos regulējumus, noteikt iespējamo grūtību jomas un pēc tam ierosināt praktiskus risinājumus.</w:t>
      </w:r>
    </w:p>
    <w:p w14:paraId="4C60B7F9" w14:textId="77777777" w:rsidR="00AE1A86" w:rsidRPr="00311768" w:rsidRDefault="00AE1A86" w:rsidP="00311768">
      <w:pPr>
        <w:jc w:val="both"/>
        <w:rPr>
          <w:rFonts w:ascii="Times New Roman" w:eastAsia="Times New Roman" w:hAnsi="Times New Roman" w:cs="Times New Roman"/>
          <w:noProof/>
          <w:sz w:val="24"/>
          <w:szCs w:val="20"/>
        </w:rPr>
      </w:pPr>
    </w:p>
    <w:p w14:paraId="357E987C" w14:textId="77777777" w:rsidR="00AE1A86" w:rsidRPr="00311768" w:rsidRDefault="00BF6ECC" w:rsidP="00BF6ECC">
      <w:pPr>
        <w:pStyle w:val="BodyText"/>
        <w:tabs>
          <w:tab w:val="left" w:pos="970"/>
        </w:tabs>
        <w:ind w:left="0" w:firstLine="0"/>
        <w:jc w:val="both"/>
        <w:rPr>
          <w:noProof/>
        </w:rPr>
      </w:pPr>
      <w:r>
        <w:t xml:space="preserve">3. Vairākās sanāksmēs </w:t>
      </w:r>
      <w:r>
        <w:rPr>
          <w:i/>
          <w:iCs/>
        </w:rPr>
        <w:t>CUI</w:t>
      </w:r>
      <w:r>
        <w:t xml:space="preserve"> grupa noteica un apsprieda strīdīgās neatbilstību jomas starp EK tiesību aktiem un </w:t>
      </w:r>
      <w:r>
        <w:rPr>
          <w:i/>
          <w:iCs/>
        </w:rPr>
        <w:t>CUI</w:t>
      </w:r>
      <w:r>
        <w:t xml:space="preserve">, kā arī vienojās par vairākiem </w:t>
      </w:r>
      <w:r>
        <w:rPr>
          <w:i/>
          <w:iCs/>
        </w:rPr>
        <w:t>CUI</w:t>
      </w:r>
      <w:r>
        <w:t xml:space="preserve"> grozījumu priekšlikumiem, lai ne tikai risinātu problēmas šajās jomās, bet arī lai precizētu noteiktas </w:t>
      </w:r>
      <w:r>
        <w:rPr>
          <w:i/>
          <w:iCs/>
        </w:rPr>
        <w:t xml:space="preserve">CUI </w:t>
      </w:r>
      <w:r>
        <w:t>daļas, kas starp abiem regulējumiem daļēji bija radījušas juridiskas grūtības. Šie grozījumi un precizējumi attiecas uz:</w:t>
      </w:r>
    </w:p>
    <w:p w14:paraId="54AC9C65" w14:textId="77777777" w:rsidR="00AE1A86" w:rsidRPr="00311768" w:rsidRDefault="00AE1A86" w:rsidP="00311768">
      <w:pPr>
        <w:jc w:val="both"/>
        <w:rPr>
          <w:rFonts w:ascii="Times New Roman" w:eastAsia="Times New Roman" w:hAnsi="Times New Roman" w:cs="Times New Roman"/>
          <w:noProof/>
          <w:sz w:val="24"/>
          <w:szCs w:val="20"/>
        </w:rPr>
      </w:pPr>
    </w:p>
    <w:p w14:paraId="7CF8B63D" w14:textId="77777777" w:rsidR="00AE1A86" w:rsidRPr="00311768" w:rsidRDefault="00AE1A86" w:rsidP="00BF6ECC">
      <w:pPr>
        <w:pStyle w:val="BodyText"/>
        <w:numPr>
          <w:ilvl w:val="1"/>
          <w:numId w:val="5"/>
        </w:numPr>
        <w:ind w:left="426" w:hanging="426"/>
        <w:jc w:val="both"/>
        <w:rPr>
          <w:noProof/>
        </w:rPr>
      </w:pPr>
      <w:r>
        <w:t>darbības jomu;</w:t>
      </w:r>
    </w:p>
    <w:p w14:paraId="6C744369" w14:textId="77777777" w:rsidR="00AE1A86" w:rsidRPr="00311768" w:rsidRDefault="00AE1A86" w:rsidP="00BF6ECC">
      <w:pPr>
        <w:pStyle w:val="BodyText"/>
        <w:numPr>
          <w:ilvl w:val="1"/>
          <w:numId w:val="5"/>
        </w:numPr>
        <w:ind w:left="426" w:hanging="426"/>
        <w:jc w:val="both"/>
        <w:rPr>
          <w:noProof/>
        </w:rPr>
      </w:pPr>
      <w:r>
        <w:t>terminu “pārvaldītājs”, “pārvadātājs”, “licence” un “drošības sertifikāts” definīcijām;</w:t>
      </w:r>
    </w:p>
    <w:p w14:paraId="434AF9B9" w14:textId="77777777" w:rsidR="00AE1A86" w:rsidRPr="00311768" w:rsidRDefault="00AE1A86" w:rsidP="00BF6ECC">
      <w:pPr>
        <w:pStyle w:val="BodyText"/>
        <w:numPr>
          <w:ilvl w:val="1"/>
          <w:numId w:val="5"/>
        </w:numPr>
        <w:ind w:left="426" w:hanging="426"/>
        <w:jc w:val="both"/>
        <w:rPr>
          <w:noProof/>
        </w:rPr>
      </w:pPr>
      <w:r>
        <w:t>izmantošanas līguma noteikumiem;</w:t>
      </w:r>
    </w:p>
    <w:p w14:paraId="2E5AFB4F" w14:textId="77777777" w:rsidR="00AE1A86" w:rsidRPr="00311768" w:rsidRDefault="00AE1A86" w:rsidP="00BF6ECC">
      <w:pPr>
        <w:pStyle w:val="BodyText"/>
        <w:numPr>
          <w:ilvl w:val="1"/>
          <w:numId w:val="5"/>
        </w:numPr>
        <w:ind w:left="426" w:hanging="426"/>
        <w:jc w:val="both"/>
        <w:rPr>
          <w:noProof/>
        </w:rPr>
      </w:pPr>
      <w:r>
        <w:t>pārvadātāju un pārvaldītāju īpašajām saistībām;</w:t>
      </w:r>
    </w:p>
    <w:p w14:paraId="7367DC04" w14:textId="77777777" w:rsidR="00AE1A86" w:rsidRPr="00311768" w:rsidRDefault="00AE1A86" w:rsidP="00BF6ECC">
      <w:pPr>
        <w:pStyle w:val="BodyText"/>
        <w:numPr>
          <w:ilvl w:val="1"/>
          <w:numId w:val="5"/>
        </w:numPr>
        <w:ind w:left="426" w:hanging="426"/>
        <w:jc w:val="both"/>
        <w:rPr>
          <w:noProof/>
        </w:rPr>
      </w:pPr>
      <w:r>
        <w:t>atbildību par zaudējumiem vai kaitējumu, ko radījusi darbības aizkavēšana/pārtraukšana, un</w:t>
      </w:r>
    </w:p>
    <w:p w14:paraId="727068E1" w14:textId="77777777" w:rsidR="00AE1A86" w:rsidRPr="00311768" w:rsidRDefault="00AE1A86" w:rsidP="00BF6ECC">
      <w:pPr>
        <w:pStyle w:val="BodyText"/>
        <w:numPr>
          <w:ilvl w:val="1"/>
          <w:numId w:val="5"/>
        </w:numPr>
        <w:ind w:left="426" w:hanging="426"/>
        <w:jc w:val="both"/>
        <w:rPr>
          <w:noProof/>
        </w:rPr>
      </w:pPr>
      <w:r>
        <w:t>samierināšanas procedūrām.</w:t>
      </w:r>
    </w:p>
    <w:p w14:paraId="5D748170" w14:textId="77777777" w:rsidR="00AE1A86" w:rsidRPr="00311768" w:rsidRDefault="00AE1A86" w:rsidP="00311768">
      <w:pPr>
        <w:jc w:val="both"/>
        <w:rPr>
          <w:rFonts w:ascii="Times New Roman" w:eastAsia="Times New Roman" w:hAnsi="Times New Roman" w:cs="Times New Roman"/>
          <w:noProof/>
          <w:sz w:val="24"/>
          <w:szCs w:val="21"/>
        </w:rPr>
      </w:pPr>
    </w:p>
    <w:p w14:paraId="59968FB6" w14:textId="77777777" w:rsidR="00AE1A86" w:rsidRPr="00311768" w:rsidRDefault="00BF6ECC" w:rsidP="00BF6ECC">
      <w:pPr>
        <w:pStyle w:val="BodyText"/>
        <w:tabs>
          <w:tab w:val="left" w:pos="970"/>
        </w:tabs>
        <w:ind w:left="0" w:firstLine="0"/>
        <w:jc w:val="both"/>
        <w:rPr>
          <w:noProof/>
        </w:rPr>
      </w:pPr>
      <w:r>
        <w:t xml:space="preserve">4. </w:t>
      </w:r>
      <w:r>
        <w:rPr>
          <w:i/>
          <w:iCs/>
        </w:rPr>
        <w:t>CUI</w:t>
      </w:r>
      <w:r>
        <w:t xml:space="preserve"> grupas ierosināto grozījumu galvenais mērķis bija ņemt vērā izmaiņas EK tiesību </w:t>
      </w:r>
      <w:r>
        <w:lastRenderedPageBreak/>
        <w:t xml:space="preserve">aktos, tostarp tajos instrumentos, kas </w:t>
      </w:r>
      <w:r>
        <w:rPr>
          <w:i/>
          <w:iCs/>
        </w:rPr>
        <w:t>CUI</w:t>
      </w:r>
      <w:r>
        <w:t xml:space="preserve"> pieņemšanas brīdī vēl nebija spēkā, piemēram, Direktīvā 2001/14/EK, 2004/49/EK un 2004/51/EK, kā arī Regulā (EK) Nr. 1371/2007.</w:t>
      </w:r>
    </w:p>
    <w:p w14:paraId="001413C9" w14:textId="77777777" w:rsidR="00AE1A86" w:rsidRPr="00311768" w:rsidRDefault="00AE1A86" w:rsidP="00311768">
      <w:pPr>
        <w:jc w:val="both"/>
        <w:rPr>
          <w:rFonts w:ascii="Times New Roman" w:eastAsia="Times New Roman" w:hAnsi="Times New Roman" w:cs="Times New Roman"/>
          <w:noProof/>
          <w:sz w:val="24"/>
          <w:szCs w:val="20"/>
        </w:rPr>
      </w:pPr>
    </w:p>
    <w:p w14:paraId="1D47B141" w14:textId="77777777" w:rsidR="00AE1A86" w:rsidRPr="00311768" w:rsidRDefault="00BF6ECC" w:rsidP="00BF6ECC">
      <w:pPr>
        <w:pStyle w:val="BodyText"/>
        <w:tabs>
          <w:tab w:val="left" w:pos="970"/>
        </w:tabs>
        <w:ind w:left="0" w:firstLine="0"/>
        <w:jc w:val="both"/>
        <w:rPr>
          <w:noProof/>
        </w:rPr>
      </w:pPr>
      <w:r>
        <w:t xml:space="preserve">5. Turklāt šajā paskaidrojuma ziņojumā ir norādīts, ka starptautiskajos dzelzceļa pārvadājumos gadījumos, kad ES tiek iebraukts no valstīm, kas nav ES dalībvalstis, papildus visām spēkā esošajām saistībām, kas noteiktas </w:t>
      </w:r>
      <w:r>
        <w:rPr>
          <w:i/>
          <w:iCs/>
        </w:rPr>
        <w:t>COTIF</w:t>
      </w:r>
      <w:r>
        <w:t>, jāievēro arī EK tiesību akti. Ziņojums ir sagatavots tā, lai to varētu uzskatīt par “interpretēšanas papildlīdzekli”, kā noteikts 32. pantā 1969. gada Vīnes konvencijā par starptautisko līgumu tiesībām. Tajā ir paredzēts arī uzsvērt tās juridiskās neskaidrības vai nenoteiktības jomas, ko rada divas atsevišķas tiesību sistēmas, kuru – kā tas tika konstatēts – daži aspekti pārklājas un tādējādi informē pārvadātājus par to, ka pastāv EK tiesību normas.</w:t>
      </w:r>
    </w:p>
    <w:p w14:paraId="6267DD09" w14:textId="77777777" w:rsidR="00AE1A86" w:rsidRPr="00311768" w:rsidRDefault="00AE1A86" w:rsidP="00311768">
      <w:pPr>
        <w:jc w:val="both"/>
        <w:rPr>
          <w:rFonts w:ascii="Times New Roman" w:eastAsia="Times New Roman" w:hAnsi="Times New Roman" w:cs="Times New Roman"/>
          <w:noProof/>
          <w:sz w:val="24"/>
          <w:szCs w:val="20"/>
        </w:rPr>
      </w:pPr>
    </w:p>
    <w:p w14:paraId="45978241" w14:textId="77777777" w:rsidR="00AE1A86" w:rsidRPr="00311768" w:rsidRDefault="00BF6ECC" w:rsidP="00BF6ECC">
      <w:pPr>
        <w:pStyle w:val="BodyText"/>
        <w:tabs>
          <w:tab w:val="left" w:pos="970"/>
        </w:tabs>
        <w:ind w:left="0" w:firstLine="0"/>
        <w:jc w:val="both"/>
        <w:rPr>
          <w:noProof/>
        </w:rPr>
      </w:pPr>
      <w:r>
        <w:t xml:space="preserve">6. Paskaidrojuma ziņojumā ietvertās norādes uz EK dalībvalstīm ir </w:t>
      </w:r>
      <w:r>
        <w:rPr>
          <w:i/>
          <w:iCs/>
        </w:rPr>
        <w:t>mutatis mutandis</w:t>
      </w:r>
      <w:r>
        <w:t xml:space="preserve"> attiecināmas arī uz tām valstīm, kurās Kopienas tiesību akti tiek piemēroti, pamatojoties uz starptautiskajiem līgumiem ar Eiropas Kopienu.</w:t>
      </w:r>
    </w:p>
    <w:p w14:paraId="606CC53D" w14:textId="77777777" w:rsidR="00AE1A86" w:rsidRPr="00311768" w:rsidRDefault="00AE1A86" w:rsidP="00311768">
      <w:pPr>
        <w:jc w:val="both"/>
        <w:rPr>
          <w:rFonts w:ascii="Times New Roman" w:eastAsia="Times New Roman" w:hAnsi="Times New Roman" w:cs="Times New Roman"/>
          <w:noProof/>
          <w:sz w:val="24"/>
          <w:szCs w:val="20"/>
        </w:rPr>
      </w:pPr>
    </w:p>
    <w:p w14:paraId="47D795E4" w14:textId="77777777" w:rsidR="00AE1A86" w:rsidRPr="00311768" w:rsidRDefault="00BF6ECC" w:rsidP="00BF6ECC">
      <w:pPr>
        <w:pStyle w:val="BodyText"/>
        <w:tabs>
          <w:tab w:val="left" w:pos="970"/>
        </w:tabs>
        <w:ind w:left="0" w:firstLine="0"/>
        <w:jc w:val="both"/>
        <w:rPr>
          <w:noProof/>
        </w:rPr>
      </w:pPr>
      <w:r>
        <w:t xml:space="preserve">7. Revīzijas komiteja lielā mērā ievēroja </w:t>
      </w:r>
      <w:r>
        <w:rPr>
          <w:i/>
          <w:iCs/>
        </w:rPr>
        <w:t>CUI</w:t>
      </w:r>
      <w:r>
        <w:t xml:space="preserve"> grupas ierosinājumus. Tomēr termina “licences” definīcijas formulējums tika mainīts, lai nodrošinātu labāku atbilstību šā termina nozīmei EK tiesību aktos, un ierosinātajā 5.bis pantā (neskartie tiesību akti) tika nodalīti </w:t>
      </w:r>
      <w:r>
        <w:rPr>
          <w:i/>
          <w:iCs/>
        </w:rPr>
        <w:t>CUI</w:t>
      </w:r>
      <w:r>
        <w:t xml:space="preserve"> 8. un 9. pantā minētie atbildības noteikumi, kuru gadījumā netiek skarti tikai EK tiesību akti (nevis arī valstu tiesību akti), un citu pantu noteikumi, kuru gadījumā netiek skarti arī valstu tiesību akti (sīkāku informāciju skatīt attiecīgajās piezīmēs).</w:t>
      </w:r>
    </w:p>
    <w:p w14:paraId="349E38C6" w14:textId="77777777" w:rsidR="00BF6ECC" w:rsidRDefault="00BF6ECC" w:rsidP="00BF6ECC">
      <w:pPr>
        <w:pStyle w:val="BodyText"/>
        <w:tabs>
          <w:tab w:val="left" w:pos="970"/>
        </w:tabs>
        <w:ind w:left="0" w:firstLine="0"/>
        <w:jc w:val="both"/>
        <w:rPr>
          <w:noProof/>
        </w:rPr>
      </w:pPr>
    </w:p>
    <w:p w14:paraId="34F4E1D1" w14:textId="77777777" w:rsidR="00AE1A86" w:rsidRPr="00311768" w:rsidRDefault="00BF6ECC" w:rsidP="00BF6ECC">
      <w:pPr>
        <w:pStyle w:val="BodyText"/>
        <w:tabs>
          <w:tab w:val="left" w:pos="970"/>
        </w:tabs>
        <w:ind w:left="0" w:firstLine="0"/>
        <w:jc w:val="both"/>
        <w:rPr>
          <w:noProof/>
        </w:rPr>
      </w:pPr>
      <w:r>
        <w:t>8. Ģenerālā asambleja 9. sesijā (Bernē, 2009. gada 9. un 10. septembrī) iepazinās ar Revīzijas komitejas 24. sesijas rezultātiem attiecībā uz grozījumiem Konvencijas E papildinājumā (</w:t>
      </w:r>
      <w:r>
        <w:rPr>
          <w:i/>
          <w:iCs/>
        </w:rPr>
        <w:t>CUI</w:t>
      </w:r>
      <w:r>
        <w:t xml:space="preserve">) un paskaidrojuma ziņojumu un apstiprināja paskaidrojuma ziņojumu par </w:t>
      </w:r>
      <w:r>
        <w:rPr>
          <w:i/>
          <w:iCs/>
        </w:rPr>
        <w:t>CUI</w:t>
      </w:r>
      <w:r>
        <w:t xml:space="preserve"> 1., 4., 8. un 9. pantu. Tā norādīja, ka šie grozījumi nav lēmumi, uz kuriem attiecas Konvencijas 34. pants, un uzdeva Ģenerālsekretāram attiecībā uz šo grozījumu stāšanos spēkā rīkoties saskaņā ar </w:t>
      </w:r>
      <w:r>
        <w:rPr>
          <w:i/>
          <w:iCs/>
        </w:rPr>
        <w:t>COTIF</w:t>
      </w:r>
      <w:r>
        <w:t xml:space="preserve"> 35. pantu. Turklāt tā pilnvaroja Ģenerālsekretāru paskaidrojuma ziņojuma vispārīgajā daļā sniegt kopsavilkumu par tās lēmumiem saistībā ar Revīzijas komitejas darba rezultātiem.</w:t>
      </w:r>
    </w:p>
    <w:p w14:paraId="3187D941" w14:textId="77777777" w:rsidR="00BF6ECC" w:rsidRDefault="00BF6ECC">
      <w:pPr>
        <w:rPr>
          <w:rFonts w:ascii="Times New Roman" w:hAnsi="Times New Roman"/>
          <w:noProof/>
          <w:sz w:val="24"/>
        </w:rPr>
      </w:pPr>
      <w:r>
        <w:br w:type="page"/>
      </w:r>
    </w:p>
    <w:p w14:paraId="43A673A5" w14:textId="77777777" w:rsidR="00AE1A86" w:rsidRPr="00311768" w:rsidRDefault="00AE1A86" w:rsidP="00311768">
      <w:pPr>
        <w:jc w:val="both"/>
        <w:rPr>
          <w:rFonts w:ascii="Times New Roman" w:hAnsi="Times New Roman"/>
          <w:noProof/>
          <w:sz w:val="24"/>
        </w:rPr>
      </w:pPr>
    </w:p>
    <w:p w14:paraId="63AF6365" w14:textId="77777777" w:rsidR="00AE1A86" w:rsidRPr="00311768" w:rsidRDefault="00AE1A86" w:rsidP="00BF6ECC">
      <w:pPr>
        <w:pStyle w:val="Heading1"/>
        <w:ind w:left="0"/>
        <w:jc w:val="center"/>
        <w:rPr>
          <w:noProof/>
        </w:rPr>
      </w:pPr>
      <w:r>
        <w:t>Sīkāks skaidrojums</w:t>
      </w:r>
    </w:p>
    <w:p w14:paraId="5A850D74" w14:textId="77777777" w:rsidR="00AE1A86" w:rsidRPr="00311768" w:rsidRDefault="00AE1A86" w:rsidP="00BF6ECC">
      <w:pPr>
        <w:jc w:val="center"/>
        <w:rPr>
          <w:rFonts w:ascii="Times New Roman" w:eastAsia="Times New Roman" w:hAnsi="Times New Roman" w:cs="Times New Roman"/>
          <w:b/>
          <w:bCs/>
          <w:noProof/>
          <w:sz w:val="24"/>
          <w:szCs w:val="21"/>
        </w:rPr>
      </w:pPr>
    </w:p>
    <w:p w14:paraId="3D620D55" w14:textId="77777777" w:rsidR="00BF6ECC" w:rsidRDefault="00AE1A86" w:rsidP="00BF6ECC">
      <w:pPr>
        <w:jc w:val="center"/>
        <w:rPr>
          <w:rFonts w:ascii="Times New Roman" w:hAnsi="Times New Roman"/>
          <w:b/>
          <w:noProof/>
          <w:sz w:val="24"/>
        </w:rPr>
      </w:pPr>
      <w:r>
        <w:rPr>
          <w:rFonts w:ascii="Times New Roman" w:hAnsi="Times New Roman"/>
          <w:b/>
          <w:sz w:val="24"/>
        </w:rPr>
        <w:t>I sadaļa</w:t>
      </w:r>
    </w:p>
    <w:p w14:paraId="75A648D2" w14:textId="77777777" w:rsidR="00AE1A86" w:rsidRPr="00311768" w:rsidRDefault="00AE1A86" w:rsidP="00BF6ECC">
      <w:pPr>
        <w:jc w:val="center"/>
        <w:rPr>
          <w:rFonts w:ascii="Times New Roman" w:hAnsi="Times New Roman"/>
          <w:b/>
          <w:noProof/>
          <w:sz w:val="24"/>
        </w:rPr>
      </w:pPr>
      <w:r>
        <w:rPr>
          <w:rFonts w:ascii="Times New Roman" w:hAnsi="Times New Roman"/>
          <w:b/>
          <w:sz w:val="24"/>
        </w:rPr>
        <w:t>Vispārīgie noteikumi</w:t>
      </w:r>
    </w:p>
    <w:p w14:paraId="0744A36B" w14:textId="77777777" w:rsidR="00AE1A86" w:rsidRPr="00311768" w:rsidRDefault="00AE1A86" w:rsidP="00BF6ECC">
      <w:pPr>
        <w:jc w:val="center"/>
        <w:rPr>
          <w:rFonts w:ascii="Times New Roman" w:eastAsia="Times New Roman" w:hAnsi="Times New Roman" w:cs="Times New Roman"/>
          <w:b/>
          <w:bCs/>
          <w:noProof/>
          <w:sz w:val="24"/>
          <w:szCs w:val="20"/>
        </w:rPr>
      </w:pPr>
    </w:p>
    <w:p w14:paraId="6F3DEE8D" w14:textId="77777777" w:rsidR="00BF6ECC" w:rsidRDefault="00AE1A86" w:rsidP="00BF6ECC">
      <w:pPr>
        <w:jc w:val="center"/>
        <w:rPr>
          <w:rFonts w:ascii="Times New Roman" w:hAnsi="Times New Roman"/>
          <w:b/>
          <w:noProof/>
          <w:sz w:val="24"/>
        </w:rPr>
      </w:pPr>
      <w:r>
        <w:rPr>
          <w:rFonts w:ascii="Times New Roman" w:hAnsi="Times New Roman"/>
          <w:b/>
          <w:sz w:val="24"/>
        </w:rPr>
        <w:t>1. pants</w:t>
      </w:r>
    </w:p>
    <w:p w14:paraId="35F57748" w14:textId="77777777" w:rsidR="00AE1A86" w:rsidRPr="00311768" w:rsidRDefault="00AE1A86" w:rsidP="00BF6ECC">
      <w:pPr>
        <w:jc w:val="center"/>
        <w:rPr>
          <w:rFonts w:ascii="Times New Roman" w:hAnsi="Times New Roman"/>
          <w:b/>
          <w:noProof/>
          <w:sz w:val="24"/>
        </w:rPr>
      </w:pPr>
      <w:r>
        <w:rPr>
          <w:rFonts w:ascii="Times New Roman" w:hAnsi="Times New Roman"/>
          <w:b/>
          <w:sz w:val="24"/>
        </w:rPr>
        <w:t>Darbības sfēra</w:t>
      </w:r>
    </w:p>
    <w:p w14:paraId="24EDD9E7" w14:textId="77777777" w:rsidR="00AE1A86" w:rsidRPr="00311768" w:rsidRDefault="00AE1A86" w:rsidP="00311768">
      <w:pPr>
        <w:jc w:val="both"/>
        <w:rPr>
          <w:rFonts w:ascii="Times New Roman" w:eastAsia="Times New Roman" w:hAnsi="Times New Roman" w:cs="Times New Roman"/>
          <w:b/>
          <w:bCs/>
          <w:noProof/>
          <w:sz w:val="24"/>
          <w:szCs w:val="20"/>
        </w:rPr>
      </w:pPr>
    </w:p>
    <w:p w14:paraId="53CD371A" w14:textId="77777777" w:rsidR="00AE1A86" w:rsidRPr="00311768" w:rsidRDefault="008B5976" w:rsidP="00BF6ECC">
      <w:pPr>
        <w:pStyle w:val="BodyText"/>
        <w:tabs>
          <w:tab w:val="left" w:pos="970"/>
        </w:tabs>
        <w:ind w:left="0" w:firstLine="0"/>
        <w:jc w:val="both"/>
        <w:rPr>
          <w:noProof/>
        </w:rPr>
      </w:pPr>
      <w:r>
        <w:t xml:space="preserve">1. Saskaņā ar 1. § </w:t>
      </w:r>
      <w:r>
        <w:rPr>
          <w:i/>
          <w:iCs/>
        </w:rPr>
        <w:t>CUI</w:t>
      </w:r>
      <w:r>
        <w:t xml:space="preserve"> Vienveida noteikumi (</w:t>
      </w:r>
      <w:r>
        <w:rPr>
          <w:i/>
          <w:iCs/>
        </w:rPr>
        <w:t>UR</w:t>
      </w:r>
      <w:r>
        <w:t xml:space="preserve">) ir piemērojami, ciktāl tie attiecas uz līgumu, kas nosaka dzelzceļa infrastruktūras izmantošanu starptautiskajiem pārvadājumiem </w:t>
      </w:r>
      <w:r>
        <w:rPr>
          <w:i/>
          <w:iCs/>
        </w:rPr>
        <w:t>CIV</w:t>
      </w:r>
      <w:r>
        <w:t xml:space="preserve"> Vienveida noteikumu un </w:t>
      </w:r>
      <w:r>
        <w:rPr>
          <w:i/>
          <w:iCs/>
        </w:rPr>
        <w:t>CIM</w:t>
      </w:r>
      <w:r>
        <w:t xml:space="preserve"> Vienveida noteikumu izpratnē.</w:t>
      </w:r>
    </w:p>
    <w:p w14:paraId="02C7C587" w14:textId="77777777" w:rsidR="00AE1A86" w:rsidRPr="00311768" w:rsidRDefault="00AE1A86" w:rsidP="00311768">
      <w:pPr>
        <w:jc w:val="both"/>
        <w:rPr>
          <w:rFonts w:ascii="Times New Roman" w:eastAsia="Times New Roman" w:hAnsi="Times New Roman" w:cs="Times New Roman"/>
          <w:noProof/>
          <w:sz w:val="24"/>
          <w:szCs w:val="20"/>
        </w:rPr>
      </w:pPr>
    </w:p>
    <w:p w14:paraId="44F180CB" w14:textId="77777777" w:rsidR="00AE1A86" w:rsidRPr="00311768" w:rsidRDefault="008B5976" w:rsidP="000141E6">
      <w:pPr>
        <w:pStyle w:val="BodyText"/>
        <w:tabs>
          <w:tab w:val="left" w:pos="1537"/>
        </w:tabs>
        <w:ind w:left="426" w:firstLine="0"/>
        <w:jc w:val="both"/>
        <w:rPr>
          <w:noProof/>
        </w:rPr>
      </w:pPr>
      <w:r>
        <w:t xml:space="preserve">a) Šajā kontekstā terminam “pārvadājums” ir tāda pati nozīme kā citās konvencijās transporta tiesību jomā, piemēram, </w:t>
      </w:r>
      <w:r>
        <w:rPr>
          <w:i/>
          <w:iCs/>
        </w:rPr>
        <w:t>CMR</w:t>
      </w:r>
      <w:r>
        <w:t>, Varšavas un Monreālas konvencijā, Hamburgas noteikumos un Atēnu konvencijā.</w:t>
      </w:r>
    </w:p>
    <w:p w14:paraId="7FE6C0CA" w14:textId="77777777" w:rsidR="00AE1A86" w:rsidRPr="00311768" w:rsidRDefault="00AE1A86" w:rsidP="000141E6">
      <w:pPr>
        <w:ind w:left="426"/>
        <w:jc w:val="both"/>
        <w:rPr>
          <w:rFonts w:ascii="Times New Roman" w:eastAsia="Times New Roman" w:hAnsi="Times New Roman" w:cs="Times New Roman"/>
          <w:noProof/>
          <w:sz w:val="24"/>
          <w:szCs w:val="20"/>
        </w:rPr>
      </w:pPr>
    </w:p>
    <w:p w14:paraId="527EFC71" w14:textId="77777777" w:rsidR="00AE1A86" w:rsidRPr="00311768" w:rsidRDefault="008B5976" w:rsidP="000141E6">
      <w:pPr>
        <w:pStyle w:val="BodyText"/>
        <w:tabs>
          <w:tab w:val="left" w:pos="1537"/>
        </w:tabs>
        <w:ind w:left="426" w:firstLine="0"/>
        <w:jc w:val="both"/>
        <w:rPr>
          <w:noProof/>
        </w:rPr>
      </w:pPr>
      <w:r>
        <w:t xml:space="preserve">b) Par terminu “starptautiskie pārvadājumi </w:t>
      </w:r>
      <w:r>
        <w:rPr>
          <w:i/>
          <w:iCs/>
        </w:rPr>
        <w:t>CIV</w:t>
      </w:r>
      <w:r>
        <w:t xml:space="preserve"> Vienveida noteikumu un </w:t>
      </w:r>
      <w:r>
        <w:rPr>
          <w:i/>
          <w:iCs/>
        </w:rPr>
        <w:t>CIM</w:t>
      </w:r>
      <w:r>
        <w:t xml:space="preserve"> Vienveida noteikumu izpratnē” skatīt skaidrojošās piezīmes par </w:t>
      </w:r>
      <w:r>
        <w:rPr>
          <w:i/>
          <w:iCs/>
        </w:rPr>
        <w:t>CIV</w:t>
      </w:r>
      <w:r>
        <w:t xml:space="preserve"> 1. pantu un </w:t>
      </w:r>
      <w:r>
        <w:rPr>
          <w:i/>
          <w:iCs/>
        </w:rPr>
        <w:t>CIM</w:t>
      </w:r>
      <w:r>
        <w:t xml:space="preserve"> 1. pantu.</w:t>
      </w:r>
    </w:p>
    <w:p w14:paraId="6CA76D04" w14:textId="77777777" w:rsidR="00AE1A86" w:rsidRPr="00311768" w:rsidRDefault="00AE1A86" w:rsidP="000141E6">
      <w:pPr>
        <w:ind w:left="426"/>
        <w:jc w:val="both"/>
        <w:rPr>
          <w:rFonts w:ascii="Times New Roman" w:eastAsia="Times New Roman" w:hAnsi="Times New Roman" w:cs="Times New Roman"/>
          <w:noProof/>
          <w:sz w:val="24"/>
          <w:szCs w:val="20"/>
        </w:rPr>
      </w:pPr>
    </w:p>
    <w:p w14:paraId="6E0E16DB" w14:textId="77777777" w:rsidR="00AE1A86" w:rsidRPr="00311768" w:rsidRDefault="008B5976" w:rsidP="000141E6">
      <w:pPr>
        <w:pStyle w:val="BodyText"/>
        <w:tabs>
          <w:tab w:val="left" w:pos="1537"/>
        </w:tabs>
        <w:ind w:left="426" w:firstLine="0"/>
        <w:jc w:val="both"/>
        <w:rPr>
          <w:noProof/>
        </w:rPr>
      </w:pPr>
      <w:r>
        <w:t xml:space="preserve">c) Attiecībā uz </w:t>
      </w:r>
      <w:r>
        <w:rPr>
          <w:i/>
          <w:iCs/>
        </w:rPr>
        <w:t>CUI</w:t>
      </w:r>
      <w:r>
        <w:t xml:space="preserve"> piemērošanu nav svarīgi, vai infrastruktūru izmanto valsts vai ārvalstu dzelzceļa pārvadājumu uzņēmums / pārvadātājs.</w:t>
      </w:r>
    </w:p>
    <w:p w14:paraId="2D8FB8AF" w14:textId="77777777" w:rsidR="00AE1A86" w:rsidRPr="00311768" w:rsidRDefault="00AE1A86" w:rsidP="000141E6">
      <w:pPr>
        <w:ind w:left="426"/>
        <w:jc w:val="both"/>
        <w:rPr>
          <w:rFonts w:ascii="Times New Roman" w:eastAsia="Times New Roman" w:hAnsi="Times New Roman" w:cs="Times New Roman"/>
          <w:noProof/>
          <w:sz w:val="24"/>
          <w:szCs w:val="20"/>
        </w:rPr>
      </w:pPr>
    </w:p>
    <w:p w14:paraId="7DACE56A" w14:textId="77777777" w:rsidR="00AE1A86" w:rsidRPr="00311768" w:rsidRDefault="008B5976" w:rsidP="000141E6">
      <w:pPr>
        <w:pStyle w:val="BodyText"/>
        <w:tabs>
          <w:tab w:val="left" w:pos="1537"/>
        </w:tabs>
        <w:ind w:left="426" w:firstLine="0"/>
        <w:jc w:val="both"/>
        <w:rPr>
          <w:noProof/>
        </w:rPr>
      </w:pPr>
      <w:r>
        <w:t xml:space="preserve">d) </w:t>
      </w:r>
      <w:r>
        <w:rPr>
          <w:i/>
          <w:iCs/>
        </w:rPr>
        <w:t>CUI</w:t>
      </w:r>
      <w:r>
        <w:t xml:space="preserve"> attiecas arī uz dzelzceļa infrastruktūras izmantošanu tajās valstīs, kurās infrastruktūras pārvaldība nav nošķirta no transporta pakalpojumu sniegšanas un kurās tādējādi abās dzelzceļa darbības jomās darbojas integrēts uzņēmums, ciktāl ārvalstu dzelzceļa pārvadājumu uzņēmumiem šajās valstīs ir atļauta piekļuve infrastruktūrai.</w:t>
      </w:r>
    </w:p>
    <w:p w14:paraId="6CEA1D86" w14:textId="77777777" w:rsidR="00AE1A86" w:rsidRPr="00311768" w:rsidRDefault="00AE1A86" w:rsidP="00311768">
      <w:pPr>
        <w:jc w:val="both"/>
        <w:rPr>
          <w:rFonts w:ascii="Times New Roman" w:eastAsia="Times New Roman" w:hAnsi="Times New Roman" w:cs="Times New Roman"/>
          <w:noProof/>
          <w:sz w:val="24"/>
          <w:szCs w:val="20"/>
        </w:rPr>
      </w:pPr>
    </w:p>
    <w:p w14:paraId="6C7B8DFF" w14:textId="77777777" w:rsidR="00AE1A86" w:rsidRPr="00311768" w:rsidRDefault="000141E6" w:rsidP="008B5976">
      <w:pPr>
        <w:pStyle w:val="BodyText"/>
        <w:ind w:left="0" w:firstLine="0"/>
        <w:jc w:val="both"/>
        <w:rPr>
          <w:noProof/>
        </w:rPr>
      </w:pPr>
      <w:r>
        <w:t>2. Frāze “attiecas uz” (</w:t>
      </w:r>
      <w:r>
        <w:rPr>
          <w:i/>
          <w:iCs/>
        </w:rPr>
        <w:t>CIV</w:t>
      </w:r>
      <w:r>
        <w:t xml:space="preserve"> / </w:t>
      </w:r>
      <w:r>
        <w:rPr>
          <w:i/>
          <w:iCs/>
        </w:rPr>
        <w:t>CIM</w:t>
      </w:r>
      <w:r>
        <w:t xml:space="preserve"> starptautiskajiem pārvadājumiem) 1. § skaidri norāda, ka būtiski svarīgs ir infrastruktūras izmantošanas nolūks. Tātad tas, piemēram, nenozīmē starptautisko dzelzceļa pārvadājumu “izpildes laikā”. Tāpēc izmantošanas līguma darbības jomā ir ietverta arī infrastruktūras izmantošana priekšdarbiem, kas tiek veikti, pirms vilciens ir sagatavots un nosūtīts (pirms pirmais pasažieris iekāpj vilcienā vai tiek iekrautas preces), kā arī darbiem, ko veic pēc tam, kad pārvadājums ir pabeigts (piemēram, tīrīšana un atgriešanās tukšgaitā), ja vien šīs darbības ir saistītas ar turpmāku vai iepriekšēju pārvadājumu saskaņā ar </w:t>
      </w:r>
      <w:r>
        <w:rPr>
          <w:i/>
          <w:iCs/>
        </w:rPr>
        <w:t>CIV</w:t>
      </w:r>
      <w:r>
        <w:t xml:space="preserve"> vai </w:t>
      </w:r>
      <w:r>
        <w:rPr>
          <w:i/>
          <w:iCs/>
        </w:rPr>
        <w:t>CIM</w:t>
      </w:r>
      <w:r>
        <w:t>.</w:t>
      </w:r>
    </w:p>
    <w:p w14:paraId="5B035444" w14:textId="77777777" w:rsidR="00AE1A86" w:rsidRPr="00311768" w:rsidRDefault="00AE1A86" w:rsidP="00311768">
      <w:pPr>
        <w:jc w:val="both"/>
        <w:rPr>
          <w:rFonts w:ascii="Times New Roman" w:eastAsia="Times New Roman" w:hAnsi="Times New Roman" w:cs="Times New Roman"/>
          <w:noProof/>
          <w:sz w:val="24"/>
          <w:szCs w:val="20"/>
        </w:rPr>
      </w:pPr>
    </w:p>
    <w:p w14:paraId="29C48C72" w14:textId="77777777" w:rsidR="00AE1A86" w:rsidRPr="00311768" w:rsidRDefault="000141E6" w:rsidP="000141E6">
      <w:pPr>
        <w:pStyle w:val="BodyText"/>
        <w:tabs>
          <w:tab w:val="left" w:pos="970"/>
        </w:tabs>
        <w:ind w:left="0" w:firstLine="0"/>
        <w:jc w:val="both"/>
        <w:rPr>
          <w:noProof/>
        </w:rPr>
      </w:pPr>
      <w:r>
        <w:t xml:space="preserve">3. </w:t>
      </w:r>
      <w:r>
        <w:rPr>
          <w:i/>
          <w:iCs/>
        </w:rPr>
        <w:t>CIV</w:t>
      </w:r>
      <w:r>
        <w:t>/</w:t>
      </w:r>
      <w:r>
        <w:rPr>
          <w:i/>
          <w:iCs/>
        </w:rPr>
        <w:t>CIM</w:t>
      </w:r>
      <w:r>
        <w:t xml:space="preserve"> Vienveida noteikumus piemēro pārvadājumu veikšanai, pamatojoties uz pārvadājuma līgumu, kas attiecas uz katru atsevišķu pasažieri un katru atsevišķu preču sūtījumu, savukārt infrastruktūras izmantošana parasti attiecas uz vilcienu pārvadājumiem, kuros ir daudz pasažieru un sūtījumu. Starp tiem varētu būt pasažieri, kurus pārvadā saskaņā ar līgumu atbilstoši </w:t>
      </w:r>
      <w:r>
        <w:rPr>
          <w:i/>
          <w:iCs/>
        </w:rPr>
        <w:t>CIV</w:t>
      </w:r>
      <w:r>
        <w:t xml:space="preserve">, kā arī citi pasažieri, uz kuriem </w:t>
      </w:r>
      <w:r>
        <w:rPr>
          <w:i/>
          <w:iCs/>
        </w:rPr>
        <w:t>CIV</w:t>
      </w:r>
      <w:r>
        <w:t xml:space="preserve"> neattiecas. Tas pats attiecas uz vilcienu, kurā var būt sūtījumi, ko pārvadā saskaņā ar līgumu atbilstoši </w:t>
      </w:r>
      <w:r>
        <w:rPr>
          <w:i/>
          <w:iCs/>
        </w:rPr>
        <w:t>CIM</w:t>
      </w:r>
      <w:r>
        <w:t xml:space="preserve">, kā arī citi sūtījumi, uz kuriem </w:t>
      </w:r>
      <w:r>
        <w:rPr>
          <w:i/>
          <w:iCs/>
        </w:rPr>
        <w:t>CIM</w:t>
      </w:r>
      <w:r>
        <w:t xml:space="preserve"> neattiecas.</w:t>
      </w:r>
    </w:p>
    <w:p w14:paraId="744CBFC9" w14:textId="77777777" w:rsidR="00311768" w:rsidRPr="00311768" w:rsidRDefault="00311768" w:rsidP="00311768">
      <w:pPr>
        <w:jc w:val="both"/>
        <w:rPr>
          <w:rFonts w:ascii="Times New Roman" w:hAnsi="Times New Roman"/>
          <w:noProof/>
          <w:sz w:val="24"/>
        </w:rPr>
      </w:pPr>
    </w:p>
    <w:p w14:paraId="3F668213" w14:textId="77777777" w:rsidR="00AE1A86" w:rsidRPr="00311768" w:rsidRDefault="000141E6" w:rsidP="000141E6">
      <w:pPr>
        <w:pStyle w:val="BodyText"/>
        <w:tabs>
          <w:tab w:val="left" w:pos="970"/>
        </w:tabs>
        <w:ind w:left="0" w:firstLine="0"/>
        <w:jc w:val="both"/>
        <w:rPr>
          <w:noProof/>
        </w:rPr>
      </w:pPr>
      <w:r>
        <w:t xml:space="preserve">4. Gadījumā, kad tiek prasīts atlīdzināt netiešu kaitējumu, piemēram, saskaņā ar </w:t>
      </w:r>
      <w:r>
        <w:rPr>
          <w:i/>
          <w:iCs/>
        </w:rPr>
        <w:t>CUI</w:t>
      </w:r>
      <w:r>
        <w:t xml:space="preserve"> 8. panta 1. § c) punktu:</w:t>
      </w:r>
    </w:p>
    <w:p w14:paraId="5A98D6B6" w14:textId="77777777" w:rsidR="00AE1A86" w:rsidRPr="00311768" w:rsidRDefault="00AE1A86" w:rsidP="00311768">
      <w:pPr>
        <w:jc w:val="both"/>
        <w:rPr>
          <w:rFonts w:ascii="Times New Roman" w:eastAsia="Times New Roman" w:hAnsi="Times New Roman" w:cs="Times New Roman"/>
          <w:noProof/>
          <w:sz w:val="24"/>
          <w:szCs w:val="20"/>
        </w:rPr>
      </w:pPr>
    </w:p>
    <w:p w14:paraId="3471ECB8" w14:textId="77777777" w:rsidR="00AE1A86" w:rsidRPr="00311768" w:rsidRDefault="000141E6" w:rsidP="000141E6">
      <w:pPr>
        <w:pStyle w:val="BodyText"/>
        <w:tabs>
          <w:tab w:val="left" w:pos="1537"/>
        </w:tabs>
        <w:ind w:left="426" w:firstLine="0"/>
        <w:jc w:val="both"/>
        <w:rPr>
          <w:noProof/>
        </w:rPr>
      </w:pPr>
      <w:r>
        <w:t>a) attiecībā uz pasažieriem, kuriem ir iekšzemes brauciena biļete un kuri kompensāciju no pārvadātāja saņem saskaņā ar valsts tiesību aktiem, pārvadātājam būs tiesības vērsties pret infrastruktūras pārvaldītāju saskaņā ar valsts tiesību aktiem, un</w:t>
      </w:r>
    </w:p>
    <w:p w14:paraId="11931834" w14:textId="77777777" w:rsidR="00AE1A86" w:rsidRPr="00311768" w:rsidRDefault="00AE1A86" w:rsidP="000141E6">
      <w:pPr>
        <w:ind w:left="426"/>
        <w:jc w:val="both"/>
        <w:rPr>
          <w:rFonts w:ascii="Times New Roman" w:eastAsia="Times New Roman" w:hAnsi="Times New Roman" w:cs="Times New Roman"/>
          <w:noProof/>
          <w:sz w:val="24"/>
          <w:szCs w:val="20"/>
        </w:rPr>
      </w:pPr>
    </w:p>
    <w:p w14:paraId="53142FB2" w14:textId="77777777" w:rsidR="00AE1A86" w:rsidRPr="00311768" w:rsidRDefault="000141E6" w:rsidP="000141E6">
      <w:pPr>
        <w:pStyle w:val="BodyText"/>
        <w:tabs>
          <w:tab w:val="left" w:pos="1537"/>
        </w:tabs>
        <w:ind w:left="426" w:firstLine="0"/>
        <w:jc w:val="both"/>
        <w:rPr>
          <w:noProof/>
        </w:rPr>
      </w:pPr>
      <w:r>
        <w:t xml:space="preserve">b) attiecībā uz pasažieriem, kuriem ir </w:t>
      </w:r>
      <w:r>
        <w:rPr>
          <w:i/>
          <w:iCs/>
        </w:rPr>
        <w:t>CIV</w:t>
      </w:r>
      <w:r>
        <w:t xml:space="preserve"> biļete un kuri kompensāciju no pārvadātāja saņem saskaņā ar </w:t>
      </w:r>
      <w:r>
        <w:rPr>
          <w:i/>
          <w:iCs/>
        </w:rPr>
        <w:t>CIV</w:t>
      </w:r>
      <w:r>
        <w:t xml:space="preserve">, pārvadātājam būs tiesības vērsties pret infrastruktūras pārvaldītāju saskaņā ar </w:t>
      </w:r>
      <w:r>
        <w:rPr>
          <w:i/>
          <w:iCs/>
        </w:rPr>
        <w:t>CUI</w:t>
      </w:r>
      <w:r>
        <w:t>.</w:t>
      </w:r>
    </w:p>
    <w:p w14:paraId="4876B155" w14:textId="77777777" w:rsidR="00AE1A86" w:rsidRPr="00311768" w:rsidRDefault="00AE1A86" w:rsidP="00311768">
      <w:pPr>
        <w:jc w:val="both"/>
        <w:rPr>
          <w:rFonts w:ascii="Times New Roman" w:eastAsia="Times New Roman" w:hAnsi="Times New Roman" w:cs="Times New Roman"/>
          <w:noProof/>
          <w:sz w:val="24"/>
          <w:szCs w:val="20"/>
        </w:rPr>
      </w:pPr>
    </w:p>
    <w:p w14:paraId="0C7DD26A" w14:textId="77777777" w:rsidR="00AE1A86" w:rsidRPr="00311768" w:rsidRDefault="000141E6" w:rsidP="000141E6">
      <w:pPr>
        <w:tabs>
          <w:tab w:val="left" w:pos="970"/>
        </w:tabs>
        <w:jc w:val="both"/>
        <w:rPr>
          <w:rFonts w:ascii="Times New Roman" w:eastAsia="Times New Roman" w:hAnsi="Times New Roman" w:cs="Times New Roman"/>
          <w:noProof/>
          <w:sz w:val="24"/>
          <w:szCs w:val="24"/>
        </w:rPr>
      </w:pPr>
      <w:r>
        <w:rPr>
          <w:rFonts w:ascii="Times New Roman" w:hAnsi="Times New Roman"/>
          <w:sz w:val="24"/>
        </w:rPr>
        <w:t xml:space="preserve">5. Šī pati pieeja ir </w:t>
      </w:r>
      <w:r>
        <w:rPr>
          <w:rFonts w:ascii="Times New Roman" w:hAnsi="Times New Roman"/>
          <w:i/>
          <w:iCs/>
          <w:sz w:val="24"/>
        </w:rPr>
        <w:t>mutatis mutandis</w:t>
      </w:r>
      <w:r>
        <w:rPr>
          <w:rFonts w:ascii="Times New Roman" w:hAnsi="Times New Roman"/>
          <w:sz w:val="24"/>
        </w:rPr>
        <w:t xml:space="preserve"> piemērojama prasībām atlīdzināt bojājumu kravai.</w:t>
      </w:r>
    </w:p>
    <w:p w14:paraId="51FDD964" w14:textId="77777777" w:rsidR="00AE1A86" w:rsidRPr="00311768" w:rsidRDefault="00AE1A86" w:rsidP="00311768">
      <w:pPr>
        <w:jc w:val="both"/>
        <w:rPr>
          <w:rFonts w:ascii="Times New Roman" w:eastAsia="Times New Roman" w:hAnsi="Times New Roman" w:cs="Times New Roman"/>
          <w:noProof/>
          <w:sz w:val="24"/>
          <w:szCs w:val="21"/>
        </w:rPr>
      </w:pPr>
    </w:p>
    <w:p w14:paraId="1289A39A" w14:textId="77777777" w:rsidR="00AE1A86" w:rsidRPr="00311768" w:rsidRDefault="000141E6" w:rsidP="000141E6">
      <w:pPr>
        <w:pStyle w:val="BodyText"/>
        <w:tabs>
          <w:tab w:val="left" w:pos="970"/>
        </w:tabs>
        <w:ind w:left="0" w:firstLine="0"/>
        <w:jc w:val="both"/>
        <w:rPr>
          <w:noProof/>
        </w:rPr>
      </w:pPr>
      <w:r>
        <w:t xml:space="preserve">6. Tomēr ir dažādi viedokļi attiecībā uz </w:t>
      </w:r>
      <w:r>
        <w:rPr>
          <w:i/>
          <w:iCs/>
        </w:rPr>
        <w:t>CUI</w:t>
      </w:r>
      <w:r>
        <w:t xml:space="preserve"> darbības jomu tieša kaitējuma gadījumā. </w:t>
      </w:r>
      <w:r>
        <w:rPr>
          <w:i/>
          <w:iCs/>
        </w:rPr>
        <w:t>CUI</w:t>
      </w:r>
      <w:r>
        <w:t xml:space="preserve"> darbības jomu tieša kaitējuma gadījumā vajadzētu sīkāk precizēt katrā konkrētajā gadījumā.</w:t>
      </w:r>
    </w:p>
    <w:p w14:paraId="45560F5B" w14:textId="77777777" w:rsidR="00AE1A86" w:rsidRPr="00311768" w:rsidRDefault="00AE1A86" w:rsidP="00311768">
      <w:pPr>
        <w:jc w:val="both"/>
        <w:rPr>
          <w:rFonts w:ascii="Times New Roman" w:eastAsia="Times New Roman" w:hAnsi="Times New Roman" w:cs="Times New Roman"/>
          <w:noProof/>
          <w:sz w:val="24"/>
          <w:szCs w:val="20"/>
        </w:rPr>
      </w:pPr>
    </w:p>
    <w:p w14:paraId="1197E9AF" w14:textId="77777777" w:rsidR="00AE1A86" w:rsidRPr="00311768" w:rsidRDefault="000141E6" w:rsidP="000141E6">
      <w:pPr>
        <w:pStyle w:val="BodyText"/>
        <w:tabs>
          <w:tab w:val="left" w:pos="970"/>
        </w:tabs>
        <w:ind w:left="0" w:firstLine="0"/>
        <w:jc w:val="both"/>
        <w:rPr>
          <w:noProof/>
        </w:rPr>
      </w:pPr>
      <w:r>
        <w:t xml:space="preserve">7. Ņemot vērā to, ka </w:t>
      </w:r>
      <w:r>
        <w:rPr>
          <w:i/>
          <w:iCs/>
        </w:rPr>
        <w:t>CUI</w:t>
      </w:r>
      <w:r>
        <w:t xml:space="preserve"> darbības joma jebkurā gadījumā daļēji pārklājas ar atbilstošajiem EK tiesību aktiem vai atbilstošajiem valsts tiesību aktiem, vairāku citu </w:t>
      </w:r>
      <w:r>
        <w:rPr>
          <w:i/>
          <w:iCs/>
        </w:rPr>
        <w:t>CUI</w:t>
      </w:r>
      <w:r>
        <w:t xml:space="preserve"> pantu noteikumi, kas varētu radīt iespējamus pārpratumus saistībā ar šādiem tiesību aktiem, ir attiecīgi grozīti, un paskaidrojuma ziņojumā ir sniegta papildu informācija.</w:t>
      </w:r>
    </w:p>
    <w:p w14:paraId="0BEC86F7" w14:textId="77777777" w:rsidR="00AE1A86" w:rsidRPr="00311768" w:rsidRDefault="00AE1A86" w:rsidP="00311768">
      <w:pPr>
        <w:jc w:val="both"/>
        <w:rPr>
          <w:rFonts w:ascii="Times New Roman" w:eastAsia="Times New Roman" w:hAnsi="Times New Roman" w:cs="Times New Roman"/>
          <w:noProof/>
          <w:sz w:val="24"/>
          <w:szCs w:val="21"/>
        </w:rPr>
      </w:pPr>
    </w:p>
    <w:p w14:paraId="0C02618A" w14:textId="77777777" w:rsidR="000141E6" w:rsidRDefault="00AE1A86" w:rsidP="000141E6">
      <w:pPr>
        <w:pStyle w:val="Heading1"/>
        <w:ind w:left="0"/>
        <w:jc w:val="center"/>
        <w:rPr>
          <w:noProof/>
        </w:rPr>
      </w:pPr>
      <w:r>
        <w:t>3. pants</w:t>
      </w:r>
    </w:p>
    <w:p w14:paraId="52649A43" w14:textId="77777777" w:rsidR="00AE1A86" w:rsidRPr="00311768" w:rsidRDefault="00AE1A86" w:rsidP="000141E6">
      <w:pPr>
        <w:pStyle w:val="Heading1"/>
        <w:ind w:left="0"/>
        <w:jc w:val="center"/>
        <w:rPr>
          <w:noProof/>
        </w:rPr>
      </w:pPr>
      <w:r>
        <w:t>Definīcijas</w:t>
      </w:r>
    </w:p>
    <w:p w14:paraId="787EDFD7" w14:textId="77777777" w:rsidR="00AE1A86" w:rsidRPr="00311768" w:rsidRDefault="00AE1A86" w:rsidP="00311768">
      <w:pPr>
        <w:jc w:val="both"/>
        <w:rPr>
          <w:rFonts w:ascii="Times New Roman" w:eastAsia="Times New Roman" w:hAnsi="Times New Roman" w:cs="Times New Roman"/>
          <w:b/>
          <w:bCs/>
          <w:noProof/>
          <w:sz w:val="24"/>
          <w:szCs w:val="20"/>
        </w:rPr>
      </w:pPr>
    </w:p>
    <w:p w14:paraId="365E43B3" w14:textId="77777777" w:rsidR="00AE1A86" w:rsidRPr="00311768" w:rsidRDefault="000141E6" w:rsidP="000141E6">
      <w:pPr>
        <w:pStyle w:val="BodyText"/>
        <w:tabs>
          <w:tab w:val="left" w:pos="970"/>
        </w:tabs>
        <w:ind w:left="0" w:firstLine="0"/>
        <w:jc w:val="both"/>
        <w:rPr>
          <w:noProof/>
        </w:rPr>
      </w:pPr>
      <w:r>
        <w:t>1. Paplašinot termina “pārvaldītājs” definīciju b) punktā, tiek norādīts, ka gadījumos, kad piemēro EK tiesību aktus vai atbilstošos valsts tiesību aktus, personai, uz kuru attiecas šī definīcija, jāzina visi attiecīgie pienākumi.</w:t>
      </w:r>
    </w:p>
    <w:p w14:paraId="595808F6" w14:textId="77777777" w:rsidR="00AE1A86" w:rsidRPr="00311768" w:rsidRDefault="00AE1A86" w:rsidP="00311768">
      <w:pPr>
        <w:jc w:val="both"/>
        <w:rPr>
          <w:rFonts w:ascii="Times New Roman" w:eastAsia="Times New Roman" w:hAnsi="Times New Roman" w:cs="Times New Roman"/>
          <w:noProof/>
          <w:sz w:val="24"/>
          <w:szCs w:val="20"/>
        </w:rPr>
      </w:pPr>
    </w:p>
    <w:p w14:paraId="215CA487" w14:textId="77777777" w:rsidR="00AE1A86" w:rsidRPr="00311768" w:rsidRDefault="000141E6" w:rsidP="000141E6">
      <w:pPr>
        <w:pStyle w:val="BodyText"/>
        <w:tabs>
          <w:tab w:val="left" w:pos="970"/>
        </w:tabs>
        <w:ind w:left="0" w:firstLine="0"/>
        <w:jc w:val="both"/>
        <w:rPr>
          <w:noProof/>
        </w:rPr>
      </w:pPr>
      <w:r>
        <w:t>2. Paplašinot termina “pārvadātājs” definīciju c) punktā, tiek norādīts, ka gadījumos, kad piemēro EK tiesību aktus vai atbilstošos valsts tiesību aktus, personai, uz kuru attiecas šī definīcija, jāzina visi ar licencēšanu saistītie pienākumi. Proti, pārvadātājiem, kas nav ES pārvadātāji, jāņem vērā, ka, slēdzot līgumus ar ES dalībvalstu infrastruktūras pārvaldītājiem kā “dzelzceļa pārvadājumu uzņēmumiem” saskaņā ar EK tiesību aktiem, uz tiem attiecas EK tiesību aktos noteiktie pienākumi, jo īpaši licencēšanas un drošības sertifikācijas prasības.</w:t>
      </w:r>
    </w:p>
    <w:p w14:paraId="7A209CBE" w14:textId="77777777" w:rsidR="00AE1A86" w:rsidRPr="00311768" w:rsidRDefault="00AE1A86" w:rsidP="00311768">
      <w:pPr>
        <w:jc w:val="both"/>
        <w:rPr>
          <w:rFonts w:ascii="Times New Roman" w:eastAsia="Times New Roman" w:hAnsi="Times New Roman" w:cs="Times New Roman"/>
          <w:noProof/>
          <w:sz w:val="24"/>
          <w:szCs w:val="20"/>
        </w:rPr>
      </w:pPr>
    </w:p>
    <w:p w14:paraId="502A0CB9" w14:textId="77777777" w:rsidR="00AE1A86" w:rsidRPr="00311768" w:rsidRDefault="000141E6" w:rsidP="000141E6">
      <w:pPr>
        <w:pStyle w:val="BodyText"/>
        <w:tabs>
          <w:tab w:val="left" w:pos="970"/>
        </w:tabs>
        <w:ind w:left="0" w:firstLine="0"/>
        <w:jc w:val="both"/>
        <w:rPr>
          <w:noProof/>
        </w:rPr>
      </w:pPr>
      <w:r>
        <w:t>3. Termina “licence” grozītā definīcija f) punktā labāk atbilst šā termina nozīmei EK tiesību aktos (sk. Direktīvu 95/18/EK). Turklāt tiek precizēts, ka valstij ir jāizsniedz licence. Ir arī noteikts, ka attiecīgās atļaušanas saņemšanai ir piemērojami izdošanas valstī spēkā esošie tiesību akti. Ja tas ir EK tiesību akts vai tam atbilstošais valsts tiesību akts, ir jāievēro attiecīgie nosacījumi, jo īpaši prasība attiecībā uz licencēšanu un drošības sertifikāciju, sk. arī piezīmes par c) un g) punktu.</w:t>
      </w:r>
    </w:p>
    <w:p w14:paraId="7836FE07" w14:textId="77777777" w:rsidR="00AE1A86" w:rsidRPr="00311768" w:rsidRDefault="00AE1A86" w:rsidP="00311768">
      <w:pPr>
        <w:jc w:val="both"/>
        <w:rPr>
          <w:rFonts w:ascii="Times New Roman" w:eastAsia="Times New Roman" w:hAnsi="Times New Roman" w:cs="Times New Roman"/>
          <w:noProof/>
          <w:sz w:val="24"/>
          <w:szCs w:val="20"/>
        </w:rPr>
      </w:pPr>
    </w:p>
    <w:p w14:paraId="70BC572A" w14:textId="77777777" w:rsidR="00AE1A86" w:rsidRPr="00311768" w:rsidRDefault="000141E6" w:rsidP="000141E6">
      <w:pPr>
        <w:pStyle w:val="BodyText"/>
        <w:tabs>
          <w:tab w:val="left" w:pos="970"/>
        </w:tabs>
        <w:ind w:left="0" w:firstLine="0"/>
        <w:jc w:val="both"/>
        <w:rPr>
          <w:noProof/>
        </w:rPr>
      </w:pPr>
      <w:r>
        <w:t>4. Termina “drošības sertifikāts” definīcijas formulējums g) punktā ir saskaņots ar atbilstošo formulējumu citās grozītajās definīcijās. Pašreizējais formulējums jau būtībā nosaka, ka drošības sertifikātam ir jābūt balstītam uz tiesību aktiem, kas piemērojami infrastruktūras atrašanās vietā, tostarp tiesību aktiem, kas piemērojami ES dalībvalstī, kurā atrodas infrastruktūra.</w:t>
      </w:r>
    </w:p>
    <w:p w14:paraId="0468D395" w14:textId="77777777" w:rsidR="00311768" w:rsidRPr="00311768" w:rsidRDefault="00311768" w:rsidP="00311768">
      <w:pPr>
        <w:jc w:val="both"/>
        <w:rPr>
          <w:rFonts w:ascii="Times New Roman" w:hAnsi="Times New Roman"/>
          <w:noProof/>
          <w:sz w:val="24"/>
        </w:rPr>
      </w:pPr>
    </w:p>
    <w:p w14:paraId="4489AF34" w14:textId="77777777" w:rsidR="000141E6" w:rsidRDefault="00AE1A86" w:rsidP="000141E6">
      <w:pPr>
        <w:pStyle w:val="Heading1"/>
        <w:ind w:left="0"/>
        <w:jc w:val="center"/>
        <w:rPr>
          <w:noProof/>
        </w:rPr>
      </w:pPr>
      <w:r>
        <w:t>4. pants</w:t>
      </w:r>
    </w:p>
    <w:p w14:paraId="711340F1" w14:textId="77777777" w:rsidR="00AE1A86" w:rsidRPr="00311768" w:rsidRDefault="00AE1A86" w:rsidP="000141E6">
      <w:pPr>
        <w:pStyle w:val="Heading1"/>
        <w:ind w:left="0"/>
        <w:jc w:val="center"/>
        <w:rPr>
          <w:noProof/>
        </w:rPr>
      </w:pPr>
      <w:r>
        <w:t>Saistošais tiesību akts</w:t>
      </w:r>
    </w:p>
    <w:p w14:paraId="0AAF62B4" w14:textId="77777777" w:rsidR="00AE1A86" w:rsidRPr="00311768" w:rsidRDefault="00AE1A86" w:rsidP="00311768">
      <w:pPr>
        <w:jc w:val="both"/>
        <w:rPr>
          <w:rFonts w:ascii="Times New Roman" w:eastAsia="Times New Roman" w:hAnsi="Times New Roman" w:cs="Times New Roman"/>
          <w:b/>
          <w:bCs/>
          <w:noProof/>
          <w:sz w:val="24"/>
          <w:szCs w:val="20"/>
        </w:rPr>
      </w:pPr>
    </w:p>
    <w:p w14:paraId="056A3E54" w14:textId="77777777" w:rsidR="00AE1A86" w:rsidRPr="00311768" w:rsidRDefault="00AE1A86" w:rsidP="00311768">
      <w:pPr>
        <w:pStyle w:val="BodyText"/>
        <w:ind w:left="0" w:firstLine="0"/>
        <w:jc w:val="both"/>
        <w:rPr>
          <w:noProof/>
        </w:rPr>
      </w:pPr>
      <w:r>
        <w:t xml:space="preserve">Šā panta kontekstā termins “noteikums” attiecas tikai uz prasībām, kas noteiktas </w:t>
      </w:r>
      <w:r>
        <w:rPr>
          <w:i/>
          <w:iCs/>
        </w:rPr>
        <w:t>CUI</w:t>
      </w:r>
      <w:r>
        <w:t xml:space="preserve"> līgumā. Tas neattiecas uz tiesību normām, kas piemērojamas ES, tās dalībvalstīs vai kādā citā valstī. Par pretrunām, kas </w:t>
      </w:r>
      <w:r>
        <w:rPr>
          <w:i/>
          <w:iCs/>
        </w:rPr>
        <w:t>CUI</w:t>
      </w:r>
      <w:r>
        <w:t xml:space="preserve"> noteikumiem varētu rasties attiecībā uz pašu līgumu, jo īpaši saistībā ar EK tiesību aktiem, skatīt piezīmes par 5. pantu.</w:t>
      </w:r>
    </w:p>
    <w:p w14:paraId="57E5D310" w14:textId="78DF4A02" w:rsidR="009145A6" w:rsidRDefault="009145A6">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14:paraId="292728F0" w14:textId="77777777" w:rsidR="00AE1A86" w:rsidRPr="00311768" w:rsidRDefault="00AE1A86" w:rsidP="00311768">
      <w:pPr>
        <w:jc w:val="both"/>
        <w:rPr>
          <w:rFonts w:ascii="Times New Roman" w:eastAsia="Times New Roman" w:hAnsi="Times New Roman" w:cs="Times New Roman"/>
          <w:noProof/>
          <w:sz w:val="24"/>
          <w:szCs w:val="21"/>
        </w:rPr>
      </w:pPr>
    </w:p>
    <w:p w14:paraId="26DEEFA5" w14:textId="77777777" w:rsidR="000141E6" w:rsidRDefault="00AE1A86" w:rsidP="000141E6">
      <w:pPr>
        <w:pStyle w:val="Heading1"/>
        <w:ind w:left="0"/>
        <w:jc w:val="center"/>
        <w:rPr>
          <w:noProof/>
        </w:rPr>
      </w:pPr>
      <w:r>
        <w:t>II sadaļa</w:t>
      </w:r>
    </w:p>
    <w:p w14:paraId="519C56D2" w14:textId="77777777" w:rsidR="00AE1A86" w:rsidRPr="00311768" w:rsidRDefault="00AE1A86" w:rsidP="000141E6">
      <w:pPr>
        <w:pStyle w:val="Heading1"/>
        <w:ind w:left="0"/>
        <w:jc w:val="center"/>
        <w:rPr>
          <w:noProof/>
        </w:rPr>
      </w:pPr>
      <w:r>
        <w:t>Izmantošanas līgums</w:t>
      </w:r>
    </w:p>
    <w:p w14:paraId="75BB93DF" w14:textId="77777777" w:rsidR="00AE1A86" w:rsidRPr="00311768" w:rsidRDefault="00AE1A86" w:rsidP="000141E6">
      <w:pPr>
        <w:jc w:val="center"/>
        <w:rPr>
          <w:rFonts w:ascii="Times New Roman" w:eastAsia="Times New Roman" w:hAnsi="Times New Roman" w:cs="Times New Roman"/>
          <w:b/>
          <w:bCs/>
          <w:noProof/>
          <w:sz w:val="24"/>
          <w:szCs w:val="20"/>
        </w:rPr>
      </w:pPr>
    </w:p>
    <w:p w14:paraId="3824CD32" w14:textId="77777777" w:rsidR="000141E6" w:rsidRDefault="00AE1A86" w:rsidP="000141E6">
      <w:pPr>
        <w:jc w:val="center"/>
        <w:rPr>
          <w:rFonts w:ascii="Times New Roman" w:hAnsi="Times New Roman"/>
          <w:b/>
          <w:noProof/>
          <w:sz w:val="24"/>
        </w:rPr>
      </w:pPr>
      <w:r>
        <w:rPr>
          <w:rFonts w:ascii="Times New Roman" w:hAnsi="Times New Roman"/>
          <w:b/>
          <w:sz w:val="24"/>
        </w:rPr>
        <w:t>5. pants</w:t>
      </w:r>
    </w:p>
    <w:p w14:paraId="76E0C250" w14:textId="77777777" w:rsidR="00AE1A86" w:rsidRPr="00311768" w:rsidRDefault="00AE1A86" w:rsidP="000141E6">
      <w:pPr>
        <w:jc w:val="center"/>
        <w:rPr>
          <w:rFonts w:ascii="Times New Roman" w:hAnsi="Times New Roman"/>
          <w:b/>
          <w:noProof/>
          <w:sz w:val="24"/>
        </w:rPr>
      </w:pPr>
      <w:r>
        <w:rPr>
          <w:rFonts w:ascii="Times New Roman" w:hAnsi="Times New Roman"/>
          <w:b/>
          <w:sz w:val="24"/>
        </w:rPr>
        <w:t>Saturs un forma</w:t>
      </w:r>
    </w:p>
    <w:p w14:paraId="278B7E63" w14:textId="77777777" w:rsidR="00AE1A86" w:rsidRPr="00311768" w:rsidRDefault="00AE1A86" w:rsidP="00311768">
      <w:pPr>
        <w:jc w:val="both"/>
        <w:rPr>
          <w:rFonts w:ascii="Times New Roman" w:eastAsia="Times New Roman" w:hAnsi="Times New Roman" w:cs="Times New Roman"/>
          <w:b/>
          <w:bCs/>
          <w:noProof/>
          <w:sz w:val="24"/>
          <w:szCs w:val="20"/>
        </w:rPr>
      </w:pPr>
    </w:p>
    <w:p w14:paraId="2D7C513E" w14:textId="77777777" w:rsidR="00AE1A86" w:rsidRPr="00311768" w:rsidRDefault="000141E6" w:rsidP="000141E6">
      <w:pPr>
        <w:pStyle w:val="BodyText"/>
        <w:tabs>
          <w:tab w:val="left" w:pos="970"/>
        </w:tabs>
        <w:ind w:left="0" w:firstLine="0"/>
        <w:jc w:val="both"/>
        <w:rPr>
          <w:noProof/>
        </w:rPr>
      </w:pPr>
      <w:r>
        <w:t>1. Pēc grozījuma veikšanas 1. § attiecas ne tikai uz pārvadātāju, bet arī citām personām, kurām ir tiesības slēgt līgumu par infrastruktūras izmantošanu. Tiek ņemts vērā tas, ka saskaņā ar EK tiesību aktiem ne tikai pārvadātājs, bet arī “pretendents”, kas pilnvarots saskaņā ar Direktīvas 2001/14/EK 16. panta 1. punktu (piemēram, sabiedriskā transporta iestāde, kravas ekspeditors, apvienots pārvadājumu uzņēmums vai nosūtītājs) un kas vienlaikus nav pārvadātājs, ir tiesīgs slēgt līgumu ar infrastruktūras pārvaldītāju par infrastruktūras izmantošanu.</w:t>
      </w:r>
    </w:p>
    <w:p w14:paraId="1545709F" w14:textId="77777777" w:rsidR="00AE1A86" w:rsidRPr="00311768" w:rsidRDefault="00AE1A86" w:rsidP="00311768">
      <w:pPr>
        <w:jc w:val="both"/>
        <w:rPr>
          <w:rFonts w:ascii="Times New Roman" w:eastAsia="Times New Roman" w:hAnsi="Times New Roman" w:cs="Times New Roman"/>
          <w:noProof/>
          <w:sz w:val="24"/>
          <w:szCs w:val="20"/>
        </w:rPr>
      </w:pPr>
    </w:p>
    <w:p w14:paraId="23FE46F9" w14:textId="77777777" w:rsidR="00AE1A86" w:rsidRPr="00311768" w:rsidRDefault="000141E6" w:rsidP="000141E6">
      <w:pPr>
        <w:pStyle w:val="BodyText"/>
        <w:tabs>
          <w:tab w:val="left" w:pos="970"/>
        </w:tabs>
        <w:ind w:left="0" w:firstLine="0"/>
        <w:jc w:val="both"/>
        <w:rPr>
          <w:noProof/>
        </w:rPr>
      </w:pPr>
      <w:r>
        <w:t>2. Tās informācijas saraksts, ko parasti iekļauj līgumā, vairs nav ietverts 2. §, lai nodrošinātu, ka gadījumos, kad šādas informācijas nepieciešamība ir jau reglamentēta tiesību aktos, kas piemērojami attiecīgajā valstī, kurā atrodas infrastruktūra, jo īpaši ES dalībvalsts tiesību aktos, līgumā netiktu vēlreiz iekļauti teikumi par minēto informāciju. Tā vietā tagad ierosināts noteikt, ka līgumā ir ietverta visa informācija, kas līguma pusēm nepieciešama, lai visaptveroši noteiktu izmantošanas administratīvos, tehniskos un finanšu nosacījumus, piemēram, izmantojamās infrastruktūras apraksts, līguma darbības laiks un maksa par izmantošanu. Par ierobežojumiem, kas attiecībā uz dažādiem līguma noteikumiem būtu piemērojami saskaņā ar tās valsts likumiem, kurā atrodas infrastruktūra, sk. piezīmes par 5.bis pantu.</w:t>
      </w:r>
    </w:p>
    <w:p w14:paraId="6CF595AC" w14:textId="77777777" w:rsidR="00AE1A86" w:rsidRPr="00311768" w:rsidRDefault="00AE1A86" w:rsidP="00311768">
      <w:pPr>
        <w:jc w:val="both"/>
        <w:rPr>
          <w:rFonts w:ascii="Times New Roman" w:eastAsia="Times New Roman" w:hAnsi="Times New Roman" w:cs="Times New Roman"/>
          <w:noProof/>
          <w:sz w:val="24"/>
          <w:szCs w:val="21"/>
        </w:rPr>
      </w:pPr>
    </w:p>
    <w:p w14:paraId="247BD1CF" w14:textId="77777777" w:rsidR="00AE1A86" w:rsidRPr="00311768" w:rsidRDefault="00AE1A86" w:rsidP="000141E6">
      <w:pPr>
        <w:pStyle w:val="Heading1"/>
        <w:ind w:left="0"/>
        <w:jc w:val="center"/>
        <w:rPr>
          <w:noProof/>
        </w:rPr>
      </w:pPr>
      <w:r>
        <w:t>5.bis pants</w:t>
      </w:r>
    </w:p>
    <w:p w14:paraId="3D2CC273" w14:textId="77777777" w:rsidR="00AE1A86" w:rsidRPr="00311768" w:rsidRDefault="00AE1A86" w:rsidP="000141E6">
      <w:pPr>
        <w:jc w:val="center"/>
        <w:rPr>
          <w:rFonts w:ascii="Times New Roman" w:hAnsi="Times New Roman"/>
          <w:b/>
          <w:noProof/>
          <w:sz w:val="24"/>
        </w:rPr>
      </w:pPr>
      <w:r>
        <w:rPr>
          <w:rFonts w:ascii="Times New Roman" w:hAnsi="Times New Roman"/>
          <w:b/>
          <w:sz w:val="24"/>
        </w:rPr>
        <w:t>Neskartie tiesību akti</w:t>
      </w:r>
    </w:p>
    <w:p w14:paraId="792C7DDB" w14:textId="77777777" w:rsidR="00AE1A86" w:rsidRPr="00311768" w:rsidRDefault="00AE1A86" w:rsidP="00311768">
      <w:pPr>
        <w:jc w:val="both"/>
        <w:rPr>
          <w:rFonts w:ascii="Times New Roman" w:eastAsia="Times New Roman" w:hAnsi="Times New Roman" w:cs="Times New Roman"/>
          <w:b/>
          <w:bCs/>
          <w:noProof/>
          <w:sz w:val="24"/>
          <w:szCs w:val="20"/>
        </w:rPr>
      </w:pPr>
    </w:p>
    <w:p w14:paraId="3AE530B9" w14:textId="77777777" w:rsidR="00AE1A86" w:rsidRPr="00311768" w:rsidRDefault="000141E6" w:rsidP="000141E6">
      <w:pPr>
        <w:pStyle w:val="BodyText"/>
        <w:tabs>
          <w:tab w:val="left" w:pos="970"/>
        </w:tabs>
        <w:ind w:left="0" w:firstLine="0"/>
        <w:jc w:val="both"/>
        <w:rPr>
          <w:noProof/>
        </w:rPr>
      </w:pPr>
      <w:r>
        <w:t xml:space="preserve">1. Šā panta 1. § norādīts, ka netiek skarta noteikumos paredzēto saistību izpilde, jo īpaši 3. § uzskaitītajās jomās. Šie noteikumi ir ietverti EK tiesību aktos, bet tie var būt ietverti arī to </w:t>
      </w:r>
      <w:r>
        <w:rPr>
          <w:i/>
          <w:iCs/>
        </w:rPr>
        <w:t>OTIF</w:t>
      </w:r>
      <w:r>
        <w:t xml:space="preserve"> dalībvalstu tiesību aktos, kuras nepiemēro Kopienas tiesību aktus. Šādas saistības ir jāpilda pusēm, kas noslēgušas līgumu par infrastruktūras izmantošanu, un tās neaizstāj 1. § ievadā norādītie </w:t>
      </w:r>
      <w:r>
        <w:rPr>
          <w:i/>
          <w:iCs/>
        </w:rPr>
        <w:t>CUI</w:t>
      </w:r>
      <w:r>
        <w:t xml:space="preserve"> noteikumi.</w:t>
      </w:r>
    </w:p>
    <w:p w14:paraId="058AEDEC" w14:textId="77777777" w:rsidR="00AE1A86" w:rsidRPr="00311768" w:rsidRDefault="00AE1A86" w:rsidP="00311768">
      <w:pPr>
        <w:jc w:val="both"/>
        <w:rPr>
          <w:rFonts w:ascii="Times New Roman" w:eastAsia="Times New Roman" w:hAnsi="Times New Roman" w:cs="Times New Roman"/>
          <w:noProof/>
          <w:sz w:val="24"/>
          <w:szCs w:val="20"/>
        </w:rPr>
      </w:pPr>
    </w:p>
    <w:p w14:paraId="3DD61980" w14:textId="77777777" w:rsidR="00AE1A86" w:rsidRPr="00311768" w:rsidRDefault="000141E6" w:rsidP="000141E6">
      <w:pPr>
        <w:pStyle w:val="BodyText"/>
        <w:tabs>
          <w:tab w:val="left" w:pos="970"/>
        </w:tabs>
        <w:ind w:left="0" w:firstLine="0"/>
        <w:jc w:val="both"/>
        <w:rPr>
          <w:noProof/>
        </w:rPr>
      </w:pPr>
      <w:r>
        <w:t xml:space="preserve">2. Šā panta 2. § mērķis ir tāds pats kā 1. §. Tomēr </w:t>
      </w:r>
      <w:r>
        <w:rPr>
          <w:i/>
          <w:iCs/>
        </w:rPr>
        <w:t>CUI</w:t>
      </w:r>
      <w:r>
        <w:t xml:space="preserve"> paredzētie atbildības noteikumi, kas norādīti 2. § ievadā, neskar tikai tās saistības, kas jāizpilda EK dalībvalstī vai valstī, kurā tiek piemēroti Kopienas tiesību akti, pamatojoties uz starptautiskiem nolīgumiem ar Eiropas Kopienu, bet šis nosacījums neattiecas uz to </w:t>
      </w:r>
      <w:r>
        <w:rPr>
          <w:i/>
          <w:iCs/>
        </w:rPr>
        <w:t>OTIF</w:t>
      </w:r>
      <w:r>
        <w:t xml:space="preserve"> dalībvalstu tiesību aktiem, kuras nepiemēro Kopienas tiesību aktus.</w:t>
      </w:r>
    </w:p>
    <w:p w14:paraId="599D2821" w14:textId="77777777" w:rsidR="00311768" w:rsidRPr="00311768" w:rsidRDefault="00311768" w:rsidP="00311768">
      <w:pPr>
        <w:jc w:val="both"/>
        <w:rPr>
          <w:rFonts w:ascii="Times New Roman" w:hAnsi="Times New Roman"/>
          <w:noProof/>
          <w:sz w:val="24"/>
        </w:rPr>
      </w:pPr>
    </w:p>
    <w:p w14:paraId="7D1951A7" w14:textId="77777777" w:rsidR="00AE1A86" w:rsidRPr="00311768" w:rsidRDefault="00AE1A86" w:rsidP="00311768">
      <w:pPr>
        <w:jc w:val="both"/>
        <w:rPr>
          <w:rFonts w:ascii="Times New Roman" w:eastAsia="Times New Roman" w:hAnsi="Times New Roman" w:cs="Times New Roman"/>
          <w:noProof/>
          <w:sz w:val="24"/>
          <w:szCs w:val="19"/>
        </w:rPr>
      </w:pPr>
    </w:p>
    <w:p w14:paraId="4F5E6170" w14:textId="77777777" w:rsidR="00AE1A86" w:rsidRPr="00311768" w:rsidRDefault="000141E6" w:rsidP="000141E6">
      <w:pPr>
        <w:pStyle w:val="BodyText"/>
        <w:tabs>
          <w:tab w:val="left" w:pos="970"/>
        </w:tabs>
        <w:ind w:left="0" w:firstLine="0"/>
        <w:jc w:val="both"/>
        <w:rPr>
          <w:noProof/>
        </w:rPr>
      </w:pPr>
      <w:r>
        <w:t>3. Šā panta 3. § sniegts nepilnīgs to jomu saraksts, uz kurām attiecas 1. un 2. § norādītās saistības. Šajā izpratnē:</w:t>
      </w:r>
    </w:p>
    <w:p w14:paraId="72CCE392" w14:textId="77777777" w:rsidR="00AE1A86" w:rsidRPr="00311768" w:rsidRDefault="00AE1A86" w:rsidP="00311768">
      <w:pPr>
        <w:jc w:val="both"/>
        <w:rPr>
          <w:rFonts w:ascii="Times New Roman" w:eastAsia="Times New Roman" w:hAnsi="Times New Roman" w:cs="Times New Roman"/>
          <w:noProof/>
          <w:sz w:val="24"/>
          <w:szCs w:val="20"/>
        </w:rPr>
      </w:pPr>
    </w:p>
    <w:p w14:paraId="394348BB" w14:textId="77777777" w:rsidR="00AE1A86" w:rsidRPr="00311768" w:rsidRDefault="000141E6" w:rsidP="000141E6">
      <w:pPr>
        <w:pStyle w:val="BodyText"/>
        <w:tabs>
          <w:tab w:val="left" w:pos="1537"/>
        </w:tabs>
        <w:ind w:left="426" w:firstLine="0"/>
        <w:jc w:val="both"/>
        <w:rPr>
          <w:noProof/>
        </w:rPr>
      </w:pPr>
      <w:r>
        <w:t>a) pirmais ievilkums ir svarīgs attiecībā uz 5. un 7. pantā apskatītajiem tematiem, t. i., līgumiem, kas noslēdzami starp dzelzceļa pārvadājumu uzņēmumiem vai pilnvarotiem pretendentiem un infrastruktūras pārvaldītājiem (sk. Direktīvu 2001/14/EK);</w:t>
      </w:r>
    </w:p>
    <w:p w14:paraId="654A0EF7" w14:textId="77777777" w:rsidR="00AE1A86" w:rsidRPr="00311768" w:rsidRDefault="00AE1A86" w:rsidP="000141E6">
      <w:pPr>
        <w:ind w:left="426"/>
        <w:jc w:val="both"/>
        <w:rPr>
          <w:rFonts w:ascii="Times New Roman" w:eastAsia="Times New Roman" w:hAnsi="Times New Roman" w:cs="Times New Roman"/>
          <w:noProof/>
          <w:sz w:val="24"/>
          <w:szCs w:val="20"/>
        </w:rPr>
      </w:pPr>
    </w:p>
    <w:p w14:paraId="652CFC2F" w14:textId="77777777" w:rsidR="00AE1A86" w:rsidRPr="00311768" w:rsidRDefault="000141E6" w:rsidP="000141E6">
      <w:pPr>
        <w:pStyle w:val="BodyText"/>
        <w:tabs>
          <w:tab w:val="left" w:pos="1537"/>
        </w:tabs>
        <w:ind w:left="426" w:firstLine="0"/>
        <w:jc w:val="both"/>
        <w:rPr>
          <w:noProof/>
        </w:rPr>
      </w:pPr>
      <w:r>
        <w:t xml:space="preserve">b) otrais un trešais ievilkums ir svarīgi attiecībā uz 6. panta 1. un 2. § apskatītajiem tematiem, t. i., licencēšanu (sk. Direktīvu 95/18/EK) un drošības sertifikāciju (sk. </w:t>
      </w:r>
      <w:r>
        <w:lastRenderedPageBreak/>
        <w:t>Direktīvu 2004/49/EK);</w:t>
      </w:r>
    </w:p>
    <w:p w14:paraId="09D38AD8" w14:textId="77777777" w:rsidR="00AE1A86" w:rsidRPr="00311768" w:rsidRDefault="00AE1A86" w:rsidP="000141E6">
      <w:pPr>
        <w:ind w:left="426"/>
        <w:jc w:val="both"/>
        <w:rPr>
          <w:rFonts w:ascii="Times New Roman" w:eastAsia="Times New Roman" w:hAnsi="Times New Roman" w:cs="Times New Roman"/>
          <w:noProof/>
          <w:sz w:val="24"/>
          <w:szCs w:val="20"/>
        </w:rPr>
      </w:pPr>
    </w:p>
    <w:p w14:paraId="138225F0" w14:textId="77777777" w:rsidR="00AE1A86" w:rsidRPr="00311768" w:rsidRDefault="000141E6" w:rsidP="000141E6">
      <w:pPr>
        <w:pStyle w:val="BodyText"/>
        <w:tabs>
          <w:tab w:val="left" w:pos="1537"/>
        </w:tabs>
        <w:ind w:left="426" w:firstLine="0"/>
        <w:jc w:val="both"/>
        <w:rPr>
          <w:noProof/>
        </w:rPr>
      </w:pPr>
      <w:r>
        <w:t>c) ceturtais ievilkums ir svarīgs attiecībā uz 6. panta 3. § apskatīto tematu, t. i., apdrošināšanu (sk. Direktīvu 95/18/EK);</w:t>
      </w:r>
    </w:p>
    <w:p w14:paraId="02F614C6" w14:textId="77777777" w:rsidR="00AE1A86" w:rsidRPr="00311768" w:rsidRDefault="00AE1A86" w:rsidP="000141E6">
      <w:pPr>
        <w:ind w:left="426"/>
        <w:jc w:val="both"/>
        <w:rPr>
          <w:rFonts w:ascii="Times New Roman" w:eastAsia="Times New Roman" w:hAnsi="Times New Roman" w:cs="Times New Roman"/>
          <w:noProof/>
          <w:sz w:val="24"/>
          <w:szCs w:val="20"/>
        </w:rPr>
      </w:pPr>
    </w:p>
    <w:p w14:paraId="3587A654" w14:textId="77777777" w:rsidR="00AE1A86" w:rsidRPr="00311768" w:rsidRDefault="000141E6" w:rsidP="000141E6">
      <w:pPr>
        <w:pStyle w:val="BodyText"/>
        <w:tabs>
          <w:tab w:val="left" w:pos="1537"/>
        </w:tabs>
        <w:ind w:left="426" w:firstLine="0"/>
        <w:jc w:val="both"/>
        <w:rPr>
          <w:noProof/>
        </w:rPr>
      </w:pPr>
      <w:r>
        <w:t>d) piektais un sestais ievilkums, t. i, par darbības uzlabošanas shēmām, ir svarīgi attiecībā uz 8. panta 4. § un 9. panta 4. § apskatītajiem tematiem, lai samazinātu aizkavēšanos un pārtraukšanu un uzlabotu dzelzceļa tīkla darbību un kompensācijas klientiem (sk. Direktīvu 2001/14/EK un Regulu (EK) Nr. 1371/2007);</w:t>
      </w:r>
    </w:p>
    <w:p w14:paraId="3004B96A" w14:textId="77777777" w:rsidR="00AE1A86" w:rsidRPr="00311768" w:rsidRDefault="00AE1A86" w:rsidP="000141E6">
      <w:pPr>
        <w:ind w:left="426"/>
        <w:jc w:val="both"/>
        <w:rPr>
          <w:rFonts w:ascii="Times New Roman" w:eastAsia="Times New Roman" w:hAnsi="Times New Roman" w:cs="Times New Roman"/>
          <w:noProof/>
          <w:sz w:val="24"/>
          <w:szCs w:val="20"/>
        </w:rPr>
      </w:pPr>
    </w:p>
    <w:p w14:paraId="4049DA45" w14:textId="77777777" w:rsidR="00AE1A86" w:rsidRPr="00311768" w:rsidRDefault="000141E6" w:rsidP="000141E6">
      <w:pPr>
        <w:pStyle w:val="BodyText"/>
        <w:tabs>
          <w:tab w:val="left" w:pos="1537"/>
        </w:tabs>
        <w:ind w:left="426" w:firstLine="0"/>
        <w:jc w:val="both"/>
        <w:rPr>
          <w:noProof/>
        </w:rPr>
      </w:pPr>
      <w:r>
        <w:t>e) septītais ievilkums ir svarīgs attiecībā uz 22. pantā apskatīto tematu, t. i., strīdu izšķiršanu (sk. Direktīvu 2001/14/EK un EK līguma 292. pantu).</w:t>
      </w:r>
    </w:p>
    <w:p w14:paraId="6C475CD5" w14:textId="77777777" w:rsidR="00AE1A86" w:rsidRPr="00311768" w:rsidRDefault="00AE1A86" w:rsidP="00311768">
      <w:pPr>
        <w:jc w:val="both"/>
        <w:rPr>
          <w:rFonts w:ascii="Times New Roman" w:eastAsia="Times New Roman" w:hAnsi="Times New Roman" w:cs="Times New Roman"/>
          <w:noProof/>
          <w:sz w:val="24"/>
          <w:szCs w:val="21"/>
        </w:rPr>
      </w:pPr>
    </w:p>
    <w:p w14:paraId="08C15A6F" w14:textId="77777777" w:rsidR="00AE1A86" w:rsidRPr="00311768" w:rsidRDefault="00AE1A86" w:rsidP="000141E6">
      <w:pPr>
        <w:pStyle w:val="Heading1"/>
        <w:ind w:left="0"/>
        <w:jc w:val="center"/>
        <w:rPr>
          <w:noProof/>
        </w:rPr>
      </w:pPr>
      <w:r>
        <w:t>6. pants</w:t>
      </w:r>
    </w:p>
    <w:p w14:paraId="7CB6FBF5" w14:textId="77777777" w:rsidR="00AE1A86" w:rsidRPr="00311768" w:rsidRDefault="00AE1A86" w:rsidP="000141E6">
      <w:pPr>
        <w:jc w:val="center"/>
        <w:rPr>
          <w:rFonts w:ascii="Times New Roman" w:hAnsi="Times New Roman"/>
          <w:b/>
          <w:noProof/>
          <w:sz w:val="24"/>
        </w:rPr>
      </w:pPr>
      <w:r>
        <w:rPr>
          <w:rFonts w:ascii="Times New Roman" w:hAnsi="Times New Roman"/>
          <w:b/>
          <w:sz w:val="24"/>
        </w:rPr>
        <w:t>Pārvadātāja un pārvaldītāja īpašās saistības</w:t>
      </w:r>
    </w:p>
    <w:p w14:paraId="12ECE995" w14:textId="77777777" w:rsidR="00AE1A86" w:rsidRPr="00311768" w:rsidRDefault="00AE1A86" w:rsidP="00311768">
      <w:pPr>
        <w:jc w:val="both"/>
        <w:rPr>
          <w:rFonts w:ascii="Times New Roman" w:eastAsia="Times New Roman" w:hAnsi="Times New Roman" w:cs="Times New Roman"/>
          <w:b/>
          <w:bCs/>
          <w:noProof/>
          <w:sz w:val="24"/>
          <w:szCs w:val="20"/>
        </w:rPr>
      </w:pPr>
    </w:p>
    <w:p w14:paraId="25C9AB1C" w14:textId="77777777" w:rsidR="00AE1A86" w:rsidRPr="00311768" w:rsidRDefault="00AE1A86" w:rsidP="00311768">
      <w:pPr>
        <w:pStyle w:val="BodyText"/>
        <w:ind w:left="0" w:firstLine="0"/>
        <w:jc w:val="both"/>
        <w:rPr>
          <w:noProof/>
        </w:rPr>
      </w:pPr>
      <w:r>
        <w:t>Nedaudz mainīta 6. panta 1. § redakcija. Jaunā 5.bis panta 3. § otrais, trešais un ceturtais ievilkums attiecas uz šā panta gadījumiem, kuros piemērojami EK tiesību akti vai atbilstošie valsts tiesību akti un tāpēc ir jāievēro noteiktas tiesību normas.</w:t>
      </w:r>
    </w:p>
    <w:p w14:paraId="44B60A91" w14:textId="77777777" w:rsidR="00AE1A86" w:rsidRPr="00311768" w:rsidRDefault="00AE1A86" w:rsidP="00311768">
      <w:pPr>
        <w:jc w:val="both"/>
        <w:rPr>
          <w:rFonts w:ascii="Times New Roman" w:eastAsia="Times New Roman" w:hAnsi="Times New Roman" w:cs="Times New Roman"/>
          <w:noProof/>
          <w:sz w:val="24"/>
          <w:szCs w:val="21"/>
        </w:rPr>
      </w:pPr>
    </w:p>
    <w:p w14:paraId="16C03BC3" w14:textId="77777777" w:rsidR="000141E6" w:rsidRDefault="00AE1A86" w:rsidP="000141E6">
      <w:pPr>
        <w:pStyle w:val="Heading1"/>
        <w:ind w:left="0"/>
        <w:jc w:val="center"/>
        <w:rPr>
          <w:noProof/>
        </w:rPr>
      </w:pPr>
      <w:r>
        <w:t>7. pants</w:t>
      </w:r>
    </w:p>
    <w:p w14:paraId="67C16E92" w14:textId="77777777" w:rsidR="00AE1A86" w:rsidRPr="00311768" w:rsidRDefault="00AE1A86" w:rsidP="000141E6">
      <w:pPr>
        <w:pStyle w:val="Heading1"/>
        <w:ind w:left="0"/>
        <w:jc w:val="center"/>
        <w:rPr>
          <w:noProof/>
        </w:rPr>
      </w:pPr>
      <w:r>
        <w:t>Līguma darbības izbeigšana</w:t>
      </w:r>
    </w:p>
    <w:p w14:paraId="02BBC2DD" w14:textId="77777777" w:rsidR="00AE1A86" w:rsidRPr="00311768" w:rsidRDefault="00AE1A86" w:rsidP="00311768">
      <w:pPr>
        <w:jc w:val="both"/>
        <w:rPr>
          <w:rFonts w:ascii="Times New Roman" w:eastAsia="Times New Roman" w:hAnsi="Times New Roman" w:cs="Times New Roman"/>
          <w:b/>
          <w:bCs/>
          <w:noProof/>
          <w:sz w:val="24"/>
          <w:szCs w:val="20"/>
        </w:rPr>
      </w:pPr>
    </w:p>
    <w:p w14:paraId="782F5A5E" w14:textId="77777777" w:rsidR="00AE1A86" w:rsidRPr="00311768" w:rsidRDefault="00AE1A86" w:rsidP="00311768">
      <w:pPr>
        <w:pStyle w:val="BodyText"/>
        <w:ind w:left="0" w:firstLine="0"/>
        <w:jc w:val="both"/>
        <w:rPr>
          <w:noProof/>
        </w:rPr>
      </w:pPr>
      <w:r>
        <w:t>Svītrots 7. panta 1. §, un virsraksts pielāgots pārējo noteikumu saturam. Šajā grozījumā ņemts vērā tas, ka gadījumos, kad piemērojami EK tiesību akti vai atbilstošie valsts tiesību akti, līguma par infrastruktūras izmantošanu darbības ilgums vienmēr ir ierobežots. Šis ilgums tiek izteikts kā viens kustības saraksta periods vai īpašos gadījumos vairāk nekā viens šāds periods. Šis jautājums ir apskatīts arī jaunā 5.bis panta pirmajā ievilkumā.</w:t>
      </w:r>
    </w:p>
    <w:p w14:paraId="4BAAD04C" w14:textId="77777777" w:rsidR="00AE1A86" w:rsidRPr="00311768" w:rsidRDefault="00AE1A86" w:rsidP="00311768">
      <w:pPr>
        <w:jc w:val="both"/>
        <w:rPr>
          <w:rFonts w:ascii="Times New Roman" w:eastAsia="Times New Roman" w:hAnsi="Times New Roman" w:cs="Times New Roman"/>
          <w:noProof/>
          <w:sz w:val="24"/>
          <w:szCs w:val="20"/>
        </w:rPr>
      </w:pPr>
    </w:p>
    <w:p w14:paraId="7305BFA9" w14:textId="77777777" w:rsidR="000141E6" w:rsidRDefault="00AE1A86" w:rsidP="000141E6">
      <w:pPr>
        <w:pStyle w:val="Heading1"/>
        <w:ind w:left="0"/>
        <w:jc w:val="center"/>
        <w:rPr>
          <w:noProof/>
        </w:rPr>
      </w:pPr>
      <w:r>
        <w:t>III sadaļa</w:t>
      </w:r>
    </w:p>
    <w:p w14:paraId="3E969E3F" w14:textId="77777777" w:rsidR="00AE1A86" w:rsidRPr="00311768" w:rsidRDefault="00AE1A86" w:rsidP="000141E6">
      <w:pPr>
        <w:pStyle w:val="Heading1"/>
        <w:ind w:left="0"/>
        <w:jc w:val="center"/>
        <w:rPr>
          <w:noProof/>
        </w:rPr>
      </w:pPr>
      <w:r>
        <w:t>Atbildība</w:t>
      </w:r>
    </w:p>
    <w:p w14:paraId="3341A770" w14:textId="77777777" w:rsidR="00AE1A86" w:rsidRPr="00311768" w:rsidRDefault="00AE1A86" w:rsidP="000141E6">
      <w:pPr>
        <w:jc w:val="center"/>
        <w:rPr>
          <w:rFonts w:ascii="Times New Roman" w:eastAsia="Times New Roman" w:hAnsi="Times New Roman" w:cs="Times New Roman"/>
          <w:b/>
          <w:bCs/>
          <w:noProof/>
          <w:sz w:val="24"/>
          <w:szCs w:val="20"/>
        </w:rPr>
      </w:pPr>
    </w:p>
    <w:p w14:paraId="78C13147" w14:textId="77777777" w:rsidR="000141E6" w:rsidRDefault="00AE1A86" w:rsidP="000141E6">
      <w:pPr>
        <w:jc w:val="center"/>
        <w:rPr>
          <w:rFonts w:ascii="Times New Roman" w:hAnsi="Times New Roman"/>
          <w:b/>
          <w:noProof/>
          <w:sz w:val="24"/>
        </w:rPr>
      </w:pPr>
      <w:r>
        <w:rPr>
          <w:rFonts w:ascii="Times New Roman" w:hAnsi="Times New Roman"/>
          <w:b/>
          <w:sz w:val="24"/>
        </w:rPr>
        <w:t>8. pants</w:t>
      </w:r>
    </w:p>
    <w:p w14:paraId="268C5679" w14:textId="77777777" w:rsidR="00AE1A86" w:rsidRPr="00311768" w:rsidRDefault="00AE1A86" w:rsidP="000141E6">
      <w:pPr>
        <w:jc w:val="center"/>
        <w:rPr>
          <w:rFonts w:ascii="Times New Roman" w:hAnsi="Times New Roman"/>
          <w:b/>
          <w:noProof/>
          <w:sz w:val="24"/>
        </w:rPr>
      </w:pPr>
      <w:r>
        <w:rPr>
          <w:rFonts w:ascii="Times New Roman" w:hAnsi="Times New Roman"/>
          <w:b/>
          <w:sz w:val="24"/>
        </w:rPr>
        <w:t>Pārvaldītāja atbildība</w:t>
      </w:r>
    </w:p>
    <w:p w14:paraId="70DE262A" w14:textId="77777777" w:rsidR="00AE1A86" w:rsidRPr="00311768" w:rsidRDefault="00AE1A86" w:rsidP="000141E6">
      <w:pPr>
        <w:jc w:val="center"/>
        <w:rPr>
          <w:rFonts w:ascii="Times New Roman" w:eastAsia="Times New Roman" w:hAnsi="Times New Roman" w:cs="Times New Roman"/>
          <w:b/>
          <w:bCs/>
          <w:noProof/>
          <w:sz w:val="24"/>
          <w:szCs w:val="20"/>
        </w:rPr>
      </w:pPr>
    </w:p>
    <w:p w14:paraId="156AFAAB" w14:textId="77777777" w:rsidR="00AE1A86" w:rsidRPr="00311768" w:rsidRDefault="00AE1A86" w:rsidP="000141E6">
      <w:pPr>
        <w:pStyle w:val="BodyText"/>
        <w:ind w:left="0" w:firstLine="0"/>
        <w:jc w:val="center"/>
        <w:rPr>
          <w:noProof/>
        </w:rPr>
      </w:pPr>
      <w:r>
        <w:t>un</w:t>
      </w:r>
    </w:p>
    <w:p w14:paraId="441F2AB1" w14:textId="77777777" w:rsidR="00AE1A86" w:rsidRPr="00311768" w:rsidRDefault="00AE1A86" w:rsidP="000141E6">
      <w:pPr>
        <w:jc w:val="center"/>
        <w:rPr>
          <w:rFonts w:ascii="Times New Roman" w:eastAsia="Times New Roman" w:hAnsi="Times New Roman" w:cs="Times New Roman"/>
          <w:noProof/>
          <w:sz w:val="24"/>
          <w:szCs w:val="21"/>
        </w:rPr>
      </w:pPr>
    </w:p>
    <w:p w14:paraId="7AB5A775" w14:textId="77777777" w:rsidR="000141E6" w:rsidRDefault="00AE1A86" w:rsidP="000141E6">
      <w:pPr>
        <w:pStyle w:val="Heading1"/>
        <w:ind w:left="0"/>
        <w:jc w:val="center"/>
        <w:rPr>
          <w:noProof/>
        </w:rPr>
      </w:pPr>
      <w:r>
        <w:t>9. pants</w:t>
      </w:r>
    </w:p>
    <w:p w14:paraId="25E62792" w14:textId="77777777" w:rsidR="00AE1A86" w:rsidRPr="00311768" w:rsidRDefault="00AE1A86" w:rsidP="000141E6">
      <w:pPr>
        <w:pStyle w:val="Heading1"/>
        <w:ind w:left="0"/>
        <w:jc w:val="center"/>
        <w:rPr>
          <w:noProof/>
        </w:rPr>
      </w:pPr>
      <w:r>
        <w:t>Pārvadātāja atbildība</w:t>
      </w:r>
    </w:p>
    <w:p w14:paraId="0988CD75" w14:textId="77777777" w:rsidR="00AE1A86" w:rsidRPr="00311768" w:rsidRDefault="00AE1A86" w:rsidP="00311768">
      <w:pPr>
        <w:jc w:val="both"/>
        <w:rPr>
          <w:rFonts w:ascii="Times New Roman" w:eastAsia="Times New Roman" w:hAnsi="Times New Roman" w:cs="Times New Roman"/>
          <w:b/>
          <w:bCs/>
          <w:noProof/>
          <w:sz w:val="24"/>
          <w:szCs w:val="20"/>
        </w:rPr>
      </w:pPr>
    </w:p>
    <w:p w14:paraId="603EA492" w14:textId="77777777" w:rsidR="00AE1A86" w:rsidRPr="00311768" w:rsidRDefault="00AE1A86" w:rsidP="00311768">
      <w:pPr>
        <w:pStyle w:val="BodyText"/>
        <w:ind w:left="0" w:firstLine="0"/>
        <w:jc w:val="both"/>
        <w:rPr>
          <w:noProof/>
        </w:rPr>
      </w:pPr>
      <w:r>
        <w:t>Saistībā ar 8. panta 4. § un 9. panta 4. § jaunā 5.bis panta piektajā un sestajā ievilkumā ir apskatīts jautājums par darbības režīmiem, kā arī standartizētiem un tūlītējiem kompensācijas pasākumiem klientiem, ciktāl šādi pasākumi attiecas uz tādu pušu līgumattiecībām, kas noslēgušas izmantošanas līgumu par infrastruktūru, kuras gadījumā (kad piemērojami EK tiesību akti) jāievēro noteiktas tiesību normas.</w:t>
      </w:r>
    </w:p>
    <w:p w14:paraId="5E3C4F2D" w14:textId="5E5A3C8D" w:rsidR="009145A6" w:rsidRDefault="009145A6">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14:paraId="46D1E45C" w14:textId="77777777" w:rsidR="00AE1A86" w:rsidRPr="00311768" w:rsidRDefault="00AE1A86" w:rsidP="00311768">
      <w:pPr>
        <w:jc w:val="both"/>
        <w:rPr>
          <w:rFonts w:ascii="Times New Roman" w:eastAsia="Times New Roman" w:hAnsi="Times New Roman" w:cs="Times New Roman"/>
          <w:noProof/>
          <w:sz w:val="24"/>
          <w:szCs w:val="21"/>
        </w:rPr>
      </w:pPr>
    </w:p>
    <w:p w14:paraId="4AB65EE4" w14:textId="77777777" w:rsidR="000141E6" w:rsidRDefault="00AE1A86" w:rsidP="000141E6">
      <w:pPr>
        <w:pStyle w:val="Heading1"/>
        <w:ind w:left="0"/>
        <w:jc w:val="center"/>
        <w:rPr>
          <w:noProof/>
        </w:rPr>
      </w:pPr>
      <w:r>
        <w:t>V sadaļa</w:t>
      </w:r>
    </w:p>
    <w:p w14:paraId="51634019" w14:textId="77777777" w:rsidR="00AE1A86" w:rsidRPr="00311768" w:rsidRDefault="00AE1A86" w:rsidP="000141E6">
      <w:pPr>
        <w:pStyle w:val="Heading1"/>
        <w:ind w:left="0"/>
        <w:jc w:val="center"/>
        <w:rPr>
          <w:noProof/>
        </w:rPr>
      </w:pPr>
      <w:r>
        <w:t>Tiesību aizstāvēšana</w:t>
      </w:r>
    </w:p>
    <w:p w14:paraId="679ECECE" w14:textId="77777777" w:rsidR="00AE1A86" w:rsidRPr="00311768" w:rsidRDefault="00AE1A86" w:rsidP="000141E6">
      <w:pPr>
        <w:jc w:val="center"/>
        <w:rPr>
          <w:rFonts w:ascii="Times New Roman" w:eastAsia="Times New Roman" w:hAnsi="Times New Roman" w:cs="Times New Roman"/>
          <w:b/>
          <w:bCs/>
          <w:noProof/>
          <w:sz w:val="24"/>
          <w:szCs w:val="20"/>
        </w:rPr>
      </w:pPr>
    </w:p>
    <w:p w14:paraId="527098DD" w14:textId="77777777" w:rsidR="000141E6" w:rsidRDefault="00AE1A86" w:rsidP="000141E6">
      <w:pPr>
        <w:jc w:val="center"/>
        <w:rPr>
          <w:rFonts w:ascii="Times New Roman" w:hAnsi="Times New Roman"/>
          <w:b/>
          <w:noProof/>
          <w:sz w:val="24"/>
        </w:rPr>
      </w:pPr>
      <w:r>
        <w:rPr>
          <w:rFonts w:ascii="Times New Roman" w:hAnsi="Times New Roman"/>
          <w:b/>
          <w:sz w:val="24"/>
        </w:rPr>
        <w:t>22. pants</w:t>
      </w:r>
    </w:p>
    <w:p w14:paraId="44A542EE" w14:textId="77777777" w:rsidR="00AE1A86" w:rsidRPr="00311768" w:rsidRDefault="00AE1A86" w:rsidP="000141E6">
      <w:pPr>
        <w:jc w:val="center"/>
        <w:rPr>
          <w:rFonts w:ascii="Times New Roman" w:hAnsi="Times New Roman"/>
          <w:b/>
          <w:noProof/>
          <w:sz w:val="24"/>
        </w:rPr>
      </w:pPr>
      <w:r>
        <w:rPr>
          <w:rFonts w:ascii="Times New Roman" w:hAnsi="Times New Roman"/>
          <w:b/>
          <w:sz w:val="24"/>
        </w:rPr>
        <w:t>Samierināšanas procedūras</w:t>
      </w:r>
    </w:p>
    <w:p w14:paraId="13058CD7" w14:textId="77777777" w:rsidR="00AE1A86" w:rsidRPr="00311768" w:rsidRDefault="00AE1A86" w:rsidP="00311768">
      <w:pPr>
        <w:jc w:val="both"/>
        <w:rPr>
          <w:rFonts w:ascii="Times New Roman" w:eastAsia="Times New Roman" w:hAnsi="Times New Roman" w:cs="Times New Roman"/>
          <w:b/>
          <w:bCs/>
          <w:noProof/>
          <w:sz w:val="24"/>
          <w:szCs w:val="20"/>
        </w:rPr>
      </w:pPr>
    </w:p>
    <w:p w14:paraId="56F8C88E" w14:textId="77777777" w:rsidR="00AE1A86" w:rsidRPr="00311768" w:rsidRDefault="00AE1A86" w:rsidP="00311768">
      <w:pPr>
        <w:pStyle w:val="BodyText"/>
        <w:ind w:left="0" w:firstLine="0"/>
        <w:jc w:val="both"/>
        <w:rPr>
          <w:noProof/>
        </w:rPr>
      </w:pPr>
      <w:r>
        <w:t>Jaunā 5.bis panta septītais ievilkums attiecas uz šā panta gadījumiem, kad piemērojami EK tiesību akti un tāpēc ir jāievēro noteiktas tiesību normas.</w:t>
      </w:r>
    </w:p>
    <w:sectPr w:rsidR="00AE1A86" w:rsidRPr="00311768" w:rsidSect="00311768">
      <w:headerReference w:type="default" r:id="rId8"/>
      <w:footerReference w:type="default" r:id="rId9"/>
      <w:headerReference w:type="first" r:id="rId10"/>
      <w:footerReference w:type="first" r:id="rId11"/>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4FA1" w14:textId="77777777" w:rsidR="00753AA5" w:rsidRPr="00AE1A86" w:rsidRDefault="000141E6">
      <w:pPr>
        <w:rPr>
          <w:noProof/>
        </w:rPr>
      </w:pPr>
      <w:r w:rsidRPr="00AE1A86">
        <w:rPr>
          <w:noProof/>
        </w:rPr>
        <w:separator/>
      </w:r>
    </w:p>
  </w:endnote>
  <w:endnote w:type="continuationSeparator" w:id="0">
    <w:p w14:paraId="1E6B827C" w14:textId="77777777" w:rsidR="00753AA5" w:rsidRPr="00AE1A86" w:rsidRDefault="000141E6">
      <w:pPr>
        <w:rPr>
          <w:noProof/>
        </w:rPr>
      </w:pPr>
      <w:r w:rsidRPr="00AE1A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653F" w14:textId="77777777" w:rsidR="009145A6" w:rsidRPr="009145A6" w:rsidRDefault="009145A6" w:rsidP="009145A6">
    <w:pPr>
      <w:pStyle w:val="Header"/>
      <w:tabs>
        <w:tab w:val="clear" w:pos="4153"/>
        <w:tab w:val="clear" w:pos="8306"/>
        <w:tab w:val="left" w:pos="9072"/>
      </w:tabs>
      <w:rPr>
        <w:rStyle w:val="PageNumber"/>
        <w:rFonts w:ascii="Times New Roman" w:hAnsi="Times New Roman" w:cs="Times New Roman"/>
        <w:sz w:val="20"/>
        <w:szCs w:val="18"/>
      </w:rPr>
    </w:pPr>
  </w:p>
  <w:p w14:paraId="3530E28D" w14:textId="77777777" w:rsidR="009145A6" w:rsidRPr="009145A6" w:rsidRDefault="009145A6" w:rsidP="009145A6">
    <w:pPr>
      <w:pStyle w:val="Header"/>
      <w:tabs>
        <w:tab w:val="clear" w:pos="4153"/>
        <w:tab w:val="clear" w:pos="8306"/>
        <w:tab w:val="right" w:leader="underscore" w:pos="9072"/>
      </w:tabs>
      <w:rPr>
        <w:rStyle w:val="PageNumber"/>
        <w:rFonts w:ascii="Times New Roman" w:hAnsi="Times New Roman" w:cs="Times New Roman"/>
        <w:sz w:val="20"/>
        <w:szCs w:val="18"/>
      </w:rPr>
    </w:pPr>
    <w:r w:rsidRPr="009145A6">
      <w:rPr>
        <w:rStyle w:val="PageNumber"/>
        <w:rFonts w:ascii="Times New Roman" w:hAnsi="Times New Roman" w:cs="Times New Roman"/>
        <w:sz w:val="20"/>
        <w:szCs w:val="18"/>
      </w:rPr>
      <w:tab/>
    </w:r>
  </w:p>
  <w:p w14:paraId="2F700BB2" w14:textId="77777777" w:rsidR="009145A6" w:rsidRPr="009145A6" w:rsidRDefault="009145A6" w:rsidP="009145A6">
    <w:pPr>
      <w:pStyle w:val="Header"/>
      <w:tabs>
        <w:tab w:val="clear" w:pos="4153"/>
        <w:tab w:val="clear" w:pos="8306"/>
        <w:tab w:val="right" w:pos="9072"/>
      </w:tabs>
      <w:rPr>
        <w:rStyle w:val="PageNumber"/>
        <w:rFonts w:ascii="Times New Roman" w:hAnsi="Times New Roman" w:cs="Times New Roman"/>
        <w:sz w:val="20"/>
        <w:szCs w:val="18"/>
      </w:rPr>
    </w:pPr>
  </w:p>
  <w:p w14:paraId="787D88A6" w14:textId="77777777" w:rsidR="009145A6" w:rsidRPr="009145A6" w:rsidRDefault="009145A6" w:rsidP="009145A6">
    <w:pPr>
      <w:pStyle w:val="Footer"/>
      <w:tabs>
        <w:tab w:val="clear" w:pos="4153"/>
        <w:tab w:val="clear" w:pos="8306"/>
        <w:tab w:val="right" w:pos="9072"/>
      </w:tabs>
      <w:rPr>
        <w:rFonts w:ascii="Times New Roman" w:hAnsi="Times New Roman" w:cs="Times New Roman"/>
        <w:sz w:val="20"/>
        <w:szCs w:val="18"/>
      </w:rPr>
    </w:pPr>
    <w:r w:rsidRPr="009145A6">
      <w:rPr>
        <w:rFonts w:ascii="Times New Roman" w:hAnsi="Times New Roman" w:cs="Times New Roman"/>
        <w:noProof/>
        <w:sz w:val="20"/>
        <w:szCs w:val="18"/>
      </w:rPr>
      <w:t xml:space="preserve">Tulkojums </w:t>
    </w:r>
    <w:r w:rsidRPr="009145A6">
      <w:rPr>
        <w:rFonts w:ascii="Times New Roman" w:hAnsi="Times New Roman" w:cs="Times New Roman"/>
        <w:noProof/>
        <w:sz w:val="20"/>
        <w:szCs w:val="18"/>
      </w:rPr>
      <w:fldChar w:fldCharType="begin"/>
    </w:r>
    <w:r w:rsidRPr="009145A6">
      <w:rPr>
        <w:rFonts w:ascii="Times New Roman" w:hAnsi="Times New Roman" w:cs="Times New Roman"/>
        <w:noProof/>
        <w:sz w:val="20"/>
        <w:szCs w:val="18"/>
      </w:rPr>
      <w:instrText>symbol 211 \f "Symbol" \s 9</w:instrText>
    </w:r>
    <w:r w:rsidRPr="009145A6">
      <w:rPr>
        <w:rFonts w:ascii="Times New Roman" w:hAnsi="Times New Roman" w:cs="Times New Roman"/>
        <w:noProof/>
        <w:sz w:val="20"/>
        <w:szCs w:val="18"/>
      </w:rPr>
      <w:fldChar w:fldCharType="separate"/>
    </w:r>
    <w:r w:rsidRPr="009145A6">
      <w:rPr>
        <w:rFonts w:ascii="Times New Roman" w:hAnsi="Times New Roman" w:cs="Times New Roman"/>
        <w:noProof/>
        <w:sz w:val="20"/>
        <w:szCs w:val="18"/>
      </w:rPr>
      <w:t>Ó</w:t>
    </w:r>
    <w:r w:rsidRPr="009145A6">
      <w:rPr>
        <w:rFonts w:ascii="Times New Roman" w:hAnsi="Times New Roman" w:cs="Times New Roman"/>
        <w:noProof/>
        <w:sz w:val="20"/>
        <w:szCs w:val="18"/>
      </w:rPr>
      <w:fldChar w:fldCharType="end"/>
    </w:r>
    <w:r w:rsidRPr="009145A6">
      <w:rPr>
        <w:rFonts w:ascii="Times New Roman" w:hAnsi="Times New Roman" w:cs="Times New Roman"/>
        <w:noProof/>
        <w:sz w:val="20"/>
        <w:szCs w:val="18"/>
      </w:rPr>
      <w:t xml:space="preserve"> Valsts valodas centrs, 2020</w:t>
    </w:r>
    <w:r w:rsidRPr="009145A6">
      <w:rPr>
        <w:rFonts w:ascii="Times New Roman" w:hAnsi="Times New Roman" w:cs="Times New Roman"/>
        <w:sz w:val="20"/>
        <w:szCs w:val="18"/>
      </w:rPr>
      <w:tab/>
    </w:r>
    <w:r w:rsidRPr="009145A6">
      <w:rPr>
        <w:rStyle w:val="PageNumber"/>
        <w:rFonts w:ascii="Times New Roman" w:hAnsi="Times New Roman" w:cs="Times New Roman"/>
        <w:sz w:val="20"/>
        <w:szCs w:val="18"/>
      </w:rPr>
      <w:fldChar w:fldCharType="begin"/>
    </w:r>
    <w:r w:rsidRPr="009145A6">
      <w:rPr>
        <w:rStyle w:val="PageNumber"/>
        <w:rFonts w:ascii="Times New Roman" w:hAnsi="Times New Roman" w:cs="Times New Roman"/>
        <w:sz w:val="20"/>
        <w:szCs w:val="18"/>
      </w:rPr>
      <w:instrText xml:space="preserve">page </w:instrText>
    </w:r>
    <w:r w:rsidRPr="009145A6">
      <w:rPr>
        <w:rStyle w:val="PageNumber"/>
        <w:rFonts w:ascii="Times New Roman" w:hAnsi="Times New Roman" w:cs="Times New Roman"/>
        <w:sz w:val="20"/>
        <w:szCs w:val="18"/>
      </w:rPr>
      <w:fldChar w:fldCharType="separate"/>
    </w:r>
    <w:r w:rsidRPr="009145A6">
      <w:rPr>
        <w:rStyle w:val="PageNumber"/>
        <w:rFonts w:ascii="Times New Roman" w:hAnsi="Times New Roman" w:cs="Times New Roman"/>
        <w:sz w:val="20"/>
        <w:szCs w:val="18"/>
      </w:rPr>
      <w:t>2</w:t>
    </w:r>
    <w:r w:rsidRPr="009145A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3586" w14:textId="77777777" w:rsidR="009145A6" w:rsidRPr="009145A6" w:rsidRDefault="009145A6" w:rsidP="009145A6">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1AC12927" w14:textId="77777777" w:rsidR="009145A6" w:rsidRPr="009145A6" w:rsidRDefault="009145A6" w:rsidP="009145A6">
    <w:pPr>
      <w:pStyle w:val="Header"/>
      <w:tabs>
        <w:tab w:val="clear" w:pos="4153"/>
        <w:tab w:val="clear" w:pos="8306"/>
        <w:tab w:val="left" w:leader="underscore" w:pos="9072"/>
      </w:tabs>
      <w:rPr>
        <w:rStyle w:val="PageNumber"/>
        <w:rFonts w:ascii="Times New Roman" w:hAnsi="Times New Roman" w:cs="Times New Roman"/>
        <w:sz w:val="20"/>
        <w:szCs w:val="18"/>
      </w:rPr>
    </w:pPr>
    <w:r w:rsidRPr="009145A6">
      <w:rPr>
        <w:rStyle w:val="PageNumber"/>
        <w:rFonts w:ascii="Times New Roman" w:hAnsi="Times New Roman" w:cs="Times New Roman"/>
        <w:sz w:val="20"/>
        <w:szCs w:val="18"/>
      </w:rPr>
      <w:tab/>
    </w:r>
  </w:p>
  <w:p w14:paraId="7F547DFA" w14:textId="77777777" w:rsidR="009145A6" w:rsidRPr="009145A6" w:rsidRDefault="009145A6" w:rsidP="009145A6">
    <w:pPr>
      <w:pStyle w:val="Header"/>
      <w:tabs>
        <w:tab w:val="clear" w:pos="4153"/>
        <w:tab w:val="clear" w:pos="8306"/>
        <w:tab w:val="left" w:pos="9072"/>
      </w:tabs>
      <w:rPr>
        <w:rStyle w:val="PageNumber"/>
        <w:rFonts w:ascii="Times New Roman" w:hAnsi="Times New Roman" w:cs="Times New Roman"/>
        <w:sz w:val="20"/>
        <w:szCs w:val="18"/>
      </w:rPr>
    </w:pPr>
  </w:p>
  <w:p w14:paraId="6771E497" w14:textId="77777777" w:rsidR="009145A6" w:rsidRPr="009145A6" w:rsidRDefault="009145A6" w:rsidP="009145A6">
    <w:pPr>
      <w:pStyle w:val="Footer"/>
      <w:rPr>
        <w:rFonts w:ascii="Times New Roman" w:hAnsi="Times New Roman" w:cs="Times New Roman"/>
        <w:sz w:val="20"/>
        <w:szCs w:val="18"/>
      </w:rPr>
    </w:pPr>
    <w:r w:rsidRPr="009145A6">
      <w:rPr>
        <w:rFonts w:ascii="Times New Roman" w:hAnsi="Times New Roman" w:cs="Times New Roman"/>
        <w:noProof/>
        <w:sz w:val="20"/>
        <w:szCs w:val="18"/>
      </w:rPr>
      <w:t xml:space="preserve">Tulkojums </w:t>
    </w:r>
    <w:r w:rsidRPr="009145A6">
      <w:rPr>
        <w:rFonts w:ascii="Times New Roman" w:hAnsi="Times New Roman" w:cs="Times New Roman"/>
        <w:noProof/>
        <w:sz w:val="20"/>
        <w:szCs w:val="18"/>
      </w:rPr>
      <w:fldChar w:fldCharType="begin"/>
    </w:r>
    <w:r w:rsidRPr="009145A6">
      <w:rPr>
        <w:rFonts w:ascii="Times New Roman" w:hAnsi="Times New Roman" w:cs="Times New Roman"/>
        <w:noProof/>
        <w:sz w:val="20"/>
        <w:szCs w:val="18"/>
      </w:rPr>
      <w:instrText>symbol 211 \f "Symbol" \s 9</w:instrText>
    </w:r>
    <w:r w:rsidRPr="009145A6">
      <w:rPr>
        <w:rFonts w:ascii="Times New Roman" w:hAnsi="Times New Roman" w:cs="Times New Roman"/>
        <w:noProof/>
        <w:sz w:val="20"/>
        <w:szCs w:val="18"/>
      </w:rPr>
      <w:fldChar w:fldCharType="separate"/>
    </w:r>
    <w:r w:rsidRPr="009145A6">
      <w:rPr>
        <w:rFonts w:ascii="Times New Roman" w:hAnsi="Times New Roman" w:cs="Times New Roman"/>
        <w:noProof/>
        <w:sz w:val="20"/>
        <w:szCs w:val="18"/>
      </w:rPr>
      <w:t>Ó</w:t>
    </w:r>
    <w:r w:rsidRPr="009145A6">
      <w:rPr>
        <w:rFonts w:ascii="Times New Roman" w:hAnsi="Times New Roman" w:cs="Times New Roman"/>
        <w:noProof/>
        <w:sz w:val="20"/>
        <w:szCs w:val="18"/>
      </w:rPr>
      <w:fldChar w:fldCharType="end"/>
    </w:r>
    <w:r w:rsidRPr="009145A6">
      <w:rPr>
        <w:rFonts w:ascii="Times New Roman" w:hAnsi="Times New Roman" w:cs="Times New Roman"/>
        <w:noProof/>
        <w:sz w:val="20"/>
        <w:szCs w:val="18"/>
      </w:rPr>
      <w:t xml:space="preserve"> Valsts valodas centrs, 20</w:t>
    </w:r>
    <w:bookmarkEnd w:id="14"/>
    <w:bookmarkEnd w:id="15"/>
    <w:bookmarkEnd w:id="16"/>
    <w:r w:rsidRPr="009145A6">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49C26" w14:textId="77777777" w:rsidR="00753AA5" w:rsidRPr="00AE1A86" w:rsidRDefault="000141E6">
      <w:pPr>
        <w:rPr>
          <w:noProof/>
        </w:rPr>
      </w:pPr>
      <w:r w:rsidRPr="00AE1A86">
        <w:rPr>
          <w:noProof/>
        </w:rPr>
        <w:separator/>
      </w:r>
    </w:p>
  </w:footnote>
  <w:footnote w:type="continuationSeparator" w:id="0">
    <w:p w14:paraId="3DB58BBB" w14:textId="77777777" w:rsidR="00753AA5" w:rsidRPr="00AE1A86" w:rsidRDefault="000141E6">
      <w:pPr>
        <w:rPr>
          <w:noProof/>
        </w:rPr>
      </w:pPr>
      <w:r w:rsidRPr="00AE1A8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679DD" w14:textId="77777777" w:rsidR="009145A6" w:rsidRPr="009145A6" w:rsidRDefault="009145A6" w:rsidP="009145A6">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3DE009B" w14:textId="77777777" w:rsidR="009145A6" w:rsidRPr="009145A6" w:rsidRDefault="009145A6" w:rsidP="009145A6">
    <w:pPr>
      <w:pStyle w:val="Header"/>
      <w:tabs>
        <w:tab w:val="clear" w:pos="4153"/>
        <w:tab w:val="clear" w:pos="8306"/>
        <w:tab w:val="right" w:leader="underscore" w:pos="9072"/>
      </w:tabs>
      <w:rPr>
        <w:rStyle w:val="PageNumber"/>
        <w:rFonts w:ascii="Times New Roman" w:hAnsi="Times New Roman" w:cs="Times New Roman"/>
        <w:sz w:val="20"/>
        <w:szCs w:val="20"/>
      </w:rPr>
    </w:pPr>
    <w:r w:rsidRPr="009145A6">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6CA14C0" w14:textId="77777777" w:rsidR="009145A6" w:rsidRPr="009145A6" w:rsidRDefault="009145A6" w:rsidP="009145A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3C5F" w14:textId="77777777" w:rsidR="009145A6" w:rsidRPr="009145A6" w:rsidRDefault="009145A6" w:rsidP="009145A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A8CE73A" w14:textId="77777777" w:rsidR="009145A6" w:rsidRPr="009145A6" w:rsidRDefault="009145A6" w:rsidP="009145A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592"/>
    <w:multiLevelType w:val="hybridMultilevel"/>
    <w:tmpl w:val="20525F12"/>
    <w:lvl w:ilvl="0" w:tplc="BEDE0658">
      <w:start w:val="1"/>
      <w:numFmt w:val="decimal"/>
      <w:lvlText w:val="%1."/>
      <w:lvlJc w:val="left"/>
      <w:pPr>
        <w:ind w:left="969" w:hanging="851"/>
      </w:pPr>
      <w:rPr>
        <w:rFonts w:ascii="Times New Roman" w:eastAsia="Times New Roman" w:hAnsi="Times New Roman" w:hint="default"/>
        <w:sz w:val="24"/>
        <w:szCs w:val="24"/>
      </w:rPr>
    </w:lvl>
    <w:lvl w:ilvl="1" w:tplc="D3B2FFA4">
      <w:start w:val="1"/>
      <w:numFmt w:val="bullet"/>
      <w:lvlText w:val="-"/>
      <w:lvlJc w:val="left"/>
      <w:pPr>
        <w:ind w:left="1610" w:hanging="641"/>
      </w:pPr>
      <w:rPr>
        <w:rFonts w:ascii="Times New Roman" w:eastAsia="Times New Roman" w:hAnsi="Times New Roman" w:hint="default"/>
        <w:sz w:val="24"/>
        <w:szCs w:val="24"/>
      </w:rPr>
    </w:lvl>
    <w:lvl w:ilvl="2" w:tplc="DC52B886">
      <w:start w:val="1"/>
      <w:numFmt w:val="bullet"/>
      <w:lvlText w:val="•"/>
      <w:lvlJc w:val="left"/>
      <w:pPr>
        <w:ind w:left="2464" w:hanging="641"/>
      </w:pPr>
      <w:rPr>
        <w:rFonts w:hint="default"/>
      </w:rPr>
    </w:lvl>
    <w:lvl w:ilvl="3" w:tplc="5F743E8C">
      <w:start w:val="1"/>
      <w:numFmt w:val="bullet"/>
      <w:lvlText w:val="•"/>
      <w:lvlJc w:val="left"/>
      <w:pPr>
        <w:ind w:left="3318" w:hanging="641"/>
      </w:pPr>
      <w:rPr>
        <w:rFonts w:hint="default"/>
      </w:rPr>
    </w:lvl>
    <w:lvl w:ilvl="4" w:tplc="EFA644AE">
      <w:start w:val="1"/>
      <w:numFmt w:val="bullet"/>
      <w:lvlText w:val="•"/>
      <w:lvlJc w:val="left"/>
      <w:pPr>
        <w:ind w:left="4173" w:hanging="641"/>
      </w:pPr>
      <w:rPr>
        <w:rFonts w:hint="default"/>
      </w:rPr>
    </w:lvl>
    <w:lvl w:ilvl="5" w:tplc="22B83D44">
      <w:start w:val="1"/>
      <w:numFmt w:val="bullet"/>
      <w:lvlText w:val="•"/>
      <w:lvlJc w:val="left"/>
      <w:pPr>
        <w:ind w:left="5027" w:hanging="641"/>
      </w:pPr>
      <w:rPr>
        <w:rFonts w:hint="default"/>
      </w:rPr>
    </w:lvl>
    <w:lvl w:ilvl="6" w:tplc="B2B8C558">
      <w:start w:val="1"/>
      <w:numFmt w:val="bullet"/>
      <w:lvlText w:val="•"/>
      <w:lvlJc w:val="left"/>
      <w:pPr>
        <w:ind w:left="5882" w:hanging="641"/>
      </w:pPr>
      <w:rPr>
        <w:rFonts w:hint="default"/>
      </w:rPr>
    </w:lvl>
    <w:lvl w:ilvl="7" w:tplc="6CEABDBC">
      <w:start w:val="1"/>
      <w:numFmt w:val="bullet"/>
      <w:lvlText w:val="•"/>
      <w:lvlJc w:val="left"/>
      <w:pPr>
        <w:ind w:left="6736" w:hanging="641"/>
      </w:pPr>
      <w:rPr>
        <w:rFonts w:hint="default"/>
      </w:rPr>
    </w:lvl>
    <w:lvl w:ilvl="8" w:tplc="7550FFD4">
      <w:start w:val="1"/>
      <w:numFmt w:val="bullet"/>
      <w:lvlText w:val="•"/>
      <w:lvlJc w:val="left"/>
      <w:pPr>
        <w:ind w:left="7591" w:hanging="641"/>
      </w:pPr>
      <w:rPr>
        <w:rFonts w:hint="default"/>
      </w:rPr>
    </w:lvl>
  </w:abstractNum>
  <w:abstractNum w:abstractNumId="1" w15:restartNumberingAfterBreak="0">
    <w:nsid w:val="021341AF"/>
    <w:multiLevelType w:val="hybridMultilevel"/>
    <w:tmpl w:val="674C5DAA"/>
    <w:lvl w:ilvl="0" w:tplc="53C62F2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B3927"/>
    <w:multiLevelType w:val="hybridMultilevel"/>
    <w:tmpl w:val="8D404AE6"/>
    <w:lvl w:ilvl="0" w:tplc="C09CA3C4">
      <w:start w:val="1"/>
      <w:numFmt w:val="lowerLetter"/>
      <w:lvlText w:val="%1)"/>
      <w:lvlJc w:val="left"/>
      <w:pPr>
        <w:ind w:left="1536" w:hanging="568"/>
      </w:pPr>
      <w:rPr>
        <w:rFonts w:ascii="Times New Roman" w:eastAsia="Times New Roman" w:hAnsi="Times New Roman" w:hint="default"/>
        <w:sz w:val="24"/>
        <w:szCs w:val="24"/>
      </w:rPr>
    </w:lvl>
    <w:lvl w:ilvl="1" w:tplc="2F96028C">
      <w:start w:val="1"/>
      <w:numFmt w:val="bullet"/>
      <w:lvlText w:val="•"/>
      <w:lvlJc w:val="left"/>
      <w:pPr>
        <w:ind w:left="2313" w:hanging="568"/>
      </w:pPr>
      <w:rPr>
        <w:rFonts w:hint="default"/>
      </w:rPr>
    </w:lvl>
    <w:lvl w:ilvl="2" w:tplc="112E729A">
      <w:start w:val="1"/>
      <w:numFmt w:val="bullet"/>
      <w:lvlText w:val="•"/>
      <w:lvlJc w:val="left"/>
      <w:pPr>
        <w:ind w:left="3089" w:hanging="568"/>
      </w:pPr>
      <w:rPr>
        <w:rFonts w:hint="default"/>
      </w:rPr>
    </w:lvl>
    <w:lvl w:ilvl="3" w:tplc="06FE7F28">
      <w:start w:val="1"/>
      <w:numFmt w:val="bullet"/>
      <w:lvlText w:val="•"/>
      <w:lvlJc w:val="left"/>
      <w:pPr>
        <w:ind w:left="3865" w:hanging="568"/>
      </w:pPr>
      <w:rPr>
        <w:rFonts w:hint="default"/>
      </w:rPr>
    </w:lvl>
    <w:lvl w:ilvl="4" w:tplc="811C7988">
      <w:start w:val="1"/>
      <w:numFmt w:val="bullet"/>
      <w:lvlText w:val="•"/>
      <w:lvlJc w:val="left"/>
      <w:pPr>
        <w:ind w:left="4642" w:hanging="568"/>
      </w:pPr>
      <w:rPr>
        <w:rFonts w:hint="default"/>
      </w:rPr>
    </w:lvl>
    <w:lvl w:ilvl="5" w:tplc="E30CCE7C">
      <w:start w:val="1"/>
      <w:numFmt w:val="bullet"/>
      <w:lvlText w:val="•"/>
      <w:lvlJc w:val="left"/>
      <w:pPr>
        <w:ind w:left="5418" w:hanging="568"/>
      </w:pPr>
      <w:rPr>
        <w:rFonts w:hint="default"/>
      </w:rPr>
    </w:lvl>
    <w:lvl w:ilvl="6" w:tplc="1BE68D7E">
      <w:start w:val="1"/>
      <w:numFmt w:val="bullet"/>
      <w:lvlText w:val="•"/>
      <w:lvlJc w:val="left"/>
      <w:pPr>
        <w:ind w:left="6194" w:hanging="568"/>
      </w:pPr>
      <w:rPr>
        <w:rFonts w:hint="default"/>
      </w:rPr>
    </w:lvl>
    <w:lvl w:ilvl="7" w:tplc="9596052A">
      <w:start w:val="1"/>
      <w:numFmt w:val="bullet"/>
      <w:lvlText w:val="•"/>
      <w:lvlJc w:val="left"/>
      <w:pPr>
        <w:ind w:left="6971" w:hanging="568"/>
      </w:pPr>
      <w:rPr>
        <w:rFonts w:hint="default"/>
      </w:rPr>
    </w:lvl>
    <w:lvl w:ilvl="8" w:tplc="7E6207F2">
      <w:start w:val="1"/>
      <w:numFmt w:val="bullet"/>
      <w:lvlText w:val="•"/>
      <w:lvlJc w:val="left"/>
      <w:pPr>
        <w:ind w:left="7747" w:hanging="568"/>
      </w:pPr>
      <w:rPr>
        <w:rFonts w:hint="default"/>
      </w:rPr>
    </w:lvl>
  </w:abstractNum>
  <w:abstractNum w:abstractNumId="3" w15:restartNumberingAfterBreak="0">
    <w:nsid w:val="0B560D1D"/>
    <w:multiLevelType w:val="hybridMultilevel"/>
    <w:tmpl w:val="98906E42"/>
    <w:lvl w:ilvl="0" w:tplc="3D045594">
      <w:start w:val="1"/>
      <w:numFmt w:val="decimal"/>
      <w:lvlText w:val="%1."/>
      <w:lvlJc w:val="left"/>
      <w:pPr>
        <w:ind w:left="969" w:hanging="851"/>
      </w:pPr>
      <w:rPr>
        <w:rFonts w:ascii="Times New Roman" w:eastAsia="Times New Roman" w:hAnsi="Times New Roman" w:hint="default"/>
        <w:sz w:val="24"/>
        <w:szCs w:val="24"/>
      </w:rPr>
    </w:lvl>
    <w:lvl w:ilvl="1" w:tplc="68EE1212">
      <w:start w:val="1"/>
      <w:numFmt w:val="bullet"/>
      <w:lvlText w:val="•"/>
      <w:lvlJc w:val="left"/>
      <w:pPr>
        <w:ind w:left="1802" w:hanging="851"/>
      </w:pPr>
      <w:rPr>
        <w:rFonts w:hint="default"/>
      </w:rPr>
    </w:lvl>
    <w:lvl w:ilvl="2" w:tplc="A60834D2">
      <w:start w:val="1"/>
      <w:numFmt w:val="bullet"/>
      <w:lvlText w:val="•"/>
      <w:lvlJc w:val="left"/>
      <w:pPr>
        <w:ind w:left="2635" w:hanging="851"/>
      </w:pPr>
      <w:rPr>
        <w:rFonts w:hint="default"/>
      </w:rPr>
    </w:lvl>
    <w:lvl w:ilvl="3" w:tplc="BD60C5B6">
      <w:start w:val="1"/>
      <w:numFmt w:val="bullet"/>
      <w:lvlText w:val="•"/>
      <w:lvlJc w:val="left"/>
      <w:pPr>
        <w:ind w:left="3468" w:hanging="851"/>
      </w:pPr>
      <w:rPr>
        <w:rFonts w:hint="default"/>
      </w:rPr>
    </w:lvl>
    <w:lvl w:ilvl="4" w:tplc="74A42B4E">
      <w:start w:val="1"/>
      <w:numFmt w:val="bullet"/>
      <w:lvlText w:val="•"/>
      <w:lvlJc w:val="left"/>
      <w:pPr>
        <w:ind w:left="4301" w:hanging="851"/>
      </w:pPr>
      <w:rPr>
        <w:rFonts w:hint="default"/>
      </w:rPr>
    </w:lvl>
    <w:lvl w:ilvl="5" w:tplc="A23EBF68">
      <w:start w:val="1"/>
      <w:numFmt w:val="bullet"/>
      <w:lvlText w:val="•"/>
      <w:lvlJc w:val="left"/>
      <w:pPr>
        <w:ind w:left="5134" w:hanging="851"/>
      </w:pPr>
      <w:rPr>
        <w:rFonts w:hint="default"/>
      </w:rPr>
    </w:lvl>
    <w:lvl w:ilvl="6" w:tplc="8CEE0230">
      <w:start w:val="1"/>
      <w:numFmt w:val="bullet"/>
      <w:lvlText w:val="•"/>
      <w:lvlJc w:val="left"/>
      <w:pPr>
        <w:ind w:left="5967" w:hanging="851"/>
      </w:pPr>
      <w:rPr>
        <w:rFonts w:hint="default"/>
      </w:rPr>
    </w:lvl>
    <w:lvl w:ilvl="7" w:tplc="65D0398A">
      <w:start w:val="1"/>
      <w:numFmt w:val="bullet"/>
      <w:lvlText w:val="•"/>
      <w:lvlJc w:val="left"/>
      <w:pPr>
        <w:ind w:left="6800" w:hanging="851"/>
      </w:pPr>
      <w:rPr>
        <w:rFonts w:hint="default"/>
      </w:rPr>
    </w:lvl>
    <w:lvl w:ilvl="8" w:tplc="B72A7D60">
      <w:start w:val="1"/>
      <w:numFmt w:val="bullet"/>
      <w:lvlText w:val="•"/>
      <w:lvlJc w:val="left"/>
      <w:pPr>
        <w:ind w:left="7633" w:hanging="851"/>
      </w:pPr>
      <w:rPr>
        <w:rFonts w:hint="default"/>
      </w:rPr>
    </w:lvl>
  </w:abstractNum>
  <w:abstractNum w:abstractNumId="4" w15:restartNumberingAfterBreak="0">
    <w:nsid w:val="14484854"/>
    <w:multiLevelType w:val="hybridMultilevel"/>
    <w:tmpl w:val="F32A21F0"/>
    <w:lvl w:ilvl="0" w:tplc="74521202">
      <w:start w:val="2"/>
      <w:numFmt w:val="lowerLetter"/>
      <w:lvlText w:val="%1)"/>
      <w:lvlJc w:val="left"/>
      <w:pPr>
        <w:ind w:left="969" w:hanging="851"/>
      </w:pPr>
      <w:rPr>
        <w:rFonts w:ascii="Times New Roman" w:eastAsia="Times New Roman" w:hAnsi="Times New Roman" w:hint="default"/>
        <w:sz w:val="24"/>
        <w:szCs w:val="24"/>
      </w:rPr>
    </w:lvl>
    <w:lvl w:ilvl="1" w:tplc="4E58113A">
      <w:start w:val="1"/>
      <w:numFmt w:val="bullet"/>
      <w:lvlText w:val="•"/>
      <w:lvlJc w:val="left"/>
      <w:pPr>
        <w:ind w:left="1802" w:hanging="851"/>
      </w:pPr>
      <w:rPr>
        <w:rFonts w:hint="default"/>
      </w:rPr>
    </w:lvl>
    <w:lvl w:ilvl="2" w:tplc="3A902B10">
      <w:start w:val="1"/>
      <w:numFmt w:val="bullet"/>
      <w:lvlText w:val="•"/>
      <w:lvlJc w:val="left"/>
      <w:pPr>
        <w:ind w:left="2635" w:hanging="851"/>
      </w:pPr>
      <w:rPr>
        <w:rFonts w:hint="default"/>
      </w:rPr>
    </w:lvl>
    <w:lvl w:ilvl="3" w:tplc="8BAA5B14">
      <w:start w:val="1"/>
      <w:numFmt w:val="bullet"/>
      <w:lvlText w:val="•"/>
      <w:lvlJc w:val="left"/>
      <w:pPr>
        <w:ind w:left="3468" w:hanging="851"/>
      </w:pPr>
      <w:rPr>
        <w:rFonts w:hint="default"/>
      </w:rPr>
    </w:lvl>
    <w:lvl w:ilvl="4" w:tplc="A2C29430">
      <w:start w:val="1"/>
      <w:numFmt w:val="bullet"/>
      <w:lvlText w:val="•"/>
      <w:lvlJc w:val="left"/>
      <w:pPr>
        <w:ind w:left="4301" w:hanging="851"/>
      </w:pPr>
      <w:rPr>
        <w:rFonts w:hint="default"/>
      </w:rPr>
    </w:lvl>
    <w:lvl w:ilvl="5" w:tplc="6B58754A">
      <w:start w:val="1"/>
      <w:numFmt w:val="bullet"/>
      <w:lvlText w:val="•"/>
      <w:lvlJc w:val="left"/>
      <w:pPr>
        <w:ind w:left="5134" w:hanging="851"/>
      </w:pPr>
      <w:rPr>
        <w:rFonts w:hint="default"/>
      </w:rPr>
    </w:lvl>
    <w:lvl w:ilvl="6" w:tplc="33943FF8">
      <w:start w:val="1"/>
      <w:numFmt w:val="bullet"/>
      <w:lvlText w:val="•"/>
      <w:lvlJc w:val="left"/>
      <w:pPr>
        <w:ind w:left="5967" w:hanging="851"/>
      </w:pPr>
      <w:rPr>
        <w:rFonts w:hint="default"/>
      </w:rPr>
    </w:lvl>
    <w:lvl w:ilvl="7" w:tplc="71A2BDD2">
      <w:start w:val="1"/>
      <w:numFmt w:val="bullet"/>
      <w:lvlText w:val="•"/>
      <w:lvlJc w:val="left"/>
      <w:pPr>
        <w:ind w:left="6800" w:hanging="851"/>
      </w:pPr>
      <w:rPr>
        <w:rFonts w:hint="default"/>
      </w:rPr>
    </w:lvl>
    <w:lvl w:ilvl="8" w:tplc="D46CB94A">
      <w:start w:val="1"/>
      <w:numFmt w:val="bullet"/>
      <w:lvlText w:val="•"/>
      <w:lvlJc w:val="left"/>
      <w:pPr>
        <w:ind w:left="7633" w:hanging="851"/>
      </w:pPr>
      <w:rPr>
        <w:rFonts w:hint="default"/>
      </w:rPr>
    </w:lvl>
  </w:abstractNum>
  <w:abstractNum w:abstractNumId="5" w15:restartNumberingAfterBreak="0">
    <w:nsid w:val="150C2B3F"/>
    <w:multiLevelType w:val="hybridMultilevel"/>
    <w:tmpl w:val="A5900000"/>
    <w:lvl w:ilvl="0" w:tplc="3962AFE2">
      <w:start w:val="1"/>
      <w:numFmt w:val="decimal"/>
      <w:lvlText w:val="%1."/>
      <w:lvlJc w:val="left"/>
      <w:pPr>
        <w:ind w:left="969" w:hanging="851"/>
      </w:pPr>
      <w:rPr>
        <w:rFonts w:ascii="Times New Roman" w:eastAsia="Times New Roman" w:hAnsi="Times New Roman" w:hint="default"/>
        <w:sz w:val="24"/>
        <w:szCs w:val="24"/>
      </w:rPr>
    </w:lvl>
    <w:lvl w:ilvl="1" w:tplc="FB1292E6">
      <w:start w:val="1"/>
      <w:numFmt w:val="bullet"/>
      <w:lvlText w:val="•"/>
      <w:lvlJc w:val="left"/>
      <w:pPr>
        <w:ind w:left="1802" w:hanging="851"/>
      </w:pPr>
      <w:rPr>
        <w:rFonts w:hint="default"/>
      </w:rPr>
    </w:lvl>
    <w:lvl w:ilvl="2" w:tplc="FD1A8C8A">
      <w:start w:val="1"/>
      <w:numFmt w:val="bullet"/>
      <w:lvlText w:val="•"/>
      <w:lvlJc w:val="left"/>
      <w:pPr>
        <w:ind w:left="2635" w:hanging="851"/>
      </w:pPr>
      <w:rPr>
        <w:rFonts w:hint="default"/>
      </w:rPr>
    </w:lvl>
    <w:lvl w:ilvl="3" w:tplc="2E084E60">
      <w:start w:val="1"/>
      <w:numFmt w:val="bullet"/>
      <w:lvlText w:val="•"/>
      <w:lvlJc w:val="left"/>
      <w:pPr>
        <w:ind w:left="3468" w:hanging="851"/>
      </w:pPr>
      <w:rPr>
        <w:rFonts w:hint="default"/>
      </w:rPr>
    </w:lvl>
    <w:lvl w:ilvl="4" w:tplc="0E5C549A">
      <w:start w:val="1"/>
      <w:numFmt w:val="bullet"/>
      <w:lvlText w:val="•"/>
      <w:lvlJc w:val="left"/>
      <w:pPr>
        <w:ind w:left="4301" w:hanging="851"/>
      </w:pPr>
      <w:rPr>
        <w:rFonts w:hint="default"/>
      </w:rPr>
    </w:lvl>
    <w:lvl w:ilvl="5" w:tplc="FDA8AA8A">
      <w:start w:val="1"/>
      <w:numFmt w:val="bullet"/>
      <w:lvlText w:val="•"/>
      <w:lvlJc w:val="left"/>
      <w:pPr>
        <w:ind w:left="5134" w:hanging="851"/>
      </w:pPr>
      <w:rPr>
        <w:rFonts w:hint="default"/>
      </w:rPr>
    </w:lvl>
    <w:lvl w:ilvl="6" w:tplc="E1949218">
      <w:start w:val="1"/>
      <w:numFmt w:val="bullet"/>
      <w:lvlText w:val="•"/>
      <w:lvlJc w:val="left"/>
      <w:pPr>
        <w:ind w:left="5967" w:hanging="851"/>
      </w:pPr>
      <w:rPr>
        <w:rFonts w:hint="default"/>
      </w:rPr>
    </w:lvl>
    <w:lvl w:ilvl="7" w:tplc="44A02E1E">
      <w:start w:val="1"/>
      <w:numFmt w:val="bullet"/>
      <w:lvlText w:val="•"/>
      <w:lvlJc w:val="left"/>
      <w:pPr>
        <w:ind w:left="6800" w:hanging="851"/>
      </w:pPr>
      <w:rPr>
        <w:rFonts w:hint="default"/>
      </w:rPr>
    </w:lvl>
    <w:lvl w:ilvl="8" w:tplc="8CD8E49E">
      <w:start w:val="1"/>
      <w:numFmt w:val="bullet"/>
      <w:lvlText w:val="•"/>
      <w:lvlJc w:val="left"/>
      <w:pPr>
        <w:ind w:left="7633" w:hanging="851"/>
      </w:pPr>
      <w:rPr>
        <w:rFonts w:hint="default"/>
      </w:rPr>
    </w:lvl>
  </w:abstractNum>
  <w:abstractNum w:abstractNumId="6" w15:restartNumberingAfterBreak="0">
    <w:nsid w:val="16155076"/>
    <w:multiLevelType w:val="hybridMultilevel"/>
    <w:tmpl w:val="16DE8498"/>
    <w:lvl w:ilvl="0" w:tplc="2B38826E">
      <w:start w:val="1"/>
      <w:numFmt w:val="bullet"/>
      <w:lvlText w:val="-"/>
      <w:lvlJc w:val="left"/>
      <w:pPr>
        <w:ind w:left="1610" w:hanging="641"/>
      </w:pPr>
      <w:rPr>
        <w:rFonts w:ascii="Times New Roman" w:eastAsia="Times New Roman" w:hAnsi="Times New Roman" w:hint="default"/>
        <w:sz w:val="24"/>
        <w:szCs w:val="24"/>
      </w:rPr>
    </w:lvl>
    <w:lvl w:ilvl="1" w:tplc="5EBA77E6">
      <w:start w:val="1"/>
      <w:numFmt w:val="bullet"/>
      <w:lvlText w:val="•"/>
      <w:lvlJc w:val="left"/>
      <w:pPr>
        <w:ind w:left="2379" w:hanging="641"/>
      </w:pPr>
      <w:rPr>
        <w:rFonts w:hint="default"/>
      </w:rPr>
    </w:lvl>
    <w:lvl w:ilvl="2" w:tplc="57DE6EFC">
      <w:start w:val="1"/>
      <w:numFmt w:val="bullet"/>
      <w:lvlText w:val="•"/>
      <w:lvlJc w:val="left"/>
      <w:pPr>
        <w:ind w:left="3148" w:hanging="641"/>
      </w:pPr>
      <w:rPr>
        <w:rFonts w:hint="default"/>
      </w:rPr>
    </w:lvl>
    <w:lvl w:ilvl="3" w:tplc="112E9798">
      <w:start w:val="1"/>
      <w:numFmt w:val="bullet"/>
      <w:lvlText w:val="•"/>
      <w:lvlJc w:val="left"/>
      <w:pPr>
        <w:ind w:left="3917" w:hanging="641"/>
      </w:pPr>
      <w:rPr>
        <w:rFonts w:hint="default"/>
      </w:rPr>
    </w:lvl>
    <w:lvl w:ilvl="4" w:tplc="22D46DDC">
      <w:start w:val="1"/>
      <w:numFmt w:val="bullet"/>
      <w:lvlText w:val="•"/>
      <w:lvlJc w:val="left"/>
      <w:pPr>
        <w:ind w:left="4686" w:hanging="641"/>
      </w:pPr>
      <w:rPr>
        <w:rFonts w:hint="default"/>
      </w:rPr>
    </w:lvl>
    <w:lvl w:ilvl="5" w:tplc="1C7ACDF6">
      <w:start w:val="1"/>
      <w:numFmt w:val="bullet"/>
      <w:lvlText w:val="•"/>
      <w:lvlJc w:val="left"/>
      <w:pPr>
        <w:ind w:left="5455" w:hanging="641"/>
      </w:pPr>
      <w:rPr>
        <w:rFonts w:hint="default"/>
      </w:rPr>
    </w:lvl>
    <w:lvl w:ilvl="6" w:tplc="FFA863A4">
      <w:start w:val="1"/>
      <w:numFmt w:val="bullet"/>
      <w:lvlText w:val="•"/>
      <w:lvlJc w:val="left"/>
      <w:pPr>
        <w:ind w:left="6224" w:hanging="641"/>
      </w:pPr>
      <w:rPr>
        <w:rFonts w:hint="default"/>
      </w:rPr>
    </w:lvl>
    <w:lvl w:ilvl="7" w:tplc="FEC43D62">
      <w:start w:val="1"/>
      <w:numFmt w:val="bullet"/>
      <w:lvlText w:val="•"/>
      <w:lvlJc w:val="left"/>
      <w:pPr>
        <w:ind w:left="6993" w:hanging="641"/>
      </w:pPr>
      <w:rPr>
        <w:rFonts w:hint="default"/>
      </w:rPr>
    </w:lvl>
    <w:lvl w:ilvl="8" w:tplc="556A202A">
      <w:start w:val="1"/>
      <w:numFmt w:val="bullet"/>
      <w:lvlText w:val="•"/>
      <w:lvlJc w:val="left"/>
      <w:pPr>
        <w:ind w:left="7762" w:hanging="641"/>
      </w:pPr>
      <w:rPr>
        <w:rFonts w:hint="default"/>
      </w:rPr>
    </w:lvl>
  </w:abstractNum>
  <w:abstractNum w:abstractNumId="7" w15:restartNumberingAfterBreak="0">
    <w:nsid w:val="17C46A24"/>
    <w:multiLevelType w:val="hybridMultilevel"/>
    <w:tmpl w:val="5EE62DF0"/>
    <w:lvl w:ilvl="0" w:tplc="BCB27E52">
      <w:start w:val="1"/>
      <w:numFmt w:val="lowerLetter"/>
      <w:lvlText w:val="%1)"/>
      <w:lvlJc w:val="left"/>
      <w:pPr>
        <w:ind w:left="1536" w:hanging="568"/>
      </w:pPr>
      <w:rPr>
        <w:rFonts w:ascii="Times New Roman" w:eastAsia="Times New Roman" w:hAnsi="Times New Roman" w:hint="default"/>
        <w:sz w:val="24"/>
        <w:szCs w:val="24"/>
      </w:rPr>
    </w:lvl>
    <w:lvl w:ilvl="1" w:tplc="8862B1F2">
      <w:start w:val="1"/>
      <w:numFmt w:val="bullet"/>
      <w:lvlText w:val="•"/>
      <w:lvlJc w:val="left"/>
      <w:pPr>
        <w:ind w:left="2313" w:hanging="568"/>
      </w:pPr>
      <w:rPr>
        <w:rFonts w:hint="default"/>
      </w:rPr>
    </w:lvl>
    <w:lvl w:ilvl="2" w:tplc="168C481C">
      <w:start w:val="1"/>
      <w:numFmt w:val="bullet"/>
      <w:lvlText w:val="•"/>
      <w:lvlJc w:val="left"/>
      <w:pPr>
        <w:ind w:left="3089" w:hanging="568"/>
      </w:pPr>
      <w:rPr>
        <w:rFonts w:hint="default"/>
      </w:rPr>
    </w:lvl>
    <w:lvl w:ilvl="3" w:tplc="CCDA852A">
      <w:start w:val="1"/>
      <w:numFmt w:val="bullet"/>
      <w:lvlText w:val="•"/>
      <w:lvlJc w:val="left"/>
      <w:pPr>
        <w:ind w:left="3865" w:hanging="568"/>
      </w:pPr>
      <w:rPr>
        <w:rFonts w:hint="default"/>
      </w:rPr>
    </w:lvl>
    <w:lvl w:ilvl="4" w:tplc="3724D466">
      <w:start w:val="1"/>
      <w:numFmt w:val="bullet"/>
      <w:lvlText w:val="•"/>
      <w:lvlJc w:val="left"/>
      <w:pPr>
        <w:ind w:left="4642" w:hanging="568"/>
      </w:pPr>
      <w:rPr>
        <w:rFonts w:hint="default"/>
      </w:rPr>
    </w:lvl>
    <w:lvl w:ilvl="5" w:tplc="094C19AC">
      <w:start w:val="1"/>
      <w:numFmt w:val="bullet"/>
      <w:lvlText w:val="•"/>
      <w:lvlJc w:val="left"/>
      <w:pPr>
        <w:ind w:left="5418" w:hanging="568"/>
      </w:pPr>
      <w:rPr>
        <w:rFonts w:hint="default"/>
      </w:rPr>
    </w:lvl>
    <w:lvl w:ilvl="6" w:tplc="3D762428">
      <w:start w:val="1"/>
      <w:numFmt w:val="bullet"/>
      <w:lvlText w:val="•"/>
      <w:lvlJc w:val="left"/>
      <w:pPr>
        <w:ind w:left="6194" w:hanging="568"/>
      </w:pPr>
      <w:rPr>
        <w:rFonts w:hint="default"/>
      </w:rPr>
    </w:lvl>
    <w:lvl w:ilvl="7" w:tplc="5F92D538">
      <w:start w:val="1"/>
      <w:numFmt w:val="bullet"/>
      <w:lvlText w:val="•"/>
      <w:lvlJc w:val="left"/>
      <w:pPr>
        <w:ind w:left="6971" w:hanging="568"/>
      </w:pPr>
      <w:rPr>
        <w:rFonts w:hint="default"/>
      </w:rPr>
    </w:lvl>
    <w:lvl w:ilvl="8" w:tplc="3F76E34A">
      <w:start w:val="1"/>
      <w:numFmt w:val="bullet"/>
      <w:lvlText w:val="•"/>
      <w:lvlJc w:val="left"/>
      <w:pPr>
        <w:ind w:left="7747" w:hanging="568"/>
      </w:pPr>
      <w:rPr>
        <w:rFonts w:hint="default"/>
      </w:rPr>
    </w:lvl>
  </w:abstractNum>
  <w:abstractNum w:abstractNumId="8" w15:restartNumberingAfterBreak="0">
    <w:nsid w:val="18633D94"/>
    <w:multiLevelType w:val="hybridMultilevel"/>
    <w:tmpl w:val="24E6E86A"/>
    <w:lvl w:ilvl="0" w:tplc="CC160078">
      <w:start w:val="1"/>
      <w:numFmt w:val="decimal"/>
      <w:lvlText w:val="%1."/>
      <w:lvlJc w:val="left"/>
      <w:pPr>
        <w:ind w:left="969" w:hanging="851"/>
      </w:pPr>
      <w:rPr>
        <w:rFonts w:ascii="Times New Roman" w:eastAsia="Times New Roman" w:hAnsi="Times New Roman" w:hint="default"/>
        <w:sz w:val="24"/>
        <w:szCs w:val="24"/>
      </w:rPr>
    </w:lvl>
    <w:lvl w:ilvl="1" w:tplc="456E0ADC">
      <w:start w:val="1"/>
      <w:numFmt w:val="lowerLetter"/>
      <w:lvlText w:val="%2)"/>
      <w:lvlJc w:val="left"/>
      <w:pPr>
        <w:ind w:left="1536" w:hanging="568"/>
      </w:pPr>
      <w:rPr>
        <w:rFonts w:ascii="Times New Roman" w:eastAsia="Times New Roman" w:hAnsi="Times New Roman" w:hint="default"/>
        <w:sz w:val="24"/>
        <w:szCs w:val="24"/>
      </w:rPr>
    </w:lvl>
    <w:lvl w:ilvl="2" w:tplc="E3DAD132">
      <w:start w:val="1"/>
      <w:numFmt w:val="bullet"/>
      <w:lvlText w:val="•"/>
      <w:lvlJc w:val="left"/>
      <w:pPr>
        <w:ind w:left="1536" w:hanging="568"/>
      </w:pPr>
      <w:rPr>
        <w:rFonts w:hint="default"/>
      </w:rPr>
    </w:lvl>
    <w:lvl w:ilvl="3" w:tplc="FCB443F0">
      <w:start w:val="1"/>
      <w:numFmt w:val="bullet"/>
      <w:lvlText w:val="•"/>
      <w:lvlJc w:val="left"/>
      <w:pPr>
        <w:ind w:left="2507" w:hanging="568"/>
      </w:pPr>
      <w:rPr>
        <w:rFonts w:hint="default"/>
      </w:rPr>
    </w:lvl>
    <w:lvl w:ilvl="4" w:tplc="D08E81E0">
      <w:start w:val="1"/>
      <w:numFmt w:val="bullet"/>
      <w:lvlText w:val="•"/>
      <w:lvlJc w:val="left"/>
      <w:pPr>
        <w:ind w:left="3477" w:hanging="568"/>
      </w:pPr>
      <w:rPr>
        <w:rFonts w:hint="default"/>
      </w:rPr>
    </w:lvl>
    <w:lvl w:ilvl="5" w:tplc="E45C5D7C">
      <w:start w:val="1"/>
      <w:numFmt w:val="bullet"/>
      <w:lvlText w:val="•"/>
      <w:lvlJc w:val="left"/>
      <w:pPr>
        <w:ind w:left="4448" w:hanging="568"/>
      </w:pPr>
      <w:rPr>
        <w:rFonts w:hint="default"/>
      </w:rPr>
    </w:lvl>
    <w:lvl w:ilvl="6" w:tplc="D12E68C0">
      <w:start w:val="1"/>
      <w:numFmt w:val="bullet"/>
      <w:lvlText w:val="•"/>
      <w:lvlJc w:val="left"/>
      <w:pPr>
        <w:ind w:left="5418" w:hanging="568"/>
      </w:pPr>
      <w:rPr>
        <w:rFonts w:hint="default"/>
      </w:rPr>
    </w:lvl>
    <w:lvl w:ilvl="7" w:tplc="E6E22C48">
      <w:start w:val="1"/>
      <w:numFmt w:val="bullet"/>
      <w:lvlText w:val="•"/>
      <w:lvlJc w:val="left"/>
      <w:pPr>
        <w:ind w:left="6388" w:hanging="568"/>
      </w:pPr>
      <w:rPr>
        <w:rFonts w:hint="default"/>
      </w:rPr>
    </w:lvl>
    <w:lvl w:ilvl="8" w:tplc="1A76827A">
      <w:start w:val="1"/>
      <w:numFmt w:val="bullet"/>
      <w:lvlText w:val="•"/>
      <w:lvlJc w:val="left"/>
      <w:pPr>
        <w:ind w:left="7359" w:hanging="568"/>
      </w:pPr>
      <w:rPr>
        <w:rFonts w:hint="default"/>
      </w:rPr>
    </w:lvl>
  </w:abstractNum>
  <w:abstractNum w:abstractNumId="9" w15:restartNumberingAfterBreak="0">
    <w:nsid w:val="1ABA7FC1"/>
    <w:multiLevelType w:val="hybridMultilevel"/>
    <w:tmpl w:val="D9F65FE2"/>
    <w:lvl w:ilvl="0" w:tplc="D2CEA694">
      <w:start w:val="6"/>
      <w:numFmt w:val="lowerLetter"/>
      <w:lvlText w:val="%1)"/>
      <w:lvlJc w:val="left"/>
      <w:pPr>
        <w:ind w:left="969" w:hanging="852"/>
      </w:pPr>
      <w:rPr>
        <w:rFonts w:ascii="Times New Roman" w:eastAsia="Times New Roman" w:hAnsi="Times New Roman" w:hint="default"/>
        <w:sz w:val="24"/>
        <w:szCs w:val="24"/>
      </w:rPr>
    </w:lvl>
    <w:lvl w:ilvl="1" w:tplc="1BF606D8">
      <w:start w:val="1"/>
      <w:numFmt w:val="bullet"/>
      <w:lvlText w:val="-"/>
      <w:lvlJc w:val="left"/>
      <w:pPr>
        <w:ind w:left="1610" w:hanging="641"/>
      </w:pPr>
      <w:rPr>
        <w:rFonts w:ascii="Times New Roman" w:eastAsia="Times New Roman" w:hAnsi="Times New Roman" w:hint="default"/>
        <w:sz w:val="24"/>
        <w:szCs w:val="24"/>
      </w:rPr>
    </w:lvl>
    <w:lvl w:ilvl="2" w:tplc="EB1421B4">
      <w:start w:val="1"/>
      <w:numFmt w:val="bullet"/>
      <w:lvlText w:val="•"/>
      <w:lvlJc w:val="left"/>
      <w:pPr>
        <w:ind w:left="2464" w:hanging="641"/>
      </w:pPr>
      <w:rPr>
        <w:rFonts w:hint="default"/>
      </w:rPr>
    </w:lvl>
    <w:lvl w:ilvl="3" w:tplc="5E2E71DC">
      <w:start w:val="1"/>
      <w:numFmt w:val="bullet"/>
      <w:lvlText w:val="•"/>
      <w:lvlJc w:val="left"/>
      <w:pPr>
        <w:ind w:left="3318" w:hanging="641"/>
      </w:pPr>
      <w:rPr>
        <w:rFonts w:hint="default"/>
      </w:rPr>
    </w:lvl>
    <w:lvl w:ilvl="4" w:tplc="957C57E0">
      <w:start w:val="1"/>
      <w:numFmt w:val="bullet"/>
      <w:lvlText w:val="•"/>
      <w:lvlJc w:val="left"/>
      <w:pPr>
        <w:ind w:left="4173" w:hanging="641"/>
      </w:pPr>
      <w:rPr>
        <w:rFonts w:hint="default"/>
      </w:rPr>
    </w:lvl>
    <w:lvl w:ilvl="5" w:tplc="938CEEFE">
      <w:start w:val="1"/>
      <w:numFmt w:val="bullet"/>
      <w:lvlText w:val="•"/>
      <w:lvlJc w:val="left"/>
      <w:pPr>
        <w:ind w:left="5027" w:hanging="641"/>
      </w:pPr>
      <w:rPr>
        <w:rFonts w:hint="default"/>
      </w:rPr>
    </w:lvl>
    <w:lvl w:ilvl="6" w:tplc="16C835AE">
      <w:start w:val="1"/>
      <w:numFmt w:val="bullet"/>
      <w:lvlText w:val="•"/>
      <w:lvlJc w:val="left"/>
      <w:pPr>
        <w:ind w:left="5882" w:hanging="641"/>
      </w:pPr>
      <w:rPr>
        <w:rFonts w:hint="default"/>
      </w:rPr>
    </w:lvl>
    <w:lvl w:ilvl="7" w:tplc="AC6A0860">
      <w:start w:val="1"/>
      <w:numFmt w:val="bullet"/>
      <w:lvlText w:val="•"/>
      <w:lvlJc w:val="left"/>
      <w:pPr>
        <w:ind w:left="6736" w:hanging="641"/>
      </w:pPr>
      <w:rPr>
        <w:rFonts w:hint="default"/>
      </w:rPr>
    </w:lvl>
    <w:lvl w:ilvl="8" w:tplc="A0BCFD1E">
      <w:start w:val="1"/>
      <w:numFmt w:val="bullet"/>
      <w:lvlText w:val="•"/>
      <w:lvlJc w:val="left"/>
      <w:pPr>
        <w:ind w:left="7591" w:hanging="641"/>
      </w:pPr>
      <w:rPr>
        <w:rFonts w:hint="default"/>
      </w:rPr>
    </w:lvl>
  </w:abstractNum>
  <w:abstractNum w:abstractNumId="10" w15:restartNumberingAfterBreak="0">
    <w:nsid w:val="22F679F1"/>
    <w:multiLevelType w:val="hybridMultilevel"/>
    <w:tmpl w:val="A4D06F5A"/>
    <w:lvl w:ilvl="0" w:tplc="72EC4EC4">
      <w:start w:val="1"/>
      <w:numFmt w:val="decimal"/>
      <w:lvlText w:val="%1."/>
      <w:lvlJc w:val="left"/>
      <w:pPr>
        <w:ind w:left="969" w:hanging="851"/>
      </w:pPr>
      <w:rPr>
        <w:rFonts w:ascii="Times New Roman" w:eastAsia="Times New Roman" w:hAnsi="Times New Roman" w:hint="default"/>
        <w:sz w:val="24"/>
        <w:szCs w:val="24"/>
      </w:rPr>
    </w:lvl>
    <w:lvl w:ilvl="1" w:tplc="2222D22E">
      <w:start w:val="1"/>
      <w:numFmt w:val="lowerLetter"/>
      <w:lvlText w:val="%2)"/>
      <w:lvlJc w:val="left"/>
      <w:pPr>
        <w:ind w:left="1536" w:hanging="568"/>
      </w:pPr>
      <w:rPr>
        <w:rFonts w:ascii="Times New Roman" w:eastAsia="Times New Roman" w:hAnsi="Times New Roman" w:hint="default"/>
        <w:sz w:val="24"/>
        <w:szCs w:val="24"/>
      </w:rPr>
    </w:lvl>
    <w:lvl w:ilvl="2" w:tplc="B29A331A">
      <w:start w:val="1"/>
      <w:numFmt w:val="bullet"/>
      <w:lvlText w:val="•"/>
      <w:lvlJc w:val="left"/>
      <w:pPr>
        <w:ind w:left="2399" w:hanging="568"/>
      </w:pPr>
      <w:rPr>
        <w:rFonts w:hint="default"/>
      </w:rPr>
    </w:lvl>
    <w:lvl w:ilvl="3" w:tplc="CF580066">
      <w:start w:val="1"/>
      <w:numFmt w:val="bullet"/>
      <w:lvlText w:val="•"/>
      <w:lvlJc w:val="left"/>
      <w:pPr>
        <w:ind w:left="3261" w:hanging="568"/>
      </w:pPr>
      <w:rPr>
        <w:rFonts w:hint="default"/>
      </w:rPr>
    </w:lvl>
    <w:lvl w:ilvl="4" w:tplc="96A6E682">
      <w:start w:val="1"/>
      <w:numFmt w:val="bullet"/>
      <w:lvlText w:val="•"/>
      <w:lvlJc w:val="left"/>
      <w:pPr>
        <w:ind w:left="4124" w:hanging="568"/>
      </w:pPr>
      <w:rPr>
        <w:rFonts w:hint="default"/>
      </w:rPr>
    </w:lvl>
    <w:lvl w:ilvl="5" w:tplc="A4D27458">
      <w:start w:val="1"/>
      <w:numFmt w:val="bullet"/>
      <w:lvlText w:val="•"/>
      <w:lvlJc w:val="left"/>
      <w:pPr>
        <w:ind w:left="4987" w:hanging="568"/>
      </w:pPr>
      <w:rPr>
        <w:rFonts w:hint="default"/>
      </w:rPr>
    </w:lvl>
    <w:lvl w:ilvl="6" w:tplc="AD46F0C8">
      <w:start w:val="1"/>
      <w:numFmt w:val="bullet"/>
      <w:lvlText w:val="•"/>
      <w:lvlJc w:val="left"/>
      <w:pPr>
        <w:ind w:left="5849" w:hanging="568"/>
      </w:pPr>
      <w:rPr>
        <w:rFonts w:hint="default"/>
      </w:rPr>
    </w:lvl>
    <w:lvl w:ilvl="7" w:tplc="B6CE78C4">
      <w:start w:val="1"/>
      <w:numFmt w:val="bullet"/>
      <w:lvlText w:val="•"/>
      <w:lvlJc w:val="left"/>
      <w:pPr>
        <w:ind w:left="6712" w:hanging="568"/>
      </w:pPr>
      <w:rPr>
        <w:rFonts w:hint="default"/>
      </w:rPr>
    </w:lvl>
    <w:lvl w:ilvl="8" w:tplc="762AAE32">
      <w:start w:val="1"/>
      <w:numFmt w:val="bullet"/>
      <w:lvlText w:val="•"/>
      <w:lvlJc w:val="left"/>
      <w:pPr>
        <w:ind w:left="7574" w:hanging="568"/>
      </w:pPr>
      <w:rPr>
        <w:rFonts w:hint="default"/>
      </w:rPr>
    </w:lvl>
  </w:abstractNum>
  <w:num w:numId="1">
    <w:abstractNumId w:val="10"/>
  </w:num>
  <w:num w:numId="2">
    <w:abstractNumId w:val="5"/>
  </w:num>
  <w:num w:numId="3">
    <w:abstractNumId w:val="3"/>
  </w:num>
  <w:num w:numId="4">
    <w:abstractNumId w:val="8"/>
  </w:num>
  <w:num w:numId="5">
    <w:abstractNumId w:val="0"/>
  </w:num>
  <w:num w:numId="6">
    <w:abstractNumId w:val="2"/>
  </w:num>
  <w:num w:numId="7">
    <w:abstractNumId w:val="7"/>
  </w:num>
  <w:num w:numId="8">
    <w:abstractNumId w:val="6"/>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B83"/>
    <w:rsid w:val="000141E6"/>
    <w:rsid w:val="00311768"/>
    <w:rsid w:val="005E1B83"/>
    <w:rsid w:val="00753AA5"/>
    <w:rsid w:val="00810C32"/>
    <w:rsid w:val="00847FEE"/>
    <w:rsid w:val="008B5976"/>
    <w:rsid w:val="009145A6"/>
    <w:rsid w:val="00AE1A86"/>
    <w:rsid w:val="00BF6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24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7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69" w:hanging="85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E1A86"/>
    <w:pPr>
      <w:tabs>
        <w:tab w:val="center" w:pos="4153"/>
        <w:tab w:val="right" w:pos="8306"/>
      </w:tabs>
    </w:pPr>
  </w:style>
  <w:style w:type="character" w:customStyle="1" w:styleId="HeaderChar">
    <w:name w:val="Header Char"/>
    <w:basedOn w:val="DefaultParagraphFont"/>
    <w:link w:val="Header"/>
    <w:uiPriority w:val="99"/>
    <w:rsid w:val="00AE1A86"/>
  </w:style>
  <w:style w:type="paragraph" w:styleId="Footer">
    <w:name w:val="footer"/>
    <w:basedOn w:val="Normal"/>
    <w:link w:val="FooterChar"/>
    <w:unhideWhenUsed/>
    <w:rsid w:val="00AE1A86"/>
    <w:pPr>
      <w:tabs>
        <w:tab w:val="center" w:pos="4153"/>
        <w:tab w:val="right" w:pos="8306"/>
      </w:tabs>
    </w:pPr>
  </w:style>
  <w:style w:type="character" w:customStyle="1" w:styleId="FooterChar">
    <w:name w:val="Footer Char"/>
    <w:basedOn w:val="DefaultParagraphFont"/>
    <w:link w:val="Footer"/>
    <w:uiPriority w:val="99"/>
    <w:rsid w:val="00AE1A86"/>
  </w:style>
  <w:style w:type="table" w:styleId="TableGrid">
    <w:name w:val="Table Grid"/>
    <w:basedOn w:val="TableNormal"/>
    <w:uiPriority w:val="39"/>
    <w:rsid w:val="00311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1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12346</Words>
  <Characters>7038</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2019-11-08T08:53:00Z</dcterms:created>
  <dcterms:modified xsi:type="dcterms:W3CDTF">2020-05-12T07:32:00Z</dcterms:modified>
</cp:coreProperties>
</file>