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112C8" w14:textId="77777777" w:rsidR="00D35868" w:rsidRPr="0057355C" w:rsidRDefault="00D35868" w:rsidP="00D35868">
      <w:pPr>
        <w:pStyle w:val="Kjene"/>
        <w:tabs>
          <w:tab w:val="clear" w:pos="4153"/>
          <w:tab w:val="clear" w:pos="8306"/>
        </w:tabs>
        <w:rPr>
          <w:rFonts w:ascii="Times New Roman" w:hAnsi="Times New Roman" w:cs="Times New Roman"/>
          <w:sz w:val="24"/>
          <w:szCs w:val="24"/>
        </w:rPr>
      </w:pPr>
    </w:p>
    <w:p w14:paraId="75BA676F" w14:textId="77777777" w:rsidR="00D35868" w:rsidRPr="0057355C" w:rsidRDefault="00D35868" w:rsidP="00D35868">
      <w:pPr>
        <w:widowControl w:val="0"/>
        <w:spacing w:after="0" w:line="240" w:lineRule="auto"/>
        <w:jc w:val="both"/>
        <w:rPr>
          <w:rFonts w:ascii="Times New Roman" w:hAnsi="Times New Roman" w:cs="Times New Roman"/>
          <w:sz w:val="20"/>
          <w:szCs w:val="20"/>
        </w:rPr>
      </w:pPr>
      <w:r w:rsidRPr="0057355C">
        <w:rPr>
          <w:rFonts w:ascii="Times New Roman" w:hAnsi="Times New Roman" w:cs="Times New Roman"/>
          <w:sz w:val="20"/>
          <w:szCs w:val="20"/>
        </w:rPr>
        <w:t xml:space="preserve">Text consolidated by </w:t>
      </w:r>
      <w:proofErr w:type="spellStart"/>
      <w:r w:rsidRPr="0057355C">
        <w:rPr>
          <w:rFonts w:ascii="Times New Roman" w:hAnsi="Times New Roman" w:cs="Times New Roman"/>
          <w:sz w:val="20"/>
          <w:szCs w:val="20"/>
        </w:rPr>
        <w:t>Valsts</w:t>
      </w:r>
      <w:proofErr w:type="spellEnd"/>
      <w:r w:rsidRPr="0057355C">
        <w:rPr>
          <w:rFonts w:ascii="Times New Roman" w:hAnsi="Times New Roman" w:cs="Times New Roman"/>
          <w:sz w:val="20"/>
          <w:szCs w:val="20"/>
        </w:rPr>
        <w:t xml:space="preserve"> </w:t>
      </w:r>
      <w:proofErr w:type="spellStart"/>
      <w:r w:rsidRPr="0057355C">
        <w:rPr>
          <w:rFonts w:ascii="Times New Roman" w:hAnsi="Times New Roman" w:cs="Times New Roman"/>
          <w:sz w:val="20"/>
          <w:szCs w:val="20"/>
        </w:rPr>
        <w:t>valodas</w:t>
      </w:r>
      <w:proofErr w:type="spellEnd"/>
      <w:r w:rsidRPr="0057355C">
        <w:rPr>
          <w:rFonts w:ascii="Times New Roman" w:hAnsi="Times New Roman" w:cs="Times New Roman"/>
          <w:sz w:val="20"/>
          <w:szCs w:val="20"/>
        </w:rPr>
        <w:t xml:space="preserve"> </w:t>
      </w:r>
      <w:proofErr w:type="spellStart"/>
      <w:r w:rsidRPr="0057355C">
        <w:rPr>
          <w:rFonts w:ascii="Times New Roman" w:hAnsi="Times New Roman" w:cs="Times New Roman"/>
          <w:sz w:val="20"/>
          <w:szCs w:val="20"/>
        </w:rPr>
        <w:t>centrs</w:t>
      </w:r>
      <w:proofErr w:type="spellEnd"/>
      <w:r w:rsidRPr="0057355C">
        <w:rPr>
          <w:rFonts w:ascii="Times New Roman" w:hAnsi="Times New Roman" w:cs="Times New Roman"/>
          <w:sz w:val="20"/>
          <w:szCs w:val="20"/>
        </w:rPr>
        <w:t xml:space="preserve"> (State Language Centre) with amending laws of:</w:t>
      </w:r>
    </w:p>
    <w:p w14:paraId="0B1EF2EE" w14:textId="63A2C805" w:rsidR="00D35868" w:rsidRPr="0057355C" w:rsidRDefault="00D35868" w:rsidP="00D35868">
      <w:pPr>
        <w:pStyle w:val="Tekstabloks"/>
        <w:ind w:left="0" w:right="26"/>
        <w:jc w:val="center"/>
        <w:rPr>
          <w:szCs w:val="20"/>
        </w:rPr>
      </w:pPr>
      <w:r>
        <w:rPr>
          <w:szCs w:val="20"/>
        </w:rPr>
        <w:t>23</w:t>
      </w:r>
      <w:r w:rsidRPr="0057355C">
        <w:rPr>
          <w:szCs w:val="20"/>
        </w:rPr>
        <w:t> </w:t>
      </w:r>
      <w:r>
        <w:rPr>
          <w:szCs w:val="20"/>
        </w:rPr>
        <w:t>November</w:t>
      </w:r>
      <w:r w:rsidRPr="0057355C">
        <w:rPr>
          <w:szCs w:val="20"/>
        </w:rPr>
        <w:t> 20</w:t>
      </w:r>
      <w:r>
        <w:rPr>
          <w:szCs w:val="20"/>
        </w:rPr>
        <w:t>16</w:t>
      </w:r>
      <w:r w:rsidRPr="0057355C">
        <w:rPr>
          <w:szCs w:val="20"/>
        </w:rPr>
        <w:t xml:space="preserve"> [shall come into force </w:t>
      </w:r>
      <w:r>
        <w:rPr>
          <w:szCs w:val="20"/>
        </w:rPr>
        <w:t>on</w:t>
      </w:r>
      <w:r w:rsidRPr="0057355C">
        <w:rPr>
          <w:szCs w:val="20"/>
        </w:rPr>
        <w:t xml:space="preserve"> </w:t>
      </w:r>
      <w:r>
        <w:rPr>
          <w:szCs w:val="20"/>
        </w:rPr>
        <w:t>1</w:t>
      </w:r>
      <w:r w:rsidRPr="0057355C">
        <w:rPr>
          <w:szCs w:val="20"/>
        </w:rPr>
        <w:t> </w:t>
      </w:r>
      <w:r>
        <w:rPr>
          <w:szCs w:val="20"/>
        </w:rPr>
        <w:t>January</w:t>
      </w:r>
      <w:r w:rsidRPr="0057355C">
        <w:rPr>
          <w:szCs w:val="20"/>
        </w:rPr>
        <w:t> 20</w:t>
      </w:r>
      <w:r>
        <w:rPr>
          <w:szCs w:val="20"/>
        </w:rPr>
        <w:t>17</w:t>
      </w:r>
      <w:proofErr w:type="gramStart"/>
      <w:r w:rsidRPr="0057355C">
        <w:rPr>
          <w:szCs w:val="20"/>
        </w:rPr>
        <w:t>];</w:t>
      </w:r>
      <w:proofErr w:type="gramEnd"/>
    </w:p>
    <w:p w14:paraId="3D5A53A0" w14:textId="3FDF3675" w:rsidR="00D35868" w:rsidRDefault="00D35868" w:rsidP="00D35868">
      <w:pPr>
        <w:pStyle w:val="Tekstabloks"/>
        <w:ind w:left="0" w:right="26"/>
        <w:jc w:val="center"/>
        <w:rPr>
          <w:szCs w:val="20"/>
        </w:rPr>
      </w:pPr>
      <w:r w:rsidRPr="0057355C">
        <w:rPr>
          <w:szCs w:val="20"/>
        </w:rPr>
        <w:t>2</w:t>
      </w:r>
      <w:r>
        <w:rPr>
          <w:szCs w:val="20"/>
        </w:rPr>
        <w:t>5</w:t>
      </w:r>
      <w:r w:rsidRPr="0057355C">
        <w:rPr>
          <w:szCs w:val="20"/>
        </w:rPr>
        <w:t> </w:t>
      </w:r>
      <w:r>
        <w:rPr>
          <w:szCs w:val="20"/>
        </w:rPr>
        <w:t>April</w:t>
      </w:r>
      <w:r w:rsidRPr="0057355C">
        <w:rPr>
          <w:szCs w:val="20"/>
        </w:rPr>
        <w:t> 20</w:t>
      </w:r>
      <w:r>
        <w:rPr>
          <w:szCs w:val="20"/>
        </w:rPr>
        <w:t>1</w:t>
      </w:r>
      <w:r w:rsidRPr="0057355C">
        <w:rPr>
          <w:szCs w:val="20"/>
        </w:rPr>
        <w:t xml:space="preserve">9 [shall come into force </w:t>
      </w:r>
      <w:r>
        <w:rPr>
          <w:szCs w:val="20"/>
        </w:rPr>
        <w:t>on</w:t>
      </w:r>
      <w:r w:rsidRPr="0057355C">
        <w:rPr>
          <w:szCs w:val="20"/>
        </w:rPr>
        <w:t xml:space="preserve"> </w:t>
      </w:r>
      <w:r>
        <w:rPr>
          <w:szCs w:val="20"/>
        </w:rPr>
        <w:t>1</w:t>
      </w:r>
      <w:r w:rsidRPr="0057355C">
        <w:rPr>
          <w:szCs w:val="20"/>
        </w:rPr>
        <w:t> </w:t>
      </w:r>
      <w:r>
        <w:rPr>
          <w:szCs w:val="20"/>
        </w:rPr>
        <w:t>May</w:t>
      </w:r>
      <w:r w:rsidRPr="0057355C">
        <w:rPr>
          <w:szCs w:val="20"/>
        </w:rPr>
        <w:t> 20</w:t>
      </w:r>
      <w:r>
        <w:rPr>
          <w:szCs w:val="20"/>
        </w:rPr>
        <w:t>1</w:t>
      </w:r>
      <w:r w:rsidRPr="0057355C">
        <w:rPr>
          <w:szCs w:val="20"/>
        </w:rPr>
        <w:t>9</w:t>
      </w:r>
      <w:proofErr w:type="gramStart"/>
      <w:r w:rsidRPr="0057355C">
        <w:rPr>
          <w:szCs w:val="20"/>
        </w:rPr>
        <w:t>]</w:t>
      </w:r>
      <w:r>
        <w:rPr>
          <w:szCs w:val="20"/>
        </w:rPr>
        <w:t>;</w:t>
      </w:r>
      <w:proofErr w:type="gramEnd"/>
    </w:p>
    <w:p w14:paraId="4D46FFAF" w14:textId="1FEDC910" w:rsidR="00D35868" w:rsidRDefault="00D35868" w:rsidP="00D35868">
      <w:pPr>
        <w:pStyle w:val="Tekstabloks"/>
        <w:ind w:left="0" w:right="26"/>
        <w:jc w:val="center"/>
        <w:rPr>
          <w:szCs w:val="20"/>
        </w:rPr>
      </w:pPr>
      <w:r>
        <w:rPr>
          <w:szCs w:val="20"/>
        </w:rPr>
        <w:t xml:space="preserve">14 November 2019 [shall come into force </w:t>
      </w:r>
      <w:r>
        <w:rPr>
          <w:szCs w:val="20"/>
        </w:rPr>
        <w:t>on</w:t>
      </w:r>
      <w:r>
        <w:rPr>
          <w:szCs w:val="20"/>
        </w:rPr>
        <w:t xml:space="preserve"> 1 January 2020</w:t>
      </w:r>
      <w:proofErr w:type="gramStart"/>
      <w:r>
        <w:rPr>
          <w:szCs w:val="20"/>
        </w:rPr>
        <w:t>]</w:t>
      </w:r>
      <w:r>
        <w:rPr>
          <w:szCs w:val="20"/>
        </w:rPr>
        <w:t>;</w:t>
      </w:r>
      <w:proofErr w:type="gramEnd"/>
    </w:p>
    <w:p w14:paraId="1FC786F8" w14:textId="29D7CD6A" w:rsidR="00D35868" w:rsidRPr="0057355C" w:rsidRDefault="0009240C" w:rsidP="00D35868">
      <w:pPr>
        <w:pStyle w:val="Tekstabloks"/>
        <w:ind w:left="0" w:right="26"/>
        <w:jc w:val="center"/>
        <w:rPr>
          <w:szCs w:val="20"/>
        </w:rPr>
      </w:pPr>
      <w:r>
        <w:rPr>
          <w:szCs w:val="20"/>
        </w:rPr>
        <w:t>30 April 2020 [shall come into force on 26 May 2020].</w:t>
      </w:r>
    </w:p>
    <w:p w14:paraId="37CBBF41" w14:textId="77777777" w:rsidR="00D35868" w:rsidRPr="0057355C" w:rsidRDefault="00D35868" w:rsidP="00D35868">
      <w:pPr>
        <w:pStyle w:val="Tekstabloks"/>
        <w:ind w:left="0" w:right="26"/>
        <w:rPr>
          <w:snapToGrid w:val="0"/>
          <w:szCs w:val="20"/>
        </w:rPr>
      </w:pPr>
      <w:r w:rsidRPr="0057355C">
        <w:rPr>
          <w:szCs w:val="20"/>
        </w:rPr>
        <w:t>If a whole or part of a section has been amended, the date of the amending law appears in square brackets at the end of the section.</w:t>
      </w:r>
      <w:r w:rsidRPr="0057355C">
        <w:rPr>
          <w:snapToGrid w:val="0"/>
          <w:szCs w:val="20"/>
        </w:rPr>
        <w:t xml:space="preserve"> If a whole section, </w:t>
      </w:r>
      <w:proofErr w:type="gramStart"/>
      <w:r w:rsidRPr="0057355C">
        <w:rPr>
          <w:snapToGrid w:val="0"/>
          <w:szCs w:val="20"/>
        </w:rPr>
        <w:t>paragraph</w:t>
      </w:r>
      <w:proofErr w:type="gramEnd"/>
      <w:r w:rsidRPr="0057355C">
        <w:rPr>
          <w:snapToGrid w:val="0"/>
          <w:szCs w:val="20"/>
        </w:rPr>
        <w:t xml:space="preserve"> or clause has been deleted, the date of the deletion appears in square brackets beside the deleted section, paragraph or clause.</w:t>
      </w:r>
    </w:p>
    <w:p w14:paraId="7D157E48" w14:textId="77777777" w:rsidR="00D35868" w:rsidRDefault="00D35868" w:rsidP="008754B3">
      <w:pPr>
        <w:spacing w:after="0" w:line="240" w:lineRule="auto"/>
        <w:jc w:val="right"/>
        <w:rPr>
          <w:rFonts w:ascii="Times New Roman" w:hAnsi="Times New Roman"/>
          <w:sz w:val="24"/>
          <w:szCs w:val="24"/>
        </w:rPr>
      </w:pPr>
    </w:p>
    <w:p w14:paraId="0DFA89B1" w14:textId="77777777" w:rsidR="00D35868" w:rsidRDefault="00D35868" w:rsidP="008754B3">
      <w:pPr>
        <w:spacing w:after="0" w:line="240" w:lineRule="auto"/>
        <w:jc w:val="right"/>
        <w:rPr>
          <w:rFonts w:ascii="Times New Roman" w:hAnsi="Times New Roman"/>
          <w:sz w:val="24"/>
          <w:szCs w:val="24"/>
        </w:rPr>
      </w:pPr>
    </w:p>
    <w:p w14:paraId="5DFDDD76" w14:textId="3C9A7EAD" w:rsidR="008754B3" w:rsidRDefault="00D90567" w:rsidP="008754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sidRPr="008C098D">
        <w:rPr>
          <w:rFonts w:ascii="Times New Roman" w:hAnsi="Times New Roman"/>
          <w:i/>
          <w:iCs/>
          <w:sz w:val="24"/>
          <w:szCs w:val="24"/>
        </w:rPr>
        <w:t>Saeima</w:t>
      </w:r>
      <w:proofErr w:type="spellEnd"/>
      <w:r w:rsidR="008C098D">
        <w:rPr>
          <w:rFonts w:ascii="Times New Roman" w:hAnsi="Times New Roman"/>
          <w:sz w:val="24"/>
          <w:szCs w:val="24"/>
        </w:rPr>
        <w:t> </w:t>
      </w:r>
      <w:r w:rsidR="008C098D" w:rsidRPr="008C098D">
        <w:rPr>
          <w:rFonts w:ascii="Times New Roman" w:hAnsi="Times New Roman"/>
          <w:sz w:val="24"/>
          <w:szCs w:val="24"/>
          <w:vertAlign w:val="superscript"/>
        </w:rPr>
        <w:t>1</w:t>
      </w:r>
      <w:r>
        <w:rPr>
          <w:rFonts w:ascii="Times New Roman" w:hAnsi="Times New Roman"/>
          <w:sz w:val="24"/>
          <w:szCs w:val="24"/>
        </w:rPr>
        <w:t xml:space="preserve"> has adopted and</w:t>
      </w:r>
    </w:p>
    <w:p w14:paraId="3988D3E3" w14:textId="7CEE790E" w:rsidR="00D90567" w:rsidRDefault="00D90567" w:rsidP="008754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3A70B11" w14:textId="1A60641E" w:rsidR="008754B3" w:rsidRDefault="008754B3" w:rsidP="008754B3">
      <w:pPr>
        <w:spacing w:after="0" w:line="240" w:lineRule="auto"/>
        <w:jc w:val="both"/>
        <w:rPr>
          <w:rFonts w:ascii="Times New Roman" w:eastAsia="Times New Roman" w:hAnsi="Times New Roman" w:cs="Times New Roman"/>
          <w:noProof/>
          <w:sz w:val="24"/>
          <w:szCs w:val="24"/>
          <w:lang w:val="en-US" w:eastAsia="lv-LV"/>
        </w:rPr>
      </w:pPr>
    </w:p>
    <w:p w14:paraId="7EED9DAC" w14:textId="77777777" w:rsidR="008754B3" w:rsidRPr="00D90567" w:rsidRDefault="008754B3" w:rsidP="008754B3">
      <w:pPr>
        <w:spacing w:after="0" w:line="240" w:lineRule="auto"/>
        <w:jc w:val="both"/>
        <w:rPr>
          <w:rFonts w:ascii="Times New Roman" w:eastAsia="Times New Roman" w:hAnsi="Times New Roman" w:cs="Times New Roman"/>
          <w:noProof/>
          <w:sz w:val="24"/>
          <w:szCs w:val="24"/>
          <w:lang w:val="en-US" w:eastAsia="lv-LV"/>
        </w:rPr>
      </w:pPr>
    </w:p>
    <w:p w14:paraId="51357C03" w14:textId="7CC6DA53" w:rsidR="00D90567" w:rsidRPr="008754B3" w:rsidRDefault="00D90567" w:rsidP="008754B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Energy Efficiency Law</w:t>
      </w:r>
    </w:p>
    <w:p w14:paraId="73B29251" w14:textId="24A42A7C" w:rsidR="008754B3" w:rsidRPr="003E7A8A" w:rsidRDefault="008754B3" w:rsidP="008754B3">
      <w:pPr>
        <w:spacing w:after="0" w:line="240" w:lineRule="auto"/>
        <w:jc w:val="both"/>
        <w:rPr>
          <w:rFonts w:ascii="Times New Roman" w:eastAsia="Times New Roman" w:hAnsi="Times New Roman" w:cs="Times New Roman"/>
          <w:noProof/>
          <w:sz w:val="24"/>
          <w:szCs w:val="24"/>
          <w:lang w:eastAsia="lv-LV"/>
        </w:rPr>
      </w:pPr>
    </w:p>
    <w:p w14:paraId="48FE90AB" w14:textId="77777777" w:rsidR="008754B3" w:rsidRPr="00D90567" w:rsidRDefault="008754B3" w:rsidP="008754B3">
      <w:pPr>
        <w:spacing w:after="0" w:line="240" w:lineRule="auto"/>
        <w:jc w:val="both"/>
        <w:rPr>
          <w:rFonts w:ascii="Times New Roman" w:eastAsia="Times New Roman" w:hAnsi="Times New Roman" w:cs="Times New Roman"/>
          <w:noProof/>
          <w:sz w:val="24"/>
          <w:szCs w:val="24"/>
          <w:lang w:val="en-US" w:eastAsia="lv-LV"/>
        </w:rPr>
      </w:pPr>
    </w:p>
    <w:p w14:paraId="0BE3630C" w14:textId="464304C7" w:rsidR="00D90567" w:rsidRPr="00426523" w:rsidRDefault="00D90567" w:rsidP="00426523">
      <w:pPr>
        <w:spacing w:after="0" w:line="240" w:lineRule="auto"/>
        <w:jc w:val="center"/>
        <w:rPr>
          <w:rFonts w:ascii="Times New Roman" w:eastAsia="Times New Roman" w:hAnsi="Times New Roman" w:cs="Times New Roman"/>
          <w:b/>
          <w:bCs/>
          <w:noProof/>
          <w:sz w:val="24"/>
          <w:szCs w:val="24"/>
        </w:rPr>
      </w:pPr>
      <w:bookmarkStart w:id="0" w:name="n1"/>
      <w:bookmarkStart w:id="1" w:name="n-583878"/>
      <w:bookmarkEnd w:id="0"/>
      <w:bookmarkEnd w:id="1"/>
      <w:r>
        <w:rPr>
          <w:rFonts w:ascii="Times New Roman" w:hAnsi="Times New Roman"/>
          <w:b/>
          <w:bCs/>
          <w:sz w:val="24"/>
          <w:szCs w:val="24"/>
        </w:rPr>
        <w:t>Chapter I General Provisions</w:t>
      </w:r>
    </w:p>
    <w:p w14:paraId="141B283A" w14:textId="77777777" w:rsidR="00426523" w:rsidRPr="00D90567"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2D5B82AD" w14:textId="77777777"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bookmarkStart w:id="2" w:name="p1"/>
      <w:bookmarkStart w:id="3" w:name="p-583880"/>
      <w:bookmarkEnd w:id="2"/>
      <w:bookmarkEnd w:id="3"/>
      <w:r>
        <w:rPr>
          <w:rFonts w:ascii="Times New Roman" w:hAnsi="Times New Roman"/>
          <w:b/>
          <w:bCs/>
          <w:sz w:val="24"/>
          <w:szCs w:val="24"/>
        </w:rPr>
        <w:t>Section 1. Terms Used in this Law</w:t>
      </w:r>
    </w:p>
    <w:p w14:paraId="4EEC8DC3"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2AB0ECFB" w14:textId="70E2FC0E"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terms are used in this Law:</w:t>
      </w:r>
    </w:p>
    <w:p w14:paraId="6080339F"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b/>
          <w:bCs/>
          <w:sz w:val="24"/>
          <w:szCs w:val="24"/>
        </w:rPr>
        <w:t>obligated party </w:t>
      </w:r>
      <w:r>
        <w:rPr>
          <w:rFonts w:ascii="Times New Roman" w:hAnsi="Times New Roman"/>
          <w:sz w:val="24"/>
          <w:szCs w:val="24"/>
        </w:rPr>
        <w:t xml:space="preserve">– a distribution system operator or an energy retailer to which the State energy efficiency obligation scheme is </w:t>
      </w:r>
      <w:proofErr w:type="gramStart"/>
      <w:r>
        <w:rPr>
          <w:rFonts w:ascii="Times New Roman" w:hAnsi="Times New Roman"/>
          <w:sz w:val="24"/>
          <w:szCs w:val="24"/>
        </w:rPr>
        <w:t>binding;</w:t>
      </w:r>
      <w:proofErr w:type="gramEnd"/>
    </w:p>
    <w:p w14:paraId="31493DD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b/>
          <w:bCs/>
          <w:sz w:val="24"/>
          <w:szCs w:val="24"/>
        </w:rPr>
        <w:t>energy </w:t>
      </w:r>
      <w:r>
        <w:rPr>
          <w:rFonts w:ascii="Times New Roman" w:hAnsi="Times New Roman"/>
          <w:sz w:val="24"/>
          <w:szCs w:val="24"/>
        </w:rPr>
        <w:t xml:space="preserve">– a product with a specific value – fuel, heat, renewable energy, electricity, or any other type of </w:t>
      </w:r>
      <w:proofErr w:type="gramStart"/>
      <w:r>
        <w:rPr>
          <w:rFonts w:ascii="Times New Roman" w:hAnsi="Times New Roman"/>
          <w:sz w:val="24"/>
          <w:szCs w:val="24"/>
        </w:rPr>
        <w:t>energy;</w:t>
      </w:r>
      <w:proofErr w:type="gramEnd"/>
    </w:p>
    <w:p w14:paraId="61D559B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t>
      </w:r>
      <w:r>
        <w:rPr>
          <w:rFonts w:ascii="Times New Roman" w:hAnsi="Times New Roman"/>
          <w:b/>
          <w:bCs/>
          <w:sz w:val="24"/>
          <w:szCs w:val="24"/>
        </w:rPr>
        <w:t>final energy consumption </w:t>
      </w:r>
      <w:r>
        <w:rPr>
          <w:rFonts w:ascii="Times New Roman" w:hAnsi="Times New Roman"/>
          <w:sz w:val="24"/>
          <w:szCs w:val="24"/>
        </w:rPr>
        <w:t xml:space="preserve">– energy consumption in industry, transport, households, services </w:t>
      </w:r>
      <w:proofErr w:type="gramStart"/>
      <w:r>
        <w:rPr>
          <w:rFonts w:ascii="Times New Roman" w:hAnsi="Times New Roman"/>
          <w:sz w:val="24"/>
          <w:szCs w:val="24"/>
        </w:rPr>
        <w:t>sector</w:t>
      </w:r>
      <w:proofErr w:type="gramEnd"/>
      <w:r>
        <w:rPr>
          <w:rFonts w:ascii="Times New Roman" w:hAnsi="Times New Roman"/>
          <w:sz w:val="24"/>
          <w:szCs w:val="24"/>
        </w:rPr>
        <w:t xml:space="preserve"> and agriculture. It does not include energy supply for the transformation sector and the energy sector </w:t>
      </w:r>
      <w:proofErr w:type="gramStart"/>
      <w:r>
        <w:rPr>
          <w:rFonts w:ascii="Times New Roman" w:hAnsi="Times New Roman"/>
          <w:sz w:val="24"/>
          <w:szCs w:val="24"/>
        </w:rPr>
        <w:t>itself;</w:t>
      </w:r>
      <w:proofErr w:type="gramEnd"/>
    </w:p>
    <w:p w14:paraId="50DF6C57"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t>
      </w:r>
      <w:r>
        <w:rPr>
          <w:rFonts w:ascii="Times New Roman" w:hAnsi="Times New Roman"/>
          <w:b/>
          <w:bCs/>
          <w:sz w:val="24"/>
          <w:szCs w:val="24"/>
        </w:rPr>
        <w:t>energy efficiency</w:t>
      </w:r>
      <w:r>
        <w:rPr>
          <w:rFonts w:ascii="Times New Roman" w:hAnsi="Times New Roman"/>
          <w:sz w:val="24"/>
          <w:szCs w:val="24"/>
        </w:rPr>
        <w:t xml:space="preserve"> – the efficiency level of the use of energy resources manifested as a proportion of the type, quality and quantity of a final product, and the consumption of energy </w:t>
      </w:r>
      <w:proofErr w:type="gramStart"/>
      <w:r>
        <w:rPr>
          <w:rFonts w:ascii="Times New Roman" w:hAnsi="Times New Roman"/>
          <w:sz w:val="24"/>
          <w:szCs w:val="24"/>
        </w:rPr>
        <w:t>resources;</w:t>
      </w:r>
      <w:proofErr w:type="gramEnd"/>
    </w:p>
    <w:p w14:paraId="264C1B8D"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t>
      </w:r>
      <w:r>
        <w:rPr>
          <w:rFonts w:ascii="Times New Roman" w:hAnsi="Times New Roman"/>
          <w:b/>
          <w:bCs/>
          <w:sz w:val="24"/>
          <w:szCs w:val="24"/>
        </w:rPr>
        <w:t>energy efficiency improvement </w:t>
      </w:r>
      <w:r>
        <w:rPr>
          <w:rFonts w:ascii="Times New Roman" w:hAnsi="Times New Roman"/>
          <w:sz w:val="24"/>
          <w:szCs w:val="24"/>
        </w:rPr>
        <w:t xml:space="preserve">– increase in energy efficiency as a result of technological measures, actions or operational activities of final </w:t>
      </w:r>
      <w:proofErr w:type="gramStart"/>
      <w:r>
        <w:rPr>
          <w:rFonts w:ascii="Times New Roman" w:hAnsi="Times New Roman"/>
          <w:sz w:val="24"/>
          <w:szCs w:val="24"/>
        </w:rPr>
        <w:t>customers;</w:t>
      </w:r>
      <w:proofErr w:type="gramEnd"/>
    </w:p>
    <w:p w14:paraId="50C9B0CF"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w:t>
      </w:r>
      <w:r>
        <w:rPr>
          <w:rFonts w:ascii="Times New Roman" w:hAnsi="Times New Roman"/>
          <w:b/>
          <w:bCs/>
          <w:sz w:val="24"/>
          <w:szCs w:val="24"/>
        </w:rPr>
        <w:t>energy efficiency improvement measures </w:t>
      </w:r>
      <w:r>
        <w:rPr>
          <w:rFonts w:ascii="Times New Roman" w:hAnsi="Times New Roman"/>
          <w:sz w:val="24"/>
          <w:szCs w:val="24"/>
        </w:rPr>
        <w:t xml:space="preserve">– such activities as a result of which verifiable and measurable or estimable energy efficiency improvement is </w:t>
      </w:r>
      <w:proofErr w:type="gramStart"/>
      <w:r>
        <w:rPr>
          <w:rFonts w:ascii="Times New Roman" w:hAnsi="Times New Roman"/>
          <w:sz w:val="24"/>
          <w:szCs w:val="24"/>
        </w:rPr>
        <w:t>achieved;</w:t>
      </w:r>
      <w:proofErr w:type="gramEnd"/>
    </w:p>
    <w:p w14:paraId="6490E51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w:t>
      </w:r>
      <w:r>
        <w:rPr>
          <w:rFonts w:ascii="Times New Roman" w:hAnsi="Times New Roman"/>
          <w:b/>
          <w:bCs/>
          <w:sz w:val="24"/>
          <w:szCs w:val="24"/>
        </w:rPr>
        <w:t>energy savings </w:t>
      </w:r>
      <w:r>
        <w:rPr>
          <w:rFonts w:ascii="Times New Roman" w:hAnsi="Times New Roman"/>
          <w:sz w:val="24"/>
          <w:szCs w:val="24"/>
        </w:rPr>
        <w:t xml:space="preserve">– the amount of saved energy determined by measuring or estimating consumption before and after implementation of one or more energy efficiency improvement </w:t>
      </w:r>
      <w:proofErr w:type="gramStart"/>
      <w:r>
        <w:rPr>
          <w:rFonts w:ascii="Times New Roman" w:hAnsi="Times New Roman"/>
          <w:sz w:val="24"/>
          <w:szCs w:val="24"/>
        </w:rPr>
        <w:t>measures;</w:t>
      </w:r>
      <w:proofErr w:type="gramEnd"/>
    </w:p>
    <w:p w14:paraId="25B09E49"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w:t>
      </w:r>
      <w:r>
        <w:rPr>
          <w:rFonts w:ascii="Times New Roman" w:hAnsi="Times New Roman"/>
          <w:b/>
          <w:bCs/>
          <w:sz w:val="24"/>
          <w:szCs w:val="24"/>
        </w:rPr>
        <w:t>energy audit </w:t>
      </w:r>
      <w:r>
        <w:rPr>
          <w:rFonts w:ascii="Times New Roman" w:hAnsi="Times New Roman"/>
          <w:sz w:val="24"/>
          <w:szCs w:val="24"/>
        </w:rPr>
        <w:t xml:space="preserve">– activities performed to obtain information regarding energy consumption in buildings or groups of buildings, in processes or equipment, as well as to identify and evaluate cost-effective energy savings opportunities, and the results of which are summarised in a </w:t>
      </w:r>
      <w:proofErr w:type="gramStart"/>
      <w:r>
        <w:rPr>
          <w:rFonts w:ascii="Times New Roman" w:hAnsi="Times New Roman"/>
          <w:sz w:val="24"/>
          <w:szCs w:val="24"/>
        </w:rPr>
        <w:t>report;</w:t>
      </w:r>
      <w:proofErr w:type="gramEnd"/>
    </w:p>
    <w:p w14:paraId="03B51996"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w:t>
      </w:r>
      <w:r>
        <w:rPr>
          <w:rFonts w:ascii="Times New Roman" w:hAnsi="Times New Roman"/>
          <w:b/>
          <w:bCs/>
          <w:sz w:val="24"/>
          <w:szCs w:val="24"/>
        </w:rPr>
        <w:t>energy management system </w:t>
      </w:r>
      <w:r>
        <w:rPr>
          <w:rFonts w:ascii="Times New Roman" w:hAnsi="Times New Roman"/>
          <w:sz w:val="24"/>
          <w:szCs w:val="24"/>
        </w:rPr>
        <w:t xml:space="preserve">– a set of related processes, establishing an action plan and setting energy efficiency targets, as well as the procedures to achieve these </w:t>
      </w:r>
      <w:proofErr w:type="gramStart"/>
      <w:r>
        <w:rPr>
          <w:rFonts w:ascii="Times New Roman" w:hAnsi="Times New Roman"/>
          <w:sz w:val="24"/>
          <w:szCs w:val="24"/>
        </w:rPr>
        <w:t>targets;</w:t>
      </w:r>
      <w:proofErr w:type="gramEnd"/>
    </w:p>
    <w:p w14:paraId="55A33268"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w:t>
      </w:r>
      <w:r>
        <w:rPr>
          <w:rFonts w:ascii="Times New Roman" w:hAnsi="Times New Roman"/>
          <w:b/>
          <w:bCs/>
          <w:sz w:val="24"/>
          <w:szCs w:val="24"/>
        </w:rPr>
        <w:t>energy retailer </w:t>
      </w:r>
      <w:r>
        <w:rPr>
          <w:rFonts w:ascii="Times New Roman" w:hAnsi="Times New Roman"/>
          <w:sz w:val="24"/>
          <w:szCs w:val="24"/>
        </w:rPr>
        <w:t xml:space="preserve">– an economic operator who sells energy to final </w:t>
      </w:r>
      <w:proofErr w:type="gramStart"/>
      <w:r>
        <w:rPr>
          <w:rFonts w:ascii="Times New Roman" w:hAnsi="Times New Roman"/>
          <w:sz w:val="24"/>
          <w:szCs w:val="24"/>
        </w:rPr>
        <w:t>customers;</w:t>
      </w:r>
      <w:proofErr w:type="gramEnd"/>
    </w:p>
    <w:p w14:paraId="70D1B258"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t>
      </w:r>
      <w:r>
        <w:rPr>
          <w:rFonts w:ascii="Times New Roman" w:hAnsi="Times New Roman"/>
          <w:b/>
          <w:bCs/>
          <w:sz w:val="24"/>
          <w:szCs w:val="24"/>
        </w:rPr>
        <w:t>energy-efficiency policy measure </w:t>
      </w:r>
      <w:r>
        <w:rPr>
          <w:rFonts w:ascii="Times New Roman" w:hAnsi="Times New Roman"/>
          <w:sz w:val="24"/>
          <w:szCs w:val="24"/>
        </w:rPr>
        <w:t>– a regulatory or voluntary financial, fiscal or information provision tool that has been established and is being implemented to establish a support system, requirement or incentive for market participants to provide and purchase energy efficiency services and to implement other energy efficiency improvement measures;</w:t>
      </w:r>
    </w:p>
    <w:p w14:paraId="37B3CFC2"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t>
      </w:r>
      <w:r>
        <w:rPr>
          <w:rFonts w:ascii="Times New Roman" w:hAnsi="Times New Roman"/>
          <w:b/>
          <w:bCs/>
          <w:sz w:val="24"/>
          <w:szCs w:val="24"/>
        </w:rPr>
        <w:t>primary energy consumption </w:t>
      </w:r>
      <w:r>
        <w:rPr>
          <w:rFonts w:ascii="Times New Roman" w:hAnsi="Times New Roman"/>
          <w:sz w:val="24"/>
          <w:szCs w:val="24"/>
        </w:rPr>
        <w:t>– energy consumption in the transformation sector, energy sector, all sectors of the national economy and households, not including energy resources, which are used as raw material in different sectors and are not consumed as a fuel or transformed into another type of fuel;</w:t>
      </w:r>
    </w:p>
    <w:p w14:paraId="08360DA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w:t>
      </w:r>
      <w:r>
        <w:rPr>
          <w:rFonts w:ascii="Times New Roman" w:hAnsi="Times New Roman"/>
          <w:b/>
          <w:bCs/>
          <w:sz w:val="24"/>
          <w:szCs w:val="24"/>
        </w:rPr>
        <w:t>smart meter for the commercial accounting of energy (the metering system) </w:t>
      </w:r>
      <w:r>
        <w:rPr>
          <w:rFonts w:ascii="Times New Roman" w:hAnsi="Times New Roman"/>
          <w:sz w:val="24"/>
          <w:szCs w:val="24"/>
        </w:rPr>
        <w:t>– an electronic device (electronic system) used to measure and monitor energy consumption, as well as transmit and receive data using electronic communication.</w:t>
      </w:r>
    </w:p>
    <w:p w14:paraId="1CB5D69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Other terms in this Law are used within the meaning of the Energy Law.</w:t>
      </w:r>
    </w:p>
    <w:p w14:paraId="6C1D658B"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4" w:name="p2"/>
      <w:bookmarkStart w:id="5" w:name="p-583883"/>
      <w:bookmarkEnd w:id="4"/>
      <w:bookmarkEnd w:id="5"/>
    </w:p>
    <w:p w14:paraId="06F75247" w14:textId="7B50F6EA"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69E02031"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591C3054" w14:textId="3ECD6D1F"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The purpose of this Law is rational use and management of energy resources to promote sustainable development of the national economy and limit climate change.</w:t>
      </w:r>
    </w:p>
    <w:p w14:paraId="3DF6ACA3"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6" w:name="p3"/>
      <w:bookmarkStart w:id="7" w:name="p-583884"/>
      <w:bookmarkEnd w:id="6"/>
      <w:bookmarkEnd w:id="7"/>
    </w:p>
    <w:p w14:paraId="2976EBBF" w14:textId="3378D7AC"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the Application of this Law</w:t>
      </w:r>
    </w:p>
    <w:p w14:paraId="18DDD579"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523EC112" w14:textId="3B49CA2C"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prescribes:</w:t>
      </w:r>
    </w:p>
    <w:p w14:paraId="4C81C2B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energy efficiency planning and monitoring </w:t>
      </w:r>
      <w:proofErr w:type="gramStart"/>
      <w:r>
        <w:rPr>
          <w:rFonts w:ascii="Times New Roman" w:hAnsi="Times New Roman"/>
          <w:sz w:val="24"/>
          <w:szCs w:val="24"/>
        </w:rPr>
        <w:t>requirements;</w:t>
      </w:r>
      <w:proofErr w:type="gramEnd"/>
    </w:p>
    <w:p w14:paraId="2917543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tasks of the ministry responsible for the achievement of the energy efficiency </w:t>
      </w:r>
      <w:proofErr w:type="gramStart"/>
      <w:r>
        <w:rPr>
          <w:rFonts w:ascii="Times New Roman" w:hAnsi="Times New Roman"/>
          <w:sz w:val="24"/>
          <w:szCs w:val="24"/>
        </w:rPr>
        <w:t>targets;</w:t>
      </w:r>
      <w:proofErr w:type="gramEnd"/>
    </w:p>
    <w:p w14:paraId="7F05F61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action of the State and local governments for the achievement of the energy efficiency </w:t>
      </w:r>
      <w:proofErr w:type="gramStart"/>
      <w:r>
        <w:rPr>
          <w:rFonts w:ascii="Times New Roman" w:hAnsi="Times New Roman"/>
          <w:sz w:val="24"/>
          <w:szCs w:val="24"/>
        </w:rPr>
        <w:t>targets;</w:t>
      </w:r>
      <w:proofErr w:type="gramEnd"/>
    </w:p>
    <w:p w14:paraId="22BE3708"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tasks of the obligated </w:t>
      </w:r>
      <w:proofErr w:type="gramStart"/>
      <w:r>
        <w:rPr>
          <w:rFonts w:ascii="Times New Roman" w:hAnsi="Times New Roman"/>
          <w:sz w:val="24"/>
          <w:szCs w:val="24"/>
        </w:rPr>
        <w:t>party;</w:t>
      </w:r>
      <w:proofErr w:type="gramEnd"/>
    </w:p>
    <w:p w14:paraId="7651F8C2"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requirements for energy </w:t>
      </w:r>
      <w:proofErr w:type="gramStart"/>
      <w:r>
        <w:rPr>
          <w:rFonts w:ascii="Times New Roman" w:hAnsi="Times New Roman"/>
          <w:sz w:val="24"/>
          <w:szCs w:val="24"/>
        </w:rPr>
        <w:t>auditing;</w:t>
      </w:r>
      <w:proofErr w:type="gramEnd"/>
    </w:p>
    <w:p w14:paraId="41C115ED"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efficiency conditions for energy production, transmission and </w:t>
      </w:r>
      <w:proofErr w:type="gramStart"/>
      <w:r>
        <w:rPr>
          <w:rFonts w:ascii="Times New Roman" w:hAnsi="Times New Roman"/>
          <w:sz w:val="24"/>
          <w:szCs w:val="24"/>
        </w:rPr>
        <w:t>distribution;</w:t>
      </w:r>
      <w:proofErr w:type="gramEnd"/>
    </w:p>
    <w:p w14:paraId="2772EADC"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measures for the development of the energy efficiency services </w:t>
      </w:r>
      <w:proofErr w:type="gramStart"/>
      <w:r>
        <w:rPr>
          <w:rFonts w:ascii="Times New Roman" w:hAnsi="Times New Roman"/>
          <w:sz w:val="24"/>
          <w:szCs w:val="24"/>
        </w:rPr>
        <w:t>market;</w:t>
      </w:r>
      <w:proofErr w:type="gramEnd"/>
    </w:p>
    <w:p w14:paraId="7EA8B18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liability for the failure to fulfil the requirements of this Law.</w:t>
      </w:r>
    </w:p>
    <w:p w14:paraId="33626763"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8" w:name="n2"/>
      <w:bookmarkStart w:id="9" w:name="n-583885"/>
      <w:bookmarkEnd w:id="8"/>
      <w:bookmarkEnd w:id="9"/>
    </w:p>
    <w:p w14:paraId="28AF0C9E" w14:textId="79B517E3" w:rsidR="00D90567" w:rsidRPr="00D90567" w:rsidRDefault="00D90567" w:rsidP="004265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 Planning and Monitoring of an Energy Efficiency Policy in the State and Local Government Sector</w:t>
      </w:r>
    </w:p>
    <w:p w14:paraId="64A2439D"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10" w:name="p4"/>
      <w:bookmarkStart w:id="11" w:name="p-710954"/>
      <w:bookmarkEnd w:id="10"/>
      <w:bookmarkEnd w:id="11"/>
    </w:p>
    <w:p w14:paraId="5E83C005" w14:textId="6125079F"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Tasks of the Responsible Ministry</w:t>
      </w:r>
    </w:p>
    <w:p w14:paraId="2C517DB8"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7F6A699D" w14:textId="4008CA9B"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Economics (hereinafter – the responsible ministry) shall be responsible for the implementation of the energy policy.</w:t>
      </w:r>
    </w:p>
    <w:p w14:paraId="3062982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responsible ministry shall develop the State energy efficiency action plan for the achievement of the State energy efficiency targets and analyse the progress of its implementation and achievement of the State energy efficiency targets.</w:t>
      </w:r>
    </w:p>
    <w:p w14:paraId="5174149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responsible ministry shall determine the final energy consumption savings target and develop the energy efficiency policy measure plan for achieving it. The plan shall provide deadlines for the implementation of the measures, the responsible </w:t>
      </w:r>
      <w:proofErr w:type="gramStart"/>
      <w:r>
        <w:rPr>
          <w:rFonts w:ascii="Times New Roman" w:hAnsi="Times New Roman"/>
          <w:sz w:val="24"/>
          <w:szCs w:val="24"/>
        </w:rPr>
        <w:t>institutions</w:t>
      </w:r>
      <w:proofErr w:type="gramEnd"/>
      <w:r>
        <w:rPr>
          <w:rFonts w:ascii="Times New Roman" w:hAnsi="Times New Roman"/>
          <w:sz w:val="24"/>
          <w:szCs w:val="24"/>
        </w:rPr>
        <w:t xml:space="preserve"> and sources of financing, as well as determine the calculated annual final energy consumption savings.</w:t>
      </w:r>
    </w:p>
    <w:p w14:paraId="6D45D6F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[14 November 2019]</w:t>
      </w:r>
    </w:p>
    <w:p w14:paraId="2B53B45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Each year, by 30 April, the responsible ministry shall submit to the European Commission a report on the progress of achieving the State energy efficiency targets.</w:t>
      </w:r>
    </w:p>
    <w:p w14:paraId="453A50E3"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responsible ministry shall elaborate measures to promote efficient use of energy in households and by other consumers, and shall provide the following information on its website:</w:t>
      </w:r>
    </w:p>
    <w:p w14:paraId="693DE1CA"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on energy efficiency improvement measures aimed at changing the behaviour of final customers to improve energy </w:t>
      </w:r>
      <w:proofErr w:type="gramStart"/>
      <w:r>
        <w:rPr>
          <w:rFonts w:ascii="Times New Roman" w:hAnsi="Times New Roman"/>
          <w:sz w:val="24"/>
          <w:szCs w:val="24"/>
        </w:rPr>
        <w:t>efficiency;</w:t>
      </w:r>
      <w:proofErr w:type="gramEnd"/>
    </w:p>
    <w:p w14:paraId="060BED9C"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on support programmes and other fiscal incentives for the improvement of energy </w:t>
      </w:r>
      <w:proofErr w:type="gramStart"/>
      <w:r>
        <w:rPr>
          <w:rFonts w:ascii="Times New Roman" w:hAnsi="Times New Roman"/>
          <w:sz w:val="24"/>
          <w:szCs w:val="24"/>
        </w:rPr>
        <w:t>efficiency;</w:t>
      </w:r>
      <w:proofErr w:type="gramEnd"/>
    </w:p>
    <w:p w14:paraId="12A72A6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on cost-effective, easy to implement changes for more efficient use of </w:t>
      </w:r>
      <w:proofErr w:type="gramStart"/>
      <w:r>
        <w:rPr>
          <w:rFonts w:ascii="Times New Roman" w:hAnsi="Times New Roman"/>
          <w:sz w:val="24"/>
          <w:szCs w:val="24"/>
        </w:rPr>
        <w:t>energy;</w:t>
      </w:r>
      <w:proofErr w:type="gramEnd"/>
    </w:p>
    <w:p w14:paraId="3211814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on the involvement of credit institutions in the financing of energy efficiency policy </w:t>
      </w:r>
      <w:proofErr w:type="gramStart"/>
      <w:r>
        <w:rPr>
          <w:rFonts w:ascii="Times New Roman" w:hAnsi="Times New Roman"/>
          <w:sz w:val="24"/>
          <w:szCs w:val="24"/>
        </w:rPr>
        <w:t>measures;</w:t>
      </w:r>
      <w:proofErr w:type="gramEnd"/>
    </w:p>
    <w:p w14:paraId="6498BFC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[14 November 2019</w:t>
      </w:r>
      <w:proofErr w:type="gramStart"/>
      <w:r>
        <w:rPr>
          <w:rFonts w:ascii="Times New Roman" w:hAnsi="Times New Roman"/>
          <w:sz w:val="24"/>
          <w:szCs w:val="24"/>
        </w:rPr>
        <w:t>];</w:t>
      </w:r>
      <w:proofErr w:type="gramEnd"/>
    </w:p>
    <w:p w14:paraId="530135D7"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[14 November 2019</w:t>
      </w:r>
      <w:proofErr w:type="gramStart"/>
      <w:r>
        <w:rPr>
          <w:rFonts w:ascii="Times New Roman" w:hAnsi="Times New Roman"/>
          <w:sz w:val="24"/>
          <w:szCs w:val="24"/>
        </w:rPr>
        <w:t>];</w:t>
      </w:r>
      <w:proofErr w:type="gramEnd"/>
    </w:p>
    <w:p w14:paraId="707B541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[14 November 2019</w:t>
      </w:r>
      <w:proofErr w:type="gramStart"/>
      <w:r>
        <w:rPr>
          <w:rFonts w:ascii="Times New Roman" w:hAnsi="Times New Roman"/>
          <w:sz w:val="24"/>
          <w:szCs w:val="24"/>
        </w:rPr>
        <w:t>];</w:t>
      </w:r>
      <w:proofErr w:type="gramEnd"/>
    </w:p>
    <w:p w14:paraId="4654FDA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[14 November 2019].</w:t>
      </w:r>
    </w:p>
    <w:p w14:paraId="45938B5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[14 November 2019]</w:t>
      </w:r>
    </w:p>
    <w:p w14:paraId="48547D3D"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2019</w:t>
      </w:r>
      <w:r>
        <w:rPr>
          <w:rFonts w:ascii="Times New Roman" w:hAnsi="Times New Roman"/>
          <w:sz w:val="24"/>
          <w:szCs w:val="24"/>
        </w:rPr>
        <w:t>]</w:t>
      </w:r>
    </w:p>
    <w:p w14:paraId="0FD1F050"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12" w:name="p4.1"/>
      <w:bookmarkStart w:id="13" w:name="p-710955"/>
      <w:bookmarkEnd w:id="12"/>
      <w:bookmarkEnd w:id="13"/>
    </w:p>
    <w:p w14:paraId="6C556CB1" w14:textId="5002A071"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1</w:t>
      </w:r>
      <w:r>
        <w:rPr>
          <w:rFonts w:ascii="Times New Roman" w:hAnsi="Times New Roman"/>
          <w:b/>
          <w:bCs/>
          <w:sz w:val="24"/>
          <w:szCs w:val="24"/>
        </w:rPr>
        <w:t xml:space="preserve"> Tasks of the Responsible Institution</w:t>
      </w:r>
    </w:p>
    <w:p w14:paraId="15EBAF11"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2437B2D8" w14:textId="03FCD7B3"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Construction Control Bureau (hereinafter – the responsible institution) shall collect and, each year by 1 March, submit to the responsible ministry information regarding the energy efficiency policy measures implemented in the State and the resulting energy savings.</w:t>
      </w:r>
    </w:p>
    <w:p w14:paraId="07D4DBB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responsible institution shall inform of the following on its website:</w:t>
      </w:r>
    </w:p>
    <w:p w14:paraId="0BFDCDC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opportunities to introduce energy auditing and energy management systems at the final consumers, including small and medium-sized enterprises, and in the State and local government </w:t>
      </w:r>
      <w:proofErr w:type="gramStart"/>
      <w:r>
        <w:rPr>
          <w:rFonts w:ascii="Times New Roman" w:hAnsi="Times New Roman"/>
          <w:sz w:val="24"/>
          <w:szCs w:val="24"/>
        </w:rPr>
        <w:t>sector;</w:t>
      </w:r>
      <w:proofErr w:type="gramEnd"/>
    </w:p>
    <w:p w14:paraId="22CB2986"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opportunities for the activities of independent intermediaries (renewal project managers) in the energy efficiency services </w:t>
      </w:r>
      <w:proofErr w:type="gramStart"/>
      <w:r>
        <w:rPr>
          <w:rFonts w:ascii="Times New Roman" w:hAnsi="Times New Roman"/>
          <w:sz w:val="24"/>
          <w:szCs w:val="24"/>
        </w:rPr>
        <w:t>market;</w:t>
      </w:r>
      <w:proofErr w:type="gramEnd"/>
    </w:p>
    <w:p w14:paraId="6704CD4C"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sources of financing available for energy efficiency service </w:t>
      </w:r>
      <w:proofErr w:type="gramStart"/>
      <w:r>
        <w:rPr>
          <w:rFonts w:ascii="Times New Roman" w:hAnsi="Times New Roman"/>
          <w:sz w:val="24"/>
          <w:szCs w:val="24"/>
        </w:rPr>
        <w:t>providers;</w:t>
      </w:r>
      <w:proofErr w:type="gramEnd"/>
    </w:p>
    <w:p w14:paraId="3E44D1B9"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local governments and State institutions which have introduced the energy management system, by publishing and regularly updating a relevant list.</w:t>
      </w:r>
    </w:p>
    <w:p w14:paraId="712E7C5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responsible institution shall publish the following on its website:</w:t>
      </w:r>
    </w:p>
    <w:p w14:paraId="1F66445F"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methodological recommendations for the introduction of the energy management </w:t>
      </w:r>
      <w:proofErr w:type="gramStart"/>
      <w:r>
        <w:rPr>
          <w:rFonts w:ascii="Times New Roman" w:hAnsi="Times New Roman"/>
          <w:sz w:val="24"/>
          <w:szCs w:val="24"/>
        </w:rPr>
        <w:t>system;</w:t>
      </w:r>
      <w:proofErr w:type="gramEnd"/>
    </w:p>
    <w:p w14:paraId="3159ADBB"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methodological recommendations for the elaboration of an energy efficiency service </w:t>
      </w:r>
      <w:proofErr w:type="gramStart"/>
      <w:r>
        <w:rPr>
          <w:rFonts w:ascii="Times New Roman" w:hAnsi="Times New Roman"/>
          <w:sz w:val="24"/>
          <w:szCs w:val="24"/>
        </w:rPr>
        <w:t>contract;</w:t>
      </w:r>
      <w:proofErr w:type="gramEnd"/>
    </w:p>
    <w:p w14:paraId="586AA1C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a model energy efficiency service contract for the public </w:t>
      </w:r>
      <w:proofErr w:type="gramStart"/>
      <w:r>
        <w:rPr>
          <w:rFonts w:ascii="Times New Roman" w:hAnsi="Times New Roman"/>
          <w:sz w:val="24"/>
          <w:szCs w:val="24"/>
        </w:rPr>
        <w:t>sector;</w:t>
      </w:r>
      <w:proofErr w:type="gramEnd"/>
    </w:p>
    <w:p w14:paraId="0DCCDD4F"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report on the best practice summary – the energy efficiency improvement measures implemented, including energy efficiency service contracts.</w:t>
      </w:r>
    </w:p>
    <w:p w14:paraId="0752D1E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2019</w:t>
      </w:r>
      <w:r>
        <w:rPr>
          <w:rFonts w:ascii="Times New Roman" w:hAnsi="Times New Roman"/>
          <w:sz w:val="24"/>
          <w:szCs w:val="24"/>
        </w:rPr>
        <w:t>]</w:t>
      </w:r>
    </w:p>
    <w:p w14:paraId="4BD71C38"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14" w:name="p5"/>
      <w:bookmarkStart w:id="15" w:name="p-734377"/>
      <w:bookmarkEnd w:id="14"/>
      <w:bookmarkEnd w:id="15"/>
    </w:p>
    <w:p w14:paraId="0F4B5939" w14:textId="220F9BC2"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Rights and Obligations of State Institutions and Local Governments</w:t>
      </w:r>
    </w:p>
    <w:p w14:paraId="5AE643D8"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58AA8C10" w14:textId="166279C5"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institutions and local governments have the right to:</w:t>
      </w:r>
    </w:p>
    <w:p w14:paraId="21CC3009"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develop and adopt an energy efficiency plan as a separate document or as a component of the spatial development programme of a local government, which includes energy efficiency targets and </w:t>
      </w:r>
      <w:proofErr w:type="gramStart"/>
      <w:r>
        <w:rPr>
          <w:rFonts w:ascii="Times New Roman" w:hAnsi="Times New Roman"/>
          <w:sz w:val="24"/>
          <w:szCs w:val="24"/>
        </w:rPr>
        <w:t>measures;</w:t>
      </w:r>
      <w:proofErr w:type="gramEnd"/>
    </w:p>
    <w:p w14:paraId="315B842A"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separately or as a component of the implementation of its energy efficiency plan to introduce the energy management </w:t>
      </w:r>
      <w:proofErr w:type="gramStart"/>
      <w:r>
        <w:rPr>
          <w:rFonts w:ascii="Times New Roman" w:hAnsi="Times New Roman"/>
          <w:sz w:val="24"/>
          <w:szCs w:val="24"/>
        </w:rPr>
        <w:t>system;</w:t>
      </w:r>
      <w:proofErr w:type="gramEnd"/>
    </w:p>
    <w:p w14:paraId="1EEA1042"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use the energy efficiency services and </w:t>
      </w:r>
      <w:proofErr w:type="gramStart"/>
      <w:r>
        <w:rPr>
          <w:rFonts w:ascii="Times New Roman" w:hAnsi="Times New Roman"/>
          <w:sz w:val="24"/>
          <w:szCs w:val="24"/>
        </w:rPr>
        <w:t>enter into</w:t>
      </w:r>
      <w:proofErr w:type="gramEnd"/>
      <w:r>
        <w:rPr>
          <w:rFonts w:ascii="Times New Roman" w:hAnsi="Times New Roman"/>
          <w:sz w:val="24"/>
          <w:szCs w:val="24"/>
        </w:rPr>
        <w:t xml:space="preserve"> energy efficiency service contracts for the implementation of energy efficiency improvement measures.</w:t>
      </w:r>
    </w:p>
    <w:p w14:paraId="147E7504"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Local governments of the cities shall introduce a certified energy management system.</w:t>
      </w:r>
    </w:p>
    <w:p w14:paraId="525BE76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Local governments of municipalities, the territory development index of which is 0.5 or more and the number of population is 10 000 or more, and State direct administration institutions in the ownership or possession of which there are buildings with the total heated area of 10 000 square metres or more shall introduce an energy management system. Local governments of municipalities and State direct administration institutions shall introduce the respective system within one year from the date of occurrence of the said conditions.</w:t>
      </w:r>
    </w:p>
    <w:p w14:paraId="2AC9492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by which a State institution or a local government shall report on the introduction of an energy management system, reporting time limits, the content of the report and the documents to be appended thereto, as well as the procedures by which the introduction of an energy management system shall be verified and approved, shall be determined by the Cabinet.</w:t>
      </w:r>
    </w:p>
    <w:p w14:paraId="07089592"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A State institution or a local government which has introduced an energy management system shall each year inform the responsible institution of the energy savings acquired </w:t>
      </w:r>
      <w:proofErr w:type="gramStart"/>
      <w:r>
        <w:rPr>
          <w:rFonts w:ascii="Times New Roman" w:hAnsi="Times New Roman"/>
          <w:sz w:val="24"/>
          <w:szCs w:val="24"/>
        </w:rPr>
        <w:t>as a result of</w:t>
      </w:r>
      <w:proofErr w:type="gramEnd"/>
      <w:r>
        <w:rPr>
          <w:rFonts w:ascii="Times New Roman" w:hAnsi="Times New Roman"/>
          <w:sz w:val="24"/>
          <w:szCs w:val="24"/>
        </w:rPr>
        <w:t xml:space="preserve"> the operation of the energy management system. The procedures by which a State institution or a local government shall report on the achieved energy savings after an energy management system has been introduced shall be determined by the Cabinet.</w:t>
      </w:r>
    </w:p>
    <w:p w14:paraId="6F5EB63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evaluating the projects which will be fully or partially implemented by using payments from the State budget, State guarantees, loan interest rate subsidies, or other financial assistance that has been granted or provided from the State or European Union budget funds and foreign financial assistance funds for State institutions and local governments which have introduced an energy management system, the maximum number of points to be obtained according to the quality evaluation criteria shall be increased in accordance with the procedures laid down in the law or regulation regarding granting of the respective financing.</w:t>
      </w:r>
    </w:p>
    <w:p w14:paraId="1F80397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 30 April 2020</w:t>
      </w:r>
      <w:r>
        <w:rPr>
          <w:rFonts w:ascii="Times New Roman" w:hAnsi="Times New Roman"/>
          <w:sz w:val="24"/>
          <w:szCs w:val="24"/>
        </w:rPr>
        <w:t>]</w:t>
      </w:r>
    </w:p>
    <w:p w14:paraId="0B3CA7B1"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16" w:name="n3"/>
      <w:bookmarkStart w:id="17" w:name="n-583888"/>
      <w:bookmarkEnd w:id="16"/>
      <w:bookmarkEnd w:id="17"/>
    </w:p>
    <w:p w14:paraId="15293E9C" w14:textId="244BCE78" w:rsidR="00D90567" w:rsidRPr="00D90567" w:rsidRDefault="00D90567" w:rsidP="004265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 Energy Efficiency Improvement Measures</w:t>
      </w:r>
    </w:p>
    <w:p w14:paraId="7DD1A7A3"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18" w:name="p6"/>
      <w:bookmarkStart w:id="19" w:name="p-734378"/>
      <w:bookmarkEnd w:id="18"/>
      <w:bookmarkEnd w:id="19"/>
    </w:p>
    <w:p w14:paraId="6A5398DF" w14:textId="30F9E4F7"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Energy Efficiency Obligation Scheme</w:t>
      </w:r>
    </w:p>
    <w:p w14:paraId="320DF408"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241C97AD" w14:textId="6F1920D8"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mandatory final energy consumption savings target shall be achieved by the State or local government implementing energy efficiency policy measures in the final consumption or energy efficiency obligation scheme, or a simultaneous combination of </w:t>
      </w:r>
      <w:proofErr w:type="gramStart"/>
      <w:r>
        <w:rPr>
          <w:rFonts w:ascii="Times New Roman" w:hAnsi="Times New Roman"/>
          <w:sz w:val="24"/>
          <w:szCs w:val="24"/>
        </w:rPr>
        <w:t>both of the above-mentioned</w:t>
      </w:r>
      <w:proofErr w:type="gramEnd"/>
      <w:r>
        <w:rPr>
          <w:rFonts w:ascii="Times New Roman" w:hAnsi="Times New Roman"/>
          <w:sz w:val="24"/>
          <w:szCs w:val="24"/>
        </w:rPr>
        <w:t xml:space="preserve"> options.</w:t>
      </w:r>
    </w:p>
    <w:p w14:paraId="77F39A9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goal for the establishment of the energy efficiency obligation scheme is to achieve the State mandatory final energy consumption savings target. Energy distribution and energy retail economic operators shall be the obligated parties of the energy efficiency obligation scheme. The sectors to be included in the energy efficiency obligation scheme, the criteria for the selection of the obligated parties, the scope of duties of the obligated parties in breakdown by years and the methodology for determining thereof, the scope of savings obtained as a result of energy efficiency policy measures, as well as the verification system of the achieved energy savings shall be determined by the Cabinet.</w:t>
      </w:r>
    </w:p>
    <w:p w14:paraId="577D9AE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energy efficiency obligation scheme shall be administered by the responsible institution. The obligated parties of the energy efficiency obligation scheme shall, by 31 December 2020, achieve the part of the mandatory final energy consumption savings target in accordance with the breakdown by years referred to in Paragraph two of this Section.</w:t>
      </w:r>
    </w:p>
    <w:p w14:paraId="08AC248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part of the mandatory final energy consumption savings target of the energy efficiency obligation scheme to be achieved by the obligated parties shall be reduced in accordance with the final energy consumption savings achieved as a result of the measures implemented by the State and local governments.</w:t>
      </w:r>
    </w:p>
    <w:p w14:paraId="4F0200A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obligated party shall report each year to the responsible institution on the achieved energy savings. The reporting procedure shall be determined by the Cabinet.</w:t>
      </w:r>
    </w:p>
    <w:p w14:paraId="1ADF9D3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Costs incurred by the obligated party due to energy efficiency improvement measures at the final customer after the implementation thereof or the contribution to the State or local government Energy Efficiency Fund referred to in Paragraph eight of this Section may be included in the payment for energy in accordance with the Cabinet Regulation. If the obligated party and the final customer have agreed on the implementation of the energy efficiency improvement measures and cost recovery, such costs incurred by the obligated party due to the energy efficiency improvement measures at the final customer after their implementation shall not be included in the tariffs, but may be included in the charge for energy.</w:t>
      </w:r>
    </w:p>
    <w:p w14:paraId="0F9F610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procedures, by which the costs of energy efficiency improvement measures referred to in Paragraph six of this Section after their implementation and payment to the State or local government Energy Efficiency Fund shall be distributed between final customers and their method of payment, shall be determined by the Cabinet.</w:t>
      </w:r>
    </w:p>
    <w:p w14:paraId="705A5B2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obligated party may fulfil its obligation, by making contributions at their own discretion in the State or local government Energy Efficiency Fund in accordance with the scope of final energy consumption savings obligation determined for it (hereinafter – the scope of obligation). The scope of obligation determined for the obligated party shall be reduced in proportion to the amount of contributions made. The State or local government, in the fund of which the obligated party has paid its contribution, shall ensure energy savings in accordance with the scope of obligation of the obligated party, for which the contribution had been made. The payment procedure and the amount of the contributions shall be determined by the Cabinet.</w:t>
      </w:r>
    </w:p>
    <w:p w14:paraId="5566D80E"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obligated party shall pay its contribution to the State Energy Efficiency Fund in the State basic budget for budget programme/sub-programme of the Ministry of Economics specially established for this purpose in the open State basic budget expenses account in the Treasury, and it shall be accounted as other own revenue of the institution. The corresponding budgetary programme shall be administered by the Ministry of Economics.</w:t>
      </w:r>
    </w:p>
    <w:p w14:paraId="657B6D9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obligated party has not developed the plan for the energy efficiency improvement measures and has not submitted it to the responsible institution within the time periods specified in the laws and regulations regarding energy efficiency obligation scheme, the responsible institution shall take the decision on the obligation of the obligated party to ensure fulfilment of the abovementioned requirements within three months. The decision of the responsible institution may be appealed in accordance with the procedures laid down in the Administrative Procedure Law. The appeal of the decision shall not suspend the operation thereof.</w:t>
      </w:r>
    </w:p>
    <w:p w14:paraId="4B29531D"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 30 April 2020</w:t>
      </w:r>
      <w:r>
        <w:rPr>
          <w:rFonts w:ascii="Times New Roman" w:hAnsi="Times New Roman"/>
          <w:sz w:val="24"/>
          <w:szCs w:val="24"/>
        </w:rPr>
        <w:t>]</w:t>
      </w:r>
    </w:p>
    <w:p w14:paraId="2B1EA152"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20" w:name="p7"/>
      <w:bookmarkStart w:id="21" w:name="p-734379"/>
      <w:bookmarkEnd w:id="20"/>
      <w:bookmarkEnd w:id="21"/>
    </w:p>
    <w:p w14:paraId="0B665E06" w14:textId="5C57B098"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Energy Efficiency Funds</w:t>
      </w:r>
    </w:p>
    <w:p w14:paraId="40CD46ED"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7131C187" w14:textId="511F820E"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goal for establishing of the State or local government Energy Efficiency Funds is to support initiatives </w:t>
      </w:r>
      <w:proofErr w:type="gramStart"/>
      <w:r>
        <w:rPr>
          <w:rFonts w:ascii="Times New Roman" w:hAnsi="Times New Roman"/>
          <w:sz w:val="24"/>
          <w:szCs w:val="24"/>
        </w:rPr>
        <w:t>in the area of</w:t>
      </w:r>
      <w:proofErr w:type="gramEnd"/>
      <w:r>
        <w:rPr>
          <w:rFonts w:ascii="Times New Roman" w:hAnsi="Times New Roman"/>
          <w:sz w:val="24"/>
          <w:szCs w:val="24"/>
        </w:rPr>
        <w:t xml:space="preserve"> energy efficiency.</w:t>
      </w:r>
    </w:p>
    <w:p w14:paraId="1CDA3E7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Development Financial Institution shall establish the State Energy Efficiency Fund.</w:t>
      </w:r>
    </w:p>
    <w:p w14:paraId="7B9B671E"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source of financing of the State Energy Efficiency Fund shall be:</w:t>
      </w:r>
    </w:p>
    <w:p w14:paraId="13CFEED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contributions of the obligated party referred to in Section 6, Paragraph eight of this </w:t>
      </w:r>
      <w:proofErr w:type="gramStart"/>
      <w:r>
        <w:rPr>
          <w:rFonts w:ascii="Times New Roman" w:hAnsi="Times New Roman"/>
          <w:sz w:val="24"/>
          <w:szCs w:val="24"/>
        </w:rPr>
        <w:t>Law;</w:t>
      </w:r>
      <w:proofErr w:type="gramEnd"/>
    </w:p>
    <w:p w14:paraId="2B09D11F"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at least 90 per cent of the revenue in the State budget of the duty laid down in Section 13 of this </w:t>
      </w:r>
      <w:proofErr w:type="gramStart"/>
      <w:r>
        <w:rPr>
          <w:rFonts w:ascii="Times New Roman" w:hAnsi="Times New Roman"/>
          <w:sz w:val="24"/>
          <w:szCs w:val="24"/>
        </w:rPr>
        <w:t>Law;</w:t>
      </w:r>
      <w:proofErr w:type="gramEnd"/>
    </w:p>
    <w:p w14:paraId="32A85C2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revenue.</w:t>
      </w:r>
    </w:p>
    <w:p w14:paraId="7FE3AEA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Economics shall ensure transfer of the contributions referred to in Paragraph three, Clause 1 of this Section to the State Energy Efficiency Fund for the formation of the reserve capital of the Development Financial Institution within the meaning of the Law on the Development Financial Institution or for the implementation of the energy efficiency State aid programmes.</w:t>
      </w:r>
    </w:p>
    <w:p w14:paraId="5CB08493"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resources of the State Energy Efficiency Fund shall be used for the implementation of the State aid programmes in the following areas:</w:t>
      </w:r>
    </w:p>
    <w:p w14:paraId="7ADAECEA"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for the achievement of the mandatory final energy consumption </w:t>
      </w:r>
      <w:proofErr w:type="gramStart"/>
      <w:r>
        <w:rPr>
          <w:rFonts w:ascii="Times New Roman" w:hAnsi="Times New Roman"/>
          <w:sz w:val="24"/>
          <w:szCs w:val="24"/>
        </w:rPr>
        <w:t>target;</w:t>
      </w:r>
      <w:proofErr w:type="gramEnd"/>
    </w:p>
    <w:p w14:paraId="3BBFD45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for public awareness and education activities </w:t>
      </w:r>
      <w:proofErr w:type="gramStart"/>
      <w:r>
        <w:rPr>
          <w:rFonts w:ascii="Times New Roman" w:hAnsi="Times New Roman"/>
          <w:sz w:val="24"/>
          <w:szCs w:val="24"/>
        </w:rPr>
        <w:t>in the area of</w:t>
      </w:r>
      <w:proofErr w:type="gramEnd"/>
      <w:r>
        <w:rPr>
          <w:rFonts w:ascii="Times New Roman" w:hAnsi="Times New Roman"/>
          <w:sz w:val="24"/>
          <w:szCs w:val="24"/>
        </w:rPr>
        <w:t xml:space="preserve"> energy efficiency.</w:t>
      </w:r>
    </w:p>
    <w:p w14:paraId="4941762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conditions of the activities and cost eligibility for the implementation of the State aid programmes referred to in Paragraph five of this Section, the Fund management costs, and also the procedures by which the Development Financial Institution shall use the resources of the State Energy Efficiency Fund and provide report on their use shall be determined by the Cabinet.</w:t>
      </w:r>
    </w:p>
    <w:p w14:paraId="6F5E95A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local government shall be the establisher and holder of the local government Energy Efficiency Fund. The obligated party referred to in Section 6, Paragraph eight of this Law, which has made contributions to a local government Energy Efficiency Fund, may not be the administrator of the local government Energy Efficiency Fund.</w:t>
      </w:r>
    </w:p>
    <w:p w14:paraId="1A9F04B4"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source of financing of a local government Energy Efficiency Fund shall be:</w:t>
      </w:r>
    </w:p>
    <w:p w14:paraId="61841E51"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local government </w:t>
      </w:r>
      <w:proofErr w:type="gramStart"/>
      <w:r>
        <w:rPr>
          <w:rFonts w:ascii="Times New Roman" w:hAnsi="Times New Roman"/>
          <w:sz w:val="24"/>
          <w:szCs w:val="24"/>
        </w:rPr>
        <w:t>budget;</w:t>
      </w:r>
      <w:proofErr w:type="gramEnd"/>
    </w:p>
    <w:p w14:paraId="248BFAB8"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contributions of the obligated party referred to in Section 6, Paragraph eight of this Law, registered in the territory of the respective local </w:t>
      </w:r>
      <w:proofErr w:type="gramStart"/>
      <w:r>
        <w:rPr>
          <w:rFonts w:ascii="Times New Roman" w:hAnsi="Times New Roman"/>
          <w:sz w:val="24"/>
          <w:szCs w:val="24"/>
        </w:rPr>
        <w:t>government;</w:t>
      </w:r>
      <w:proofErr w:type="gramEnd"/>
    </w:p>
    <w:p w14:paraId="291E30E6"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sources of financing.</w:t>
      </w:r>
    </w:p>
    <w:p w14:paraId="0646A90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resources of a local government Energy Efficiency Fund shall be used for the energy efficiency improvement measures in the following areas:</w:t>
      </w:r>
    </w:p>
    <w:p w14:paraId="5FCFDB6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for the achievement of the mandatory final energy consumption savings </w:t>
      </w:r>
      <w:proofErr w:type="gramStart"/>
      <w:r>
        <w:rPr>
          <w:rFonts w:ascii="Times New Roman" w:hAnsi="Times New Roman"/>
          <w:sz w:val="24"/>
          <w:szCs w:val="24"/>
        </w:rPr>
        <w:t>target;</w:t>
      </w:r>
      <w:proofErr w:type="gramEnd"/>
    </w:p>
    <w:p w14:paraId="442087B6"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for the implementation of the energy efficiency policy measures provided for in the local government planning </w:t>
      </w:r>
      <w:proofErr w:type="gramStart"/>
      <w:r>
        <w:rPr>
          <w:rFonts w:ascii="Times New Roman" w:hAnsi="Times New Roman"/>
          <w:sz w:val="24"/>
          <w:szCs w:val="24"/>
        </w:rPr>
        <w:t>documents;</w:t>
      </w:r>
      <w:proofErr w:type="gramEnd"/>
    </w:p>
    <w:p w14:paraId="2F0318AD"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introduction and maintenance of an energy management system in the local government.</w:t>
      </w:r>
    </w:p>
    <w:p w14:paraId="24D66A3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and local government shall ensure compliance with the commercial activity support control framework in the operation of the Energy Efficiency Fund.</w:t>
      </w:r>
    </w:p>
    <w:p w14:paraId="50B63AE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April 2020</w:t>
      </w:r>
      <w:r>
        <w:rPr>
          <w:rFonts w:ascii="Times New Roman" w:hAnsi="Times New Roman"/>
          <w:sz w:val="24"/>
          <w:szCs w:val="24"/>
        </w:rPr>
        <w:t>]</w:t>
      </w:r>
    </w:p>
    <w:p w14:paraId="1A1A9E2B"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22" w:name="p8"/>
      <w:bookmarkStart w:id="23" w:name="p-710958"/>
      <w:bookmarkEnd w:id="22"/>
      <w:bookmarkEnd w:id="23"/>
    </w:p>
    <w:p w14:paraId="79FF08E8" w14:textId="56D73BB6"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Voluntary Agreement on Energy Efficiency Improvement</w:t>
      </w:r>
    </w:p>
    <w:p w14:paraId="53DAA40A"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4805ADAF" w14:textId="0A32A46D"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Organisations representing economic operators, economic operators and local governments are entitled to enter into a voluntary agreement with the State represented by the responsible institution on energy efficiency improvement, including promotion of energy efficiency services.</w:t>
      </w:r>
    </w:p>
    <w:p w14:paraId="1CE4E0B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responsible institution may provide support for energy audits and individual energy efficiency improvement measures that are implemented under this agreement in accordance with the procedures laid down in the laws and regulations.</w:t>
      </w:r>
    </w:p>
    <w:p w14:paraId="138E045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provisions, content, </w:t>
      </w:r>
      <w:proofErr w:type="gramStart"/>
      <w:r>
        <w:rPr>
          <w:rFonts w:ascii="Times New Roman" w:hAnsi="Times New Roman"/>
          <w:sz w:val="24"/>
          <w:szCs w:val="24"/>
        </w:rPr>
        <w:t>terms</w:t>
      </w:r>
      <w:proofErr w:type="gramEnd"/>
      <w:r>
        <w:rPr>
          <w:rFonts w:ascii="Times New Roman" w:hAnsi="Times New Roman"/>
          <w:sz w:val="24"/>
          <w:szCs w:val="24"/>
        </w:rPr>
        <w:t xml:space="preserve"> and supervision of the implementation of the voluntary agreement shall be determined by the Cabinet.</w:t>
      </w:r>
    </w:p>
    <w:p w14:paraId="4A49E72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2019</w:t>
      </w:r>
      <w:r>
        <w:rPr>
          <w:rFonts w:ascii="Times New Roman" w:hAnsi="Times New Roman"/>
          <w:sz w:val="24"/>
          <w:szCs w:val="24"/>
        </w:rPr>
        <w:t>]</w:t>
      </w:r>
    </w:p>
    <w:p w14:paraId="32325FA0"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24" w:name="p9"/>
      <w:bookmarkStart w:id="25" w:name="p-710959"/>
      <w:bookmarkEnd w:id="24"/>
      <w:bookmarkEnd w:id="25"/>
    </w:p>
    <w:p w14:paraId="1035CA0B" w14:textId="05D4078D"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Conditions for Energy Auditing</w:t>
      </w:r>
    </w:p>
    <w:p w14:paraId="674F6D86"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7A94B9AC" w14:textId="518B47D4"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conducting an energy audit, up-to-date and verified data on energy consumption, as well as on electricity load profiles shall be used.</w:t>
      </w:r>
    </w:p>
    <w:p w14:paraId="36A3E5B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energy audit shall include a detailed report on:</w:t>
      </w:r>
    </w:p>
    <w:p w14:paraId="48B126A7"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energy consumption structure and energy efficiency of buildings or groups of buildings, processes or equipment, including </w:t>
      </w:r>
      <w:proofErr w:type="gramStart"/>
      <w:r>
        <w:rPr>
          <w:rFonts w:ascii="Times New Roman" w:hAnsi="Times New Roman"/>
          <w:sz w:val="24"/>
          <w:szCs w:val="24"/>
        </w:rPr>
        <w:t>transport;</w:t>
      </w:r>
      <w:proofErr w:type="gramEnd"/>
    </w:p>
    <w:p w14:paraId="4F24A7D6"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energy efficiency improvement measures with the greatest estimated energy savings or economic return, if possible, based on the life-cycle cost analysis, as well as low-cost measures. Energy savings achieved </w:t>
      </w:r>
      <w:proofErr w:type="gramStart"/>
      <w:r>
        <w:rPr>
          <w:rFonts w:ascii="Times New Roman" w:hAnsi="Times New Roman"/>
          <w:sz w:val="24"/>
          <w:szCs w:val="24"/>
        </w:rPr>
        <w:t>as a result of</w:t>
      </w:r>
      <w:proofErr w:type="gramEnd"/>
      <w:r>
        <w:rPr>
          <w:rFonts w:ascii="Times New Roman" w:hAnsi="Times New Roman"/>
          <w:sz w:val="24"/>
          <w:szCs w:val="24"/>
        </w:rPr>
        <w:t xml:space="preserve"> each measure must be evaluated in the energy audit.</w:t>
      </w:r>
    </w:p>
    <w:p w14:paraId="4C47AE6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performer of the energy audit shall store the data used in the energy audit for 10 years.</w:t>
      </w:r>
    </w:p>
    <w:p w14:paraId="74FABAA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request, the energy auditor has an obligation to transfer the energy audit results to the provider of energy efficiency services, which has entered into an energy efficiency service contract with the recipient of the energy efficiency service, except where the contract between the energy audit performer and the energy audit contractor provides otherwise.</w:t>
      </w:r>
    </w:p>
    <w:p w14:paraId="51D8521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competence requirements to be put forward for an enterprise auditor (legal person) and the procedure for the attestation of the competence, the procedure for the supervision of an enterprise energy auditor and its responsibility, the procedures, by which an enterprise energy audit shall be conducted, and the procedures, by which an energy audit report shall be registered in the information system managed by the State Construction Control Bureau, as well as the content of this report and the procedure for its use.</w:t>
      </w:r>
    </w:p>
    <w:p w14:paraId="72D2351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2019</w:t>
      </w:r>
      <w:r>
        <w:rPr>
          <w:rFonts w:ascii="Times New Roman" w:hAnsi="Times New Roman"/>
          <w:sz w:val="24"/>
          <w:szCs w:val="24"/>
        </w:rPr>
        <w:t>]</w:t>
      </w:r>
    </w:p>
    <w:p w14:paraId="08B7375D"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26" w:name="n4"/>
      <w:bookmarkStart w:id="27" w:name="n-583893"/>
      <w:bookmarkEnd w:id="26"/>
      <w:bookmarkEnd w:id="27"/>
    </w:p>
    <w:p w14:paraId="054A988F" w14:textId="3F71B846" w:rsidR="00D90567" w:rsidRPr="00D90567" w:rsidRDefault="00D90567" w:rsidP="004265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 Energy Audit and Energy Management</w:t>
      </w:r>
    </w:p>
    <w:p w14:paraId="0EBE473F"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28" w:name="p10"/>
      <w:bookmarkStart w:id="29" w:name="p-734380"/>
      <w:bookmarkEnd w:id="28"/>
      <w:bookmarkEnd w:id="29"/>
    </w:p>
    <w:p w14:paraId="19CB4F3D" w14:textId="77D3ADC5"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Energy Audit in Large Enterprises</w:t>
      </w:r>
    </w:p>
    <w:p w14:paraId="40E464C1"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27AB8DDC" w14:textId="34BFE5EC"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large enterprise is an economic operator which employs more than 249 employees or whose turnover of the reporting year exceeds 50 million euros, and the annual balance in total – 43 million euros (hereinafter – the large enterprise).</w:t>
      </w:r>
    </w:p>
    <w:p w14:paraId="7B6DFB53"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list of large enterprises shall be each year, by 1 December, created by the Central Statistical Bureau, using the data of the last approved reporting period of the enterprise. An enterprise is included in the list of large enterprises, if it complies with the criteria for the large enterprise for two consecutive reporting years. An enterprise is excluded from the list of large enterprises, if it fails to comply with the criteria for the large enterprise for two consecutive reporting periods.</w:t>
      </w:r>
    </w:p>
    <w:p w14:paraId="454F872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Energy audits in large enterprises may be conducted by an enterprise energy auditor in compliance with the requirements of the laws and regulations.</w:t>
      </w:r>
    </w:p>
    <w:p w14:paraId="1700C18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energy audit of the large enterprise shall cover at least 90 per cent of the total final energy consumption.</w:t>
      </w:r>
    </w:p>
    <w:p w14:paraId="130C3FA4"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If 90 per cent (or more) of the total final energy consumption of the large enterprise are consumed in buildings and the abovementioned consumption is not related to ensuring of the production process, an independent expert in the area of energy performance of buildings is entitled to conduct energy audit in the large enterprise in accordance with the requirements laid down in the laws and regulations regarding ensuring of energy performance of buildings.</w:t>
      </w:r>
    </w:p>
    <w:p w14:paraId="57F23EE2"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Large enterprises shall conduct an energy audit on a regular basis. The first energy audit shall be conducted within one year after the inclusion of the enterprise in the list referred to in Paragraph two of this Section. The current energy audit shall be conducted within four years from the day of approval of the previous energy audit report of the enterprise.</w:t>
      </w:r>
    </w:p>
    <w:p w14:paraId="036348C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requirement referred to in Paragraph five of this Section does not apply to large enterprises if they have introduced and certified an energy management system or introduced and certified an environmental management system, and in this system a continuous energy consumption evaluation process is ensured in order to control and reduce energy consumption, covering at least 90 per cent of the total final energy consumption, and energy consumption evaluation process has been ensured in compliance with Section 9, Paragraphs one and two of this Law. The energy management and environmental management standard that shall be applied for the fulfilment of the requirements of this Law, the procedures by which the environmental management system shall be supplemented and such environmental management system supplementation that ensures a continuous energy consumption evaluation process shall be certified, and the authorities entitled to certify the supplementation shall be determined by the Cabinet.</w:t>
      </w:r>
    </w:p>
    <w:p w14:paraId="12ECE57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large enterprise shall report to the responsible institution on the conduct of an energy audit or on the introduction of the certified energy management system or certified environmental management system referred to in Paragraph six of this Section, the proposed energy efficiency improvement measures, as well as each year report on the implemented energy efficiency improvement measures and energy savings achieved as a result. The reporting procedure shall be determined by the Cabinet.</w:t>
      </w:r>
    </w:p>
    <w:p w14:paraId="252C163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large enterprise shall introduce all or at least three energy efficiency improvement measures with the greatest estimated energy savings or economic return indicated in the first or current energy audit report or within the framework of an energy management system or supplemented environmental management system.</w:t>
      </w:r>
    </w:p>
    <w:p w14:paraId="275E26B6"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obligation to notify of the introduced energy efficiency improvement measures and the energy savings achieved as a result thereof shall remain for the large enterprise:</w:t>
      </w:r>
    </w:p>
    <w:p w14:paraId="61FFD3F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for four years after conducting the first or current energy </w:t>
      </w:r>
      <w:proofErr w:type="gramStart"/>
      <w:r>
        <w:rPr>
          <w:rFonts w:ascii="Times New Roman" w:hAnsi="Times New Roman"/>
          <w:sz w:val="24"/>
          <w:szCs w:val="24"/>
        </w:rPr>
        <w:t>audit;</w:t>
      </w:r>
      <w:proofErr w:type="gramEnd"/>
    </w:p>
    <w:p w14:paraId="2E732E8E"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from the day of introduction of the certified energy management system referred to in Paragraph six of this Section until the end of operation of the relevant </w:t>
      </w:r>
      <w:proofErr w:type="gramStart"/>
      <w:r>
        <w:rPr>
          <w:rFonts w:ascii="Times New Roman" w:hAnsi="Times New Roman"/>
          <w:sz w:val="24"/>
          <w:szCs w:val="24"/>
        </w:rPr>
        <w:t>system;</w:t>
      </w:r>
      <w:proofErr w:type="gramEnd"/>
    </w:p>
    <w:p w14:paraId="13CDBB2E"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from the day of supplementing of the certified environmental management system referred to in Paragraph six of this Section until the end of operation of the relevant system.</w:t>
      </w:r>
    </w:p>
    <w:p w14:paraId="56929306"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obligation to notify of the introduced energy efficiency improvement measures and the energy savings achieved as a result thereof and the time period for the notification shall remain for the economic operator also in such case if it has lost the status of the large enterprise.</w:t>
      </w:r>
    </w:p>
    <w:p w14:paraId="501F39AD"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large enterprise is planning or has started reconstruction, renewal, or demolition of the existing building and construction of a new building and 90 per cent (or more) of the total final energy consumption of the large enterprise are consumed in this building, it may fulfil the obligation referred to in Paragraph five of this Section by submitting the following to the responsible institution:</w:t>
      </w:r>
    </w:p>
    <w:p w14:paraId="58F47C49"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until the time period specified in Paragraph five of this Section – the energy efficiency indicators of the building specified in the construction design in accordance with the laws and regulations regarding the method for the calculation of energy efficiency of the </w:t>
      </w:r>
      <w:proofErr w:type="gramStart"/>
      <w:r>
        <w:rPr>
          <w:rFonts w:ascii="Times New Roman" w:hAnsi="Times New Roman"/>
          <w:sz w:val="24"/>
          <w:szCs w:val="24"/>
        </w:rPr>
        <w:t>building;</w:t>
      </w:r>
      <w:proofErr w:type="gramEnd"/>
    </w:p>
    <w:p w14:paraId="3650DF9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30 working days after putting of the building into service – the information on when a temporary energy certificate of the building has been registered in the Register for Energy Certificates of Buildings.</w:t>
      </w:r>
    </w:p>
    <w:p w14:paraId="579DE92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Until expiry of the term of validity of the temporary energy certificate of the building referred to in Paragraph eleven of this Section, the large enterprise shall notify the responsible institution of the conducting of energy audit or introduction of a certified energy management system.</w:t>
      </w:r>
    </w:p>
    <w:p w14:paraId="6007A7A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large enterprise has not fulfilled the requirements of Paragraph five of this Section, the responsible institution shall take the decision on the obligation of the large enterprise to ensure the fulfilment of the abovementioned requirements within six months. The decision of the responsible institution may be appealed in accordance with the procedures laid down in the Administrative Procedure Law. The appeal of the decision shall not suspend the operation thereof.</w:t>
      </w:r>
    </w:p>
    <w:p w14:paraId="20B7D45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 30 April 2020</w:t>
      </w:r>
      <w:r>
        <w:rPr>
          <w:rFonts w:ascii="Times New Roman" w:hAnsi="Times New Roman"/>
          <w:sz w:val="24"/>
          <w:szCs w:val="24"/>
        </w:rPr>
        <w:t>]</w:t>
      </w:r>
    </w:p>
    <w:p w14:paraId="1B0F8A48"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30" w:name="p11"/>
      <w:bookmarkStart w:id="31" w:name="p-583895"/>
      <w:bookmarkEnd w:id="30"/>
      <w:bookmarkEnd w:id="31"/>
    </w:p>
    <w:p w14:paraId="4759CE32" w14:textId="3CBF89A0"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Energy Audit in Small and Medium-sized Enterprises</w:t>
      </w:r>
    </w:p>
    <w:p w14:paraId="1E61EF3D"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5B481DAB" w14:textId="3E38A6C0"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persons are entitled to conduct an energy audit in small and medium-sized enterprises:</w:t>
      </w:r>
    </w:p>
    <w:p w14:paraId="78A70A3A"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an independent expert in the area of energy performance of </w:t>
      </w:r>
      <w:proofErr w:type="gramStart"/>
      <w:r>
        <w:rPr>
          <w:rFonts w:ascii="Times New Roman" w:hAnsi="Times New Roman"/>
          <w:sz w:val="24"/>
          <w:szCs w:val="24"/>
        </w:rPr>
        <w:t>buildings;</w:t>
      </w:r>
      <w:proofErr w:type="gramEnd"/>
    </w:p>
    <w:p w14:paraId="3B403C7F"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enterprise energy auditor.</w:t>
      </w:r>
    </w:p>
    <w:p w14:paraId="7B9F619B"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32" w:name="p12"/>
      <w:bookmarkStart w:id="33" w:name="p-734381"/>
      <w:bookmarkEnd w:id="32"/>
      <w:bookmarkEnd w:id="33"/>
    </w:p>
    <w:p w14:paraId="2A5D9D7E" w14:textId="1331E15D"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Energy Management System for Large Electricity Consumers</w:t>
      </w:r>
    </w:p>
    <w:p w14:paraId="71F90A82"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646FBDF1" w14:textId="2C7079AF"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large electricity consumer is an economic operator the annual electricity consumption of which exceeds 500 megawatt hours in two consecutive calendar years. The economic operator shall obtain the status of a large electricity consumer from the time when it is included in the list of large electricity consumers in accordance with Paragraph thirteen of this Section. The abovementioned criterion for determination of a large electricity consumer shall not apply to distribution system operators which have received a licence for electricity distribution from the Public Utilities Commission and are included in the list of licences of distribution system operators, and to administrators of residential houses which are registered with the Register of Administrators of Residential Houses of the Construction Information System.</w:t>
      </w:r>
    </w:p>
    <w:p w14:paraId="2DD6B83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economic operator which is included in the list of large electricity consumers has an obligation, in accordance with Paragraph thirteen of this Section, to introduce and maintain a certified energy management system in conformity with the standard within one year after inclusion in the abovementioned list, covering at least 90 per cent of the total final energy consumption of the large electricity consumer and ensuring the conformity of the energy consumption evaluation process with the conditions of Section 9, Paragraphs one and two of this Law.</w:t>
      </w:r>
    </w:p>
    <w:p w14:paraId="216604E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requirement of Paragraph two of this Section shall not apply to the large electricity consumer if it has introduced an environmental management system before the coming into force of this Law and has supplemented and certified it in order to control and reduce energy consumption within six months from the day of coming into force of this Law, covering at least 90 per cent of the total final energy consumption, and ensuring compliance of the energy consumption evaluation process with the provisions of Section 9, Paragraphs one and two of this Law.</w:t>
      </w:r>
    </w:p>
    <w:p w14:paraId="61D5D89E"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energy management and environmental management standard that shall be applied for the fulfilment of the requirements of this Law, the procedures by which the environmental management system shall be supplemented and such environmental management system supplementation that ensures continuous energy consumption evaluation process shall be certified, and the institutions entitled to certify the supplementation shall be determined by the Cabinet.</w:t>
      </w:r>
    </w:p>
    <w:p w14:paraId="63E41E0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requirements of Paragraphs two and three of this Section shall not apply to the economic operator which has become the large energy consumer in accordance with Paragraph one of this Section, has conducted the first energy audit by 30 November of the following year and hereinafter ensures current energy audit on regular basis within four years after the day of approval of the previous energy audit of the enterprise.</w:t>
      </w:r>
    </w:p>
    <w:p w14:paraId="416103AE"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large electricity consumer shall report to the responsible institution on the conduct of an energy audit or on introduction of the certified energy management system referred to in Paragraph two of this Section or on supplementing the certified environmental management system referred to in Paragraph three of this Section, the proposed energy efficiency improvement measures, as well as each year report on the introduced energy efficiency improvement measures and energy savings achieved as a result. The reporting procedure shall be determined by the Cabinet.</w:t>
      </w:r>
    </w:p>
    <w:p w14:paraId="41D6FDD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If the large electricity consumer is planning or has started reconstruction, renewal, or demolition of the existing building and construction of a new building and 90 per cent (or more) of the total final energy consumption of the large electricity consumer are consumed in this building, it may fulfil the obligation referred to in Paragraph two of this Section by submitting the following to the responsible institution:</w:t>
      </w:r>
    </w:p>
    <w:p w14:paraId="6FD4A320"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until the time period specified in Paragraph two of this Section – the energy efficiency indicators of the building specified in the construction design in accordance with the laws and regulations regarding the method for the calculation of energy performance of the </w:t>
      </w:r>
      <w:proofErr w:type="gramStart"/>
      <w:r>
        <w:rPr>
          <w:rFonts w:ascii="Times New Roman" w:hAnsi="Times New Roman"/>
          <w:sz w:val="24"/>
          <w:szCs w:val="24"/>
        </w:rPr>
        <w:t>building;</w:t>
      </w:r>
      <w:proofErr w:type="gramEnd"/>
    </w:p>
    <w:p w14:paraId="4B82FF28"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30 working days after putting of the building into service – the information on when a temporary energy certificate of the building has been registered in the Register for Energy Certificates of Buildings.</w:t>
      </w:r>
    </w:p>
    <w:p w14:paraId="7B83772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The large electricity consumer shall, until expiry of the term of validity of the temporary energy certificate of the building referred to in Paragraph 6.</w:t>
      </w:r>
      <w:r>
        <w:rPr>
          <w:rFonts w:ascii="Times New Roman" w:hAnsi="Times New Roman"/>
          <w:sz w:val="24"/>
          <w:szCs w:val="24"/>
          <w:vertAlign w:val="superscript"/>
        </w:rPr>
        <w:t xml:space="preserve">1 </w:t>
      </w:r>
      <w:r>
        <w:rPr>
          <w:rFonts w:ascii="Times New Roman" w:hAnsi="Times New Roman"/>
          <w:sz w:val="24"/>
          <w:szCs w:val="24"/>
        </w:rPr>
        <w:t>of this Section, notify the responsible institution of the introduction of a certified energy management system or conducting of the first energy audit.</w:t>
      </w:r>
    </w:p>
    <w:p w14:paraId="7D7FC46C" w14:textId="7BFFAB9E"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3</w:t>
      </w:r>
      <w:r>
        <w:rPr>
          <w:rFonts w:ascii="Times New Roman" w:hAnsi="Times New Roman"/>
          <w:sz w:val="24"/>
          <w:szCs w:val="24"/>
        </w:rPr>
        <w:t>) If the economic operator has conducted the first energy audit referred to in Paragraph five of this Section and has lost the status of the large energy consumer in any of the following four years until the time period for conducting the next energy audit, but in any of the following years before setting in of the time period for conducting the next energy audit it conforms to the criterion referred to in Paragraph one of this Section once again, the time period for the conducting of the energy audit shall be determined, taking into consideration</w:t>
      </w:r>
      <w:r w:rsidR="00711590">
        <w:rPr>
          <w:rFonts w:ascii="Times New Roman" w:hAnsi="Times New Roman"/>
          <w:sz w:val="24"/>
          <w:szCs w:val="24"/>
        </w:rPr>
        <w:t xml:space="preserve"> </w:t>
      </w:r>
      <w:r>
        <w:rPr>
          <w:rFonts w:ascii="Times New Roman" w:hAnsi="Times New Roman"/>
          <w:sz w:val="24"/>
          <w:szCs w:val="24"/>
        </w:rPr>
        <w:t>the day of approval of the report of the first energy audit, however, not later than four years after conducting of the first energy audit.</w:t>
      </w:r>
    </w:p>
    <w:p w14:paraId="299F63BD"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4</w:t>
      </w:r>
      <w:r>
        <w:rPr>
          <w:rFonts w:ascii="Times New Roman" w:hAnsi="Times New Roman"/>
          <w:sz w:val="24"/>
          <w:szCs w:val="24"/>
        </w:rPr>
        <w:t>) If the economic operator has introduced the system referred to in Paragraph two of this Section or supplemented the system referred to in Paragraph three of this Section and in any of the following years until the time period for the introduction of the next relevant system has lost the status of the large electricity consumer, but in any of the following years before the setting in of the time period of the obligation it conforms to the criterion referred to in Paragraph one of this Section once again and wishes to restore the system referred to in Paragraph two of this Section or the supplemented system referred to in Paragraph three of this Section, it shall act in conformity with the requirements for the introduction of a certified environmental management system or energy management system or other laws and regulations in the field of energy efficiency.</w:t>
      </w:r>
    </w:p>
    <w:p w14:paraId="62C210E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large energy consumer shall introduce all or at least three energy efficiency improvement measures with the greatest estimated energy savings or economic return indicated in the first or current energy audit report or energy management system or supplemented environmental management system.</w:t>
      </w:r>
    </w:p>
    <w:p w14:paraId="4A0FD73F"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existence of a certified energy management system is a favourable qualifying criterion that is taken into account upon evaluating project applications of large electricity consumers, if the respective project will be implemented fully or partially, using such types of support as payments from the State or local government budget, State or local government guarantees, loan interest rate subsidies, as well as other financial assistance that is granted or provided from the State, local government or the European Union budget funds and foreign financial assistance funds.</w:t>
      </w:r>
    </w:p>
    <w:p w14:paraId="5CC1577D"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Each year the system operator has an obligation to ensure the responsible institution with the electricity consumption data of those system users the annual electricity consumption of which exceeds 500 megawatt hours.</w:t>
      </w:r>
    </w:p>
    <w:p w14:paraId="00463AD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xml:space="preserve">) An economic operator which, according to the annual electricity consumption data of the system users, is the large electricity consumer but the amount of electricity used by itself is less than 500 megawatt hours shall, each year by 1 March, submit the balance sheet of electricity consumption of the enterprise approved by the energy auditor of the enterprise or an independent expert in the area of energy performance of buildings which presents the electricity consumption transferred to each sub-user and electricity consumption of the enterprise itself. The system user shall account the amount of electricity transferred to other users by electricity accounting devices, </w:t>
      </w:r>
      <w:proofErr w:type="gramStart"/>
      <w:r>
        <w:rPr>
          <w:rFonts w:ascii="Times New Roman" w:hAnsi="Times New Roman"/>
          <w:sz w:val="24"/>
          <w:szCs w:val="24"/>
        </w:rPr>
        <w:t>and also</w:t>
      </w:r>
      <w:proofErr w:type="gramEnd"/>
      <w:r>
        <w:rPr>
          <w:rFonts w:ascii="Times New Roman" w:hAnsi="Times New Roman"/>
          <w:sz w:val="24"/>
          <w:szCs w:val="24"/>
        </w:rPr>
        <w:t xml:space="preserve"> this amount may be confirmed by a third party on the basis of the relevant invoice information. The Cabinet shall determine the procedures by which the economic operator submits the balance sheet of electricity consumption of the enterprise to the responsible institution.</w:t>
      </w:r>
    </w:p>
    <w:p w14:paraId="214B26B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large electricity consumer also meets the criteria laid down in Section 10, Paragraph one, the provisions of Section 10 of this Law shall be applied.</w:t>
      </w:r>
    </w:p>
    <w:p w14:paraId="5B1801B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obligation to notify shall remain for the large electricity consumer:</w:t>
      </w:r>
    </w:p>
    <w:p w14:paraId="430667D4"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for four years after conducting the first or current energy </w:t>
      </w:r>
      <w:proofErr w:type="gramStart"/>
      <w:r>
        <w:rPr>
          <w:rFonts w:ascii="Times New Roman" w:hAnsi="Times New Roman"/>
          <w:sz w:val="24"/>
          <w:szCs w:val="24"/>
        </w:rPr>
        <w:t>audit;</w:t>
      </w:r>
      <w:proofErr w:type="gramEnd"/>
    </w:p>
    <w:p w14:paraId="67C9F92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from the day of introduction of the certified energy management system referred to in Paragraph two of this Section until the end of operation of the relevant </w:t>
      </w:r>
      <w:proofErr w:type="gramStart"/>
      <w:r>
        <w:rPr>
          <w:rFonts w:ascii="Times New Roman" w:hAnsi="Times New Roman"/>
          <w:sz w:val="24"/>
          <w:szCs w:val="24"/>
        </w:rPr>
        <w:t>system;</w:t>
      </w:r>
      <w:proofErr w:type="gramEnd"/>
    </w:p>
    <w:p w14:paraId="4A67E512"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from the day of supplementing of the certified environmental management system referred to in Paragraph three of this Section until the end of operation of the relevant system.</w:t>
      </w:r>
    </w:p>
    <w:p w14:paraId="0ECBBB3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obligation to notify of the introduced energy efficiency improvement measures and the energy savings achieved as a result thereof and the time period for the notification shall remain for the economic operator also in such case if it has lost the status of the large electricity consumer.</w:t>
      </w:r>
    </w:p>
    <w:p w14:paraId="38D9A7A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responsible institution shall, each year by 31 March, establish and publish the list of large electricity consumers on the website thereof on the basis of the data provided by the electricity system operator on the system users the annual electricity consumption of which exceeds 500 megawatt hours in two consecutive calendar years and the information provided by an economic operator on electricity consumption according to the electricity balance sheet approved by the energy auditor, including on its sub-user which conforms to the criteria specified in Paragraph one of this Section in conformity with the conditions of Paragraph 9.</w:t>
      </w:r>
      <w:r>
        <w:rPr>
          <w:rFonts w:ascii="Times New Roman" w:hAnsi="Times New Roman"/>
          <w:sz w:val="24"/>
          <w:szCs w:val="24"/>
          <w:vertAlign w:val="superscript"/>
        </w:rPr>
        <w:t xml:space="preserve">1 </w:t>
      </w:r>
      <w:r>
        <w:rPr>
          <w:rFonts w:ascii="Times New Roman" w:hAnsi="Times New Roman"/>
          <w:sz w:val="24"/>
          <w:szCs w:val="24"/>
        </w:rPr>
        <w:t>of this Section. The enterprise is excluded from the list of large electricity consumers if it fails to comply with the criteria for the large electricity consumer in two consecutive calendar years.</w:t>
      </w:r>
    </w:p>
    <w:p w14:paraId="1101DC3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 30 April 2020</w:t>
      </w:r>
      <w:r>
        <w:rPr>
          <w:rFonts w:ascii="Times New Roman" w:hAnsi="Times New Roman"/>
          <w:sz w:val="24"/>
          <w:szCs w:val="24"/>
        </w:rPr>
        <w:t>]</w:t>
      </w:r>
    </w:p>
    <w:p w14:paraId="1CA24893"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34" w:name="p13"/>
      <w:bookmarkStart w:id="35" w:name="p-734382"/>
      <w:bookmarkEnd w:id="34"/>
      <w:bookmarkEnd w:id="35"/>
    </w:p>
    <w:p w14:paraId="0F69A09E" w14:textId="0B92DFD9"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Energy Efficiency Duty</w:t>
      </w:r>
    </w:p>
    <w:p w14:paraId="209EA78D"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62438C30" w14:textId="18C6E07C"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goal of the energy efficiency duty is to promote energy efficiency and ensure control of the introduction of an energy management system.</w:t>
      </w:r>
    </w:p>
    <w:p w14:paraId="5465EF8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energy efficiency duty shall be paid by the large electricity consumer which has failed to fulfil the obligations referred to in Section 10, Paragraphs five, six, and seven or in Section 12, Paragraphs two, three, and five of this Law.</w:t>
      </w:r>
    </w:p>
    <w:p w14:paraId="65A2923D"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amount, the procedures for the calculation, application, </w:t>
      </w:r>
      <w:proofErr w:type="gramStart"/>
      <w:r>
        <w:rPr>
          <w:rFonts w:ascii="Times New Roman" w:hAnsi="Times New Roman"/>
          <w:sz w:val="24"/>
          <w:szCs w:val="24"/>
        </w:rPr>
        <w:t>payment</w:t>
      </w:r>
      <w:proofErr w:type="gramEnd"/>
      <w:r>
        <w:rPr>
          <w:rFonts w:ascii="Times New Roman" w:hAnsi="Times New Roman"/>
          <w:sz w:val="24"/>
          <w:szCs w:val="24"/>
        </w:rPr>
        <w:t xml:space="preserve"> and control of the energy efficiency duty shall be determined by the Cabinet. The energy efficiency duty shall be transferred to the State budget in accordance with Section 7 of this Law.</w:t>
      </w:r>
    </w:p>
    <w:p w14:paraId="28D10E9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energy efficiency duty shall be administered by the responsible institution.</w:t>
      </w:r>
    </w:p>
    <w:p w14:paraId="7729AE4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Revenue from the energy efficiency duty as a grant from the State basic budget general revenue shall be planned in the State basic budget in the programme/sub-programme of the budget of the Ministry of Economics specially established for this purpose in accordance with the planned (estimated) revenue of the State basic budget from the State duty and the contributions of the obligated party. The Ministry of Economics shall be responsible for ensuring that the expenditure does not exceed the payment amount of the State duty transferred to the State basic budget.</w:t>
      </w:r>
    </w:p>
    <w:p w14:paraId="15103B4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grant referred to in Paragraph five of this Section shall be used:</w:t>
      </w:r>
    </w:p>
    <w:p w14:paraId="2ABDF58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for monitoring the achievement of the energy efficiency targets and ensuring reporting, as well as for maintaining the energy savings </w:t>
      </w:r>
      <w:proofErr w:type="gramStart"/>
      <w:r>
        <w:rPr>
          <w:rFonts w:ascii="Times New Roman" w:hAnsi="Times New Roman"/>
          <w:sz w:val="24"/>
          <w:szCs w:val="24"/>
        </w:rPr>
        <w:t>database;</w:t>
      </w:r>
      <w:proofErr w:type="gramEnd"/>
    </w:p>
    <w:p w14:paraId="5480BF0A"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State Energy Efficiency Fund.</w:t>
      </w:r>
    </w:p>
    <w:p w14:paraId="6A2DC6A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Ministry of Economics shall ensure transferring of the contributions to the State Energy Efficiency Fund.</w:t>
      </w:r>
    </w:p>
    <w:p w14:paraId="792B2E0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2016; 14 November 2019; 30 April 2020</w:t>
      </w:r>
      <w:r>
        <w:rPr>
          <w:rFonts w:ascii="Times New Roman" w:hAnsi="Times New Roman"/>
          <w:sz w:val="24"/>
          <w:szCs w:val="24"/>
        </w:rPr>
        <w:t>]</w:t>
      </w:r>
    </w:p>
    <w:p w14:paraId="2E88B985"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36" w:name="p14"/>
      <w:bookmarkStart w:id="37" w:name="p-583898"/>
      <w:bookmarkEnd w:id="36"/>
      <w:bookmarkEnd w:id="37"/>
    </w:p>
    <w:p w14:paraId="08921E03" w14:textId="1EE767E0"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Energy Efficiency Services</w:t>
      </w:r>
    </w:p>
    <w:p w14:paraId="501BECEF"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68960D9D" w14:textId="4E41DF2F"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energy efficiency services shall be provided in accordance with a written contract on the implementation of specific energy efficiency improvement measures, which shall be entered into between the recipient of the energy efficiency services and the provider of the energy efficiency services – an economic operator, which provides energy efficiency services or implements other energy efficiency improvement measures at the final </w:t>
      </w:r>
      <w:proofErr w:type="spellStart"/>
      <w:r>
        <w:rPr>
          <w:rFonts w:ascii="Times New Roman" w:hAnsi="Times New Roman"/>
          <w:sz w:val="24"/>
          <w:szCs w:val="24"/>
        </w:rPr>
        <w:t>customerʼs</w:t>
      </w:r>
      <w:proofErr w:type="spellEnd"/>
      <w:r>
        <w:rPr>
          <w:rFonts w:ascii="Times New Roman" w:hAnsi="Times New Roman"/>
          <w:sz w:val="24"/>
          <w:szCs w:val="24"/>
        </w:rPr>
        <w:t xml:space="preserve"> facilities or premises. If the recipient of an energy efficiency service is the State or local government, the respective contract shall be entered into for a period not exceeding 20 years.</w:t>
      </w:r>
    </w:p>
    <w:p w14:paraId="5F95268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 least the following information shall be included in an energy efficiency service contract:</w:t>
      </w:r>
    </w:p>
    <w:p w14:paraId="77F44230"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list of energy efficiency improvement measures to be implemented, implementation plan and cost </w:t>
      </w:r>
      <w:proofErr w:type="gramStart"/>
      <w:r>
        <w:rPr>
          <w:rFonts w:ascii="Times New Roman" w:hAnsi="Times New Roman"/>
          <w:sz w:val="24"/>
          <w:szCs w:val="24"/>
        </w:rPr>
        <w:t>estimate;</w:t>
      </w:r>
      <w:proofErr w:type="gramEnd"/>
    </w:p>
    <w:p w14:paraId="709C254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guaranteed energy savings that must be achieved by implementing the energy efficiency improvement measures laid down in the contract, and the terms for the identification </w:t>
      </w:r>
      <w:proofErr w:type="gramStart"/>
      <w:r>
        <w:rPr>
          <w:rFonts w:ascii="Times New Roman" w:hAnsi="Times New Roman"/>
          <w:sz w:val="24"/>
          <w:szCs w:val="24"/>
        </w:rPr>
        <w:t>thereof;</w:t>
      </w:r>
      <w:proofErr w:type="gramEnd"/>
    </w:p>
    <w:p w14:paraId="314EAF6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provisions for the achieved guaranteed savings measurements and their quality </w:t>
      </w:r>
      <w:proofErr w:type="gramStart"/>
      <w:r>
        <w:rPr>
          <w:rFonts w:ascii="Times New Roman" w:hAnsi="Times New Roman"/>
          <w:sz w:val="24"/>
          <w:szCs w:val="24"/>
        </w:rPr>
        <w:t>inspections;</w:t>
      </w:r>
      <w:proofErr w:type="gramEnd"/>
    </w:p>
    <w:p w14:paraId="32AB7BC0"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validity term of the contract and the terms for the submission of the interim report, conditions and terms of termination of the </w:t>
      </w:r>
      <w:proofErr w:type="gramStart"/>
      <w:r>
        <w:rPr>
          <w:rFonts w:ascii="Times New Roman" w:hAnsi="Times New Roman"/>
          <w:sz w:val="24"/>
          <w:szCs w:val="24"/>
        </w:rPr>
        <w:t>contract;</w:t>
      </w:r>
      <w:proofErr w:type="gramEnd"/>
    </w:p>
    <w:p w14:paraId="77B74838"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obligations of the contracting parties, including the obligation of the energy efficiency service provider, upon entering into a subcontracting agreement with third parties, to include in the agreement requirements that are equivalent to the concluded energy efficiency service contract, and sanctions in cases of the non-fulfilment thereof;</w:t>
      </w:r>
    </w:p>
    <w:p w14:paraId="4D5A7385"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procedures by which all changes in energy efficiency improvement measures, the implementation plan and cost estimate thereof made during the project shall be </w:t>
      </w:r>
      <w:proofErr w:type="gramStart"/>
      <w:r>
        <w:rPr>
          <w:rFonts w:ascii="Times New Roman" w:hAnsi="Times New Roman"/>
          <w:sz w:val="24"/>
          <w:szCs w:val="24"/>
        </w:rPr>
        <w:t>documented;</w:t>
      </w:r>
      <w:proofErr w:type="gramEnd"/>
    </w:p>
    <w:p w14:paraId="220E93CE"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the distribution of the </w:t>
      </w:r>
      <w:proofErr w:type="spellStart"/>
      <w:r>
        <w:rPr>
          <w:rFonts w:ascii="Times New Roman" w:hAnsi="Times New Roman"/>
          <w:sz w:val="24"/>
          <w:szCs w:val="24"/>
        </w:rPr>
        <w:t>projectʼs</w:t>
      </w:r>
      <w:proofErr w:type="spellEnd"/>
      <w:r>
        <w:rPr>
          <w:rFonts w:ascii="Times New Roman" w:hAnsi="Times New Roman"/>
          <w:sz w:val="24"/>
          <w:szCs w:val="24"/>
        </w:rPr>
        <w:t xml:space="preserve"> financial impact and the achieved money savings, including service provider's compensation, between the contracting </w:t>
      </w:r>
      <w:proofErr w:type="gramStart"/>
      <w:r>
        <w:rPr>
          <w:rFonts w:ascii="Times New Roman" w:hAnsi="Times New Roman"/>
          <w:sz w:val="24"/>
          <w:szCs w:val="24"/>
        </w:rPr>
        <w:t>parties;</w:t>
      </w:r>
      <w:proofErr w:type="gramEnd"/>
    </w:p>
    <w:p w14:paraId="2448FB30"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conditions that explain how to act in cases when changes of the basic conditions affect the content and the outcome of the contract (if energy prices, use intensity of the equipment change).</w:t>
      </w:r>
    </w:p>
    <w:p w14:paraId="1ED92081"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energy efficiency service costs may not be included in public service tariffs (prices).</w:t>
      </w:r>
    </w:p>
    <w:p w14:paraId="0AC0B3F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Energy efficiency services shall be provided in compliance with the following conditions:</w:t>
      </w:r>
    </w:p>
    <w:p w14:paraId="1DC46F3C" w14:textId="77777777" w:rsidR="00D90567" w:rsidRPr="00D90567" w:rsidRDefault="00D90567" w:rsidP="00426523">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energy efficiency service costs shall be covered with a part of the financial value of the energy efficiency improvement or energy savings that have arisen from the provision of the energy efficiency </w:t>
      </w:r>
      <w:proofErr w:type="gramStart"/>
      <w:r>
        <w:rPr>
          <w:rFonts w:ascii="Times New Roman" w:hAnsi="Times New Roman"/>
          <w:sz w:val="24"/>
          <w:szCs w:val="24"/>
        </w:rPr>
        <w:t>services;</w:t>
      </w:r>
      <w:proofErr w:type="gramEnd"/>
    </w:p>
    <w:p w14:paraId="13EC113D" w14:textId="77777777" w:rsidR="00D90567" w:rsidRPr="00D90567" w:rsidRDefault="00D90567" w:rsidP="00426523">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provider of the energy efficiency service shall bear the </w:t>
      </w:r>
      <w:proofErr w:type="spellStart"/>
      <w:r>
        <w:rPr>
          <w:rFonts w:ascii="Times New Roman" w:hAnsi="Times New Roman"/>
          <w:sz w:val="24"/>
          <w:szCs w:val="24"/>
        </w:rPr>
        <w:t>projectʼs</w:t>
      </w:r>
      <w:proofErr w:type="spellEnd"/>
      <w:r>
        <w:rPr>
          <w:rFonts w:ascii="Times New Roman" w:hAnsi="Times New Roman"/>
          <w:sz w:val="24"/>
          <w:szCs w:val="24"/>
        </w:rPr>
        <w:t xml:space="preserve"> financial, </w:t>
      </w:r>
      <w:proofErr w:type="gramStart"/>
      <w:r>
        <w:rPr>
          <w:rFonts w:ascii="Times New Roman" w:hAnsi="Times New Roman"/>
          <w:sz w:val="24"/>
          <w:szCs w:val="24"/>
        </w:rPr>
        <w:t>technical</w:t>
      </w:r>
      <w:proofErr w:type="gramEnd"/>
      <w:r>
        <w:rPr>
          <w:rFonts w:ascii="Times New Roman" w:hAnsi="Times New Roman"/>
          <w:sz w:val="24"/>
          <w:szCs w:val="24"/>
        </w:rPr>
        <w:t xml:space="preserve"> and commercial risks.</w:t>
      </w:r>
    </w:p>
    <w:p w14:paraId="625E0CB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Upon announcing a public procurement for </w:t>
      </w:r>
      <w:proofErr w:type="gramStart"/>
      <w:r>
        <w:rPr>
          <w:rFonts w:ascii="Times New Roman" w:hAnsi="Times New Roman"/>
          <w:sz w:val="24"/>
          <w:szCs w:val="24"/>
        </w:rPr>
        <w:t>entering into</w:t>
      </w:r>
      <w:proofErr w:type="gramEnd"/>
      <w:r>
        <w:rPr>
          <w:rFonts w:ascii="Times New Roman" w:hAnsi="Times New Roman"/>
          <w:sz w:val="24"/>
          <w:szCs w:val="24"/>
        </w:rPr>
        <w:t xml:space="preserve"> an energy efficiency service contract, the customer shall set requirements aimed at ensuring compliance of energy efficiency service contract with Paragraphs one, two and four of this Section.</w:t>
      </w:r>
    </w:p>
    <w:p w14:paraId="4D1B24EB"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Distribution operators and energy retailers shall comply with the principles of good commercial practice, including in relation to demand and provision of energy efficiency services or other energy efficiency improvement measures, and market development of such services or measures. The liability for anticompetitive practices shall be determined by the laws and regulations </w:t>
      </w:r>
      <w:proofErr w:type="gramStart"/>
      <w:r>
        <w:rPr>
          <w:rFonts w:ascii="Times New Roman" w:hAnsi="Times New Roman"/>
          <w:sz w:val="24"/>
          <w:szCs w:val="24"/>
        </w:rPr>
        <w:t>in the area of</w:t>
      </w:r>
      <w:proofErr w:type="gramEnd"/>
      <w:r>
        <w:rPr>
          <w:rFonts w:ascii="Times New Roman" w:hAnsi="Times New Roman"/>
          <w:sz w:val="24"/>
          <w:szCs w:val="24"/>
        </w:rPr>
        <w:t xml:space="preserve"> competition.</w:t>
      </w:r>
    </w:p>
    <w:p w14:paraId="1A785141"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38" w:name="n5"/>
      <w:bookmarkStart w:id="39" w:name="n-583899"/>
      <w:bookmarkEnd w:id="38"/>
      <w:bookmarkEnd w:id="39"/>
    </w:p>
    <w:p w14:paraId="2564340C" w14:textId="7F41CD92" w:rsidR="00D90567" w:rsidRPr="00D90567" w:rsidRDefault="00D90567" w:rsidP="004265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 Energy Efficiency Monitoring and Public Awareness</w:t>
      </w:r>
    </w:p>
    <w:p w14:paraId="52366A8B"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40" w:name="p15"/>
      <w:bookmarkStart w:id="41" w:name="p-734383"/>
      <w:bookmarkEnd w:id="40"/>
      <w:bookmarkEnd w:id="41"/>
    </w:p>
    <w:p w14:paraId="102D80B0" w14:textId="14D1DDCB"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Energy Efficiency Monitoring</w:t>
      </w:r>
    </w:p>
    <w:p w14:paraId="478C493D"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3CAE88A0" w14:textId="0CA24060"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responsible ministry shall establish an energy efficiency monitoring system (hereinafter – the system). The responsible institution shall ensure the energy efficiency monitoring, maintain the system, </w:t>
      </w:r>
      <w:proofErr w:type="gramStart"/>
      <w:r>
        <w:rPr>
          <w:rFonts w:ascii="Times New Roman" w:hAnsi="Times New Roman"/>
          <w:sz w:val="24"/>
          <w:szCs w:val="24"/>
        </w:rPr>
        <w:t>and also</w:t>
      </w:r>
      <w:proofErr w:type="gramEnd"/>
      <w:r>
        <w:rPr>
          <w:rFonts w:ascii="Times New Roman" w:hAnsi="Times New Roman"/>
          <w:sz w:val="24"/>
          <w:szCs w:val="24"/>
        </w:rPr>
        <w:t xml:space="preserve"> account the energy savings. The procedure for the operation and structure of the system shall be determined by the Cabinet.</w:t>
      </w:r>
    </w:p>
    <w:p w14:paraId="0EBC2DCE"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objective of the energy efficiency monitoring system is to compile and systematise information on all energy efficiency improvement measures that have been performed using the types of support referred to in Paragraph four of this Section, and on the results thereof, and also any other information related to energy efficiency improvement and to calculate the achieved energy savings in order to keep track of the achievement of the State energy savings indicative target or other energy efficiency targets and implementation of the National Energy and Climate Plan.</w:t>
      </w:r>
    </w:p>
    <w:p w14:paraId="6435FCD8"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institutions responsible for the granting of the financing shall determine the evaluation criteria and the energy efficiency performance indicators for the activities under their responsibility or energy consumption indicators of the project for those activities which are not directly aimed at improving energy efficiency, but promote it.</w:t>
      </w:r>
    </w:p>
    <w:p w14:paraId="0631CF7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project is implemented fully or partially using such types of support as payments from the State or local government budget, State or local government guarantees, loan interest rate subsidies, as well as other financial assistance that is granted or provided from the State, local government or the European Union budget funds and foreign financial assistance funds, and the evaluation criteria referred to in Paragraph three of this Section, energy efficiency improvement performance indicators or the obligation to report project energy consumption readings have been determined in it, then for the next three years after the implementation of the project the recipient of the financing shall each year provide information to the institution referred to in Paragraph three of this Section which is responsible for the granting of the financing in accordance with the contract entered into between the recipient of the financing and the institution responsible for the granting of the financing on the energy consumption of the respective facility before and after project implementation, with the exception, when a different reporting period has been determined in the contract concluded between the recipient of the financing and the institution responsible for the granting of the financing. The institution responsible for the granting of the financing shall summarise the received information and inform the responsible institution referred to in Section 4.</w:t>
      </w:r>
      <w:r>
        <w:rPr>
          <w:rFonts w:ascii="Times New Roman" w:hAnsi="Times New Roman"/>
          <w:sz w:val="24"/>
          <w:szCs w:val="24"/>
          <w:vertAlign w:val="superscript"/>
        </w:rPr>
        <w:t>1</w:t>
      </w:r>
      <w:r>
        <w:rPr>
          <w:rFonts w:ascii="Times New Roman" w:hAnsi="Times New Roman"/>
          <w:sz w:val="24"/>
          <w:szCs w:val="24"/>
        </w:rPr>
        <w:t>, Paragraph one of this Law.</w:t>
      </w:r>
    </w:p>
    <w:p w14:paraId="3FF1291A"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 30 April 2020</w:t>
      </w:r>
      <w:r>
        <w:rPr>
          <w:rFonts w:ascii="Times New Roman" w:hAnsi="Times New Roman"/>
          <w:sz w:val="24"/>
          <w:szCs w:val="24"/>
        </w:rPr>
        <w:t>]</w:t>
      </w:r>
    </w:p>
    <w:p w14:paraId="6BC868AB"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42" w:name="p16"/>
      <w:bookmarkStart w:id="43" w:name="p-734384"/>
      <w:bookmarkEnd w:id="42"/>
      <w:bookmarkEnd w:id="43"/>
    </w:p>
    <w:p w14:paraId="21C2A39D" w14:textId="6BE282FF" w:rsidR="00D90567" w:rsidRPr="00D90567" w:rsidRDefault="00D90567" w:rsidP="003E7A8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Provision of Information to Final Customers, Accounting of Energy Consumption</w:t>
      </w:r>
    </w:p>
    <w:p w14:paraId="60F78A6A"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430B775B" w14:textId="0264680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trader of electricity, gas or heat shall provide the final customer with an opportunity to receive the following free of charge:</w:t>
      </w:r>
    </w:p>
    <w:p w14:paraId="29EEB62D"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an invoice and invoice </w:t>
      </w:r>
      <w:proofErr w:type="gramStart"/>
      <w:r>
        <w:rPr>
          <w:rFonts w:ascii="Times New Roman" w:hAnsi="Times New Roman"/>
          <w:sz w:val="24"/>
          <w:szCs w:val="24"/>
        </w:rPr>
        <w:t>information;</w:t>
      </w:r>
      <w:proofErr w:type="gramEnd"/>
    </w:p>
    <w:p w14:paraId="45CFA733"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access to the energy consumption data of the final customer</w:t>
      </w:r>
    </w:p>
    <w:p w14:paraId="4A4E3AF9"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person, who ensures preparation and sending of invoice information on heat consumption accounted or calculated in separate premises (hereinafter – the invoice information) of a non-residential building in which heat is provided from a common source of heat or from a district heating system, is entitled to request recovery of the costs related to the preparation of the invoice information insofar as such costs are reasonable. Upon the request of final </w:t>
      </w:r>
      <w:proofErr w:type="gramStart"/>
      <w:r>
        <w:rPr>
          <w:rFonts w:ascii="Times New Roman" w:hAnsi="Times New Roman"/>
          <w:sz w:val="24"/>
          <w:szCs w:val="24"/>
        </w:rPr>
        <w:t>customers</w:t>
      </w:r>
      <w:proofErr w:type="gramEnd"/>
      <w:r>
        <w:rPr>
          <w:rFonts w:ascii="Times New Roman" w:hAnsi="Times New Roman"/>
          <w:sz w:val="24"/>
          <w:szCs w:val="24"/>
        </w:rPr>
        <w:t xml:space="preserve"> the validity of these costs shall be verified by the Consumer Rights Protection Centre.</w:t>
      </w:r>
    </w:p>
    <w:p w14:paraId="36394E6E"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system operator, upon installing a smart meter for the commercial accounting of electricity, shall provide the energy users with information on the options of the meter reading management and energy consumption monitoring.</w:t>
      </w:r>
    </w:p>
    <w:p w14:paraId="4F82A1F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system operator, taking into account the needs of energy users and the potential benefits, shall determine the minimum function of the smart meter for the commercial accounting of electricity, including the option to obtain information on the actual energy consumption during a particular use period.</w:t>
      </w:r>
    </w:p>
    <w:p w14:paraId="618D1A16"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[30 April 2020]</w:t>
      </w:r>
    </w:p>
    <w:p w14:paraId="7D2E9A27"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April 2020</w:t>
      </w:r>
      <w:r>
        <w:rPr>
          <w:rFonts w:ascii="Times New Roman" w:hAnsi="Times New Roman"/>
          <w:sz w:val="24"/>
          <w:szCs w:val="24"/>
        </w:rPr>
        <w:t>]</w:t>
      </w:r>
    </w:p>
    <w:p w14:paraId="1350D4CA" w14:textId="77777777" w:rsidR="00426523" w:rsidRDefault="00426523" w:rsidP="008754B3">
      <w:pPr>
        <w:spacing w:after="0" w:line="240" w:lineRule="auto"/>
        <w:jc w:val="both"/>
        <w:rPr>
          <w:rFonts w:ascii="Times New Roman" w:eastAsia="Times New Roman" w:hAnsi="Times New Roman" w:cs="Times New Roman"/>
          <w:b/>
          <w:bCs/>
          <w:noProof/>
          <w:sz w:val="24"/>
          <w:szCs w:val="24"/>
        </w:rPr>
      </w:pPr>
      <w:bookmarkStart w:id="44" w:name="p17"/>
      <w:bookmarkStart w:id="45" w:name="p-734385"/>
      <w:bookmarkEnd w:id="44"/>
      <w:bookmarkEnd w:id="45"/>
    </w:p>
    <w:p w14:paraId="7FDCB40A" w14:textId="29F41185" w:rsidR="00D90567" w:rsidRPr="00D90567" w:rsidRDefault="00D90567" w:rsidP="008754B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Administrative Liability for Violations of this Law</w:t>
      </w:r>
    </w:p>
    <w:p w14:paraId="50F3D6CC"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April 2020]</w:t>
      </w:r>
    </w:p>
    <w:p w14:paraId="5F68E083"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46" w:name="583905"/>
      <w:bookmarkEnd w:id="46"/>
    </w:p>
    <w:p w14:paraId="358430FE" w14:textId="1F000913" w:rsidR="00D90567" w:rsidRPr="00D90567" w:rsidRDefault="00D90567" w:rsidP="004265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7" w:name="pn-583905"/>
      <w:bookmarkEnd w:id="47"/>
    </w:p>
    <w:p w14:paraId="41A41CF3"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48" w:name="pn1"/>
      <w:bookmarkStart w:id="49" w:name="p-583907"/>
      <w:bookmarkEnd w:id="48"/>
      <w:bookmarkEnd w:id="49"/>
    </w:p>
    <w:p w14:paraId="2B5854CB" w14:textId="5579EDC9"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With the coming into force of this Law, the Energy End-use Efficiency Law </w:t>
      </w:r>
      <w:r w:rsidRPr="00711590">
        <w:rPr>
          <w:rFonts w:ascii="Times New Roman" w:hAnsi="Times New Roman"/>
          <w:i/>
          <w:iCs/>
          <w:sz w:val="24"/>
          <w:szCs w:val="24"/>
        </w:rPr>
        <w:t>(</w:t>
      </w:r>
      <w:proofErr w:type="spellStart"/>
      <w:r w:rsidRPr="00711590">
        <w:rPr>
          <w:rFonts w:ascii="Times New Roman" w:hAnsi="Times New Roman"/>
          <w:i/>
          <w:iCs/>
          <w:sz w:val="24"/>
          <w:szCs w:val="24"/>
        </w:rPr>
        <w:t>Latvijas</w:t>
      </w:r>
      <w:proofErr w:type="spellEnd"/>
      <w:r w:rsidRPr="00711590">
        <w:rPr>
          <w:rFonts w:ascii="Times New Roman" w:hAnsi="Times New Roman"/>
          <w:i/>
          <w:iCs/>
          <w:sz w:val="24"/>
          <w:szCs w:val="24"/>
        </w:rPr>
        <w:t xml:space="preserve"> </w:t>
      </w:r>
      <w:proofErr w:type="spellStart"/>
      <w:r w:rsidRPr="00711590">
        <w:rPr>
          <w:rFonts w:ascii="Times New Roman" w:hAnsi="Times New Roman"/>
          <w:i/>
          <w:iCs/>
          <w:sz w:val="24"/>
          <w:szCs w:val="24"/>
        </w:rPr>
        <w:t>Vēstnesis</w:t>
      </w:r>
      <w:proofErr w:type="spellEnd"/>
      <w:r>
        <w:rPr>
          <w:rFonts w:ascii="Times New Roman" w:hAnsi="Times New Roman"/>
          <w:sz w:val="24"/>
          <w:szCs w:val="24"/>
        </w:rPr>
        <w:t>, 2010, No. 27; 2011, No. 148; 2013, No. 194) is repealed.</w:t>
      </w:r>
    </w:p>
    <w:p w14:paraId="60AF366D"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50" w:name="p-583908"/>
      <w:bookmarkEnd w:id="50"/>
    </w:p>
    <w:p w14:paraId="76B9C563" w14:textId="4FF76374"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issue the Regulations referred to in Section 5, Paragraphs four and five, Section 6, Paragraphs two, five, six, seven and eight, Section 7, Paragraph six, Section 8, Paragraph three, Section 9, Paragraph five, Section 10, Paragraphs six and seven, Section 12, Paragraphs four, six and nine, Section 13, Paragraph three, Section 15, Paragraph one of this Law by 1 October 2016.</w:t>
      </w:r>
      <w:bookmarkStart w:id="51" w:name="pn2"/>
      <w:bookmarkEnd w:id="51"/>
    </w:p>
    <w:p w14:paraId="58F2E9EB"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52" w:name="p-583909"/>
      <w:bookmarkEnd w:id="52"/>
    </w:p>
    <w:p w14:paraId="4FD65868" w14:textId="3CC7D2E8"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the day of coming into force of the Cabinet Regulation referred to in Clause 2 of these Transitional Provisions, but not later than by 30 September 2016, the following Cabinet Regulations shall be applied insofar as they are not in contradiction to this Law:</w:t>
      </w:r>
      <w:bookmarkStart w:id="53" w:name="pn3"/>
      <w:bookmarkEnd w:id="53"/>
    </w:p>
    <w:p w14:paraId="6D0A67EB"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Cabinet Regulation No. 555 of 12 July 2011, Regulations Regarding the Procedures for Entering into and Supervision of an Agreement Regarding Energy Efficiency </w:t>
      </w:r>
      <w:proofErr w:type="gramStart"/>
      <w:r>
        <w:rPr>
          <w:rFonts w:ascii="Times New Roman" w:hAnsi="Times New Roman"/>
          <w:sz w:val="24"/>
          <w:szCs w:val="24"/>
        </w:rPr>
        <w:t>Improvement;</w:t>
      </w:r>
      <w:proofErr w:type="gramEnd"/>
    </w:p>
    <w:p w14:paraId="43418FEB"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Cabinet Regulation No. 138 of 12 March 2013, Regulations Regarding Industrial Energy </w:t>
      </w:r>
      <w:proofErr w:type="gramStart"/>
      <w:r>
        <w:rPr>
          <w:rFonts w:ascii="Times New Roman" w:hAnsi="Times New Roman"/>
          <w:sz w:val="24"/>
          <w:szCs w:val="24"/>
        </w:rPr>
        <w:t>Audit;</w:t>
      </w:r>
      <w:proofErr w:type="gramEnd"/>
    </w:p>
    <w:p w14:paraId="453AF36D" w14:textId="77777777"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 No. 923 of 30 September 2010, Procedures by Which State Energy End-use Savings Shall Be Measured and the Operation of the Energy Efficiency Monitoring System Shall Be Ensured.</w:t>
      </w:r>
    </w:p>
    <w:p w14:paraId="20AC5F55"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54" w:name="p-583910"/>
      <w:bookmarkEnd w:id="54"/>
    </w:p>
    <w:p w14:paraId="01997A43" w14:textId="0DB2D545"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introduction of the system referred to in Section 5, Paragraph two of this Law shall be ensured by 1 April 2017.</w:t>
      </w:r>
      <w:bookmarkStart w:id="55" w:name="pn4"/>
      <w:bookmarkEnd w:id="55"/>
    </w:p>
    <w:p w14:paraId="057A2FD6"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56" w:name="p-583911"/>
      <w:bookmarkEnd w:id="56"/>
    </w:p>
    <w:p w14:paraId="77F411C3" w14:textId="0FD1FA40"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Institutions and local governments of municipalities which on the day of coming into force of this Law meet the criteria referred to in Section 5, Paragraph three of this Law, shall ensure introduction of the energy management system by 1 November 2017.</w:t>
      </w:r>
      <w:bookmarkStart w:id="57" w:name="pn5"/>
      <w:bookmarkEnd w:id="57"/>
    </w:p>
    <w:p w14:paraId="32D3E708"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58" w:name="p-583912"/>
      <w:bookmarkEnd w:id="58"/>
    </w:p>
    <w:p w14:paraId="695A533C" w14:textId="3B89DC44"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requirements of Section 6, Paragraph six of this Law shall be applied as of 1 January 2017.</w:t>
      </w:r>
      <w:bookmarkStart w:id="59" w:name="pn6"/>
      <w:bookmarkEnd w:id="59"/>
    </w:p>
    <w:p w14:paraId="390B1FA5"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60" w:name="p-583913"/>
      <w:bookmarkEnd w:id="60"/>
    </w:p>
    <w:p w14:paraId="493811AB" w14:textId="0652FEF1"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Until 1 July 2016 the Cabinet shall approve the policy measure plan referred to in Section 4, Paragraph three of this Law.</w:t>
      </w:r>
      <w:bookmarkStart w:id="61" w:name="pn7"/>
      <w:bookmarkEnd w:id="61"/>
    </w:p>
    <w:p w14:paraId="2A645DCC"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62" w:name="p-583914"/>
      <w:bookmarkEnd w:id="62"/>
    </w:p>
    <w:p w14:paraId="070AA40B" w14:textId="7AC9CA5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large enterprise shall conduct the energy audit referred to in Section 10, Paragraph five of this Law by 31 March 2017.</w:t>
      </w:r>
      <w:bookmarkStart w:id="63" w:name="pn8"/>
      <w:bookmarkEnd w:id="63"/>
    </w:p>
    <w:p w14:paraId="2F46ABD9"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64" w:name="p-583915"/>
      <w:bookmarkEnd w:id="64"/>
    </w:p>
    <w:p w14:paraId="3E43E215" w14:textId="676F2E0E"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energy efficiency improvement measures referred to in Section 10, Paragraph eight of this Law shall be implemented by 1 April 2020, but the energy efficiency improvement measures referred to in Section 12, Paragraph seven – by 1 April 2022.</w:t>
      </w:r>
      <w:bookmarkStart w:id="65" w:name="pn9"/>
      <w:bookmarkEnd w:id="65"/>
    </w:p>
    <w:p w14:paraId="159349B2"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66" w:name="pn10"/>
      <w:bookmarkStart w:id="67" w:name="p-583916"/>
      <w:bookmarkEnd w:id="66"/>
      <w:bookmarkEnd w:id="67"/>
    </w:p>
    <w:p w14:paraId="4D452049" w14:textId="453B78BA"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large electricity consumer shall introduce the system referred to in Section 12, Paragraph two of this Law, shall supplement the system referred to in Paragraph three or conduct the first energy audit referred to in Paragraph five by 1 April 2018.</w:t>
      </w:r>
    </w:p>
    <w:p w14:paraId="759C6293"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68" w:name="pn10.1"/>
      <w:bookmarkStart w:id="69" w:name="p-689355"/>
      <w:bookmarkEnd w:id="68"/>
      <w:bookmarkEnd w:id="69"/>
    </w:p>
    <w:p w14:paraId="6FF4767F" w14:textId="4E7EE823"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The large electricity consumer who has failed to comply with the deadline referred to in Paragraph 10 of the Transitional Provisions of this Law and has failed to pay the calculated energy efficiency duty imposed thereon has the right to receive support in the form of a reduction of or exemption from the energy efficiency duty, if it fulfils the obligations referred to in Section 12, Paragraph two, three or five of this Law until 15 May 2019.</w:t>
      </w:r>
    </w:p>
    <w:p w14:paraId="1072C825"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April 2019</w:t>
      </w:r>
      <w:r>
        <w:rPr>
          <w:rFonts w:ascii="Times New Roman" w:hAnsi="Times New Roman"/>
          <w:sz w:val="24"/>
          <w:szCs w:val="24"/>
        </w:rPr>
        <w:t>]</w:t>
      </w:r>
    </w:p>
    <w:p w14:paraId="12445D7E"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70" w:name="pn10.2"/>
      <w:bookmarkStart w:id="71" w:name="p-689356"/>
      <w:bookmarkEnd w:id="70"/>
      <w:bookmarkEnd w:id="71"/>
    </w:p>
    <w:p w14:paraId="1E74FD66" w14:textId="0B7E95C5"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2 </w:t>
      </w:r>
      <w:r>
        <w:rPr>
          <w:rFonts w:ascii="Times New Roman" w:hAnsi="Times New Roman"/>
          <w:sz w:val="24"/>
          <w:szCs w:val="24"/>
        </w:rPr>
        <w:t>The large electricity consumer who has failed to comply with the deadline referred to in Paragraph 10 of the Transitional Provisions of this Law and does not fulfil the obligations referred to in Section 12, Paragraph two, three or five of this Law until 15 May 2019 shall pay the calculated energy efficiency duty imposed thereon it by 15 June 2019.</w:t>
      </w:r>
    </w:p>
    <w:p w14:paraId="0929F040"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April 2019</w:t>
      </w:r>
      <w:r>
        <w:rPr>
          <w:rFonts w:ascii="Times New Roman" w:hAnsi="Times New Roman"/>
          <w:sz w:val="24"/>
          <w:szCs w:val="24"/>
        </w:rPr>
        <w:t>]</w:t>
      </w:r>
    </w:p>
    <w:p w14:paraId="59D5657B"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72" w:name="pn10.3"/>
      <w:bookmarkStart w:id="73" w:name="p-689357"/>
      <w:bookmarkEnd w:id="72"/>
      <w:bookmarkEnd w:id="73"/>
    </w:p>
    <w:p w14:paraId="28F27196" w14:textId="63C363B8"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3 </w:t>
      </w:r>
      <w:r>
        <w:rPr>
          <w:rFonts w:ascii="Times New Roman" w:hAnsi="Times New Roman"/>
          <w:sz w:val="24"/>
          <w:szCs w:val="24"/>
        </w:rPr>
        <w:t>The large electricity consumer who has failed to comply with the deadline referred to in Paragraph 10 of the Transitional Provisions of this Law and has paid the calculated energy efficiency duty imposed thereon has the right to receive aid for commercial activity in the form of the repayment of the paid energy efficiency duty, if it has fulfilled the obligations referred to Section 12, Paragraph two, three or five of this Law until 15 May 2019.</w:t>
      </w:r>
    </w:p>
    <w:p w14:paraId="77FC5304"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April 2019</w:t>
      </w:r>
      <w:r>
        <w:rPr>
          <w:rFonts w:ascii="Times New Roman" w:hAnsi="Times New Roman"/>
          <w:sz w:val="24"/>
          <w:szCs w:val="24"/>
        </w:rPr>
        <w:t>]</w:t>
      </w:r>
    </w:p>
    <w:p w14:paraId="0A22F1A8"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74" w:name="pn10.4"/>
      <w:bookmarkStart w:id="75" w:name="p-734386"/>
      <w:bookmarkEnd w:id="74"/>
      <w:bookmarkEnd w:id="75"/>
    </w:p>
    <w:p w14:paraId="2609C441" w14:textId="6AA2FF24"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4 </w:t>
      </w:r>
      <w:r>
        <w:rPr>
          <w:rFonts w:ascii="Times New Roman" w:hAnsi="Times New Roman"/>
          <w:sz w:val="24"/>
          <w:szCs w:val="24"/>
        </w:rPr>
        <w:t>The aid for commercial activity referred to in Paragraphs 10.</w:t>
      </w:r>
      <w:r>
        <w:rPr>
          <w:rFonts w:ascii="Times New Roman" w:hAnsi="Times New Roman"/>
          <w:sz w:val="24"/>
          <w:szCs w:val="24"/>
          <w:vertAlign w:val="superscript"/>
        </w:rPr>
        <w:t xml:space="preserve">1 </w:t>
      </w:r>
      <w:r>
        <w:rPr>
          <w:rFonts w:ascii="Times New Roman" w:hAnsi="Times New Roman"/>
          <w:sz w:val="24"/>
          <w:szCs w:val="24"/>
        </w:rPr>
        <w:t>and 10.</w:t>
      </w:r>
      <w:r>
        <w:rPr>
          <w:rFonts w:ascii="Times New Roman" w:hAnsi="Times New Roman"/>
          <w:sz w:val="24"/>
          <w:szCs w:val="24"/>
          <w:vertAlign w:val="superscript"/>
        </w:rPr>
        <w:t xml:space="preserve">3 </w:t>
      </w:r>
      <w:r>
        <w:rPr>
          <w:rFonts w:ascii="Times New Roman" w:hAnsi="Times New Roman"/>
          <w:sz w:val="24"/>
          <w:szCs w:val="24"/>
        </w:rPr>
        <w:t xml:space="preserve">of Transitional Provisions of this Law shall be granted to the large electricity consumer by the responsible institution as </w:t>
      </w:r>
      <w:r>
        <w:rPr>
          <w:rFonts w:ascii="Times New Roman" w:hAnsi="Times New Roman"/>
          <w:i/>
          <w:iCs/>
          <w:sz w:val="24"/>
          <w:szCs w:val="24"/>
        </w:rPr>
        <w:t xml:space="preserve">de minimis </w:t>
      </w:r>
      <w:r>
        <w:rPr>
          <w:rFonts w:ascii="Times New Roman" w:hAnsi="Times New Roman"/>
          <w:sz w:val="24"/>
          <w:szCs w:val="24"/>
        </w:rPr>
        <w:t xml:space="preserve">aid in conformity with the conditions of Commission Regulation (EU) No 1407/2013 of 18 December 2013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Commission Regulation (EU) No 1408/2013 of 18 December 2013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in the agriculture sector, Commission Regulation (EU) No 717/2014 of 27 June 2014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in the fishery and aquaculture sector, Commission Regulation (EU) No 360/2012 of 25 April 2012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granted to undertakings providing services of general economic interest, and the laws and regulations regarding the procedures for accounting and granting </w:t>
      </w:r>
      <w:r>
        <w:rPr>
          <w:rFonts w:ascii="Times New Roman" w:hAnsi="Times New Roman"/>
          <w:i/>
          <w:iCs/>
          <w:sz w:val="24"/>
          <w:szCs w:val="24"/>
        </w:rPr>
        <w:t>de minimis</w:t>
      </w:r>
      <w:r>
        <w:rPr>
          <w:rFonts w:ascii="Times New Roman" w:hAnsi="Times New Roman"/>
          <w:sz w:val="24"/>
          <w:szCs w:val="24"/>
        </w:rPr>
        <w:t xml:space="preserve"> aid.</w:t>
      </w:r>
    </w:p>
    <w:p w14:paraId="5FBAB892" w14:textId="77777777"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April 2020</w:t>
      </w:r>
      <w:r>
        <w:rPr>
          <w:rFonts w:ascii="Times New Roman" w:hAnsi="Times New Roman"/>
          <w:sz w:val="24"/>
          <w:szCs w:val="24"/>
        </w:rPr>
        <w:t>]</w:t>
      </w:r>
    </w:p>
    <w:p w14:paraId="271A4A6D"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76" w:name="p-710965"/>
      <w:bookmarkEnd w:id="76"/>
    </w:p>
    <w:p w14:paraId="19479368" w14:textId="799D6AE2"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[14 November 2019]</w:t>
      </w:r>
      <w:bookmarkStart w:id="77" w:name="pn11"/>
      <w:bookmarkEnd w:id="77"/>
    </w:p>
    <w:p w14:paraId="1A87D7EA"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78" w:name="p-583919"/>
      <w:bookmarkEnd w:id="78"/>
    </w:p>
    <w:p w14:paraId="69EEB281" w14:textId="36A607D9"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enterprise energy auditor in accordance with the procedures determined by the Cabinet shall by 31 January 2017 submit to the Ministry of Economics information on the number of those energy audits of enterprises and energy audits of the large enterprise that have been conducted until 31 December 2016.</w:t>
      </w:r>
      <w:bookmarkStart w:id="79" w:name="pn12"/>
      <w:bookmarkEnd w:id="79"/>
    </w:p>
    <w:p w14:paraId="1E32F8D6"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80" w:name="p-583920"/>
      <w:bookmarkEnd w:id="80"/>
    </w:p>
    <w:p w14:paraId="0542E1C6" w14:textId="6872FBCE"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responsible ministry shall prepare information on the State energy efficiency action plan and submit it to the European Commission by 30 April 2017 and by 30 April 2020.</w:t>
      </w:r>
      <w:bookmarkStart w:id="81" w:name="pn13"/>
      <w:bookmarkEnd w:id="81"/>
    </w:p>
    <w:p w14:paraId="00E6E5AC"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82" w:name="583921"/>
      <w:bookmarkEnd w:id="82"/>
    </w:p>
    <w:p w14:paraId="71DC1369" w14:textId="2480EBE8" w:rsidR="00D90567" w:rsidRPr="00D90567" w:rsidRDefault="00D90567" w:rsidP="004265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83" w:name="es-583921"/>
      <w:bookmarkEnd w:id="83"/>
    </w:p>
    <w:p w14:paraId="351AB570" w14:textId="77777777" w:rsidR="00426523" w:rsidRDefault="00426523" w:rsidP="008754B3">
      <w:pPr>
        <w:spacing w:after="0" w:line="240" w:lineRule="auto"/>
        <w:jc w:val="both"/>
        <w:rPr>
          <w:rFonts w:ascii="Times New Roman" w:eastAsia="Times New Roman" w:hAnsi="Times New Roman" w:cs="Times New Roman"/>
          <w:noProof/>
          <w:sz w:val="24"/>
          <w:szCs w:val="24"/>
        </w:rPr>
      </w:pPr>
      <w:bookmarkStart w:id="84" w:name="p2012"/>
      <w:bookmarkStart w:id="85" w:name="p-583922"/>
      <w:bookmarkEnd w:id="84"/>
      <w:bookmarkEnd w:id="85"/>
    </w:p>
    <w:p w14:paraId="22E1A2F9" w14:textId="3505A86A" w:rsidR="00D90567" w:rsidRPr="00D90567" w:rsidRDefault="00D90567" w:rsidP="004265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 Directive 2012/27/EU of the European Parliament and of the Council of 25 October 2012 on energy efficiency, amending Directives 2009/125/EC and 2010/30/EU and repealing Directives 2004/8/EC and 2006/32/EC.</w:t>
      </w:r>
    </w:p>
    <w:p w14:paraId="3A3A36F3"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474B2E73"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4535FFCD" w14:textId="665ADFDE"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proofErr w:type="spellStart"/>
      <w:r>
        <w:rPr>
          <w:rFonts w:ascii="Times New Roman" w:hAnsi="Times New Roman"/>
          <w:i/>
          <w:sz w:val="24"/>
          <w:szCs w:val="24"/>
        </w:rPr>
        <w:t>Saeima</w:t>
      </w:r>
      <w:proofErr w:type="spellEnd"/>
      <w:r>
        <w:rPr>
          <w:rFonts w:ascii="Times New Roman" w:hAnsi="Times New Roman"/>
          <w:sz w:val="24"/>
          <w:szCs w:val="24"/>
        </w:rPr>
        <w:t xml:space="preserve"> on 3 March 2016.</w:t>
      </w:r>
    </w:p>
    <w:p w14:paraId="3A63B01B"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2FF57B96"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43A3310A" w14:textId="393E0B4C" w:rsidR="00D90567" w:rsidRPr="00D90567" w:rsidRDefault="00D90567" w:rsidP="008754B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Chairperson of the </w:t>
      </w:r>
      <w:proofErr w:type="spellStart"/>
      <w:r>
        <w:rPr>
          <w:rFonts w:ascii="Times New Roman" w:hAnsi="Times New Roman"/>
          <w:i/>
          <w:sz w:val="24"/>
          <w:szCs w:val="24"/>
        </w:rPr>
        <w:t>Saeima</w:t>
      </w:r>
      <w:proofErr w:type="spellEnd"/>
      <w:r w:rsidR="003E7A8A">
        <w:rPr>
          <w:rFonts w:ascii="Times New Roman" w:hAnsi="Times New Roman"/>
          <w:sz w:val="24"/>
          <w:szCs w:val="24"/>
        </w:rPr>
        <w:tab/>
      </w:r>
      <w:r w:rsidR="003E7A8A">
        <w:rPr>
          <w:rFonts w:ascii="Times New Roman" w:hAnsi="Times New Roman"/>
          <w:sz w:val="24"/>
          <w:szCs w:val="24"/>
        </w:rPr>
        <w:tab/>
      </w:r>
      <w:r w:rsidR="003E7A8A">
        <w:rPr>
          <w:rFonts w:ascii="Times New Roman" w:hAnsi="Times New Roman"/>
          <w:sz w:val="24"/>
          <w:szCs w:val="24"/>
        </w:rPr>
        <w:tab/>
      </w:r>
      <w:r w:rsidR="003E7A8A">
        <w:rPr>
          <w:rFonts w:ascii="Times New Roman" w:hAnsi="Times New Roman"/>
          <w:sz w:val="24"/>
          <w:szCs w:val="24"/>
        </w:rPr>
        <w:tab/>
      </w:r>
      <w:r w:rsidR="003E7A8A">
        <w:rPr>
          <w:rFonts w:ascii="Times New Roman" w:hAnsi="Times New Roman"/>
          <w:sz w:val="24"/>
          <w:szCs w:val="24"/>
        </w:rPr>
        <w:tab/>
      </w:r>
      <w:r>
        <w:rPr>
          <w:rFonts w:ascii="Times New Roman" w:hAnsi="Times New Roman"/>
          <w:sz w:val="24"/>
          <w:szCs w:val="24"/>
        </w:rPr>
        <w:t>I. </w:t>
      </w:r>
      <w:proofErr w:type="spellStart"/>
      <w:r>
        <w:rPr>
          <w:rFonts w:ascii="Times New Roman" w:hAnsi="Times New Roman"/>
          <w:sz w:val="24"/>
          <w:szCs w:val="24"/>
        </w:rPr>
        <w:t>Mūrniece</w:t>
      </w:r>
      <w:proofErr w:type="spellEnd"/>
    </w:p>
    <w:p w14:paraId="66CE56CD" w14:textId="77777777" w:rsidR="00426523" w:rsidRDefault="00426523" w:rsidP="008754B3">
      <w:pPr>
        <w:spacing w:after="0" w:line="240" w:lineRule="auto"/>
        <w:jc w:val="both"/>
        <w:rPr>
          <w:rFonts w:ascii="Times New Roman" w:eastAsia="Times New Roman" w:hAnsi="Times New Roman" w:cs="Times New Roman"/>
          <w:noProof/>
          <w:sz w:val="24"/>
          <w:szCs w:val="24"/>
          <w:lang w:val="en-US" w:eastAsia="lv-LV"/>
        </w:rPr>
      </w:pPr>
    </w:p>
    <w:p w14:paraId="669D371B" w14:textId="5F875B81" w:rsidR="00D90567" w:rsidRPr="00D90567" w:rsidRDefault="00D90567" w:rsidP="008754B3">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15 March 2016</w:t>
      </w:r>
    </w:p>
    <w:p w14:paraId="3857E4EB" w14:textId="14E4E8BE" w:rsidR="00D90567" w:rsidRDefault="00D90567" w:rsidP="008754B3">
      <w:pPr>
        <w:spacing w:after="0" w:line="240" w:lineRule="auto"/>
        <w:jc w:val="both"/>
        <w:rPr>
          <w:rFonts w:ascii="Times New Roman" w:hAnsi="Times New Roman" w:cs="Times New Roman"/>
          <w:noProof/>
          <w:sz w:val="24"/>
          <w:szCs w:val="24"/>
          <w:lang w:val="en-US"/>
        </w:rPr>
      </w:pPr>
    </w:p>
    <w:p w14:paraId="2CC17493" w14:textId="77777777" w:rsidR="00426523" w:rsidRPr="008754B3" w:rsidRDefault="00426523" w:rsidP="008754B3">
      <w:pPr>
        <w:spacing w:after="0" w:line="240" w:lineRule="auto"/>
        <w:jc w:val="both"/>
        <w:rPr>
          <w:rFonts w:ascii="Times New Roman" w:hAnsi="Times New Roman" w:cs="Times New Roman"/>
          <w:noProof/>
          <w:sz w:val="24"/>
          <w:szCs w:val="24"/>
          <w:lang w:val="en-US"/>
        </w:rPr>
      </w:pPr>
    </w:p>
    <w:sectPr w:rsidR="00426523" w:rsidRPr="008754B3" w:rsidSect="008754B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BA09" w14:textId="77777777" w:rsidR="00D90567" w:rsidRPr="00D90567" w:rsidRDefault="00D90567" w:rsidP="00D90567">
      <w:pPr>
        <w:spacing w:after="0" w:line="240" w:lineRule="auto"/>
        <w:rPr>
          <w:noProof/>
          <w:lang w:val="en-US"/>
        </w:rPr>
      </w:pPr>
      <w:r w:rsidRPr="00D90567">
        <w:rPr>
          <w:noProof/>
          <w:lang w:val="en-US"/>
        </w:rPr>
        <w:separator/>
      </w:r>
    </w:p>
  </w:endnote>
  <w:endnote w:type="continuationSeparator" w:id="0">
    <w:p w14:paraId="2526C867" w14:textId="77777777" w:rsidR="00D90567" w:rsidRPr="00D90567" w:rsidRDefault="00D90567" w:rsidP="00D90567">
      <w:pPr>
        <w:spacing w:after="0" w:line="240" w:lineRule="auto"/>
        <w:rPr>
          <w:noProof/>
          <w:lang w:val="en-US"/>
        </w:rPr>
      </w:pPr>
      <w:r w:rsidRPr="00D9056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9F29C" w14:textId="77777777" w:rsidR="004667B9" w:rsidRPr="001863C0" w:rsidRDefault="004667B9" w:rsidP="004667B9">
    <w:pPr>
      <w:pStyle w:val="Kjene"/>
      <w:rPr>
        <w:rFonts w:ascii="Times New Roman" w:hAnsi="Times New Roman"/>
        <w:sz w:val="20"/>
        <w:szCs w:val="20"/>
      </w:rPr>
    </w:pPr>
  </w:p>
  <w:p w14:paraId="393D330C" w14:textId="77777777" w:rsidR="004667B9" w:rsidRPr="001863C0" w:rsidRDefault="004667B9" w:rsidP="004667B9">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7BDC2E3E" w14:textId="39F08180" w:rsidR="004667B9" w:rsidRPr="001863C0" w:rsidRDefault="004667B9" w:rsidP="004667B9">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1</w:t>
    </w:r>
    <w:r w:rsidRPr="001863C0">
      <w:rPr>
        <w:rFonts w:ascii="Times New Roman" w:hAnsi="Times New Roman"/>
        <w:sz w:val="20"/>
        <w:szCs w:val="20"/>
      </w:rPr>
      <w:t xml:space="preserve"> </w:t>
    </w:r>
    <w:proofErr w:type="spellStart"/>
    <w:r w:rsidRPr="001863C0">
      <w:rPr>
        <w:rFonts w:ascii="Times New Roman" w:hAnsi="Times New Roman"/>
        <w:sz w:val="20"/>
        <w:szCs w:val="20"/>
      </w:rPr>
      <w:t>Valsts</w:t>
    </w:r>
    <w:proofErr w:type="spellEnd"/>
    <w:r w:rsidRPr="001863C0">
      <w:rPr>
        <w:rFonts w:ascii="Times New Roman" w:hAnsi="Times New Roman"/>
        <w:sz w:val="20"/>
        <w:szCs w:val="20"/>
      </w:rPr>
      <w:t xml:space="preserve"> </w:t>
    </w:r>
    <w:proofErr w:type="spellStart"/>
    <w:r w:rsidRPr="001863C0">
      <w:rPr>
        <w:rFonts w:ascii="Times New Roman" w:hAnsi="Times New Roman"/>
        <w:sz w:val="20"/>
        <w:szCs w:val="20"/>
      </w:rPr>
      <w:t>valodas</w:t>
    </w:r>
    <w:proofErr w:type="spellEnd"/>
    <w:r w:rsidRPr="001863C0">
      <w:rPr>
        <w:rFonts w:ascii="Times New Roman" w:hAnsi="Times New Roman"/>
        <w:sz w:val="20"/>
        <w:szCs w:val="20"/>
      </w:rPr>
      <w:t xml:space="preserve"> </w:t>
    </w:r>
    <w:proofErr w:type="spellStart"/>
    <w:r w:rsidRPr="001863C0">
      <w:rPr>
        <w:rFonts w:ascii="Times New Roman" w:hAnsi="Times New Roman"/>
        <w:sz w:val="20"/>
        <w:szCs w:val="20"/>
      </w:rPr>
      <w:t>centrs</w:t>
    </w:r>
    <w:proofErr w:type="spellEnd"/>
    <w:r w:rsidRPr="001863C0">
      <w:rPr>
        <w:rFonts w:ascii="Times New Roman" w:hAnsi="Times New Roman"/>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5E6A" w14:textId="77777777" w:rsidR="00C00284" w:rsidRPr="001863C0" w:rsidRDefault="00C00284" w:rsidP="00C00284">
    <w:pPr>
      <w:pStyle w:val="Kjene"/>
      <w:rPr>
        <w:rFonts w:ascii="Times New Roman" w:hAnsi="Times New Roman"/>
        <w:sz w:val="20"/>
        <w:szCs w:val="20"/>
        <w:vertAlign w:val="superscript"/>
      </w:rPr>
    </w:pPr>
    <w:bookmarkStart w:id="86" w:name="_Hlk4057576"/>
    <w:bookmarkStart w:id="87" w:name="_Hlk4057577"/>
  </w:p>
  <w:p w14:paraId="244DD3F6" w14:textId="77777777" w:rsidR="00C00284" w:rsidRPr="001863C0" w:rsidRDefault="00C00284" w:rsidP="00C00284">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58C95AD5" w14:textId="77777777" w:rsidR="00C00284" w:rsidRPr="001863C0" w:rsidRDefault="00C00284" w:rsidP="00C00284">
    <w:pPr>
      <w:pStyle w:val="Kjene"/>
      <w:rPr>
        <w:rFonts w:ascii="Times New Roman" w:hAnsi="Times New Roman"/>
        <w:sz w:val="20"/>
        <w:szCs w:val="20"/>
      </w:rPr>
    </w:pPr>
  </w:p>
  <w:p w14:paraId="3FAE8EBF" w14:textId="0601F6CF" w:rsidR="00C00284" w:rsidRPr="001863C0" w:rsidRDefault="00C00284" w:rsidP="00C00284">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1</w:t>
    </w:r>
    <w:r w:rsidRPr="001863C0">
      <w:rPr>
        <w:rFonts w:ascii="Times New Roman" w:hAnsi="Times New Roman"/>
        <w:sz w:val="20"/>
        <w:szCs w:val="20"/>
      </w:rPr>
      <w:t xml:space="preserve"> </w:t>
    </w:r>
    <w:proofErr w:type="spellStart"/>
    <w:r w:rsidRPr="001863C0">
      <w:rPr>
        <w:rFonts w:ascii="Times New Roman" w:hAnsi="Times New Roman"/>
        <w:sz w:val="20"/>
        <w:szCs w:val="20"/>
      </w:rPr>
      <w:t>Valsts</w:t>
    </w:r>
    <w:proofErr w:type="spellEnd"/>
    <w:r w:rsidRPr="001863C0">
      <w:rPr>
        <w:rFonts w:ascii="Times New Roman" w:hAnsi="Times New Roman"/>
        <w:sz w:val="20"/>
        <w:szCs w:val="20"/>
      </w:rPr>
      <w:t xml:space="preserve"> </w:t>
    </w:r>
    <w:proofErr w:type="spellStart"/>
    <w:r w:rsidRPr="001863C0">
      <w:rPr>
        <w:rFonts w:ascii="Times New Roman" w:hAnsi="Times New Roman"/>
        <w:sz w:val="20"/>
        <w:szCs w:val="20"/>
      </w:rPr>
      <w:t>valodas</w:t>
    </w:r>
    <w:proofErr w:type="spellEnd"/>
    <w:r w:rsidRPr="001863C0">
      <w:rPr>
        <w:rFonts w:ascii="Times New Roman" w:hAnsi="Times New Roman"/>
        <w:sz w:val="20"/>
        <w:szCs w:val="20"/>
      </w:rPr>
      <w:t xml:space="preserve"> </w:t>
    </w:r>
    <w:proofErr w:type="spellStart"/>
    <w:r w:rsidRPr="001863C0">
      <w:rPr>
        <w:rFonts w:ascii="Times New Roman" w:hAnsi="Times New Roman"/>
        <w:sz w:val="20"/>
        <w:szCs w:val="20"/>
      </w:rPr>
      <w:t>centrs</w:t>
    </w:r>
    <w:proofErr w:type="spellEnd"/>
    <w:r w:rsidRPr="001863C0">
      <w:rPr>
        <w:rFonts w:ascii="Times New Roman" w:hAnsi="Times New Roman"/>
        <w:sz w:val="20"/>
        <w:szCs w:val="20"/>
      </w:rPr>
      <w:t xml:space="preserve"> (State Language Centre)</w:t>
    </w:r>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189FA" w14:textId="77777777" w:rsidR="00D90567" w:rsidRPr="00D90567" w:rsidRDefault="00D90567" w:rsidP="00D90567">
      <w:pPr>
        <w:spacing w:after="0" w:line="240" w:lineRule="auto"/>
        <w:rPr>
          <w:noProof/>
          <w:lang w:val="en-US"/>
        </w:rPr>
      </w:pPr>
      <w:r w:rsidRPr="00D90567">
        <w:rPr>
          <w:noProof/>
          <w:lang w:val="en-US"/>
        </w:rPr>
        <w:separator/>
      </w:r>
    </w:p>
  </w:footnote>
  <w:footnote w:type="continuationSeparator" w:id="0">
    <w:p w14:paraId="2F2B1928" w14:textId="77777777" w:rsidR="00D90567" w:rsidRPr="00D90567" w:rsidRDefault="00D90567" w:rsidP="00D90567">
      <w:pPr>
        <w:spacing w:after="0" w:line="240" w:lineRule="auto"/>
        <w:rPr>
          <w:noProof/>
          <w:lang w:val="en-US"/>
        </w:rPr>
      </w:pPr>
      <w:r w:rsidRPr="00D9056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C0"/>
    <w:rsid w:val="0009240C"/>
    <w:rsid w:val="002326EA"/>
    <w:rsid w:val="003E7A8A"/>
    <w:rsid w:val="00426523"/>
    <w:rsid w:val="004667B9"/>
    <w:rsid w:val="00530540"/>
    <w:rsid w:val="00711590"/>
    <w:rsid w:val="008754B3"/>
    <w:rsid w:val="008C098D"/>
    <w:rsid w:val="009D24C0"/>
    <w:rsid w:val="00C00284"/>
    <w:rsid w:val="00D35868"/>
    <w:rsid w:val="00D90567"/>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267A"/>
  <w15:chartTrackingRefBased/>
  <w15:docId w15:val="{BA227080-4A2D-421D-93EE-0C2DCE31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905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90567"/>
    <w:rPr>
      <w:color w:val="0000FF"/>
      <w:u w:val="single"/>
    </w:rPr>
  </w:style>
  <w:style w:type="character" w:customStyle="1" w:styleId="fontsize2">
    <w:name w:val="fontsize2"/>
    <w:basedOn w:val="Noklusjumarindkopasfonts"/>
    <w:rsid w:val="00D90567"/>
  </w:style>
  <w:style w:type="paragraph" w:customStyle="1" w:styleId="labojumupamats">
    <w:name w:val="labojumu_pamats"/>
    <w:basedOn w:val="Parasts"/>
    <w:rsid w:val="00D905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905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0567"/>
  </w:style>
  <w:style w:type="paragraph" w:styleId="Kjene">
    <w:name w:val="footer"/>
    <w:basedOn w:val="Parasts"/>
    <w:link w:val="KjeneRakstz"/>
    <w:unhideWhenUsed/>
    <w:rsid w:val="00D90567"/>
    <w:pPr>
      <w:tabs>
        <w:tab w:val="center" w:pos="4153"/>
        <w:tab w:val="right" w:pos="8306"/>
      </w:tabs>
      <w:spacing w:after="0" w:line="240" w:lineRule="auto"/>
    </w:pPr>
  </w:style>
  <w:style w:type="character" w:customStyle="1" w:styleId="KjeneRakstz">
    <w:name w:val="Kājene Rakstz."/>
    <w:basedOn w:val="Noklusjumarindkopasfonts"/>
    <w:link w:val="Kjene"/>
    <w:rsid w:val="00D90567"/>
  </w:style>
  <w:style w:type="paragraph" w:styleId="Tekstabloks">
    <w:name w:val="Block Text"/>
    <w:basedOn w:val="Parasts"/>
    <w:rsid w:val="00D3586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46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892806">
      <w:bodyDiv w:val="1"/>
      <w:marLeft w:val="0"/>
      <w:marRight w:val="0"/>
      <w:marTop w:val="0"/>
      <w:marBottom w:val="0"/>
      <w:divBdr>
        <w:top w:val="none" w:sz="0" w:space="0" w:color="auto"/>
        <w:left w:val="none" w:sz="0" w:space="0" w:color="auto"/>
        <w:bottom w:val="none" w:sz="0" w:space="0" w:color="auto"/>
        <w:right w:val="none" w:sz="0" w:space="0" w:color="auto"/>
      </w:divBdr>
      <w:divsChild>
        <w:div w:id="1952935936">
          <w:marLeft w:val="0"/>
          <w:marRight w:val="0"/>
          <w:marTop w:val="0"/>
          <w:marBottom w:val="0"/>
          <w:divBdr>
            <w:top w:val="none" w:sz="0" w:space="0" w:color="auto"/>
            <w:left w:val="none" w:sz="0" w:space="0" w:color="auto"/>
            <w:bottom w:val="none" w:sz="0" w:space="0" w:color="auto"/>
            <w:right w:val="none" w:sz="0" w:space="0" w:color="auto"/>
          </w:divBdr>
          <w:divsChild>
            <w:div w:id="1427186965">
              <w:marLeft w:val="0"/>
              <w:marRight w:val="0"/>
              <w:marTop w:val="0"/>
              <w:marBottom w:val="0"/>
              <w:divBdr>
                <w:top w:val="none" w:sz="0" w:space="0" w:color="auto"/>
                <w:left w:val="none" w:sz="0" w:space="0" w:color="auto"/>
                <w:bottom w:val="none" w:sz="0" w:space="0" w:color="auto"/>
                <w:right w:val="none" w:sz="0" w:space="0" w:color="auto"/>
              </w:divBdr>
            </w:div>
            <w:div w:id="708531926">
              <w:marLeft w:val="0"/>
              <w:marRight w:val="0"/>
              <w:marTop w:val="0"/>
              <w:marBottom w:val="0"/>
              <w:divBdr>
                <w:top w:val="none" w:sz="0" w:space="0" w:color="auto"/>
                <w:left w:val="none" w:sz="0" w:space="0" w:color="auto"/>
                <w:bottom w:val="none" w:sz="0" w:space="0" w:color="auto"/>
                <w:right w:val="none" w:sz="0" w:space="0" w:color="auto"/>
              </w:divBdr>
            </w:div>
            <w:div w:id="2139377405">
              <w:marLeft w:val="0"/>
              <w:marRight w:val="0"/>
              <w:marTop w:val="0"/>
              <w:marBottom w:val="0"/>
              <w:divBdr>
                <w:top w:val="none" w:sz="0" w:space="0" w:color="auto"/>
                <w:left w:val="none" w:sz="0" w:space="0" w:color="auto"/>
                <w:bottom w:val="none" w:sz="0" w:space="0" w:color="auto"/>
                <w:right w:val="none" w:sz="0" w:space="0" w:color="auto"/>
              </w:divBdr>
            </w:div>
            <w:div w:id="1316299259">
              <w:marLeft w:val="0"/>
              <w:marRight w:val="0"/>
              <w:marTop w:val="0"/>
              <w:marBottom w:val="0"/>
              <w:divBdr>
                <w:top w:val="none" w:sz="0" w:space="0" w:color="auto"/>
                <w:left w:val="none" w:sz="0" w:space="0" w:color="auto"/>
                <w:bottom w:val="none" w:sz="0" w:space="0" w:color="auto"/>
                <w:right w:val="none" w:sz="0" w:space="0" w:color="auto"/>
              </w:divBdr>
            </w:div>
            <w:div w:id="1025059773">
              <w:marLeft w:val="0"/>
              <w:marRight w:val="0"/>
              <w:marTop w:val="0"/>
              <w:marBottom w:val="0"/>
              <w:divBdr>
                <w:top w:val="none" w:sz="0" w:space="0" w:color="auto"/>
                <w:left w:val="none" w:sz="0" w:space="0" w:color="auto"/>
                <w:bottom w:val="none" w:sz="0" w:space="0" w:color="auto"/>
                <w:right w:val="none" w:sz="0" w:space="0" w:color="auto"/>
              </w:divBdr>
            </w:div>
            <w:div w:id="2108038081">
              <w:marLeft w:val="0"/>
              <w:marRight w:val="0"/>
              <w:marTop w:val="0"/>
              <w:marBottom w:val="0"/>
              <w:divBdr>
                <w:top w:val="none" w:sz="0" w:space="0" w:color="auto"/>
                <w:left w:val="none" w:sz="0" w:space="0" w:color="auto"/>
                <w:bottom w:val="none" w:sz="0" w:space="0" w:color="auto"/>
                <w:right w:val="none" w:sz="0" w:space="0" w:color="auto"/>
              </w:divBdr>
            </w:div>
            <w:div w:id="1161386656">
              <w:marLeft w:val="0"/>
              <w:marRight w:val="0"/>
              <w:marTop w:val="0"/>
              <w:marBottom w:val="0"/>
              <w:divBdr>
                <w:top w:val="none" w:sz="0" w:space="0" w:color="auto"/>
                <w:left w:val="none" w:sz="0" w:space="0" w:color="auto"/>
                <w:bottom w:val="none" w:sz="0" w:space="0" w:color="auto"/>
                <w:right w:val="none" w:sz="0" w:space="0" w:color="auto"/>
              </w:divBdr>
            </w:div>
            <w:div w:id="1284732002">
              <w:marLeft w:val="0"/>
              <w:marRight w:val="0"/>
              <w:marTop w:val="0"/>
              <w:marBottom w:val="0"/>
              <w:divBdr>
                <w:top w:val="none" w:sz="0" w:space="0" w:color="auto"/>
                <w:left w:val="none" w:sz="0" w:space="0" w:color="auto"/>
                <w:bottom w:val="none" w:sz="0" w:space="0" w:color="auto"/>
                <w:right w:val="none" w:sz="0" w:space="0" w:color="auto"/>
              </w:divBdr>
            </w:div>
            <w:div w:id="1927837582">
              <w:marLeft w:val="0"/>
              <w:marRight w:val="0"/>
              <w:marTop w:val="0"/>
              <w:marBottom w:val="0"/>
              <w:divBdr>
                <w:top w:val="none" w:sz="0" w:space="0" w:color="auto"/>
                <w:left w:val="none" w:sz="0" w:space="0" w:color="auto"/>
                <w:bottom w:val="none" w:sz="0" w:space="0" w:color="auto"/>
                <w:right w:val="none" w:sz="0" w:space="0" w:color="auto"/>
              </w:divBdr>
            </w:div>
            <w:div w:id="1092238530">
              <w:marLeft w:val="0"/>
              <w:marRight w:val="0"/>
              <w:marTop w:val="0"/>
              <w:marBottom w:val="0"/>
              <w:divBdr>
                <w:top w:val="none" w:sz="0" w:space="0" w:color="auto"/>
                <w:left w:val="none" w:sz="0" w:space="0" w:color="auto"/>
                <w:bottom w:val="none" w:sz="0" w:space="0" w:color="auto"/>
                <w:right w:val="none" w:sz="0" w:space="0" w:color="auto"/>
              </w:divBdr>
            </w:div>
            <w:div w:id="1971395880">
              <w:marLeft w:val="0"/>
              <w:marRight w:val="0"/>
              <w:marTop w:val="0"/>
              <w:marBottom w:val="0"/>
              <w:divBdr>
                <w:top w:val="none" w:sz="0" w:space="0" w:color="auto"/>
                <w:left w:val="none" w:sz="0" w:space="0" w:color="auto"/>
                <w:bottom w:val="none" w:sz="0" w:space="0" w:color="auto"/>
                <w:right w:val="none" w:sz="0" w:space="0" w:color="auto"/>
              </w:divBdr>
            </w:div>
            <w:div w:id="272909460">
              <w:marLeft w:val="0"/>
              <w:marRight w:val="0"/>
              <w:marTop w:val="0"/>
              <w:marBottom w:val="0"/>
              <w:divBdr>
                <w:top w:val="none" w:sz="0" w:space="0" w:color="auto"/>
                <w:left w:val="none" w:sz="0" w:space="0" w:color="auto"/>
                <w:bottom w:val="none" w:sz="0" w:space="0" w:color="auto"/>
                <w:right w:val="none" w:sz="0" w:space="0" w:color="auto"/>
              </w:divBdr>
            </w:div>
            <w:div w:id="1912690049">
              <w:marLeft w:val="0"/>
              <w:marRight w:val="0"/>
              <w:marTop w:val="0"/>
              <w:marBottom w:val="0"/>
              <w:divBdr>
                <w:top w:val="none" w:sz="0" w:space="0" w:color="auto"/>
                <w:left w:val="none" w:sz="0" w:space="0" w:color="auto"/>
                <w:bottom w:val="none" w:sz="0" w:space="0" w:color="auto"/>
                <w:right w:val="none" w:sz="0" w:space="0" w:color="auto"/>
              </w:divBdr>
            </w:div>
            <w:div w:id="1212159217">
              <w:marLeft w:val="0"/>
              <w:marRight w:val="0"/>
              <w:marTop w:val="0"/>
              <w:marBottom w:val="0"/>
              <w:divBdr>
                <w:top w:val="none" w:sz="0" w:space="0" w:color="auto"/>
                <w:left w:val="none" w:sz="0" w:space="0" w:color="auto"/>
                <w:bottom w:val="none" w:sz="0" w:space="0" w:color="auto"/>
                <w:right w:val="none" w:sz="0" w:space="0" w:color="auto"/>
              </w:divBdr>
            </w:div>
            <w:div w:id="1596355377">
              <w:marLeft w:val="0"/>
              <w:marRight w:val="0"/>
              <w:marTop w:val="0"/>
              <w:marBottom w:val="0"/>
              <w:divBdr>
                <w:top w:val="none" w:sz="0" w:space="0" w:color="auto"/>
                <w:left w:val="none" w:sz="0" w:space="0" w:color="auto"/>
                <w:bottom w:val="none" w:sz="0" w:space="0" w:color="auto"/>
                <w:right w:val="none" w:sz="0" w:space="0" w:color="auto"/>
              </w:divBdr>
            </w:div>
            <w:div w:id="1471052500">
              <w:marLeft w:val="0"/>
              <w:marRight w:val="0"/>
              <w:marTop w:val="0"/>
              <w:marBottom w:val="0"/>
              <w:divBdr>
                <w:top w:val="none" w:sz="0" w:space="0" w:color="auto"/>
                <w:left w:val="none" w:sz="0" w:space="0" w:color="auto"/>
                <w:bottom w:val="none" w:sz="0" w:space="0" w:color="auto"/>
                <w:right w:val="none" w:sz="0" w:space="0" w:color="auto"/>
              </w:divBdr>
            </w:div>
            <w:div w:id="957643559">
              <w:marLeft w:val="0"/>
              <w:marRight w:val="0"/>
              <w:marTop w:val="0"/>
              <w:marBottom w:val="0"/>
              <w:divBdr>
                <w:top w:val="none" w:sz="0" w:space="0" w:color="auto"/>
                <w:left w:val="none" w:sz="0" w:space="0" w:color="auto"/>
                <w:bottom w:val="none" w:sz="0" w:space="0" w:color="auto"/>
                <w:right w:val="none" w:sz="0" w:space="0" w:color="auto"/>
              </w:divBdr>
            </w:div>
            <w:div w:id="641425322">
              <w:marLeft w:val="0"/>
              <w:marRight w:val="0"/>
              <w:marTop w:val="0"/>
              <w:marBottom w:val="0"/>
              <w:divBdr>
                <w:top w:val="none" w:sz="0" w:space="0" w:color="auto"/>
                <w:left w:val="none" w:sz="0" w:space="0" w:color="auto"/>
                <w:bottom w:val="none" w:sz="0" w:space="0" w:color="auto"/>
                <w:right w:val="none" w:sz="0" w:space="0" w:color="auto"/>
              </w:divBdr>
            </w:div>
            <w:div w:id="874653806">
              <w:marLeft w:val="0"/>
              <w:marRight w:val="0"/>
              <w:marTop w:val="0"/>
              <w:marBottom w:val="0"/>
              <w:divBdr>
                <w:top w:val="none" w:sz="0" w:space="0" w:color="auto"/>
                <w:left w:val="none" w:sz="0" w:space="0" w:color="auto"/>
                <w:bottom w:val="none" w:sz="0" w:space="0" w:color="auto"/>
                <w:right w:val="none" w:sz="0" w:space="0" w:color="auto"/>
              </w:divBdr>
            </w:div>
            <w:div w:id="700253005">
              <w:marLeft w:val="0"/>
              <w:marRight w:val="0"/>
              <w:marTop w:val="0"/>
              <w:marBottom w:val="0"/>
              <w:divBdr>
                <w:top w:val="none" w:sz="0" w:space="0" w:color="auto"/>
                <w:left w:val="none" w:sz="0" w:space="0" w:color="auto"/>
                <w:bottom w:val="none" w:sz="0" w:space="0" w:color="auto"/>
                <w:right w:val="none" w:sz="0" w:space="0" w:color="auto"/>
              </w:divBdr>
            </w:div>
            <w:div w:id="504173229">
              <w:marLeft w:val="0"/>
              <w:marRight w:val="0"/>
              <w:marTop w:val="0"/>
              <w:marBottom w:val="0"/>
              <w:divBdr>
                <w:top w:val="none" w:sz="0" w:space="0" w:color="auto"/>
                <w:left w:val="none" w:sz="0" w:space="0" w:color="auto"/>
                <w:bottom w:val="none" w:sz="0" w:space="0" w:color="auto"/>
                <w:right w:val="none" w:sz="0" w:space="0" w:color="auto"/>
              </w:divBdr>
            </w:div>
            <w:div w:id="242108968">
              <w:marLeft w:val="0"/>
              <w:marRight w:val="0"/>
              <w:marTop w:val="0"/>
              <w:marBottom w:val="0"/>
              <w:divBdr>
                <w:top w:val="none" w:sz="0" w:space="0" w:color="auto"/>
                <w:left w:val="none" w:sz="0" w:space="0" w:color="auto"/>
                <w:bottom w:val="none" w:sz="0" w:space="0" w:color="auto"/>
                <w:right w:val="none" w:sz="0" w:space="0" w:color="auto"/>
              </w:divBdr>
            </w:div>
            <w:div w:id="238290303">
              <w:marLeft w:val="0"/>
              <w:marRight w:val="0"/>
              <w:marTop w:val="0"/>
              <w:marBottom w:val="0"/>
              <w:divBdr>
                <w:top w:val="none" w:sz="0" w:space="0" w:color="auto"/>
                <w:left w:val="none" w:sz="0" w:space="0" w:color="auto"/>
                <w:bottom w:val="none" w:sz="0" w:space="0" w:color="auto"/>
                <w:right w:val="none" w:sz="0" w:space="0" w:color="auto"/>
              </w:divBdr>
            </w:div>
            <w:div w:id="1700429139">
              <w:marLeft w:val="0"/>
              <w:marRight w:val="0"/>
              <w:marTop w:val="0"/>
              <w:marBottom w:val="0"/>
              <w:divBdr>
                <w:top w:val="none" w:sz="0" w:space="0" w:color="auto"/>
                <w:left w:val="none" w:sz="0" w:space="0" w:color="auto"/>
                <w:bottom w:val="none" w:sz="0" w:space="0" w:color="auto"/>
                <w:right w:val="none" w:sz="0" w:space="0" w:color="auto"/>
              </w:divBdr>
            </w:div>
            <w:div w:id="173763920">
              <w:marLeft w:val="0"/>
              <w:marRight w:val="0"/>
              <w:marTop w:val="0"/>
              <w:marBottom w:val="0"/>
              <w:divBdr>
                <w:top w:val="none" w:sz="0" w:space="0" w:color="auto"/>
                <w:left w:val="none" w:sz="0" w:space="0" w:color="auto"/>
                <w:bottom w:val="none" w:sz="0" w:space="0" w:color="auto"/>
                <w:right w:val="none" w:sz="0" w:space="0" w:color="auto"/>
              </w:divBdr>
            </w:div>
            <w:div w:id="1242059167">
              <w:marLeft w:val="0"/>
              <w:marRight w:val="0"/>
              <w:marTop w:val="0"/>
              <w:marBottom w:val="0"/>
              <w:divBdr>
                <w:top w:val="none" w:sz="0" w:space="0" w:color="auto"/>
                <w:left w:val="none" w:sz="0" w:space="0" w:color="auto"/>
                <w:bottom w:val="none" w:sz="0" w:space="0" w:color="auto"/>
                <w:right w:val="none" w:sz="0" w:space="0" w:color="auto"/>
              </w:divBdr>
            </w:div>
            <w:div w:id="1443262211">
              <w:marLeft w:val="0"/>
              <w:marRight w:val="0"/>
              <w:marTop w:val="0"/>
              <w:marBottom w:val="0"/>
              <w:divBdr>
                <w:top w:val="none" w:sz="0" w:space="0" w:color="auto"/>
                <w:left w:val="none" w:sz="0" w:space="0" w:color="auto"/>
                <w:bottom w:val="none" w:sz="0" w:space="0" w:color="auto"/>
                <w:right w:val="none" w:sz="0" w:space="0" w:color="auto"/>
              </w:divBdr>
            </w:div>
            <w:div w:id="1638217479">
              <w:marLeft w:val="0"/>
              <w:marRight w:val="0"/>
              <w:marTop w:val="0"/>
              <w:marBottom w:val="0"/>
              <w:divBdr>
                <w:top w:val="none" w:sz="0" w:space="0" w:color="auto"/>
                <w:left w:val="none" w:sz="0" w:space="0" w:color="auto"/>
                <w:bottom w:val="none" w:sz="0" w:space="0" w:color="auto"/>
                <w:right w:val="none" w:sz="0" w:space="0" w:color="auto"/>
              </w:divBdr>
            </w:div>
            <w:div w:id="366875851">
              <w:marLeft w:val="0"/>
              <w:marRight w:val="0"/>
              <w:marTop w:val="0"/>
              <w:marBottom w:val="0"/>
              <w:divBdr>
                <w:top w:val="none" w:sz="0" w:space="0" w:color="auto"/>
                <w:left w:val="none" w:sz="0" w:space="0" w:color="auto"/>
                <w:bottom w:val="none" w:sz="0" w:space="0" w:color="auto"/>
                <w:right w:val="none" w:sz="0" w:space="0" w:color="auto"/>
              </w:divBdr>
            </w:div>
            <w:div w:id="1336301951">
              <w:marLeft w:val="0"/>
              <w:marRight w:val="0"/>
              <w:marTop w:val="0"/>
              <w:marBottom w:val="0"/>
              <w:divBdr>
                <w:top w:val="none" w:sz="0" w:space="0" w:color="auto"/>
                <w:left w:val="none" w:sz="0" w:space="0" w:color="auto"/>
                <w:bottom w:val="none" w:sz="0" w:space="0" w:color="auto"/>
                <w:right w:val="none" w:sz="0" w:space="0" w:color="auto"/>
              </w:divBdr>
            </w:div>
            <w:div w:id="1926760546">
              <w:marLeft w:val="0"/>
              <w:marRight w:val="0"/>
              <w:marTop w:val="0"/>
              <w:marBottom w:val="0"/>
              <w:divBdr>
                <w:top w:val="none" w:sz="0" w:space="0" w:color="auto"/>
                <w:left w:val="none" w:sz="0" w:space="0" w:color="auto"/>
                <w:bottom w:val="none" w:sz="0" w:space="0" w:color="auto"/>
                <w:right w:val="none" w:sz="0" w:space="0" w:color="auto"/>
              </w:divBdr>
            </w:div>
            <w:div w:id="683091522">
              <w:marLeft w:val="0"/>
              <w:marRight w:val="0"/>
              <w:marTop w:val="0"/>
              <w:marBottom w:val="0"/>
              <w:divBdr>
                <w:top w:val="none" w:sz="0" w:space="0" w:color="auto"/>
                <w:left w:val="none" w:sz="0" w:space="0" w:color="auto"/>
                <w:bottom w:val="none" w:sz="0" w:space="0" w:color="auto"/>
                <w:right w:val="none" w:sz="0" w:space="0" w:color="auto"/>
              </w:divBdr>
            </w:div>
            <w:div w:id="1145854604">
              <w:marLeft w:val="0"/>
              <w:marRight w:val="0"/>
              <w:marTop w:val="0"/>
              <w:marBottom w:val="0"/>
              <w:divBdr>
                <w:top w:val="none" w:sz="0" w:space="0" w:color="auto"/>
                <w:left w:val="none" w:sz="0" w:space="0" w:color="auto"/>
                <w:bottom w:val="none" w:sz="0" w:space="0" w:color="auto"/>
                <w:right w:val="none" w:sz="0" w:space="0" w:color="auto"/>
              </w:divBdr>
            </w:div>
            <w:div w:id="1475296195">
              <w:marLeft w:val="0"/>
              <w:marRight w:val="0"/>
              <w:marTop w:val="0"/>
              <w:marBottom w:val="0"/>
              <w:divBdr>
                <w:top w:val="none" w:sz="0" w:space="0" w:color="auto"/>
                <w:left w:val="none" w:sz="0" w:space="0" w:color="auto"/>
                <w:bottom w:val="none" w:sz="0" w:space="0" w:color="auto"/>
                <w:right w:val="none" w:sz="0" w:space="0" w:color="auto"/>
              </w:divBdr>
            </w:div>
            <w:div w:id="1090466109">
              <w:marLeft w:val="0"/>
              <w:marRight w:val="0"/>
              <w:marTop w:val="0"/>
              <w:marBottom w:val="0"/>
              <w:divBdr>
                <w:top w:val="none" w:sz="0" w:space="0" w:color="auto"/>
                <w:left w:val="none" w:sz="0" w:space="0" w:color="auto"/>
                <w:bottom w:val="none" w:sz="0" w:space="0" w:color="auto"/>
                <w:right w:val="none" w:sz="0" w:space="0" w:color="auto"/>
              </w:divBdr>
            </w:div>
            <w:div w:id="76901248">
              <w:marLeft w:val="0"/>
              <w:marRight w:val="0"/>
              <w:marTop w:val="0"/>
              <w:marBottom w:val="0"/>
              <w:divBdr>
                <w:top w:val="none" w:sz="0" w:space="0" w:color="auto"/>
                <w:left w:val="none" w:sz="0" w:space="0" w:color="auto"/>
                <w:bottom w:val="none" w:sz="0" w:space="0" w:color="auto"/>
                <w:right w:val="none" w:sz="0" w:space="0" w:color="auto"/>
              </w:divBdr>
            </w:div>
            <w:div w:id="910307392">
              <w:marLeft w:val="0"/>
              <w:marRight w:val="0"/>
              <w:marTop w:val="0"/>
              <w:marBottom w:val="0"/>
              <w:divBdr>
                <w:top w:val="none" w:sz="0" w:space="0" w:color="auto"/>
                <w:left w:val="none" w:sz="0" w:space="0" w:color="auto"/>
                <w:bottom w:val="none" w:sz="0" w:space="0" w:color="auto"/>
                <w:right w:val="none" w:sz="0" w:space="0" w:color="auto"/>
              </w:divBdr>
            </w:div>
            <w:div w:id="723916221">
              <w:marLeft w:val="0"/>
              <w:marRight w:val="0"/>
              <w:marTop w:val="0"/>
              <w:marBottom w:val="0"/>
              <w:divBdr>
                <w:top w:val="none" w:sz="0" w:space="0" w:color="auto"/>
                <w:left w:val="none" w:sz="0" w:space="0" w:color="auto"/>
                <w:bottom w:val="none" w:sz="0" w:space="0" w:color="auto"/>
                <w:right w:val="none" w:sz="0" w:space="0" w:color="auto"/>
              </w:divBdr>
            </w:div>
            <w:div w:id="2055812113">
              <w:marLeft w:val="0"/>
              <w:marRight w:val="0"/>
              <w:marTop w:val="0"/>
              <w:marBottom w:val="0"/>
              <w:divBdr>
                <w:top w:val="none" w:sz="0" w:space="0" w:color="auto"/>
                <w:left w:val="none" w:sz="0" w:space="0" w:color="auto"/>
                <w:bottom w:val="none" w:sz="0" w:space="0" w:color="auto"/>
                <w:right w:val="none" w:sz="0" w:space="0" w:color="auto"/>
              </w:divBdr>
            </w:div>
            <w:div w:id="1954970570">
              <w:marLeft w:val="0"/>
              <w:marRight w:val="0"/>
              <w:marTop w:val="0"/>
              <w:marBottom w:val="0"/>
              <w:divBdr>
                <w:top w:val="none" w:sz="0" w:space="0" w:color="auto"/>
                <w:left w:val="none" w:sz="0" w:space="0" w:color="auto"/>
                <w:bottom w:val="none" w:sz="0" w:space="0" w:color="auto"/>
                <w:right w:val="none" w:sz="0" w:space="0" w:color="auto"/>
              </w:divBdr>
            </w:div>
            <w:div w:id="770710654">
              <w:marLeft w:val="0"/>
              <w:marRight w:val="0"/>
              <w:marTop w:val="0"/>
              <w:marBottom w:val="0"/>
              <w:divBdr>
                <w:top w:val="none" w:sz="0" w:space="0" w:color="auto"/>
                <w:left w:val="none" w:sz="0" w:space="0" w:color="auto"/>
                <w:bottom w:val="none" w:sz="0" w:space="0" w:color="auto"/>
                <w:right w:val="none" w:sz="0" w:space="0" w:color="auto"/>
              </w:divBdr>
            </w:div>
            <w:div w:id="749082770">
              <w:marLeft w:val="0"/>
              <w:marRight w:val="0"/>
              <w:marTop w:val="0"/>
              <w:marBottom w:val="0"/>
              <w:divBdr>
                <w:top w:val="none" w:sz="0" w:space="0" w:color="auto"/>
                <w:left w:val="none" w:sz="0" w:space="0" w:color="auto"/>
                <w:bottom w:val="none" w:sz="0" w:space="0" w:color="auto"/>
                <w:right w:val="none" w:sz="0" w:space="0" w:color="auto"/>
              </w:divBdr>
            </w:div>
            <w:div w:id="548342671">
              <w:marLeft w:val="0"/>
              <w:marRight w:val="0"/>
              <w:marTop w:val="0"/>
              <w:marBottom w:val="0"/>
              <w:divBdr>
                <w:top w:val="none" w:sz="0" w:space="0" w:color="auto"/>
                <w:left w:val="none" w:sz="0" w:space="0" w:color="auto"/>
                <w:bottom w:val="none" w:sz="0" w:space="0" w:color="auto"/>
                <w:right w:val="none" w:sz="0" w:space="0" w:color="auto"/>
              </w:divBdr>
            </w:div>
            <w:div w:id="1767311836">
              <w:marLeft w:val="0"/>
              <w:marRight w:val="0"/>
              <w:marTop w:val="0"/>
              <w:marBottom w:val="0"/>
              <w:divBdr>
                <w:top w:val="none" w:sz="0" w:space="0" w:color="auto"/>
                <w:left w:val="none" w:sz="0" w:space="0" w:color="auto"/>
                <w:bottom w:val="none" w:sz="0" w:space="0" w:color="auto"/>
                <w:right w:val="none" w:sz="0" w:space="0" w:color="auto"/>
              </w:divBdr>
            </w:div>
            <w:div w:id="1274172772">
              <w:marLeft w:val="0"/>
              <w:marRight w:val="0"/>
              <w:marTop w:val="0"/>
              <w:marBottom w:val="0"/>
              <w:divBdr>
                <w:top w:val="none" w:sz="0" w:space="0" w:color="auto"/>
                <w:left w:val="none" w:sz="0" w:space="0" w:color="auto"/>
                <w:bottom w:val="none" w:sz="0" w:space="0" w:color="auto"/>
                <w:right w:val="none" w:sz="0" w:space="0" w:color="auto"/>
              </w:divBdr>
            </w:div>
            <w:div w:id="1912616214">
              <w:marLeft w:val="0"/>
              <w:marRight w:val="0"/>
              <w:marTop w:val="0"/>
              <w:marBottom w:val="0"/>
              <w:divBdr>
                <w:top w:val="none" w:sz="0" w:space="0" w:color="auto"/>
                <w:left w:val="none" w:sz="0" w:space="0" w:color="auto"/>
                <w:bottom w:val="none" w:sz="0" w:space="0" w:color="auto"/>
                <w:right w:val="none" w:sz="0" w:space="0" w:color="auto"/>
              </w:divBdr>
            </w:div>
            <w:div w:id="753553784">
              <w:marLeft w:val="0"/>
              <w:marRight w:val="0"/>
              <w:marTop w:val="0"/>
              <w:marBottom w:val="0"/>
              <w:divBdr>
                <w:top w:val="none" w:sz="0" w:space="0" w:color="auto"/>
                <w:left w:val="none" w:sz="0" w:space="0" w:color="auto"/>
                <w:bottom w:val="none" w:sz="0" w:space="0" w:color="auto"/>
                <w:right w:val="none" w:sz="0" w:space="0" w:color="auto"/>
              </w:divBdr>
            </w:div>
            <w:div w:id="1793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E2B79-20A9-44B3-9292-4E37653B3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8A660-ACFF-4769-9B2D-FBECCE6B51DE}">
  <ds:schemaRefs>
    <ds:schemaRef ds:uri="http://schemas.microsoft.com/sharepoint/v3/contenttype/forms"/>
  </ds:schemaRefs>
</ds:datastoreItem>
</file>

<file path=customXml/itemProps3.xml><?xml version="1.0" encoding="utf-8"?>
<ds:datastoreItem xmlns:ds="http://schemas.openxmlformats.org/officeDocument/2006/customXml" ds:itemID="{11129775-BE46-4E2B-9987-719CBBB8EAFD}"/>
</file>

<file path=docProps/app.xml><?xml version="1.0" encoding="utf-8"?>
<Properties xmlns="http://schemas.openxmlformats.org/officeDocument/2006/extended-properties" xmlns:vt="http://schemas.openxmlformats.org/officeDocument/2006/docPropsVTypes">
  <Template>Normal</Template>
  <TotalTime>87</TotalTime>
  <Pages>15</Pages>
  <Words>33802</Words>
  <Characters>19268</Characters>
  <Application>Microsoft Office Word</Application>
  <DocSecurity>0</DocSecurity>
  <Lines>160</Lines>
  <Paragraphs>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2020-10-21T07:30:00Z</dcterms:created>
  <dcterms:modified xsi:type="dcterms:W3CDTF">2021-03-24T07:23:00Z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