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F918" w14:textId="77777777" w:rsidR="00E62252" w:rsidRPr="00E62252" w:rsidRDefault="00E62252" w:rsidP="00E62252">
      <w:pPr>
        <w:pStyle w:val="HeadingTable"/>
        <w:spacing w:before="0" w:after="0" w:line="240" w:lineRule="auto"/>
        <w:jc w:val="both"/>
        <w:rPr>
          <w:rFonts w:ascii="Times New Roman" w:hAnsi="Times New Roman"/>
          <w:noProof/>
          <w:color w:val="auto"/>
          <w:sz w:val="24"/>
          <w:lang w:val="en-US"/>
        </w:rPr>
      </w:pPr>
    </w:p>
    <w:p w14:paraId="63D5F09F" w14:textId="77777777" w:rsidR="00E62252" w:rsidRPr="00E62252" w:rsidRDefault="00E62252" w:rsidP="00E62252">
      <w:pPr>
        <w:pStyle w:val="HeadingTable"/>
        <w:spacing w:before="0" w:after="0" w:line="240" w:lineRule="auto"/>
        <w:jc w:val="left"/>
        <w:rPr>
          <w:rFonts w:ascii="Times New Roman" w:hAnsi="Times New Roman"/>
          <w:i w:val="0"/>
          <w:iCs/>
          <w:noProof/>
          <w:color w:val="auto"/>
          <w:sz w:val="32"/>
          <w:szCs w:val="28"/>
        </w:rPr>
      </w:pPr>
      <w:proofErr w:type="spellStart"/>
      <w:r>
        <w:rPr>
          <w:rFonts w:ascii="Times New Roman" w:hAnsi="Times New Roman"/>
          <w:b/>
          <w:iCs/>
          <w:color w:val="auto"/>
          <w:sz w:val="32"/>
        </w:rPr>
        <w:t>NIB</w:t>
      </w:r>
      <w:proofErr w:type="spellEnd"/>
      <w:r>
        <w:rPr>
          <w:rFonts w:ascii="Times New Roman" w:hAnsi="Times New Roman"/>
          <w:b/>
          <w:i w:val="0"/>
          <w:color w:val="auto"/>
          <w:sz w:val="32"/>
        </w:rPr>
        <w:t xml:space="preserve"> t</w:t>
      </w:r>
      <w:r>
        <w:rPr>
          <w:rFonts w:ascii="Times New Roman" w:hAnsi="Times New Roman"/>
          <w:i w:val="0"/>
          <w:color w:val="auto"/>
          <w:sz w:val="32"/>
        </w:rPr>
        <w:t>īkls</w:t>
      </w:r>
    </w:p>
    <w:p w14:paraId="217CFAFA" w14:textId="77777777" w:rsidR="00E62252" w:rsidRPr="00E62252" w:rsidRDefault="00E62252" w:rsidP="00E62252">
      <w:pPr>
        <w:pStyle w:val="HeadingTable"/>
        <w:spacing w:before="0" w:after="0" w:line="240" w:lineRule="auto"/>
        <w:jc w:val="left"/>
        <w:rPr>
          <w:rFonts w:ascii="Times New Roman" w:hAnsi="Times New Roman"/>
          <w:i w:val="0"/>
          <w:iCs/>
          <w:noProof/>
          <w:color w:val="auto"/>
          <w:sz w:val="24"/>
          <w:lang w:val="en-US"/>
        </w:rPr>
      </w:pPr>
    </w:p>
    <w:p w14:paraId="52B4FBEC" w14:textId="77777777" w:rsidR="00E62252" w:rsidRPr="00E62252" w:rsidRDefault="00E62252" w:rsidP="00E62252">
      <w:pPr>
        <w:pStyle w:val="HeadingTable"/>
        <w:spacing w:before="0" w:after="0" w:line="240" w:lineRule="auto"/>
        <w:jc w:val="left"/>
        <w:rPr>
          <w:rFonts w:ascii="Times New Roman" w:hAnsi="Times New Roman"/>
          <w:i w:val="0"/>
          <w:iCs/>
          <w:noProof/>
          <w:color w:val="auto"/>
          <w:sz w:val="24"/>
        </w:rPr>
      </w:pPr>
      <w:r>
        <w:rPr>
          <w:rFonts w:ascii="Times New Roman" w:hAnsi="Times New Roman"/>
          <w:i w:val="0"/>
          <w:color w:val="auto"/>
          <w:sz w:val="24"/>
        </w:rPr>
        <w:t>DZELZCEĻA SATIKSMES NEGADĪJUMU VALSTU IZMEKLĒŠANAS STRUKTŪRU EIROPAS TĪKLS</w:t>
      </w:r>
    </w:p>
    <w:p w14:paraId="043161EF" w14:textId="77777777" w:rsidR="00E62252" w:rsidRPr="00E62252" w:rsidRDefault="00E62252" w:rsidP="00E62252">
      <w:pPr>
        <w:pStyle w:val="HeadingTable"/>
        <w:spacing w:before="0" w:after="0" w:line="240" w:lineRule="auto"/>
        <w:jc w:val="both"/>
        <w:rPr>
          <w:rFonts w:ascii="Times New Roman" w:hAnsi="Times New Roman"/>
          <w:noProof/>
          <w:color w:val="auto"/>
          <w:sz w:val="24"/>
          <w:lang w:val="en-US"/>
        </w:rPr>
      </w:pPr>
    </w:p>
    <w:p w14:paraId="7586AF17" w14:textId="77777777" w:rsidR="00E62252" w:rsidRPr="00E62252" w:rsidRDefault="00E62252" w:rsidP="00E62252">
      <w:pPr>
        <w:pStyle w:val="HeadingTable"/>
        <w:tabs>
          <w:tab w:val="left" w:leader="underscore" w:pos="9072"/>
        </w:tabs>
        <w:spacing w:before="0" w:after="0" w:line="240" w:lineRule="auto"/>
        <w:jc w:val="both"/>
        <w:rPr>
          <w:rFonts w:ascii="Times New Roman" w:hAnsi="Times New Roman"/>
          <w:noProof/>
          <w:color w:val="auto"/>
          <w:sz w:val="24"/>
        </w:rPr>
      </w:pPr>
      <w:r>
        <w:rPr>
          <w:rFonts w:ascii="Times New Roman" w:hAnsi="Times New Roman"/>
          <w:color w:val="auto"/>
          <w:sz w:val="24"/>
        </w:rPr>
        <w:tab/>
      </w:r>
    </w:p>
    <w:p w14:paraId="4AF7F812" w14:textId="77777777" w:rsidR="00E62252" w:rsidRPr="00E62252" w:rsidRDefault="00E62252" w:rsidP="00E62252">
      <w:pPr>
        <w:pStyle w:val="HeadingTable"/>
        <w:spacing w:before="0" w:after="0" w:line="240" w:lineRule="auto"/>
        <w:jc w:val="both"/>
        <w:rPr>
          <w:rFonts w:ascii="Times New Roman" w:hAnsi="Times New Roman"/>
          <w:noProof/>
          <w:color w:val="auto"/>
          <w:sz w:val="24"/>
          <w:lang w:val="en-US"/>
        </w:rPr>
      </w:pPr>
    </w:p>
    <w:p w14:paraId="25F4A7FA" w14:textId="77777777" w:rsidR="00E62252" w:rsidRPr="00E62252" w:rsidRDefault="00E62252" w:rsidP="00E62252">
      <w:pPr>
        <w:pStyle w:val="Title"/>
        <w:spacing w:before="0" w:after="0" w:line="240" w:lineRule="auto"/>
        <w:contextualSpacing w:val="0"/>
        <w:jc w:val="both"/>
        <w:rPr>
          <w:rStyle w:val="TitleChar"/>
          <w:rFonts w:ascii="Times New Roman" w:hAnsi="Times New Roman" w:cs="Times New Roman"/>
          <w:noProof/>
          <w:spacing w:val="0"/>
          <w:kern w:val="0"/>
          <w:sz w:val="24"/>
          <w:szCs w:val="24"/>
          <w:lang w:val="en-US"/>
        </w:rPr>
      </w:pPr>
    </w:p>
    <w:p w14:paraId="35DCE8B4" w14:textId="77777777" w:rsidR="00E62252" w:rsidRPr="00E62252" w:rsidRDefault="00E62252" w:rsidP="00E62252">
      <w:pPr>
        <w:pStyle w:val="Subtitle"/>
        <w:spacing w:before="0" w:after="0" w:line="240" w:lineRule="auto"/>
        <w:jc w:val="both"/>
        <w:rPr>
          <w:rStyle w:val="SubtitleChar"/>
          <w:rFonts w:ascii="Times New Roman" w:hAnsi="Times New Roman" w:cs="Times New Roman"/>
          <w:iCs/>
          <w:noProof/>
          <w:spacing w:val="0"/>
          <w:sz w:val="24"/>
          <w:lang w:val="en-US"/>
        </w:rPr>
      </w:pPr>
    </w:p>
    <w:p w14:paraId="76D814C8" w14:textId="77777777" w:rsidR="00E62252" w:rsidRPr="00E62252" w:rsidRDefault="00E62252" w:rsidP="00E62252">
      <w:pPr>
        <w:pStyle w:val="HeadingTable"/>
        <w:spacing w:before="0" w:after="0" w:line="240" w:lineRule="auto"/>
        <w:jc w:val="both"/>
        <w:rPr>
          <w:rFonts w:ascii="Times New Roman" w:hAnsi="Times New Roman" w:cs="Times New Roman"/>
          <w:noProof/>
          <w:sz w:val="24"/>
          <w:szCs w:val="24"/>
          <w:lang w:val="en-US"/>
        </w:rPr>
      </w:pPr>
    </w:p>
    <w:p w14:paraId="5AA2433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DF9EA9A" w14:textId="77777777" w:rsidR="00E62252" w:rsidRPr="00E62252" w:rsidRDefault="00E62252" w:rsidP="00E62252">
      <w:pPr>
        <w:pStyle w:val="MyTitle"/>
        <w:pBdr>
          <w:top w:val="double" w:sz="4" w:space="1" w:color="auto"/>
          <w:left w:val="double" w:sz="4" w:space="0" w:color="auto"/>
          <w:bottom w:val="double" w:sz="4" w:space="31" w:color="auto"/>
          <w:right w:val="double" w:sz="4" w:space="4" w:color="auto"/>
        </w:pBdr>
        <w:spacing w:before="0" w:line="240" w:lineRule="auto"/>
        <w:jc w:val="both"/>
        <w:rPr>
          <w:rFonts w:ascii="Times New Roman" w:hAnsi="Times New Roman"/>
          <w:noProof/>
          <w:sz w:val="24"/>
          <w:szCs w:val="24"/>
          <w:lang w:val="en-US"/>
        </w:rPr>
      </w:pPr>
    </w:p>
    <w:p w14:paraId="17A9EA51" w14:textId="77777777" w:rsidR="00E62252" w:rsidRPr="00E62252" w:rsidRDefault="00E62252" w:rsidP="00E62252">
      <w:pPr>
        <w:pStyle w:val="MyTitle"/>
        <w:pBdr>
          <w:top w:val="double" w:sz="4" w:space="1" w:color="auto"/>
          <w:left w:val="double" w:sz="4" w:space="0" w:color="auto"/>
          <w:bottom w:val="double" w:sz="4" w:space="31" w:color="auto"/>
          <w:right w:val="double" w:sz="4" w:space="4" w:color="auto"/>
        </w:pBdr>
        <w:spacing w:before="0" w:line="240" w:lineRule="auto"/>
        <w:jc w:val="both"/>
        <w:rPr>
          <w:rFonts w:ascii="Times New Roman" w:hAnsi="Times New Roman"/>
          <w:noProof/>
          <w:sz w:val="24"/>
          <w:szCs w:val="24"/>
          <w:lang w:val="en-US"/>
        </w:rPr>
      </w:pPr>
    </w:p>
    <w:p w14:paraId="6C8EED21" w14:textId="77777777" w:rsidR="00E62252" w:rsidRPr="00E62252" w:rsidRDefault="00E62252" w:rsidP="00E62252">
      <w:pPr>
        <w:pStyle w:val="MyTitle"/>
        <w:pBdr>
          <w:top w:val="double" w:sz="4" w:space="1" w:color="auto"/>
          <w:left w:val="double" w:sz="4" w:space="0" w:color="auto"/>
          <w:bottom w:val="double" w:sz="4" w:space="31" w:color="auto"/>
          <w:right w:val="double" w:sz="4" w:space="4" w:color="auto"/>
        </w:pBdr>
        <w:spacing w:before="0" w:line="240" w:lineRule="auto"/>
        <w:jc w:val="center"/>
        <w:rPr>
          <w:rFonts w:ascii="Times New Roman" w:hAnsi="Times New Roman"/>
          <w:noProof/>
          <w:szCs w:val="32"/>
        </w:rPr>
      </w:pPr>
      <w:r>
        <w:rPr>
          <w:rFonts w:ascii="Times New Roman" w:hAnsi="Times New Roman"/>
        </w:rPr>
        <w:t>NORĀDĪJUMI PAR LĒMUMU IZMEKLĒT NEGADĪJUMUS UN STARPGADĪJUMUS</w:t>
      </w:r>
    </w:p>
    <w:p w14:paraId="422C04A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DBC13BA" w14:textId="77777777" w:rsidR="00E62252" w:rsidRPr="00E62252" w:rsidRDefault="00E62252" w:rsidP="00E62252">
      <w:pPr>
        <w:pStyle w:val="Title"/>
        <w:spacing w:before="0" w:after="0" w:line="240" w:lineRule="auto"/>
        <w:contextualSpacing w:val="0"/>
        <w:jc w:val="both"/>
        <w:rPr>
          <w:rFonts w:ascii="Times New Roman" w:hAnsi="Times New Roman" w:cs="Times New Roman"/>
          <w:noProof/>
          <w:spacing w:val="0"/>
          <w:kern w:val="0"/>
          <w:sz w:val="24"/>
          <w:szCs w:val="24"/>
          <w:lang w:val="en-US"/>
        </w:rPr>
      </w:pPr>
    </w:p>
    <w:p w14:paraId="234D86D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03B79E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4C0F79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9E79081"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39FA297" w14:textId="77777777" w:rsidR="00E62252" w:rsidRPr="00E62252" w:rsidRDefault="00E62252" w:rsidP="00E62252">
      <w:pPr>
        <w:pStyle w:val="Footnote"/>
        <w:spacing w:line="240" w:lineRule="auto"/>
        <w:jc w:val="both"/>
        <w:rPr>
          <w:rFonts w:ascii="Times New Roman" w:hAnsi="Times New Roman" w:cs="Times New Roman"/>
          <w:noProof/>
          <w:sz w:val="24"/>
          <w:szCs w:val="24"/>
          <w:lang w:val="en-US"/>
        </w:rPr>
      </w:pPr>
    </w:p>
    <w:p w14:paraId="4E2D731D"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40A60DE8"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3D70461D"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173E8F4B"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560BF208"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2351092E"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76D9EF3E"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21BC0CF2"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46495749"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06A66E47"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39E15CB4"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15AE471A"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p w14:paraId="59EA5E86" w14:textId="77777777" w:rsidR="00E62252" w:rsidRPr="00E62252" w:rsidRDefault="00E62252" w:rsidP="00E62252">
      <w:pPr>
        <w:pStyle w:val="HeadingTableleft"/>
        <w:spacing w:line="240" w:lineRule="auto"/>
        <w:jc w:val="both"/>
        <w:rPr>
          <w:rFonts w:ascii="Times New Roman"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46"/>
        <w:gridCol w:w="2372"/>
        <w:gridCol w:w="2372"/>
        <w:gridCol w:w="2372"/>
      </w:tblGrid>
      <w:tr w:rsidR="00E62252" w:rsidRPr="00E62252" w14:paraId="3660F53A" w14:textId="77777777" w:rsidTr="00F80365">
        <w:trPr>
          <w:trHeight w:val="310"/>
        </w:trPr>
        <w:tc>
          <w:tcPr>
            <w:tcW w:w="1073" w:type="pct"/>
          </w:tcPr>
          <w:p w14:paraId="0F392FB9"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tc>
        <w:tc>
          <w:tcPr>
            <w:tcW w:w="1309" w:type="pct"/>
            <w:vAlign w:val="center"/>
          </w:tcPr>
          <w:p w14:paraId="1FE8750C" w14:textId="77777777" w:rsidR="00E62252" w:rsidRPr="00E62252" w:rsidRDefault="00E62252" w:rsidP="00F80365">
            <w:pPr>
              <w:pStyle w:val="HeadingTable"/>
              <w:spacing w:before="0" w:after="0" w:line="240" w:lineRule="auto"/>
              <w:jc w:val="both"/>
              <w:rPr>
                <w:rFonts w:ascii="Times New Roman" w:hAnsi="Times New Roman" w:cs="Times New Roman"/>
                <w:noProof/>
                <w:sz w:val="24"/>
                <w:szCs w:val="24"/>
              </w:rPr>
            </w:pPr>
            <w:r>
              <w:rPr>
                <w:rFonts w:ascii="Times New Roman" w:hAnsi="Times New Roman"/>
                <w:sz w:val="24"/>
              </w:rPr>
              <w:t>Sagatavoja:</w:t>
            </w:r>
          </w:p>
        </w:tc>
        <w:tc>
          <w:tcPr>
            <w:tcW w:w="1309" w:type="pct"/>
            <w:vAlign w:val="center"/>
          </w:tcPr>
          <w:p w14:paraId="33DF009D" w14:textId="77777777" w:rsidR="00E62252" w:rsidRPr="00E62252" w:rsidRDefault="00E62252" w:rsidP="00F80365">
            <w:pPr>
              <w:pStyle w:val="HeadingTable"/>
              <w:spacing w:before="0" w:after="0" w:line="240" w:lineRule="auto"/>
              <w:jc w:val="both"/>
              <w:rPr>
                <w:rFonts w:ascii="Times New Roman" w:hAnsi="Times New Roman" w:cs="Times New Roman"/>
                <w:noProof/>
                <w:sz w:val="24"/>
                <w:szCs w:val="24"/>
              </w:rPr>
            </w:pPr>
            <w:r>
              <w:rPr>
                <w:rFonts w:ascii="Times New Roman" w:hAnsi="Times New Roman"/>
                <w:sz w:val="24"/>
              </w:rPr>
              <w:t>Pārskatīja:</w:t>
            </w:r>
          </w:p>
        </w:tc>
        <w:tc>
          <w:tcPr>
            <w:tcW w:w="1309" w:type="pct"/>
            <w:vAlign w:val="center"/>
          </w:tcPr>
          <w:p w14:paraId="0D2743CE" w14:textId="77777777" w:rsidR="00E62252" w:rsidRPr="00E62252" w:rsidRDefault="00E62252" w:rsidP="00F80365">
            <w:pPr>
              <w:pStyle w:val="HeadingTable"/>
              <w:spacing w:before="0" w:after="0" w:line="240" w:lineRule="auto"/>
              <w:jc w:val="both"/>
              <w:rPr>
                <w:rFonts w:ascii="Times New Roman" w:hAnsi="Times New Roman" w:cs="Times New Roman"/>
                <w:noProof/>
                <w:sz w:val="24"/>
                <w:szCs w:val="24"/>
              </w:rPr>
            </w:pPr>
            <w:r>
              <w:rPr>
                <w:rFonts w:ascii="Times New Roman" w:hAnsi="Times New Roman"/>
                <w:sz w:val="24"/>
              </w:rPr>
              <w:t>Apstiprināja:</w:t>
            </w:r>
          </w:p>
        </w:tc>
      </w:tr>
      <w:tr w:rsidR="00E62252" w:rsidRPr="00E62252" w14:paraId="3C4E4231" w14:textId="77777777" w:rsidTr="00F80365">
        <w:trPr>
          <w:trHeight w:val="456"/>
        </w:trPr>
        <w:tc>
          <w:tcPr>
            <w:tcW w:w="1073" w:type="pct"/>
            <w:vAlign w:val="center"/>
          </w:tcPr>
          <w:p w14:paraId="40AC7F2C" w14:textId="77777777" w:rsidR="00E62252" w:rsidRPr="00E62252" w:rsidRDefault="00E62252" w:rsidP="00F80365">
            <w:pPr>
              <w:pStyle w:val="HeadingTableleft"/>
              <w:spacing w:line="240" w:lineRule="auto"/>
              <w:jc w:val="both"/>
              <w:rPr>
                <w:rFonts w:ascii="Times New Roman" w:hAnsi="Times New Roman" w:cs="Times New Roman"/>
                <w:sz w:val="24"/>
                <w:szCs w:val="24"/>
              </w:rPr>
            </w:pPr>
            <w:r>
              <w:rPr>
                <w:rFonts w:ascii="Times New Roman" w:hAnsi="Times New Roman"/>
                <w:sz w:val="24"/>
              </w:rPr>
              <w:t>Nosaukums</w:t>
            </w:r>
          </w:p>
        </w:tc>
        <w:tc>
          <w:tcPr>
            <w:tcW w:w="1309" w:type="pct"/>
            <w:vAlign w:val="center"/>
          </w:tcPr>
          <w:p w14:paraId="3497914E"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r>
              <w:rPr>
                <w:rFonts w:ascii="Times New Roman" w:hAnsi="Times New Roman"/>
                <w:sz w:val="24"/>
              </w:rPr>
              <w:t>Darba grupa Nr. 2</w:t>
            </w:r>
          </w:p>
        </w:tc>
        <w:tc>
          <w:tcPr>
            <w:tcW w:w="1309" w:type="pct"/>
            <w:vAlign w:val="center"/>
          </w:tcPr>
          <w:p w14:paraId="35AE1A67"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proofErr w:type="spellStart"/>
            <w:r>
              <w:rPr>
                <w:rFonts w:ascii="Times New Roman" w:hAnsi="Times New Roman"/>
                <w:i/>
                <w:iCs/>
                <w:sz w:val="24"/>
              </w:rPr>
              <w:t>NIB</w:t>
            </w:r>
            <w:proofErr w:type="spellEnd"/>
            <w:r>
              <w:rPr>
                <w:rFonts w:ascii="Times New Roman" w:hAnsi="Times New Roman"/>
                <w:sz w:val="24"/>
              </w:rPr>
              <w:t xml:space="preserve"> tīkls</w:t>
            </w:r>
          </w:p>
        </w:tc>
        <w:tc>
          <w:tcPr>
            <w:tcW w:w="1309" w:type="pct"/>
            <w:vAlign w:val="center"/>
          </w:tcPr>
          <w:p w14:paraId="7337BCAE"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proofErr w:type="spellStart"/>
            <w:r>
              <w:rPr>
                <w:rFonts w:ascii="Times New Roman" w:hAnsi="Times New Roman"/>
                <w:i/>
                <w:iCs/>
                <w:sz w:val="24"/>
              </w:rPr>
              <w:t>NIB</w:t>
            </w:r>
            <w:proofErr w:type="spellEnd"/>
            <w:r>
              <w:rPr>
                <w:rFonts w:ascii="Times New Roman" w:hAnsi="Times New Roman"/>
                <w:sz w:val="24"/>
              </w:rPr>
              <w:t xml:space="preserve"> tīkls</w:t>
            </w:r>
          </w:p>
        </w:tc>
      </w:tr>
      <w:tr w:rsidR="00E62252" w:rsidRPr="00E62252" w14:paraId="4C03073F" w14:textId="77777777" w:rsidTr="004E2F82">
        <w:trPr>
          <w:trHeight w:val="562"/>
        </w:trPr>
        <w:tc>
          <w:tcPr>
            <w:tcW w:w="1073" w:type="pct"/>
            <w:vAlign w:val="center"/>
          </w:tcPr>
          <w:p w14:paraId="214E29B2" w14:textId="77777777" w:rsidR="00E62252" w:rsidRPr="00E62252" w:rsidRDefault="00E62252" w:rsidP="00F80365">
            <w:pPr>
              <w:pStyle w:val="HeadingTableleft"/>
              <w:spacing w:line="240" w:lineRule="auto"/>
              <w:jc w:val="both"/>
              <w:rPr>
                <w:rFonts w:ascii="Times New Roman" w:hAnsi="Times New Roman" w:cs="Times New Roman"/>
                <w:sz w:val="24"/>
                <w:szCs w:val="24"/>
              </w:rPr>
            </w:pPr>
            <w:r>
              <w:rPr>
                <w:rFonts w:ascii="Times New Roman" w:hAnsi="Times New Roman"/>
                <w:sz w:val="24"/>
              </w:rPr>
              <w:t>Pārstāvis</w:t>
            </w:r>
          </w:p>
        </w:tc>
        <w:tc>
          <w:tcPr>
            <w:tcW w:w="1309" w:type="pct"/>
          </w:tcPr>
          <w:p w14:paraId="4EA2479D" w14:textId="77777777" w:rsidR="00E62252" w:rsidRPr="00E62252" w:rsidRDefault="00E62252" w:rsidP="004E2F82">
            <w:pPr>
              <w:pStyle w:val="NormalTextTable"/>
              <w:spacing w:line="240" w:lineRule="auto"/>
              <w:rPr>
                <w:rFonts w:ascii="Times New Roman" w:hAnsi="Times New Roman" w:cs="Times New Roman"/>
                <w:noProof/>
                <w:sz w:val="24"/>
                <w:szCs w:val="24"/>
              </w:rPr>
            </w:pPr>
            <w:r>
              <w:rPr>
                <w:rFonts w:ascii="Times New Roman" w:hAnsi="Times New Roman"/>
                <w:sz w:val="24"/>
              </w:rPr>
              <w:t xml:space="preserve">Eva </w:t>
            </w:r>
            <w:proofErr w:type="spellStart"/>
            <w:r>
              <w:rPr>
                <w:rFonts w:ascii="Times New Roman" w:hAnsi="Times New Roman"/>
                <w:sz w:val="24"/>
              </w:rPr>
              <w:t>Lota</w:t>
            </w:r>
            <w:proofErr w:type="spellEnd"/>
            <w:r>
              <w:rPr>
                <w:rFonts w:ascii="Times New Roman" w:hAnsi="Times New Roman"/>
                <w:sz w:val="24"/>
              </w:rPr>
              <w:t xml:space="preserve"> </w:t>
            </w:r>
            <w:proofErr w:type="spellStart"/>
            <w:r>
              <w:rPr>
                <w:rFonts w:ascii="Times New Roman" w:hAnsi="Times New Roman"/>
                <w:sz w:val="24"/>
              </w:rPr>
              <w:t>Hēgberga</w:t>
            </w:r>
            <w:proofErr w:type="spellEnd"/>
            <w:r>
              <w:rPr>
                <w:rFonts w:ascii="Times New Roman" w:hAnsi="Times New Roman"/>
                <w:sz w:val="24"/>
              </w:rPr>
              <w:t xml:space="preserve"> [</w:t>
            </w:r>
            <w:r>
              <w:rPr>
                <w:rFonts w:ascii="Times New Roman" w:hAnsi="Times New Roman"/>
                <w:i/>
                <w:iCs/>
                <w:sz w:val="24"/>
              </w:rPr>
              <w:t>Eva-</w:t>
            </w:r>
            <w:proofErr w:type="spellStart"/>
            <w:r>
              <w:rPr>
                <w:rFonts w:ascii="Times New Roman" w:hAnsi="Times New Roman"/>
                <w:i/>
                <w:iCs/>
                <w:sz w:val="24"/>
              </w:rPr>
              <w:t>Lotta</w:t>
            </w:r>
            <w:proofErr w:type="spellEnd"/>
            <w:r>
              <w:rPr>
                <w:rFonts w:ascii="Times New Roman" w:hAnsi="Times New Roman"/>
                <w:i/>
                <w:iCs/>
                <w:sz w:val="24"/>
              </w:rPr>
              <w:t xml:space="preserve"> </w:t>
            </w:r>
            <w:proofErr w:type="spellStart"/>
            <w:r>
              <w:rPr>
                <w:rFonts w:ascii="Times New Roman" w:hAnsi="Times New Roman"/>
                <w:i/>
                <w:iCs/>
                <w:sz w:val="24"/>
              </w:rPr>
              <w:t>Högberg</w:t>
            </w:r>
            <w:proofErr w:type="spellEnd"/>
            <w:r>
              <w:rPr>
                <w:rFonts w:ascii="Times New Roman" w:hAnsi="Times New Roman"/>
                <w:sz w:val="24"/>
              </w:rPr>
              <w:t>]</w:t>
            </w:r>
          </w:p>
          <w:p w14:paraId="42A2237B" w14:textId="77777777" w:rsidR="00E62252" w:rsidRPr="00E62252" w:rsidRDefault="00E62252" w:rsidP="004E2F82">
            <w:pPr>
              <w:pStyle w:val="NormalTextTable"/>
              <w:spacing w:line="240" w:lineRule="auto"/>
              <w:rPr>
                <w:rFonts w:ascii="Times New Roman" w:hAnsi="Times New Roman" w:cs="Times New Roman"/>
                <w:i/>
                <w:noProof/>
                <w:sz w:val="24"/>
                <w:szCs w:val="24"/>
              </w:rPr>
            </w:pPr>
            <w:proofErr w:type="spellStart"/>
            <w:r>
              <w:rPr>
                <w:rFonts w:ascii="Times New Roman" w:hAnsi="Times New Roman"/>
                <w:i/>
                <w:sz w:val="24"/>
              </w:rPr>
              <w:t>DG</w:t>
            </w:r>
            <w:proofErr w:type="spellEnd"/>
            <w:r>
              <w:rPr>
                <w:rFonts w:ascii="Times New Roman" w:hAnsi="Times New Roman"/>
                <w:i/>
                <w:sz w:val="24"/>
              </w:rPr>
              <w:t xml:space="preserve"> Nr. 2 priekšsēdētāja</w:t>
            </w:r>
          </w:p>
        </w:tc>
        <w:tc>
          <w:tcPr>
            <w:tcW w:w="1309" w:type="pct"/>
          </w:tcPr>
          <w:p w14:paraId="61381088" w14:textId="77777777" w:rsidR="00E62252" w:rsidRPr="00E62252" w:rsidRDefault="00E62252" w:rsidP="004E2F82">
            <w:pPr>
              <w:pStyle w:val="NormalTextTable"/>
              <w:spacing w:line="240" w:lineRule="auto"/>
              <w:rPr>
                <w:rFonts w:ascii="Times New Roman" w:hAnsi="Times New Roman" w:cs="Times New Roman"/>
                <w:noProof/>
                <w:sz w:val="24"/>
                <w:szCs w:val="24"/>
                <w:lang w:val="en-US"/>
              </w:rPr>
            </w:pPr>
          </w:p>
        </w:tc>
        <w:tc>
          <w:tcPr>
            <w:tcW w:w="1309" w:type="pct"/>
          </w:tcPr>
          <w:p w14:paraId="3EDF0BFF" w14:textId="77777777" w:rsidR="00E62252" w:rsidRPr="00E62252" w:rsidRDefault="00E62252" w:rsidP="004E2F82">
            <w:pPr>
              <w:pStyle w:val="NormalTextTable"/>
              <w:spacing w:line="240" w:lineRule="auto"/>
              <w:rPr>
                <w:rFonts w:ascii="Times New Roman" w:hAnsi="Times New Roman" w:cs="Times New Roman"/>
                <w:noProof/>
                <w:sz w:val="24"/>
                <w:szCs w:val="24"/>
              </w:rPr>
            </w:pPr>
            <w:r>
              <w:rPr>
                <w:rFonts w:ascii="Times New Roman" w:hAnsi="Times New Roman"/>
                <w:sz w:val="24"/>
              </w:rPr>
              <w:t>Nelsons R. </w:t>
            </w:r>
            <w:proofErr w:type="spellStart"/>
            <w:r>
              <w:rPr>
                <w:rFonts w:ascii="Times New Roman" w:hAnsi="Times New Roman"/>
                <w:sz w:val="24"/>
              </w:rPr>
              <w:t>Oliveira</w:t>
            </w:r>
            <w:proofErr w:type="spellEnd"/>
            <w:r>
              <w:rPr>
                <w:rFonts w:ascii="Times New Roman" w:hAnsi="Times New Roman"/>
                <w:sz w:val="24"/>
              </w:rPr>
              <w:t xml:space="preserve"> [</w:t>
            </w:r>
            <w:r>
              <w:rPr>
                <w:rFonts w:ascii="Times New Roman" w:hAnsi="Times New Roman"/>
                <w:i/>
                <w:iCs/>
                <w:sz w:val="24"/>
              </w:rPr>
              <w:t>Nelson R. </w:t>
            </w:r>
            <w:proofErr w:type="spellStart"/>
            <w:r>
              <w:rPr>
                <w:rFonts w:ascii="Times New Roman" w:hAnsi="Times New Roman"/>
                <w:i/>
                <w:iCs/>
                <w:sz w:val="24"/>
              </w:rPr>
              <w:t>Oliveira</w:t>
            </w:r>
            <w:proofErr w:type="spellEnd"/>
            <w:r>
              <w:rPr>
                <w:rFonts w:ascii="Times New Roman" w:hAnsi="Times New Roman"/>
                <w:sz w:val="24"/>
              </w:rPr>
              <w:t>]</w:t>
            </w:r>
          </w:p>
          <w:p w14:paraId="0DDC0045" w14:textId="77777777" w:rsidR="00E62252" w:rsidRPr="00E62252" w:rsidRDefault="00E62252" w:rsidP="004E2F82">
            <w:pPr>
              <w:pStyle w:val="NormalTextTable"/>
              <w:spacing w:line="240" w:lineRule="auto"/>
              <w:rPr>
                <w:rFonts w:ascii="Times New Roman" w:hAnsi="Times New Roman" w:cs="Times New Roman"/>
                <w:i/>
                <w:noProof/>
                <w:sz w:val="24"/>
                <w:szCs w:val="24"/>
              </w:rPr>
            </w:pPr>
            <w:r>
              <w:rPr>
                <w:rFonts w:ascii="Times New Roman" w:hAnsi="Times New Roman"/>
                <w:i/>
                <w:sz w:val="24"/>
              </w:rPr>
              <w:t>Priekšsēdētājs</w:t>
            </w:r>
          </w:p>
        </w:tc>
      </w:tr>
      <w:tr w:rsidR="00E62252" w:rsidRPr="00E62252" w14:paraId="7BD14BCD" w14:textId="77777777" w:rsidTr="00F80365">
        <w:trPr>
          <w:trHeight w:val="542"/>
        </w:trPr>
        <w:tc>
          <w:tcPr>
            <w:tcW w:w="1073" w:type="pct"/>
            <w:vAlign w:val="center"/>
          </w:tcPr>
          <w:p w14:paraId="2B39CDDC" w14:textId="77777777" w:rsidR="00E62252" w:rsidRPr="00E62252" w:rsidRDefault="00E62252" w:rsidP="00F80365">
            <w:pPr>
              <w:pStyle w:val="HeadingTableleft"/>
              <w:spacing w:line="240" w:lineRule="auto"/>
              <w:jc w:val="both"/>
              <w:rPr>
                <w:rFonts w:ascii="Times New Roman" w:hAnsi="Times New Roman" w:cs="Times New Roman"/>
                <w:sz w:val="24"/>
                <w:szCs w:val="24"/>
              </w:rPr>
            </w:pPr>
            <w:r>
              <w:rPr>
                <w:rFonts w:ascii="Times New Roman" w:hAnsi="Times New Roman"/>
                <w:sz w:val="24"/>
              </w:rPr>
              <w:t>Datums</w:t>
            </w:r>
          </w:p>
        </w:tc>
        <w:tc>
          <w:tcPr>
            <w:tcW w:w="1309" w:type="pct"/>
            <w:vAlign w:val="center"/>
          </w:tcPr>
          <w:p w14:paraId="639B3FD2" w14:textId="77777777" w:rsidR="00E62252" w:rsidRPr="00E62252" w:rsidRDefault="00E62252" w:rsidP="00F80365">
            <w:pPr>
              <w:pStyle w:val="NormalTextTable"/>
              <w:spacing w:line="240" w:lineRule="auto"/>
              <w:jc w:val="both"/>
              <w:rPr>
                <w:rFonts w:ascii="Times New Roman" w:hAnsi="Times New Roman" w:cs="Times New Roman"/>
                <w:noProof/>
                <w:sz w:val="24"/>
                <w:szCs w:val="24"/>
                <w:lang w:val="en-US"/>
              </w:rPr>
            </w:pPr>
          </w:p>
        </w:tc>
        <w:tc>
          <w:tcPr>
            <w:tcW w:w="1309" w:type="pct"/>
            <w:vAlign w:val="center"/>
          </w:tcPr>
          <w:p w14:paraId="55EC3F64"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r>
              <w:rPr>
                <w:rFonts w:ascii="Times New Roman" w:hAnsi="Times New Roman"/>
                <w:sz w:val="24"/>
              </w:rPr>
              <w:t>Pieņemts 2022. gada 2. februāra plenārsēdē</w:t>
            </w:r>
          </w:p>
        </w:tc>
        <w:tc>
          <w:tcPr>
            <w:tcW w:w="1309" w:type="pct"/>
            <w:vAlign w:val="center"/>
          </w:tcPr>
          <w:p w14:paraId="6348D2F1"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r>
              <w:rPr>
                <w:rFonts w:ascii="Times New Roman" w:hAnsi="Times New Roman"/>
                <w:sz w:val="24"/>
              </w:rPr>
              <w:t>2022. gada 4. maijs</w:t>
            </w:r>
          </w:p>
        </w:tc>
      </w:tr>
    </w:tbl>
    <w:p w14:paraId="2755F907"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283F3745" w14:textId="77777777" w:rsidR="00E62252" w:rsidRPr="00E62252" w:rsidRDefault="00E62252" w:rsidP="00E62252">
      <w:pPr>
        <w:pStyle w:val="HeadingTable"/>
        <w:spacing w:before="0" w:after="0" w:line="240" w:lineRule="auto"/>
        <w:jc w:val="both"/>
        <w:rPr>
          <w:rFonts w:ascii="Times New Roman" w:hAnsi="Times New Roman" w:cs="Times New Roman"/>
          <w:noProof/>
          <w:sz w:val="24"/>
          <w:szCs w:val="24"/>
        </w:rPr>
      </w:pPr>
      <w:r>
        <w:rPr>
          <w:rFonts w:ascii="Times New Roman" w:hAnsi="Times New Roman"/>
          <w:sz w:val="24"/>
        </w:rPr>
        <w:lastRenderedPageBreak/>
        <w:t>Dokumenta vēsture</w:t>
      </w:r>
    </w:p>
    <w:p w14:paraId="1C380E9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410"/>
        <w:gridCol w:w="4732"/>
      </w:tblGrid>
      <w:tr w:rsidR="00E62252" w:rsidRPr="00E62252" w14:paraId="55318DD3" w14:textId="77777777" w:rsidTr="00F80365">
        <w:tc>
          <w:tcPr>
            <w:tcW w:w="1059" w:type="pct"/>
            <w:vAlign w:val="center"/>
          </w:tcPr>
          <w:p w14:paraId="2D954785" w14:textId="77777777" w:rsidR="00E62252" w:rsidRPr="00E62252" w:rsidRDefault="00E62252" w:rsidP="00F80365">
            <w:pPr>
              <w:pStyle w:val="HeadingTable"/>
              <w:spacing w:before="0" w:after="0" w:line="240" w:lineRule="auto"/>
              <w:rPr>
                <w:rFonts w:ascii="Times New Roman" w:hAnsi="Times New Roman" w:cs="Times New Roman"/>
                <w:noProof/>
                <w:sz w:val="24"/>
                <w:szCs w:val="24"/>
              </w:rPr>
            </w:pPr>
            <w:r>
              <w:rPr>
                <w:rFonts w:ascii="Times New Roman" w:hAnsi="Times New Roman"/>
                <w:sz w:val="24"/>
              </w:rPr>
              <w:t>Redakcija</w:t>
            </w:r>
          </w:p>
        </w:tc>
        <w:tc>
          <w:tcPr>
            <w:tcW w:w="1330" w:type="pct"/>
            <w:vAlign w:val="center"/>
          </w:tcPr>
          <w:p w14:paraId="52E592C8" w14:textId="77777777" w:rsidR="00E62252" w:rsidRPr="00E62252" w:rsidRDefault="00E62252" w:rsidP="00F80365">
            <w:pPr>
              <w:pStyle w:val="HeadingTable"/>
              <w:spacing w:before="0" w:after="0" w:line="240" w:lineRule="auto"/>
              <w:rPr>
                <w:rFonts w:ascii="Times New Roman" w:hAnsi="Times New Roman" w:cs="Times New Roman"/>
                <w:noProof/>
                <w:sz w:val="24"/>
                <w:szCs w:val="24"/>
              </w:rPr>
            </w:pPr>
            <w:r>
              <w:rPr>
                <w:rFonts w:ascii="Times New Roman" w:hAnsi="Times New Roman"/>
                <w:sz w:val="24"/>
              </w:rPr>
              <w:t>Datums</w:t>
            </w:r>
          </w:p>
        </w:tc>
        <w:tc>
          <w:tcPr>
            <w:tcW w:w="2611" w:type="pct"/>
            <w:vAlign w:val="center"/>
          </w:tcPr>
          <w:p w14:paraId="4C3CD7D9" w14:textId="77777777" w:rsidR="00E62252" w:rsidRPr="00E62252" w:rsidRDefault="00E62252" w:rsidP="00F80365">
            <w:pPr>
              <w:pStyle w:val="HeadingTable"/>
              <w:spacing w:before="0" w:after="0" w:line="240" w:lineRule="auto"/>
              <w:rPr>
                <w:rFonts w:ascii="Times New Roman" w:hAnsi="Times New Roman" w:cs="Times New Roman"/>
                <w:noProof/>
                <w:sz w:val="24"/>
                <w:szCs w:val="24"/>
              </w:rPr>
            </w:pPr>
            <w:r>
              <w:rPr>
                <w:rFonts w:ascii="Times New Roman" w:hAnsi="Times New Roman"/>
                <w:sz w:val="24"/>
              </w:rPr>
              <w:t>Komentāri</w:t>
            </w:r>
          </w:p>
        </w:tc>
      </w:tr>
      <w:tr w:rsidR="00E62252" w:rsidRPr="00E62252" w14:paraId="382F2661" w14:textId="77777777" w:rsidTr="00F80365">
        <w:trPr>
          <w:trHeight w:val="454"/>
        </w:trPr>
        <w:tc>
          <w:tcPr>
            <w:tcW w:w="1059" w:type="pct"/>
            <w:vAlign w:val="center"/>
          </w:tcPr>
          <w:p w14:paraId="691ACA5E"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0.1</w:t>
            </w:r>
          </w:p>
        </w:tc>
        <w:tc>
          <w:tcPr>
            <w:tcW w:w="1330" w:type="pct"/>
            <w:vAlign w:val="center"/>
          </w:tcPr>
          <w:p w14:paraId="43D25582"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r>
              <w:rPr>
                <w:rFonts w:ascii="Times New Roman" w:hAnsi="Times New Roman"/>
                <w:sz w:val="24"/>
              </w:rPr>
              <w:t>10.06.2020.</w:t>
            </w:r>
          </w:p>
        </w:tc>
        <w:tc>
          <w:tcPr>
            <w:tcW w:w="2611" w:type="pct"/>
            <w:vAlign w:val="center"/>
          </w:tcPr>
          <w:p w14:paraId="77274280"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Sākotnējā redakcija</w:t>
            </w:r>
          </w:p>
        </w:tc>
      </w:tr>
      <w:tr w:rsidR="00E62252" w:rsidRPr="00E62252" w14:paraId="7B3AE135" w14:textId="77777777" w:rsidTr="00F80365">
        <w:trPr>
          <w:trHeight w:val="454"/>
        </w:trPr>
        <w:tc>
          <w:tcPr>
            <w:tcW w:w="1059" w:type="pct"/>
            <w:vAlign w:val="center"/>
          </w:tcPr>
          <w:p w14:paraId="03E03713"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0.2</w:t>
            </w:r>
          </w:p>
        </w:tc>
        <w:tc>
          <w:tcPr>
            <w:tcW w:w="1330" w:type="pct"/>
            <w:vAlign w:val="center"/>
          </w:tcPr>
          <w:p w14:paraId="4BAD9397"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r>
              <w:rPr>
                <w:rFonts w:ascii="Times New Roman" w:hAnsi="Times New Roman"/>
                <w:sz w:val="24"/>
              </w:rPr>
              <w:t>13.10.2021.</w:t>
            </w:r>
          </w:p>
        </w:tc>
        <w:tc>
          <w:tcPr>
            <w:tcW w:w="2611" w:type="pct"/>
            <w:vAlign w:val="center"/>
          </w:tcPr>
          <w:p w14:paraId="5D03F0D4"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 xml:space="preserve">Atjaunota redakcija, ko darba grupa apstiprinājusi apspriešanai ar </w:t>
            </w:r>
            <w:proofErr w:type="spellStart"/>
            <w:r>
              <w:rPr>
                <w:rFonts w:ascii="Times New Roman" w:hAnsi="Times New Roman"/>
                <w:i/>
                <w:iCs/>
                <w:sz w:val="24"/>
              </w:rPr>
              <w:t>NIB</w:t>
            </w:r>
            <w:proofErr w:type="spellEnd"/>
          </w:p>
        </w:tc>
      </w:tr>
      <w:tr w:rsidR="00E62252" w:rsidRPr="00E62252" w14:paraId="7BA5D3C8" w14:textId="77777777" w:rsidTr="00F80365">
        <w:trPr>
          <w:trHeight w:val="404"/>
        </w:trPr>
        <w:tc>
          <w:tcPr>
            <w:tcW w:w="1059" w:type="pct"/>
            <w:vAlign w:val="center"/>
          </w:tcPr>
          <w:p w14:paraId="1CDEB98C"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0.3</w:t>
            </w:r>
          </w:p>
        </w:tc>
        <w:tc>
          <w:tcPr>
            <w:tcW w:w="1330" w:type="pct"/>
            <w:vAlign w:val="center"/>
          </w:tcPr>
          <w:p w14:paraId="2780FD1D"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r>
              <w:rPr>
                <w:rFonts w:ascii="Times New Roman" w:hAnsi="Times New Roman"/>
                <w:sz w:val="24"/>
              </w:rPr>
              <w:t>03.05.2022.</w:t>
            </w:r>
          </w:p>
        </w:tc>
        <w:tc>
          <w:tcPr>
            <w:tcW w:w="2611" w:type="pct"/>
            <w:vAlign w:val="center"/>
          </w:tcPr>
          <w:p w14:paraId="1A7AFF6E"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 xml:space="preserve">Galīgā redakcija – iestrādāta </w:t>
            </w:r>
            <w:proofErr w:type="spellStart"/>
            <w:r>
              <w:rPr>
                <w:rFonts w:ascii="Times New Roman" w:hAnsi="Times New Roman"/>
                <w:i/>
                <w:iCs/>
                <w:sz w:val="24"/>
              </w:rPr>
              <w:t>NIB</w:t>
            </w:r>
            <w:proofErr w:type="spellEnd"/>
            <w:r>
              <w:rPr>
                <w:rFonts w:ascii="Times New Roman" w:hAnsi="Times New Roman"/>
                <w:sz w:val="24"/>
              </w:rPr>
              <w:t xml:space="preserve"> atgriezeniskā saite</w:t>
            </w:r>
          </w:p>
        </w:tc>
      </w:tr>
      <w:tr w:rsidR="00E62252" w:rsidRPr="00E62252" w14:paraId="47AF50C7" w14:textId="77777777" w:rsidTr="00F80365">
        <w:trPr>
          <w:trHeight w:val="404"/>
        </w:trPr>
        <w:tc>
          <w:tcPr>
            <w:tcW w:w="1059" w:type="pct"/>
            <w:vAlign w:val="center"/>
          </w:tcPr>
          <w:p w14:paraId="23BAA209"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1.0</w:t>
            </w:r>
          </w:p>
        </w:tc>
        <w:tc>
          <w:tcPr>
            <w:tcW w:w="1330" w:type="pct"/>
            <w:vAlign w:val="center"/>
          </w:tcPr>
          <w:p w14:paraId="49E6E8D8" w14:textId="77777777" w:rsidR="00E62252" w:rsidRPr="00E62252" w:rsidRDefault="00E62252" w:rsidP="00F80365">
            <w:pPr>
              <w:pStyle w:val="NormalTextTable"/>
              <w:spacing w:line="240" w:lineRule="auto"/>
              <w:jc w:val="both"/>
              <w:rPr>
                <w:rFonts w:ascii="Times New Roman" w:hAnsi="Times New Roman" w:cs="Times New Roman"/>
                <w:noProof/>
                <w:sz w:val="24"/>
                <w:szCs w:val="24"/>
              </w:rPr>
            </w:pPr>
            <w:r>
              <w:rPr>
                <w:rFonts w:ascii="Times New Roman" w:hAnsi="Times New Roman"/>
                <w:sz w:val="24"/>
              </w:rPr>
              <w:t>04.05.2022.</w:t>
            </w:r>
          </w:p>
        </w:tc>
        <w:tc>
          <w:tcPr>
            <w:tcW w:w="2611" w:type="pct"/>
            <w:vAlign w:val="center"/>
          </w:tcPr>
          <w:p w14:paraId="3A7F7B70"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 xml:space="preserve">Redakcija izplatīšanai </w:t>
            </w:r>
            <w:proofErr w:type="spellStart"/>
            <w:r>
              <w:rPr>
                <w:rFonts w:ascii="Times New Roman" w:hAnsi="Times New Roman"/>
                <w:i/>
                <w:iCs/>
                <w:sz w:val="24"/>
              </w:rPr>
              <w:t>NIB</w:t>
            </w:r>
            <w:proofErr w:type="spellEnd"/>
            <w:r>
              <w:rPr>
                <w:rFonts w:ascii="Times New Roman" w:hAnsi="Times New Roman"/>
                <w:sz w:val="24"/>
              </w:rPr>
              <w:t xml:space="preserve"> vidū un publicēšanai</w:t>
            </w:r>
          </w:p>
        </w:tc>
      </w:tr>
    </w:tbl>
    <w:p w14:paraId="2BBABB02"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0" w:name="_Toc61011121"/>
      <w:bookmarkStart w:id="1" w:name="_Toc61011174"/>
    </w:p>
    <w:p w14:paraId="35A517F7"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Šo dokumentu izstrādāja valstu izmeklēšanas struktūru (</w:t>
      </w:r>
      <w:proofErr w:type="spellStart"/>
      <w:r>
        <w:rPr>
          <w:rFonts w:ascii="Times New Roman" w:hAnsi="Times New Roman"/>
          <w:i/>
          <w:iCs/>
          <w:sz w:val="24"/>
        </w:rPr>
        <w:t>NIB</w:t>
      </w:r>
      <w:proofErr w:type="spellEnd"/>
      <w:r>
        <w:rPr>
          <w:rFonts w:ascii="Times New Roman" w:hAnsi="Times New Roman"/>
          <w:sz w:val="24"/>
        </w:rPr>
        <w:t xml:space="preserve">) tīkls, lai atbalstītu </w:t>
      </w:r>
      <w:proofErr w:type="spellStart"/>
      <w:r>
        <w:rPr>
          <w:rFonts w:ascii="Times New Roman" w:hAnsi="Times New Roman"/>
          <w:i/>
          <w:iCs/>
          <w:sz w:val="24"/>
        </w:rPr>
        <w:t>NIB</w:t>
      </w:r>
      <w:proofErr w:type="spellEnd"/>
      <w:r>
        <w:rPr>
          <w:rFonts w:ascii="Times New Roman" w:hAnsi="Times New Roman"/>
          <w:sz w:val="24"/>
        </w:rPr>
        <w:t xml:space="preserve"> to darbā, un tas ir publiskots </w:t>
      </w:r>
      <w:proofErr w:type="spellStart"/>
      <w:r>
        <w:rPr>
          <w:rFonts w:ascii="Times New Roman" w:hAnsi="Times New Roman"/>
          <w:sz w:val="24"/>
        </w:rPr>
        <w:t>pārredzamības</w:t>
      </w:r>
      <w:proofErr w:type="spellEnd"/>
      <w:r>
        <w:rPr>
          <w:rFonts w:ascii="Times New Roman" w:hAnsi="Times New Roman"/>
          <w:sz w:val="24"/>
        </w:rPr>
        <w:t xml:space="preserve"> nolūkos un kā atsauce visām citām ieinteresētajām pusēm.</w:t>
      </w:r>
    </w:p>
    <w:p w14:paraId="19952936"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A5AC53A"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Tas vienmēr izmantojams atbilstošā kontekstā, norādot tā nosaukumu, datumu un </w:t>
      </w:r>
      <w:proofErr w:type="spellStart"/>
      <w:r>
        <w:rPr>
          <w:rFonts w:ascii="Times New Roman" w:hAnsi="Times New Roman"/>
          <w:i/>
          <w:iCs/>
          <w:sz w:val="24"/>
        </w:rPr>
        <w:t>NIB</w:t>
      </w:r>
      <w:proofErr w:type="spellEnd"/>
      <w:r>
        <w:rPr>
          <w:rFonts w:ascii="Times New Roman" w:hAnsi="Times New Roman"/>
          <w:sz w:val="24"/>
        </w:rPr>
        <w:t xml:space="preserve"> tīklu.</w:t>
      </w:r>
    </w:p>
    <w:p w14:paraId="574CF5E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E832CE3"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95DC54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D64F85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5984ED8"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F156626"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2FC83B1"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C54E681"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01BCE77"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E62252" w:rsidRPr="00E62252" w14:paraId="6B490FB6" w14:textId="77777777" w:rsidTr="00F80365">
        <w:tc>
          <w:tcPr>
            <w:tcW w:w="9345" w:type="dxa"/>
            <w:shd w:val="clear" w:color="auto" w:fill="D9D9D9" w:themeFill="background1" w:themeFillShade="D9"/>
          </w:tcPr>
          <w:p w14:paraId="15CC586A" w14:textId="77777777" w:rsidR="00E62252" w:rsidRPr="00E62252" w:rsidRDefault="00E62252" w:rsidP="00F80365">
            <w:pPr>
              <w:jc w:val="both"/>
              <w:rPr>
                <w:rFonts w:ascii="Times New Roman" w:hAnsi="Times New Roman" w:cs="Times New Roman"/>
                <w:b/>
                <w:bCs/>
                <w:noProof/>
                <w:sz w:val="24"/>
                <w:szCs w:val="24"/>
                <w:shd w:val="clear" w:color="auto" w:fill="D9D9D9" w:themeFill="background1" w:themeFillShade="D9"/>
              </w:rPr>
            </w:pPr>
            <w:proofErr w:type="spellStart"/>
            <w:r>
              <w:rPr>
                <w:rFonts w:ascii="Times New Roman" w:hAnsi="Times New Roman"/>
                <w:b/>
                <w:i/>
                <w:iCs/>
                <w:sz w:val="24"/>
                <w:shd w:val="clear" w:color="auto" w:fill="D9D9D9" w:themeFill="background1" w:themeFillShade="D9"/>
              </w:rPr>
              <w:t>NIB</w:t>
            </w:r>
            <w:proofErr w:type="spellEnd"/>
            <w:r>
              <w:rPr>
                <w:rFonts w:ascii="Times New Roman" w:hAnsi="Times New Roman"/>
                <w:b/>
                <w:sz w:val="24"/>
                <w:shd w:val="clear" w:color="auto" w:fill="D9D9D9" w:themeFill="background1" w:themeFillShade="D9"/>
              </w:rPr>
              <w:t xml:space="preserve"> tīkls</w:t>
            </w:r>
          </w:p>
          <w:p w14:paraId="5B68A24A" w14:textId="77777777" w:rsidR="00E62252" w:rsidRPr="00E62252" w:rsidRDefault="00E62252" w:rsidP="00F80365">
            <w:pPr>
              <w:jc w:val="both"/>
              <w:rPr>
                <w:rFonts w:ascii="Times New Roman" w:hAnsi="Times New Roman" w:cs="Times New Roman"/>
                <w:b/>
                <w:bCs/>
                <w:noProof/>
                <w:sz w:val="24"/>
                <w:szCs w:val="24"/>
                <w:shd w:val="clear" w:color="auto" w:fill="FAF9F8"/>
                <w:lang w:val="en-US"/>
              </w:rPr>
            </w:pPr>
          </w:p>
          <w:p w14:paraId="5826CB2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Dzelzceļa satiksmes negadījumu valstu izmeklēšanas struktūru Eiropas tīkls ir neoficiāls tīkls, kas izveidots, lai izpildītu Eiropas Parlamenta un Padomes 2016. gada 11. maija Direktīvas (ES) 2016/798 par dzelzceļa drošību 22. panta 7. punktu, un tajā darbojas pārstāvji no iestādēm, kas atbild par drošības izmeklēšanu saistībā ar dzelzceļa satiksmes negadījumiem Eiropas Savienības dalībvalstīs, kā arī Norvēģijā un Šveicē.</w:t>
            </w:r>
          </w:p>
          <w:p w14:paraId="634D2C1A" w14:textId="77777777" w:rsidR="00E62252" w:rsidRPr="00E62252" w:rsidRDefault="00E62252" w:rsidP="00F80365">
            <w:pPr>
              <w:jc w:val="both"/>
              <w:rPr>
                <w:rFonts w:ascii="Times New Roman" w:hAnsi="Times New Roman" w:cs="Times New Roman"/>
                <w:noProof/>
                <w:sz w:val="24"/>
                <w:szCs w:val="24"/>
                <w:lang w:val="en-US"/>
              </w:rPr>
            </w:pPr>
          </w:p>
          <w:p w14:paraId="22A1C87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Sadarbojoties ar Eiropas Savienības Dzelzceļu aģentūru,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tīkls veic aktīvu viedokļu un pieredzes apmaiņu, kas nepieciešams, lai izstrādātu vienotas izmeklēšanas metodes, izveidotu kopīgus principus drošības ieteikumu turpmākai izpildei un pielāgotos zinātnes un tehnikas attīstībai.</w:t>
            </w:r>
          </w:p>
          <w:p w14:paraId="33949A6E" w14:textId="77777777" w:rsidR="00E62252" w:rsidRPr="00E62252" w:rsidRDefault="00E62252" w:rsidP="00F80365">
            <w:pPr>
              <w:jc w:val="both"/>
              <w:rPr>
                <w:rFonts w:ascii="Times New Roman" w:hAnsi="Times New Roman" w:cs="Times New Roman"/>
                <w:noProof/>
                <w:sz w:val="24"/>
                <w:szCs w:val="24"/>
                <w:lang w:val="en-US"/>
              </w:rPr>
            </w:pPr>
          </w:p>
          <w:p w14:paraId="66F54AF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Ar </w:t>
            </w:r>
            <w:proofErr w:type="spellStart"/>
            <w:r>
              <w:rPr>
                <w:rFonts w:ascii="Times New Roman" w:hAnsi="Times New Roman"/>
                <w:i/>
                <w:iCs/>
                <w:sz w:val="24"/>
              </w:rPr>
              <w:t>NIB</w:t>
            </w:r>
            <w:proofErr w:type="spellEnd"/>
            <w:r>
              <w:rPr>
                <w:rFonts w:ascii="Times New Roman" w:hAnsi="Times New Roman"/>
                <w:sz w:val="24"/>
              </w:rPr>
              <w:t xml:space="preserve"> tīklu var sazināties, rakstot uz e-pastu NIB_Network@era.europa.eu.</w:t>
            </w:r>
          </w:p>
        </w:tc>
      </w:tr>
    </w:tbl>
    <w:p w14:paraId="6CECA53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D8BF332" w14:textId="77777777" w:rsidR="00E62252" w:rsidRPr="00E62252" w:rsidRDefault="00E62252" w:rsidP="00E62252">
      <w:pPr>
        <w:spacing w:after="0" w:line="240" w:lineRule="auto"/>
        <w:rPr>
          <w:rFonts w:ascii="Times New Roman" w:hAnsi="Times New Roman" w:cs="Times New Roman"/>
          <w:noProof/>
          <w:sz w:val="24"/>
          <w:szCs w:val="24"/>
        </w:rPr>
      </w:pPr>
      <w:r>
        <w:br w:type="page"/>
      </w:r>
    </w:p>
    <w:p w14:paraId="0CFD9D82"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2" w:name="_Toc61364249"/>
      <w:bookmarkStart w:id="3" w:name="_Toc61364498"/>
      <w:bookmarkStart w:id="4" w:name="_Ref63846542"/>
      <w:bookmarkStart w:id="5" w:name="_Toc102478547"/>
      <w:bookmarkStart w:id="6" w:name="_Toc134605564"/>
      <w:r>
        <w:rPr>
          <w:rFonts w:ascii="Times New Roman" w:hAnsi="Times New Roman"/>
          <w:sz w:val="24"/>
        </w:rPr>
        <w:lastRenderedPageBreak/>
        <w:t xml:space="preserve">1. Satura </w:t>
      </w:r>
      <w:bookmarkEnd w:id="0"/>
      <w:bookmarkEnd w:id="1"/>
      <w:r>
        <w:rPr>
          <w:rFonts w:ascii="Times New Roman" w:hAnsi="Times New Roman"/>
          <w:sz w:val="24"/>
        </w:rPr>
        <w:t>rādītājs</w:t>
      </w:r>
      <w:bookmarkEnd w:id="2"/>
      <w:bookmarkEnd w:id="3"/>
      <w:bookmarkEnd w:id="4"/>
      <w:bookmarkEnd w:id="5"/>
      <w:bookmarkEnd w:id="6"/>
    </w:p>
    <w:bookmarkStart w:id="7" w:name="_Toc58769272" w:displacedByCustomXml="next"/>
    <w:bookmarkStart w:id="8" w:name="_Toc40340060" w:displacedByCustomXml="next"/>
    <w:sdt>
      <w:sdtPr>
        <w:id w:val="1657423844"/>
        <w:docPartObj>
          <w:docPartGallery w:val="Table of Contents"/>
          <w:docPartUnique/>
        </w:docPartObj>
      </w:sdtPr>
      <w:sdtEndPr>
        <w:rPr>
          <w:rFonts w:ascii="Times New Roman" w:hAnsi="Times New Roman" w:cs="Times New Roman"/>
          <w:b/>
          <w:bCs/>
          <w:noProof/>
          <w:sz w:val="24"/>
          <w:szCs w:val="24"/>
        </w:rPr>
      </w:sdtEndPr>
      <w:sdtContent>
        <w:p w14:paraId="34C925FD" w14:textId="2E5824F0" w:rsidR="0051320C" w:rsidRPr="00FF4651" w:rsidRDefault="0051320C" w:rsidP="00FF4651"/>
        <w:p w14:paraId="4FD73B90" w14:textId="20F3261C" w:rsidR="0051320C" w:rsidRPr="00B06B83" w:rsidRDefault="0051320C"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r w:rsidRPr="00B06B83">
            <w:rPr>
              <w:rFonts w:ascii="Times New Roman" w:hAnsi="Times New Roman" w:cs="Times New Roman"/>
              <w:sz w:val="24"/>
              <w:szCs w:val="24"/>
            </w:rPr>
            <w:fldChar w:fldCharType="begin"/>
          </w:r>
          <w:r w:rsidRPr="00B06B83">
            <w:rPr>
              <w:rFonts w:ascii="Times New Roman" w:hAnsi="Times New Roman" w:cs="Times New Roman"/>
              <w:sz w:val="24"/>
              <w:szCs w:val="24"/>
            </w:rPr>
            <w:instrText xml:space="preserve"> TOC \o "1-3" \h \z \u </w:instrText>
          </w:r>
          <w:r w:rsidRPr="00B06B83">
            <w:rPr>
              <w:rFonts w:ascii="Times New Roman" w:hAnsi="Times New Roman" w:cs="Times New Roman"/>
              <w:sz w:val="24"/>
              <w:szCs w:val="24"/>
            </w:rPr>
            <w:fldChar w:fldCharType="separate"/>
          </w:r>
          <w:hyperlink w:anchor="_Toc134605564" w:history="1">
            <w:r w:rsidRPr="00B06B83">
              <w:rPr>
                <w:rStyle w:val="Hyperlink"/>
                <w:rFonts w:ascii="Times New Roman" w:hAnsi="Times New Roman" w:cs="Times New Roman"/>
                <w:noProof/>
                <w:sz w:val="24"/>
                <w:szCs w:val="24"/>
              </w:rPr>
              <w:t>1. Satura rādītājs</w:t>
            </w:r>
            <w:r w:rsidRPr="00B06B83">
              <w:rPr>
                <w:rFonts w:ascii="Times New Roman" w:hAnsi="Times New Roman" w:cs="Times New Roman"/>
                <w:noProof/>
                <w:webHidden/>
                <w:sz w:val="24"/>
                <w:szCs w:val="24"/>
              </w:rPr>
              <w:tab/>
            </w:r>
            <w:r w:rsidRPr="00B06B83">
              <w:rPr>
                <w:rFonts w:ascii="Times New Roman" w:hAnsi="Times New Roman" w:cs="Times New Roman"/>
                <w:noProof/>
                <w:webHidden/>
                <w:sz w:val="24"/>
                <w:szCs w:val="24"/>
              </w:rPr>
              <w:fldChar w:fldCharType="begin"/>
            </w:r>
            <w:r w:rsidRPr="00B06B83">
              <w:rPr>
                <w:rFonts w:ascii="Times New Roman" w:hAnsi="Times New Roman" w:cs="Times New Roman"/>
                <w:noProof/>
                <w:webHidden/>
                <w:sz w:val="24"/>
                <w:szCs w:val="24"/>
              </w:rPr>
              <w:instrText xml:space="preserve"> PAGEREF _Toc134605564 \h </w:instrText>
            </w:r>
            <w:r w:rsidRPr="00B06B83">
              <w:rPr>
                <w:rFonts w:ascii="Times New Roman" w:hAnsi="Times New Roman" w:cs="Times New Roman"/>
                <w:noProof/>
                <w:webHidden/>
                <w:sz w:val="24"/>
                <w:szCs w:val="24"/>
              </w:rPr>
            </w:r>
            <w:r w:rsidRPr="00B06B83">
              <w:rPr>
                <w:rFonts w:ascii="Times New Roman" w:hAnsi="Times New Roman" w:cs="Times New Roman"/>
                <w:noProof/>
                <w:webHidden/>
                <w:sz w:val="24"/>
                <w:szCs w:val="24"/>
              </w:rPr>
              <w:fldChar w:fldCharType="separate"/>
            </w:r>
            <w:r w:rsidRPr="00B06B83">
              <w:rPr>
                <w:rFonts w:ascii="Times New Roman" w:hAnsi="Times New Roman" w:cs="Times New Roman"/>
                <w:noProof/>
                <w:webHidden/>
                <w:sz w:val="24"/>
                <w:szCs w:val="24"/>
              </w:rPr>
              <w:t>3</w:t>
            </w:r>
            <w:r w:rsidRPr="00B06B83">
              <w:rPr>
                <w:rFonts w:ascii="Times New Roman" w:hAnsi="Times New Roman" w:cs="Times New Roman"/>
                <w:noProof/>
                <w:webHidden/>
                <w:sz w:val="24"/>
                <w:szCs w:val="24"/>
              </w:rPr>
              <w:fldChar w:fldCharType="end"/>
            </w:r>
          </w:hyperlink>
        </w:p>
        <w:p w14:paraId="0F14F4AF" w14:textId="4F400789"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65" w:history="1">
            <w:r w:rsidR="0051320C" w:rsidRPr="00B06B83">
              <w:rPr>
                <w:rStyle w:val="Hyperlink"/>
                <w:rFonts w:ascii="Times New Roman" w:hAnsi="Times New Roman" w:cs="Times New Roman"/>
                <w:noProof/>
                <w:sz w:val="24"/>
                <w:szCs w:val="24"/>
              </w:rPr>
              <w:t>2. Saīsinājumi un definīcijas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_Toc134605565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5</w:t>
            </w:r>
            <w:r w:rsidR="0051320C" w:rsidRPr="00B06B83">
              <w:rPr>
                <w:rFonts w:ascii="Times New Roman" w:hAnsi="Times New Roman" w:cs="Times New Roman"/>
                <w:noProof/>
                <w:webHidden/>
                <w:sz w:val="24"/>
                <w:szCs w:val="24"/>
              </w:rPr>
              <w:fldChar w:fldCharType="end"/>
            </w:r>
          </w:hyperlink>
        </w:p>
        <w:p w14:paraId="31FB8A3C" w14:textId="4AB266E1" w:rsidR="0051320C" w:rsidRPr="00B06B83" w:rsidRDefault="00000000" w:rsidP="00B06B83">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66" w:history="1">
            <w:r w:rsidR="0051320C" w:rsidRPr="00B06B83">
              <w:rPr>
                <w:rStyle w:val="Hyperlink"/>
                <w:rFonts w:ascii="Times New Roman" w:hAnsi="Times New Roman" w:cs="Times New Roman"/>
                <w:noProof/>
                <w:sz w:val="24"/>
                <w:szCs w:val="24"/>
              </w:rPr>
              <w:t>2.1. Saīsinājumi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_Toc134605566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5</w:t>
            </w:r>
            <w:r w:rsidR="0051320C" w:rsidRPr="00B06B83">
              <w:rPr>
                <w:rFonts w:ascii="Times New Roman" w:hAnsi="Times New Roman" w:cs="Times New Roman"/>
                <w:noProof/>
                <w:webHidden/>
                <w:sz w:val="24"/>
                <w:szCs w:val="24"/>
              </w:rPr>
              <w:fldChar w:fldCharType="end"/>
            </w:r>
          </w:hyperlink>
        </w:p>
        <w:p w14:paraId="19F2DD2A" w14:textId="246CBC9E" w:rsidR="0051320C" w:rsidRPr="00B06B83" w:rsidRDefault="00000000" w:rsidP="00B06B83">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67" w:history="1">
            <w:r w:rsidR="0051320C" w:rsidRPr="00B06B83">
              <w:rPr>
                <w:rStyle w:val="Hyperlink"/>
                <w:rFonts w:ascii="Times New Roman" w:hAnsi="Times New Roman" w:cs="Times New Roman"/>
                <w:noProof/>
                <w:sz w:val="24"/>
                <w:szCs w:val="24"/>
              </w:rPr>
              <w:t>2.2. Definīcijas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_Toc134605567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5</w:t>
            </w:r>
            <w:r w:rsidR="0051320C" w:rsidRPr="00B06B83">
              <w:rPr>
                <w:rFonts w:ascii="Times New Roman" w:hAnsi="Times New Roman" w:cs="Times New Roman"/>
                <w:noProof/>
                <w:webHidden/>
                <w:sz w:val="24"/>
                <w:szCs w:val="24"/>
              </w:rPr>
              <w:fldChar w:fldCharType="end"/>
            </w:r>
          </w:hyperlink>
        </w:p>
        <w:p w14:paraId="151B6509" w14:textId="545FE671"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68" w:history="1">
            <w:r w:rsidR="0051320C" w:rsidRPr="00B06B83">
              <w:rPr>
                <w:rStyle w:val="Hyperlink"/>
                <w:rFonts w:ascii="Times New Roman" w:hAnsi="Times New Roman" w:cs="Times New Roman"/>
                <w:noProof/>
                <w:sz w:val="24"/>
                <w:szCs w:val="24"/>
              </w:rPr>
              <w:t>3. Lietotāji, kam paredzēti šie norādījumi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_Toc134605568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5</w:t>
            </w:r>
            <w:r w:rsidR="0051320C" w:rsidRPr="00B06B83">
              <w:rPr>
                <w:rFonts w:ascii="Times New Roman" w:hAnsi="Times New Roman" w:cs="Times New Roman"/>
                <w:noProof/>
                <w:webHidden/>
                <w:sz w:val="24"/>
                <w:szCs w:val="24"/>
              </w:rPr>
              <w:fldChar w:fldCharType="end"/>
            </w:r>
          </w:hyperlink>
        </w:p>
        <w:p w14:paraId="56FFB667" w14:textId="152D18CC"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69" w:history="1">
            <w:r w:rsidR="0051320C" w:rsidRPr="00B06B83">
              <w:rPr>
                <w:rStyle w:val="Hyperlink"/>
                <w:rFonts w:ascii="Times New Roman" w:hAnsi="Times New Roman" w:cs="Times New Roman"/>
                <w:noProof/>
                <w:sz w:val="24"/>
                <w:szCs w:val="24"/>
              </w:rPr>
              <w:t>4. Ievads un šo norādījumu mērķis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_Toc134605569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5</w:t>
            </w:r>
            <w:r w:rsidR="0051320C" w:rsidRPr="00B06B83">
              <w:rPr>
                <w:rFonts w:ascii="Times New Roman" w:hAnsi="Times New Roman" w:cs="Times New Roman"/>
                <w:noProof/>
                <w:webHidden/>
                <w:sz w:val="24"/>
                <w:szCs w:val="24"/>
              </w:rPr>
              <w:fldChar w:fldCharType="end"/>
            </w:r>
          </w:hyperlink>
        </w:p>
        <w:p w14:paraId="2B0566BC" w14:textId="238DBAA6"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70" w:history="1">
            <w:r w:rsidR="0051320C" w:rsidRPr="00B06B83">
              <w:rPr>
                <w:rStyle w:val="Hyperlink"/>
                <w:rFonts w:ascii="Times New Roman" w:hAnsi="Times New Roman" w:cs="Times New Roman"/>
                <w:noProof/>
                <w:sz w:val="24"/>
                <w:szCs w:val="24"/>
              </w:rPr>
              <w:t>5. Norādījumos izmantotie principi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_Toc134605570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5</w:t>
            </w:r>
            <w:r w:rsidR="0051320C" w:rsidRPr="00B06B83">
              <w:rPr>
                <w:rFonts w:ascii="Times New Roman" w:hAnsi="Times New Roman" w:cs="Times New Roman"/>
                <w:noProof/>
                <w:webHidden/>
                <w:sz w:val="24"/>
                <w:szCs w:val="24"/>
              </w:rPr>
              <w:fldChar w:fldCharType="end"/>
            </w:r>
          </w:hyperlink>
        </w:p>
        <w:p w14:paraId="0943018F" w14:textId="56D4E24F"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71" w:history="1">
            <w:r w:rsidR="0051320C" w:rsidRPr="00B06B83">
              <w:rPr>
                <w:rStyle w:val="Hyperlink"/>
                <w:rFonts w:ascii="Times New Roman" w:hAnsi="Times New Roman" w:cs="Times New Roman"/>
                <w:noProof/>
                <w:sz w:val="24"/>
                <w:szCs w:val="24"/>
              </w:rPr>
              <w:t>6. Izmeklēšanas lēmuma pieņemšanas principi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_Toc134605571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6</w:t>
            </w:r>
            <w:r w:rsidR="0051320C" w:rsidRPr="00B06B83">
              <w:rPr>
                <w:rFonts w:ascii="Times New Roman" w:hAnsi="Times New Roman" w:cs="Times New Roman"/>
                <w:noProof/>
                <w:webHidden/>
                <w:sz w:val="24"/>
                <w:szCs w:val="24"/>
              </w:rPr>
              <w:fldChar w:fldCharType="end"/>
            </w:r>
          </w:hyperlink>
        </w:p>
        <w:p w14:paraId="6A9F7475" w14:textId="68961122"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72" w:history="1">
            <w:r w:rsidR="0051320C" w:rsidRPr="00B06B83">
              <w:rPr>
                <w:rStyle w:val="Hyperlink"/>
                <w:rFonts w:ascii="Times New Roman" w:hAnsi="Times New Roman" w:cs="Times New Roman"/>
                <w:noProof/>
                <w:sz w:val="24"/>
                <w:szCs w:val="24"/>
              </w:rPr>
              <w:t>7. Obligāta izmeklēšana – smagi negadījumi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_Toc134605572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9</w:t>
            </w:r>
            <w:r w:rsidR="0051320C" w:rsidRPr="00B06B83">
              <w:rPr>
                <w:rFonts w:ascii="Times New Roman" w:hAnsi="Times New Roman" w:cs="Times New Roman"/>
                <w:noProof/>
                <w:webHidden/>
                <w:sz w:val="24"/>
                <w:szCs w:val="24"/>
              </w:rPr>
              <w:fldChar w:fldCharType="end"/>
            </w:r>
          </w:hyperlink>
        </w:p>
        <w:p w14:paraId="02439E79" w14:textId="66A225D6" w:rsidR="0051320C" w:rsidRPr="00B06B83" w:rsidRDefault="00000000" w:rsidP="00B06B83">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73" w:history="1">
            <w:r w:rsidR="0051320C" w:rsidRPr="00B06B83">
              <w:rPr>
                <w:rStyle w:val="Hyperlink"/>
                <w:rFonts w:ascii="Times New Roman" w:hAnsi="Times New Roman" w:cs="Times New Roman"/>
                <w:noProof/>
                <w:sz w:val="24"/>
                <w:szCs w:val="24"/>
              </w:rPr>
              <w:t>7.1. Negadījuma sekas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_Toc134605573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9</w:t>
            </w:r>
            <w:r w:rsidR="0051320C" w:rsidRPr="00B06B83">
              <w:rPr>
                <w:rFonts w:ascii="Times New Roman" w:hAnsi="Times New Roman" w:cs="Times New Roman"/>
                <w:noProof/>
                <w:webHidden/>
                <w:sz w:val="24"/>
                <w:szCs w:val="24"/>
              </w:rPr>
              <w:fldChar w:fldCharType="end"/>
            </w:r>
          </w:hyperlink>
        </w:p>
        <w:p w14:paraId="772345FF" w14:textId="707D0266" w:rsidR="0051320C" w:rsidRPr="00B06B83" w:rsidRDefault="00000000" w:rsidP="00B06B83">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74" w:history="1">
            <w:r w:rsidR="0051320C" w:rsidRPr="00B06B83">
              <w:rPr>
                <w:rStyle w:val="Hyperlink"/>
                <w:rFonts w:ascii="Times New Roman" w:hAnsi="Times New Roman" w:cs="Times New Roman"/>
                <w:noProof/>
                <w:sz w:val="24"/>
                <w:szCs w:val="24"/>
              </w:rPr>
              <w:t>7.2. Negadījuma “acīmredzamā” ietekme</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_Toc134605574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10</w:t>
            </w:r>
            <w:r w:rsidR="0051320C" w:rsidRPr="00B06B83">
              <w:rPr>
                <w:rFonts w:ascii="Times New Roman" w:hAnsi="Times New Roman" w:cs="Times New Roman"/>
                <w:noProof/>
                <w:webHidden/>
                <w:sz w:val="24"/>
                <w:szCs w:val="24"/>
              </w:rPr>
              <w:fldChar w:fldCharType="end"/>
            </w:r>
          </w:hyperlink>
        </w:p>
        <w:p w14:paraId="1F4130C4" w14:textId="5DB818EB"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75" w:history="1">
            <w:r w:rsidR="0051320C" w:rsidRPr="00B06B83">
              <w:rPr>
                <w:rStyle w:val="Hyperlink"/>
                <w:rFonts w:ascii="Times New Roman" w:hAnsi="Times New Roman" w:cs="Times New Roman"/>
                <w:noProof/>
                <w:sz w:val="24"/>
                <w:szCs w:val="24"/>
              </w:rPr>
              <w:t>8. Neobligāti – NIB var pieņemt lēmumu par izmeklēšanas veikšanu vai neveikšanu</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_Toc134605575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11</w:t>
            </w:r>
            <w:r w:rsidR="0051320C" w:rsidRPr="00B06B83">
              <w:rPr>
                <w:rFonts w:ascii="Times New Roman" w:hAnsi="Times New Roman" w:cs="Times New Roman"/>
                <w:noProof/>
                <w:webHidden/>
                <w:sz w:val="24"/>
                <w:szCs w:val="24"/>
              </w:rPr>
              <w:fldChar w:fldCharType="end"/>
            </w:r>
          </w:hyperlink>
        </w:p>
        <w:p w14:paraId="22F8939D" w14:textId="6F7B22B1" w:rsidR="0051320C" w:rsidRPr="00B06B83" w:rsidRDefault="00000000" w:rsidP="00B06B83">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76" w:history="1">
            <w:r w:rsidR="0051320C" w:rsidRPr="00B06B83">
              <w:rPr>
                <w:rStyle w:val="Hyperlink"/>
                <w:rFonts w:ascii="Times New Roman" w:hAnsi="Times New Roman" w:cs="Times New Roman"/>
                <w:noProof/>
                <w:sz w:val="24"/>
                <w:szCs w:val="24"/>
              </w:rPr>
              <w:t>8.1. Tāda notikuma izvērtēšana, kam piemīt smaga negadījuma risks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_Toc134605576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11</w:t>
            </w:r>
            <w:r w:rsidR="0051320C" w:rsidRPr="00B06B83">
              <w:rPr>
                <w:rFonts w:ascii="Times New Roman" w:hAnsi="Times New Roman" w:cs="Times New Roman"/>
                <w:noProof/>
                <w:webHidden/>
                <w:sz w:val="24"/>
                <w:szCs w:val="24"/>
              </w:rPr>
              <w:fldChar w:fldCharType="end"/>
            </w:r>
          </w:hyperlink>
        </w:p>
        <w:p w14:paraId="3543C1A8" w14:textId="514E3FDE" w:rsidR="0051320C" w:rsidRPr="00B06B83" w:rsidRDefault="00000000" w:rsidP="00B06B83">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77" w:history="1">
            <w:r w:rsidR="0051320C" w:rsidRPr="00B06B83">
              <w:rPr>
                <w:rStyle w:val="Hyperlink"/>
                <w:rFonts w:ascii="Times New Roman" w:hAnsi="Times New Roman" w:cs="Times New Roman"/>
                <w:noProof/>
                <w:sz w:val="24"/>
                <w:szCs w:val="24"/>
              </w:rPr>
              <w:t>8.2. Pieprasījumi no IM, RU, NSA vai DV</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_Toc134605577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13</w:t>
            </w:r>
            <w:r w:rsidR="0051320C" w:rsidRPr="00B06B83">
              <w:rPr>
                <w:rFonts w:ascii="Times New Roman" w:hAnsi="Times New Roman" w:cs="Times New Roman"/>
                <w:noProof/>
                <w:webHidden/>
                <w:sz w:val="24"/>
                <w:szCs w:val="24"/>
              </w:rPr>
              <w:fldChar w:fldCharType="end"/>
            </w:r>
          </w:hyperlink>
        </w:p>
        <w:p w14:paraId="036918C9" w14:textId="355380F0"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78" w:history="1">
            <w:r w:rsidR="0051320C" w:rsidRPr="00B06B83">
              <w:rPr>
                <w:rStyle w:val="Hyperlink"/>
                <w:rFonts w:ascii="Times New Roman" w:hAnsi="Times New Roman" w:cs="Times New Roman"/>
                <w:noProof/>
                <w:sz w:val="24"/>
                <w:szCs w:val="24"/>
              </w:rPr>
              <w:t>9. Izmeklēšanas veikšana ir noteikta valsts tiesību aktos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_Toc134605578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14</w:t>
            </w:r>
            <w:r w:rsidR="0051320C" w:rsidRPr="00B06B83">
              <w:rPr>
                <w:rFonts w:ascii="Times New Roman" w:hAnsi="Times New Roman" w:cs="Times New Roman"/>
                <w:noProof/>
                <w:webHidden/>
                <w:sz w:val="24"/>
                <w:szCs w:val="24"/>
              </w:rPr>
              <w:fldChar w:fldCharType="end"/>
            </w:r>
          </w:hyperlink>
        </w:p>
        <w:p w14:paraId="71E886D2" w14:textId="5C54CABE"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579" w:history="1">
            <w:r w:rsidR="0051320C" w:rsidRPr="00B06B83">
              <w:rPr>
                <w:rStyle w:val="Hyperlink"/>
                <w:rFonts w:ascii="Times New Roman" w:hAnsi="Times New Roman" w:cs="Times New Roman"/>
                <w:noProof/>
                <w:sz w:val="24"/>
                <w:szCs w:val="24"/>
              </w:rPr>
              <w:t>10. Process, kā pieņem lēmumu par izmeklēšanas uzsākšanu, atbilstoši negadījuma veidam</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_Toc134605579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16</w:t>
            </w:r>
            <w:r w:rsidR="0051320C" w:rsidRPr="00B06B83">
              <w:rPr>
                <w:rFonts w:ascii="Times New Roman" w:hAnsi="Times New Roman" w:cs="Times New Roman"/>
                <w:noProof/>
                <w:webHidden/>
                <w:sz w:val="24"/>
                <w:szCs w:val="24"/>
              </w:rPr>
              <w:fldChar w:fldCharType="end"/>
            </w:r>
          </w:hyperlink>
        </w:p>
        <w:p w14:paraId="00892226" w14:textId="79FDA839"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80" w:history="1">
            <w:r w:rsidR="0051320C" w:rsidRPr="00B06B83">
              <w:rPr>
                <w:rStyle w:val="Hyperlink"/>
                <w:rFonts w:ascii="Times New Roman" w:hAnsi="Times New Roman" w:cs="Times New Roman"/>
                <w:noProof/>
                <w:sz w:val="24"/>
                <w:szCs w:val="24"/>
              </w:rPr>
              <w:t>10. 1. Vilcienu sadursmes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_Toc134605580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16</w:t>
            </w:r>
            <w:r w:rsidR="0051320C" w:rsidRPr="00B06B83">
              <w:rPr>
                <w:rFonts w:ascii="Times New Roman" w:hAnsi="Times New Roman" w:cs="Times New Roman"/>
                <w:noProof/>
                <w:webHidden/>
                <w:sz w:val="24"/>
                <w:szCs w:val="24"/>
              </w:rPr>
              <w:fldChar w:fldCharType="end"/>
            </w:r>
          </w:hyperlink>
        </w:p>
        <w:p w14:paraId="27EFC906" w14:textId="685C6D90"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81" w:history="1">
            <w:r w:rsidR="0051320C" w:rsidRPr="00B06B83">
              <w:rPr>
                <w:rStyle w:val="Hyperlink"/>
                <w:rFonts w:ascii="Times New Roman" w:hAnsi="Times New Roman" w:cs="Times New Roman"/>
                <w:i w:val="0"/>
                <w:iCs w:val="0"/>
                <w:noProof/>
                <w:sz w:val="24"/>
                <w:szCs w:val="24"/>
              </w:rPr>
              <w:t>10. 1.1. Definīcijas</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_Toc134605581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16</w:t>
            </w:r>
            <w:r w:rsidR="0051320C" w:rsidRPr="00B06B83">
              <w:rPr>
                <w:rFonts w:ascii="Times New Roman" w:hAnsi="Times New Roman" w:cs="Times New Roman"/>
                <w:i w:val="0"/>
                <w:iCs w:val="0"/>
                <w:noProof/>
                <w:webHidden/>
                <w:sz w:val="24"/>
                <w:szCs w:val="24"/>
              </w:rPr>
              <w:fldChar w:fldCharType="end"/>
            </w:r>
          </w:hyperlink>
        </w:p>
        <w:p w14:paraId="34FFAE05" w14:textId="168446DB"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82" w:history="1">
            <w:r w:rsidR="0051320C" w:rsidRPr="00B06B83">
              <w:rPr>
                <w:rStyle w:val="Hyperlink"/>
                <w:rFonts w:ascii="Times New Roman" w:hAnsi="Times New Roman" w:cs="Times New Roman"/>
                <w:i w:val="0"/>
                <w:iCs w:val="0"/>
                <w:noProof/>
                <w:sz w:val="24"/>
                <w:szCs w:val="24"/>
              </w:rPr>
              <w:t>10.1.2. Piemēri</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_Toc134605582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17</w:t>
            </w:r>
            <w:r w:rsidR="0051320C" w:rsidRPr="00B06B83">
              <w:rPr>
                <w:rFonts w:ascii="Times New Roman" w:hAnsi="Times New Roman" w:cs="Times New Roman"/>
                <w:i w:val="0"/>
                <w:iCs w:val="0"/>
                <w:noProof/>
                <w:webHidden/>
                <w:sz w:val="24"/>
                <w:szCs w:val="24"/>
              </w:rPr>
              <w:fldChar w:fldCharType="end"/>
            </w:r>
          </w:hyperlink>
        </w:p>
        <w:p w14:paraId="4FC3B5B1" w14:textId="410325B2"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83" w:history="1">
            <w:r w:rsidR="0051320C" w:rsidRPr="00B06B83">
              <w:rPr>
                <w:rStyle w:val="Hyperlink"/>
                <w:rFonts w:ascii="Times New Roman" w:hAnsi="Times New Roman" w:cs="Times New Roman"/>
                <w:noProof/>
                <w:sz w:val="24"/>
                <w:szCs w:val="24"/>
              </w:rPr>
              <w:t>10.2. Vilcienu nobraukšana no sliedēm</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_Toc134605583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20</w:t>
            </w:r>
            <w:r w:rsidR="0051320C" w:rsidRPr="00B06B83">
              <w:rPr>
                <w:rFonts w:ascii="Times New Roman" w:hAnsi="Times New Roman" w:cs="Times New Roman"/>
                <w:noProof/>
                <w:webHidden/>
                <w:sz w:val="24"/>
                <w:szCs w:val="24"/>
              </w:rPr>
              <w:fldChar w:fldCharType="end"/>
            </w:r>
          </w:hyperlink>
        </w:p>
        <w:p w14:paraId="221E2E84" w14:textId="75DD914E"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84" w:history="1">
            <w:r w:rsidR="0051320C" w:rsidRPr="00B06B83">
              <w:rPr>
                <w:rStyle w:val="Hyperlink"/>
                <w:rFonts w:ascii="Times New Roman" w:hAnsi="Times New Roman" w:cs="Times New Roman"/>
                <w:i w:val="0"/>
                <w:iCs w:val="0"/>
                <w:noProof/>
                <w:sz w:val="24"/>
                <w:szCs w:val="24"/>
              </w:rPr>
              <w:t>10.2.1. Definīcija</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_Toc134605584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20</w:t>
            </w:r>
            <w:r w:rsidR="0051320C" w:rsidRPr="00B06B83">
              <w:rPr>
                <w:rFonts w:ascii="Times New Roman" w:hAnsi="Times New Roman" w:cs="Times New Roman"/>
                <w:i w:val="0"/>
                <w:iCs w:val="0"/>
                <w:noProof/>
                <w:webHidden/>
                <w:sz w:val="24"/>
                <w:szCs w:val="24"/>
              </w:rPr>
              <w:fldChar w:fldCharType="end"/>
            </w:r>
          </w:hyperlink>
        </w:p>
        <w:p w14:paraId="7AEB4CA0" w14:textId="704652BF"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85" w:history="1">
            <w:r w:rsidR="0051320C" w:rsidRPr="00B06B83">
              <w:rPr>
                <w:rStyle w:val="Hyperlink"/>
                <w:rFonts w:ascii="Times New Roman" w:hAnsi="Times New Roman" w:cs="Times New Roman"/>
                <w:i w:val="0"/>
                <w:iCs w:val="0"/>
                <w:noProof/>
                <w:sz w:val="24"/>
                <w:szCs w:val="24"/>
              </w:rPr>
              <w:t>10.2.2. Piemēri</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_Toc134605585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20</w:t>
            </w:r>
            <w:r w:rsidR="0051320C" w:rsidRPr="00B06B83">
              <w:rPr>
                <w:rFonts w:ascii="Times New Roman" w:hAnsi="Times New Roman" w:cs="Times New Roman"/>
                <w:i w:val="0"/>
                <w:iCs w:val="0"/>
                <w:noProof/>
                <w:webHidden/>
                <w:sz w:val="24"/>
                <w:szCs w:val="24"/>
              </w:rPr>
              <w:fldChar w:fldCharType="end"/>
            </w:r>
          </w:hyperlink>
        </w:p>
        <w:p w14:paraId="2FE78BB0" w14:textId="1B38978B"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86" w:history="1">
            <w:r w:rsidR="0051320C" w:rsidRPr="00B06B83">
              <w:rPr>
                <w:rStyle w:val="Hyperlink"/>
                <w:rFonts w:ascii="Times New Roman" w:hAnsi="Times New Roman" w:cs="Times New Roman"/>
                <w:noProof/>
                <w:sz w:val="24"/>
                <w:szCs w:val="24"/>
              </w:rPr>
              <w:t>10. 3. Negadījumi uz pārbrauktuvēm</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_Toc134605586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23</w:t>
            </w:r>
            <w:r w:rsidR="0051320C" w:rsidRPr="00B06B83">
              <w:rPr>
                <w:rFonts w:ascii="Times New Roman" w:hAnsi="Times New Roman" w:cs="Times New Roman"/>
                <w:noProof/>
                <w:webHidden/>
                <w:sz w:val="24"/>
                <w:szCs w:val="24"/>
              </w:rPr>
              <w:fldChar w:fldCharType="end"/>
            </w:r>
          </w:hyperlink>
        </w:p>
        <w:p w14:paraId="60E6B8A0" w14:textId="6EB7B4E0"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87" w:history="1">
            <w:r w:rsidR="0051320C" w:rsidRPr="00B06B83">
              <w:rPr>
                <w:rStyle w:val="Hyperlink"/>
                <w:rFonts w:ascii="Times New Roman" w:hAnsi="Times New Roman" w:cs="Times New Roman"/>
                <w:i w:val="0"/>
                <w:iCs w:val="0"/>
                <w:noProof/>
                <w:sz w:val="24"/>
                <w:szCs w:val="24"/>
              </w:rPr>
              <w:t>10.3.1. Definīcijas</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_Toc134605587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23</w:t>
            </w:r>
            <w:r w:rsidR="0051320C" w:rsidRPr="00B06B83">
              <w:rPr>
                <w:rFonts w:ascii="Times New Roman" w:hAnsi="Times New Roman" w:cs="Times New Roman"/>
                <w:i w:val="0"/>
                <w:iCs w:val="0"/>
                <w:noProof/>
                <w:webHidden/>
                <w:sz w:val="24"/>
                <w:szCs w:val="24"/>
              </w:rPr>
              <w:fldChar w:fldCharType="end"/>
            </w:r>
          </w:hyperlink>
        </w:p>
        <w:p w14:paraId="0E45BC3A" w14:textId="44E9EBB6"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88" w:history="1">
            <w:r w:rsidR="0051320C" w:rsidRPr="00B06B83">
              <w:rPr>
                <w:rStyle w:val="Hyperlink"/>
                <w:rFonts w:ascii="Times New Roman" w:hAnsi="Times New Roman" w:cs="Times New Roman"/>
                <w:i w:val="0"/>
                <w:iCs w:val="0"/>
                <w:noProof/>
                <w:sz w:val="24"/>
                <w:szCs w:val="24"/>
              </w:rPr>
              <w:t>10.3.2. Piemēri</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_Toc134605588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24</w:t>
            </w:r>
            <w:r w:rsidR="0051320C" w:rsidRPr="00B06B83">
              <w:rPr>
                <w:rFonts w:ascii="Times New Roman" w:hAnsi="Times New Roman" w:cs="Times New Roman"/>
                <w:i w:val="0"/>
                <w:iCs w:val="0"/>
                <w:noProof/>
                <w:webHidden/>
                <w:sz w:val="24"/>
                <w:szCs w:val="24"/>
              </w:rPr>
              <w:fldChar w:fldCharType="end"/>
            </w:r>
          </w:hyperlink>
        </w:p>
        <w:p w14:paraId="2452B857" w14:textId="25FC4F6E"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89" w:history="1">
            <w:r w:rsidR="0051320C" w:rsidRPr="00B06B83">
              <w:rPr>
                <w:rStyle w:val="Hyperlink"/>
                <w:rFonts w:ascii="Times New Roman" w:hAnsi="Times New Roman" w:cs="Times New Roman"/>
                <w:noProof/>
                <w:sz w:val="24"/>
                <w:szCs w:val="24"/>
              </w:rPr>
              <w:t>10.4. Negadījumi ar personām, kuros iesaistīts kustībā esošs ritošais sastāvs (izņemot pašnāvības)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_Toc134605589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26</w:t>
            </w:r>
            <w:r w:rsidR="0051320C" w:rsidRPr="00B06B83">
              <w:rPr>
                <w:rFonts w:ascii="Times New Roman" w:hAnsi="Times New Roman" w:cs="Times New Roman"/>
                <w:noProof/>
                <w:webHidden/>
                <w:sz w:val="24"/>
                <w:szCs w:val="24"/>
              </w:rPr>
              <w:fldChar w:fldCharType="end"/>
            </w:r>
          </w:hyperlink>
        </w:p>
        <w:p w14:paraId="1476AF16" w14:textId="38DAE9B5"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90" w:history="1">
            <w:r w:rsidR="0051320C" w:rsidRPr="00B06B83">
              <w:rPr>
                <w:rStyle w:val="Hyperlink"/>
                <w:rFonts w:ascii="Times New Roman" w:hAnsi="Times New Roman" w:cs="Times New Roman"/>
                <w:i w:val="0"/>
                <w:iCs w:val="0"/>
                <w:noProof/>
                <w:sz w:val="24"/>
                <w:szCs w:val="24"/>
              </w:rPr>
              <w:t>10.4.1. Definīcija</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_Toc134605590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26</w:t>
            </w:r>
            <w:r w:rsidR="0051320C" w:rsidRPr="00B06B83">
              <w:rPr>
                <w:rFonts w:ascii="Times New Roman" w:hAnsi="Times New Roman" w:cs="Times New Roman"/>
                <w:i w:val="0"/>
                <w:iCs w:val="0"/>
                <w:noProof/>
                <w:webHidden/>
                <w:sz w:val="24"/>
                <w:szCs w:val="24"/>
              </w:rPr>
              <w:fldChar w:fldCharType="end"/>
            </w:r>
          </w:hyperlink>
        </w:p>
        <w:p w14:paraId="28278B6D" w14:textId="3721D39D"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91" w:history="1">
            <w:r w:rsidR="0051320C" w:rsidRPr="00B06B83">
              <w:rPr>
                <w:rStyle w:val="Hyperlink"/>
                <w:rFonts w:ascii="Times New Roman" w:hAnsi="Times New Roman" w:cs="Times New Roman"/>
                <w:i w:val="0"/>
                <w:iCs w:val="0"/>
                <w:noProof/>
                <w:sz w:val="24"/>
                <w:szCs w:val="24"/>
              </w:rPr>
              <w:t>10.4.2. Piemēri</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_Toc134605591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27</w:t>
            </w:r>
            <w:r w:rsidR="0051320C" w:rsidRPr="00B06B83">
              <w:rPr>
                <w:rFonts w:ascii="Times New Roman" w:hAnsi="Times New Roman" w:cs="Times New Roman"/>
                <w:i w:val="0"/>
                <w:iCs w:val="0"/>
                <w:noProof/>
                <w:webHidden/>
                <w:sz w:val="24"/>
                <w:szCs w:val="24"/>
              </w:rPr>
              <w:fldChar w:fldCharType="end"/>
            </w:r>
          </w:hyperlink>
        </w:p>
        <w:p w14:paraId="101CA36D" w14:textId="47536F9C"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92" w:history="1">
            <w:r w:rsidR="0051320C" w:rsidRPr="00B06B83">
              <w:rPr>
                <w:rStyle w:val="Hyperlink"/>
                <w:rFonts w:ascii="Times New Roman" w:hAnsi="Times New Roman" w:cs="Times New Roman"/>
                <w:noProof/>
                <w:sz w:val="24"/>
                <w:szCs w:val="24"/>
              </w:rPr>
              <w:t>10.5. Ritošā sastāva ugunsgrēks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_Toc134605592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29</w:t>
            </w:r>
            <w:r w:rsidR="0051320C" w:rsidRPr="00B06B83">
              <w:rPr>
                <w:rFonts w:ascii="Times New Roman" w:hAnsi="Times New Roman" w:cs="Times New Roman"/>
                <w:noProof/>
                <w:webHidden/>
                <w:sz w:val="24"/>
                <w:szCs w:val="24"/>
              </w:rPr>
              <w:fldChar w:fldCharType="end"/>
            </w:r>
          </w:hyperlink>
        </w:p>
        <w:p w14:paraId="35B6435F" w14:textId="27260612"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93" w:history="1">
            <w:r w:rsidR="0051320C" w:rsidRPr="00B06B83">
              <w:rPr>
                <w:rStyle w:val="Hyperlink"/>
                <w:rFonts w:ascii="Times New Roman" w:hAnsi="Times New Roman" w:cs="Times New Roman"/>
                <w:i w:val="0"/>
                <w:iCs w:val="0"/>
                <w:noProof/>
                <w:sz w:val="24"/>
                <w:szCs w:val="24"/>
              </w:rPr>
              <w:t>10.5.1. Definīcija</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_Toc134605593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30</w:t>
            </w:r>
            <w:r w:rsidR="0051320C" w:rsidRPr="00B06B83">
              <w:rPr>
                <w:rFonts w:ascii="Times New Roman" w:hAnsi="Times New Roman" w:cs="Times New Roman"/>
                <w:i w:val="0"/>
                <w:iCs w:val="0"/>
                <w:noProof/>
                <w:webHidden/>
                <w:sz w:val="24"/>
                <w:szCs w:val="24"/>
              </w:rPr>
              <w:fldChar w:fldCharType="end"/>
            </w:r>
          </w:hyperlink>
        </w:p>
        <w:p w14:paraId="2C4364E3" w14:textId="1A4E4A9D"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94" w:history="1">
            <w:r w:rsidR="0051320C" w:rsidRPr="00B06B83">
              <w:rPr>
                <w:rStyle w:val="Hyperlink"/>
                <w:rFonts w:ascii="Times New Roman" w:hAnsi="Times New Roman" w:cs="Times New Roman"/>
                <w:i w:val="0"/>
                <w:iCs w:val="0"/>
                <w:noProof/>
                <w:sz w:val="24"/>
                <w:szCs w:val="24"/>
              </w:rPr>
              <w:t>10.5.2. Piemēri</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_Toc134605594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30</w:t>
            </w:r>
            <w:r w:rsidR="0051320C" w:rsidRPr="00B06B83">
              <w:rPr>
                <w:rFonts w:ascii="Times New Roman" w:hAnsi="Times New Roman" w:cs="Times New Roman"/>
                <w:i w:val="0"/>
                <w:iCs w:val="0"/>
                <w:noProof/>
                <w:webHidden/>
                <w:sz w:val="24"/>
                <w:szCs w:val="24"/>
              </w:rPr>
              <w:fldChar w:fldCharType="end"/>
            </w:r>
          </w:hyperlink>
        </w:p>
        <w:p w14:paraId="308215FB" w14:textId="3FA3DEF5"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95" w:history="1">
            <w:r w:rsidR="0051320C" w:rsidRPr="00B06B83">
              <w:rPr>
                <w:rStyle w:val="Hyperlink"/>
                <w:rFonts w:ascii="Times New Roman" w:hAnsi="Times New Roman" w:cs="Times New Roman"/>
                <w:noProof/>
                <w:sz w:val="24"/>
                <w:szCs w:val="24"/>
              </w:rPr>
              <w:t>10.6. Citi negadījumi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_Toc134605595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31</w:t>
            </w:r>
            <w:r w:rsidR="0051320C" w:rsidRPr="00B06B83">
              <w:rPr>
                <w:rFonts w:ascii="Times New Roman" w:hAnsi="Times New Roman" w:cs="Times New Roman"/>
                <w:noProof/>
                <w:webHidden/>
                <w:sz w:val="24"/>
                <w:szCs w:val="24"/>
              </w:rPr>
              <w:fldChar w:fldCharType="end"/>
            </w:r>
          </w:hyperlink>
        </w:p>
        <w:p w14:paraId="09921CE6" w14:textId="7969B3D5"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96" w:history="1">
            <w:r w:rsidR="0051320C" w:rsidRPr="00B06B83">
              <w:rPr>
                <w:rStyle w:val="Hyperlink"/>
                <w:rFonts w:ascii="Times New Roman" w:hAnsi="Times New Roman" w:cs="Times New Roman"/>
                <w:i w:val="0"/>
                <w:iCs w:val="0"/>
                <w:noProof/>
                <w:sz w:val="24"/>
                <w:szCs w:val="24"/>
              </w:rPr>
              <w:t>10.6.1. Definīcija</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_Toc134605596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32</w:t>
            </w:r>
            <w:r w:rsidR="0051320C" w:rsidRPr="00B06B83">
              <w:rPr>
                <w:rFonts w:ascii="Times New Roman" w:hAnsi="Times New Roman" w:cs="Times New Roman"/>
                <w:i w:val="0"/>
                <w:iCs w:val="0"/>
                <w:noProof/>
                <w:webHidden/>
                <w:sz w:val="24"/>
                <w:szCs w:val="24"/>
              </w:rPr>
              <w:fldChar w:fldCharType="end"/>
            </w:r>
          </w:hyperlink>
        </w:p>
        <w:p w14:paraId="456B4772" w14:textId="77815479"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97" w:history="1">
            <w:r w:rsidR="0051320C" w:rsidRPr="00B06B83">
              <w:rPr>
                <w:rStyle w:val="Hyperlink"/>
                <w:rFonts w:ascii="Times New Roman" w:hAnsi="Times New Roman" w:cs="Times New Roman"/>
                <w:i w:val="0"/>
                <w:iCs w:val="0"/>
                <w:noProof/>
                <w:sz w:val="24"/>
                <w:szCs w:val="24"/>
              </w:rPr>
              <w:t>10.6.2. Piemēri</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_Toc134605597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32</w:t>
            </w:r>
            <w:r w:rsidR="0051320C" w:rsidRPr="00B06B83">
              <w:rPr>
                <w:rFonts w:ascii="Times New Roman" w:hAnsi="Times New Roman" w:cs="Times New Roman"/>
                <w:i w:val="0"/>
                <w:iCs w:val="0"/>
                <w:noProof/>
                <w:webHidden/>
                <w:sz w:val="24"/>
                <w:szCs w:val="24"/>
              </w:rPr>
              <w:fldChar w:fldCharType="end"/>
            </w:r>
          </w:hyperlink>
        </w:p>
        <w:p w14:paraId="3FA0BA7A" w14:textId="001A09AA"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598" w:history="1">
            <w:r w:rsidR="0051320C" w:rsidRPr="00B06B83">
              <w:rPr>
                <w:rStyle w:val="Hyperlink"/>
                <w:rFonts w:ascii="Times New Roman" w:hAnsi="Times New Roman" w:cs="Times New Roman"/>
                <w:noProof/>
                <w:sz w:val="24"/>
                <w:szCs w:val="24"/>
              </w:rPr>
              <w:t>10.7. Citi starpgadījumi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_Toc134605598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33</w:t>
            </w:r>
            <w:r w:rsidR="0051320C" w:rsidRPr="00B06B83">
              <w:rPr>
                <w:rFonts w:ascii="Times New Roman" w:hAnsi="Times New Roman" w:cs="Times New Roman"/>
                <w:noProof/>
                <w:webHidden/>
                <w:sz w:val="24"/>
                <w:szCs w:val="24"/>
              </w:rPr>
              <w:fldChar w:fldCharType="end"/>
            </w:r>
          </w:hyperlink>
        </w:p>
        <w:p w14:paraId="141EC0E6" w14:textId="77315BE8"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599" w:history="1">
            <w:r w:rsidR="0051320C" w:rsidRPr="00B06B83">
              <w:rPr>
                <w:rStyle w:val="Hyperlink"/>
                <w:rFonts w:ascii="Times New Roman" w:hAnsi="Times New Roman" w:cs="Times New Roman"/>
                <w:i w:val="0"/>
                <w:iCs w:val="0"/>
                <w:noProof/>
                <w:sz w:val="24"/>
                <w:szCs w:val="24"/>
              </w:rPr>
              <w:t>10.7.1. Definīcija</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_Toc134605599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33</w:t>
            </w:r>
            <w:r w:rsidR="0051320C" w:rsidRPr="00B06B83">
              <w:rPr>
                <w:rFonts w:ascii="Times New Roman" w:hAnsi="Times New Roman" w:cs="Times New Roman"/>
                <w:i w:val="0"/>
                <w:iCs w:val="0"/>
                <w:noProof/>
                <w:webHidden/>
                <w:sz w:val="24"/>
                <w:szCs w:val="24"/>
              </w:rPr>
              <w:fldChar w:fldCharType="end"/>
            </w:r>
          </w:hyperlink>
        </w:p>
        <w:p w14:paraId="7ADB0494" w14:textId="0E10C7C7" w:rsidR="0051320C" w:rsidRPr="00B06B83" w:rsidRDefault="00000000" w:rsidP="005508D8">
          <w:pPr>
            <w:pStyle w:val="TOC3"/>
            <w:widowControl w:val="0"/>
            <w:tabs>
              <w:tab w:val="right" w:leader="dot" w:pos="9062"/>
            </w:tabs>
            <w:spacing w:line="360" w:lineRule="auto"/>
            <w:ind w:left="567"/>
            <w:jc w:val="both"/>
            <w:rPr>
              <w:rFonts w:ascii="Times New Roman" w:eastAsiaTheme="minorEastAsia" w:hAnsi="Times New Roman" w:cs="Times New Roman"/>
              <w:i w:val="0"/>
              <w:iCs w:val="0"/>
              <w:noProof/>
              <w:sz w:val="24"/>
              <w:szCs w:val="24"/>
              <w:lang w:eastAsia="lv-LV"/>
            </w:rPr>
          </w:pPr>
          <w:hyperlink w:anchor="_Toc134605600" w:history="1">
            <w:r w:rsidR="0051320C" w:rsidRPr="00B06B83">
              <w:rPr>
                <w:rStyle w:val="Hyperlink"/>
                <w:rFonts w:ascii="Times New Roman" w:hAnsi="Times New Roman" w:cs="Times New Roman"/>
                <w:i w:val="0"/>
                <w:iCs w:val="0"/>
                <w:noProof/>
                <w:sz w:val="24"/>
                <w:szCs w:val="24"/>
              </w:rPr>
              <w:t>10.7.2. Piemēri</w:t>
            </w:r>
            <w:r w:rsidR="0051320C" w:rsidRPr="00B06B83">
              <w:rPr>
                <w:rFonts w:ascii="Times New Roman" w:hAnsi="Times New Roman" w:cs="Times New Roman"/>
                <w:i w:val="0"/>
                <w:iCs w:val="0"/>
                <w:noProof/>
                <w:webHidden/>
                <w:sz w:val="24"/>
                <w:szCs w:val="24"/>
              </w:rPr>
              <w:tab/>
            </w:r>
            <w:r w:rsidR="0051320C" w:rsidRPr="00B06B83">
              <w:rPr>
                <w:rFonts w:ascii="Times New Roman" w:hAnsi="Times New Roman" w:cs="Times New Roman"/>
                <w:i w:val="0"/>
                <w:iCs w:val="0"/>
                <w:noProof/>
                <w:webHidden/>
                <w:sz w:val="24"/>
                <w:szCs w:val="24"/>
              </w:rPr>
              <w:fldChar w:fldCharType="begin"/>
            </w:r>
            <w:r w:rsidR="0051320C" w:rsidRPr="00B06B83">
              <w:rPr>
                <w:rFonts w:ascii="Times New Roman" w:hAnsi="Times New Roman" w:cs="Times New Roman"/>
                <w:i w:val="0"/>
                <w:iCs w:val="0"/>
                <w:noProof/>
                <w:webHidden/>
                <w:sz w:val="24"/>
                <w:szCs w:val="24"/>
              </w:rPr>
              <w:instrText xml:space="preserve"> PAGEREF _Toc134605600 \h </w:instrText>
            </w:r>
            <w:r w:rsidR="0051320C" w:rsidRPr="00B06B83">
              <w:rPr>
                <w:rFonts w:ascii="Times New Roman" w:hAnsi="Times New Roman" w:cs="Times New Roman"/>
                <w:i w:val="0"/>
                <w:iCs w:val="0"/>
                <w:noProof/>
                <w:webHidden/>
                <w:sz w:val="24"/>
                <w:szCs w:val="24"/>
              </w:rPr>
            </w:r>
            <w:r w:rsidR="0051320C" w:rsidRPr="00B06B83">
              <w:rPr>
                <w:rFonts w:ascii="Times New Roman" w:hAnsi="Times New Roman" w:cs="Times New Roman"/>
                <w:i w:val="0"/>
                <w:iCs w:val="0"/>
                <w:noProof/>
                <w:webHidden/>
                <w:sz w:val="24"/>
                <w:szCs w:val="24"/>
              </w:rPr>
              <w:fldChar w:fldCharType="separate"/>
            </w:r>
            <w:r w:rsidR="0051320C" w:rsidRPr="00B06B83">
              <w:rPr>
                <w:rFonts w:ascii="Times New Roman" w:hAnsi="Times New Roman" w:cs="Times New Roman"/>
                <w:i w:val="0"/>
                <w:iCs w:val="0"/>
                <w:noProof/>
                <w:webHidden/>
                <w:sz w:val="24"/>
                <w:szCs w:val="24"/>
              </w:rPr>
              <w:t>33</w:t>
            </w:r>
            <w:r w:rsidR="0051320C" w:rsidRPr="00B06B83">
              <w:rPr>
                <w:rFonts w:ascii="Times New Roman" w:hAnsi="Times New Roman" w:cs="Times New Roman"/>
                <w:i w:val="0"/>
                <w:iCs w:val="0"/>
                <w:noProof/>
                <w:webHidden/>
                <w:sz w:val="24"/>
                <w:szCs w:val="24"/>
              </w:rPr>
              <w:fldChar w:fldCharType="end"/>
            </w:r>
          </w:hyperlink>
        </w:p>
        <w:p w14:paraId="3F4B977A" w14:textId="1525584C"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601" w:history="1">
            <w:r w:rsidR="0051320C" w:rsidRPr="00B06B83">
              <w:rPr>
                <w:rStyle w:val="Hyperlink"/>
                <w:rFonts w:ascii="Times New Roman" w:hAnsi="Times New Roman" w:cs="Times New Roman"/>
                <w:noProof/>
                <w:sz w:val="24"/>
                <w:szCs w:val="24"/>
              </w:rPr>
              <w:t>11. Pielikums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_Toc134605601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34</w:t>
            </w:r>
            <w:r w:rsidR="0051320C" w:rsidRPr="00B06B83">
              <w:rPr>
                <w:rFonts w:ascii="Times New Roman" w:hAnsi="Times New Roman" w:cs="Times New Roman"/>
                <w:noProof/>
                <w:webHidden/>
                <w:sz w:val="24"/>
                <w:szCs w:val="24"/>
              </w:rPr>
              <w:fldChar w:fldCharType="end"/>
            </w:r>
          </w:hyperlink>
        </w:p>
        <w:p w14:paraId="51FF0AF2" w14:textId="59AA44DB"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602" w:history="1">
            <w:r w:rsidR="0051320C" w:rsidRPr="00B06B83">
              <w:rPr>
                <w:rStyle w:val="Hyperlink"/>
                <w:rFonts w:ascii="Times New Roman" w:hAnsi="Times New Roman" w:cs="Times New Roman"/>
                <w:noProof/>
                <w:sz w:val="24"/>
                <w:szCs w:val="24"/>
              </w:rPr>
              <w:t>I pielikums. Definīcijas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_Toc134605602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34</w:t>
            </w:r>
            <w:r w:rsidR="0051320C" w:rsidRPr="00B06B83">
              <w:rPr>
                <w:rFonts w:ascii="Times New Roman" w:hAnsi="Times New Roman" w:cs="Times New Roman"/>
                <w:noProof/>
                <w:webHidden/>
                <w:sz w:val="24"/>
                <w:szCs w:val="24"/>
              </w:rPr>
              <w:fldChar w:fldCharType="end"/>
            </w:r>
          </w:hyperlink>
        </w:p>
        <w:p w14:paraId="4053C7C5" w14:textId="2E3C056F"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603" w:history="1">
            <w:r w:rsidR="0051320C" w:rsidRPr="00B06B83">
              <w:rPr>
                <w:rStyle w:val="Hyperlink"/>
                <w:rFonts w:ascii="Times New Roman" w:hAnsi="Times New Roman" w:cs="Times New Roman"/>
                <w:noProof/>
                <w:sz w:val="24"/>
                <w:szCs w:val="24"/>
              </w:rPr>
              <w:t>II pielikums.Aprēķināšana</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_Toc134605603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37</w:t>
            </w:r>
            <w:r w:rsidR="0051320C" w:rsidRPr="00B06B83">
              <w:rPr>
                <w:rFonts w:ascii="Times New Roman" w:hAnsi="Times New Roman" w:cs="Times New Roman"/>
                <w:noProof/>
                <w:webHidden/>
                <w:sz w:val="24"/>
                <w:szCs w:val="24"/>
              </w:rPr>
              <w:fldChar w:fldCharType="end"/>
            </w:r>
          </w:hyperlink>
        </w:p>
        <w:p w14:paraId="6923B2F2" w14:textId="71DF9122"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604" w:history="1">
            <w:r w:rsidR="0051320C" w:rsidRPr="00B06B83">
              <w:rPr>
                <w:rStyle w:val="Hyperlink"/>
                <w:rFonts w:ascii="Times New Roman" w:hAnsi="Times New Roman" w:cs="Times New Roman"/>
                <w:noProof/>
                <w:sz w:val="24"/>
                <w:szCs w:val="24"/>
              </w:rPr>
              <w:t>III pielikums. Lēmumu pieņemšanas vadlīniju paraugi</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_Toc134605604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38</w:t>
            </w:r>
            <w:r w:rsidR="0051320C" w:rsidRPr="00B06B83">
              <w:rPr>
                <w:rFonts w:ascii="Times New Roman" w:hAnsi="Times New Roman" w:cs="Times New Roman"/>
                <w:noProof/>
                <w:webHidden/>
                <w:sz w:val="24"/>
                <w:szCs w:val="24"/>
              </w:rPr>
              <w:fldChar w:fldCharType="end"/>
            </w:r>
          </w:hyperlink>
        </w:p>
        <w:p w14:paraId="1994DAB6" w14:textId="37ABB7AD" w:rsidR="0051320C" w:rsidRPr="00B06B83" w:rsidRDefault="00000000" w:rsidP="005508D8">
          <w:pPr>
            <w:pStyle w:val="TOC2"/>
            <w:widowControl w:val="0"/>
            <w:tabs>
              <w:tab w:val="right" w:leader="dot" w:pos="9062"/>
            </w:tabs>
            <w:spacing w:line="360" w:lineRule="auto"/>
            <w:ind w:left="284"/>
            <w:jc w:val="both"/>
            <w:rPr>
              <w:rFonts w:ascii="Times New Roman" w:eastAsiaTheme="minorEastAsia" w:hAnsi="Times New Roman" w:cs="Times New Roman"/>
              <w:smallCaps w:val="0"/>
              <w:noProof/>
              <w:sz w:val="24"/>
              <w:szCs w:val="24"/>
              <w:lang w:eastAsia="lv-LV"/>
            </w:rPr>
          </w:pPr>
          <w:hyperlink w:anchor="_Toc134605605" w:history="1">
            <w:r w:rsidR="0051320C" w:rsidRPr="00B06B83">
              <w:rPr>
                <w:rStyle w:val="Hyperlink"/>
                <w:rFonts w:ascii="Times New Roman" w:hAnsi="Times New Roman" w:cs="Times New Roman"/>
                <w:noProof/>
                <w:sz w:val="24"/>
                <w:szCs w:val="24"/>
              </w:rPr>
              <w:t>IV pielikums. Portugāles risku tabulas paraugs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_Toc134605605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41</w:t>
            </w:r>
            <w:r w:rsidR="0051320C" w:rsidRPr="00B06B83">
              <w:rPr>
                <w:rFonts w:ascii="Times New Roman" w:hAnsi="Times New Roman" w:cs="Times New Roman"/>
                <w:noProof/>
                <w:webHidden/>
                <w:sz w:val="24"/>
                <w:szCs w:val="24"/>
              </w:rPr>
              <w:fldChar w:fldCharType="end"/>
            </w:r>
          </w:hyperlink>
        </w:p>
        <w:p w14:paraId="7E974810" w14:textId="7455ED35" w:rsidR="0051320C" w:rsidRPr="00B06B83" w:rsidRDefault="00000000" w:rsidP="0051320C">
          <w:pPr>
            <w:pStyle w:val="TOC1"/>
            <w:widowControl w:val="0"/>
            <w:tabs>
              <w:tab w:val="right" w:leader="dot" w:pos="9062"/>
            </w:tabs>
            <w:spacing w:before="0" w:after="0" w:line="360" w:lineRule="auto"/>
            <w:jc w:val="both"/>
            <w:rPr>
              <w:rFonts w:ascii="Times New Roman" w:eastAsiaTheme="minorEastAsia" w:hAnsi="Times New Roman" w:cs="Times New Roman"/>
              <w:b w:val="0"/>
              <w:bCs w:val="0"/>
              <w:caps w:val="0"/>
              <w:noProof/>
              <w:sz w:val="24"/>
              <w:szCs w:val="24"/>
              <w:lang w:eastAsia="lv-LV"/>
            </w:rPr>
          </w:pPr>
          <w:hyperlink w:anchor="_Toc134605606" w:history="1">
            <w:r w:rsidR="0051320C" w:rsidRPr="00B06B83">
              <w:rPr>
                <w:rStyle w:val="Hyperlink"/>
                <w:rFonts w:ascii="Times New Roman" w:hAnsi="Times New Roman" w:cs="Times New Roman"/>
                <w:noProof/>
                <w:sz w:val="24"/>
                <w:szCs w:val="24"/>
              </w:rPr>
              <w:t>12. Atsauces</w:t>
            </w:r>
            <w:r w:rsidR="0051320C" w:rsidRPr="00B06B83">
              <w:rPr>
                <w:rFonts w:ascii="Times New Roman" w:hAnsi="Times New Roman" w:cs="Times New Roman"/>
                <w:noProof/>
                <w:webHidden/>
                <w:sz w:val="24"/>
                <w:szCs w:val="24"/>
              </w:rPr>
              <w:tab/>
            </w:r>
            <w:r w:rsidR="0051320C" w:rsidRPr="00B06B83">
              <w:rPr>
                <w:rFonts w:ascii="Times New Roman" w:hAnsi="Times New Roman" w:cs="Times New Roman"/>
                <w:noProof/>
                <w:webHidden/>
                <w:sz w:val="24"/>
                <w:szCs w:val="24"/>
              </w:rPr>
              <w:fldChar w:fldCharType="begin"/>
            </w:r>
            <w:r w:rsidR="0051320C" w:rsidRPr="00B06B83">
              <w:rPr>
                <w:rFonts w:ascii="Times New Roman" w:hAnsi="Times New Roman" w:cs="Times New Roman"/>
                <w:noProof/>
                <w:webHidden/>
                <w:sz w:val="24"/>
                <w:szCs w:val="24"/>
              </w:rPr>
              <w:instrText xml:space="preserve"> PAGEREF _Toc134605606 \h </w:instrText>
            </w:r>
            <w:r w:rsidR="0051320C" w:rsidRPr="00B06B83">
              <w:rPr>
                <w:rFonts w:ascii="Times New Roman" w:hAnsi="Times New Roman" w:cs="Times New Roman"/>
                <w:noProof/>
                <w:webHidden/>
                <w:sz w:val="24"/>
                <w:szCs w:val="24"/>
              </w:rPr>
            </w:r>
            <w:r w:rsidR="0051320C" w:rsidRPr="00B06B83">
              <w:rPr>
                <w:rFonts w:ascii="Times New Roman" w:hAnsi="Times New Roman" w:cs="Times New Roman"/>
                <w:noProof/>
                <w:webHidden/>
                <w:sz w:val="24"/>
                <w:szCs w:val="24"/>
              </w:rPr>
              <w:fldChar w:fldCharType="separate"/>
            </w:r>
            <w:r w:rsidR="0051320C" w:rsidRPr="00B06B83">
              <w:rPr>
                <w:rFonts w:ascii="Times New Roman" w:hAnsi="Times New Roman" w:cs="Times New Roman"/>
                <w:noProof/>
                <w:webHidden/>
                <w:sz w:val="24"/>
                <w:szCs w:val="24"/>
              </w:rPr>
              <w:t>43</w:t>
            </w:r>
            <w:r w:rsidR="0051320C" w:rsidRPr="00B06B83">
              <w:rPr>
                <w:rFonts w:ascii="Times New Roman" w:hAnsi="Times New Roman" w:cs="Times New Roman"/>
                <w:noProof/>
                <w:webHidden/>
                <w:sz w:val="24"/>
                <w:szCs w:val="24"/>
              </w:rPr>
              <w:fldChar w:fldCharType="end"/>
            </w:r>
          </w:hyperlink>
        </w:p>
        <w:p w14:paraId="23C31E46" w14:textId="1F79F567" w:rsidR="0051320C" w:rsidRPr="00B06B83" w:rsidRDefault="0051320C">
          <w:pPr>
            <w:rPr>
              <w:rFonts w:ascii="Times New Roman" w:hAnsi="Times New Roman" w:cs="Times New Roman"/>
              <w:sz w:val="24"/>
              <w:szCs w:val="24"/>
            </w:rPr>
          </w:pPr>
          <w:r w:rsidRPr="00B06B83">
            <w:rPr>
              <w:rFonts w:ascii="Times New Roman" w:hAnsi="Times New Roman" w:cs="Times New Roman"/>
              <w:b/>
              <w:bCs/>
              <w:noProof/>
              <w:sz w:val="24"/>
              <w:szCs w:val="24"/>
            </w:rPr>
            <w:fldChar w:fldCharType="end"/>
          </w:r>
        </w:p>
      </w:sdtContent>
    </w:sdt>
    <w:p w14:paraId="78903D9E" w14:textId="05B6D2B9"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5098DBD8" w14:textId="77777777" w:rsidR="00E62252" w:rsidRPr="00E62252" w:rsidRDefault="00E62252" w:rsidP="00E62252">
      <w:pPr>
        <w:pStyle w:val="Heading1"/>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noProof/>
          <w:sz w:val="24"/>
          <w:szCs w:val="24"/>
        </w:rPr>
      </w:pPr>
      <w:bookmarkStart w:id="9" w:name="_Toc61364250"/>
      <w:bookmarkStart w:id="10" w:name="_Toc61364499"/>
      <w:bookmarkStart w:id="11" w:name="_Toc102478548"/>
      <w:bookmarkStart w:id="12" w:name="_Toc134605565"/>
      <w:r>
        <w:rPr>
          <w:rFonts w:ascii="Times New Roman" w:hAnsi="Times New Roman"/>
          <w:sz w:val="24"/>
        </w:rPr>
        <w:lastRenderedPageBreak/>
        <w:t>2. Saīsinājumi un definīcija</w:t>
      </w:r>
      <w:bookmarkEnd w:id="7"/>
      <w:bookmarkEnd w:id="9"/>
      <w:bookmarkEnd w:id="10"/>
      <w:r>
        <w:rPr>
          <w:rFonts w:ascii="Times New Roman" w:hAnsi="Times New Roman"/>
          <w:sz w:val="24"/>
        </w:rPr>
        <w:t>s</w:t>
      </w:r>
      <w:bookmarkEnd w:id="11"/>
      <w:bookmarkEnd w:id="12"/>
    </w:p>
    <w:p w14:paraId="1336DAA4"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3" w:name="_Toc61364251"/>
      <w:bookmarkStart w:id="14" w:name="_Toc61364500"/>
      <w:bookmarkStart w:id="15" w:name="_Toc102478549"/>
    </w:p>
    <w:p w14:paraId="3A6E9201"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6" w:name="_Toc134605566"/>
      <w:r>
        <w:rPr>
          <w:rFonts w:ascii="Times New Roman" w:hAnsi="Times New Roman"/>
          <w:sz w:val="24"/>
        </w:rPr>
        <w:t>2.1. Saīsinājumi</w:t>
      </w:r>
      <w:bookmarkEnd w:id="8"/>
      <w:bookmarkEnd w:id="13"/>
      <w:bookmarkEnd w:id="14"/>
      <w:bookmarkEnd w:id="15"/>
      <w:bookmarkEnd w:id="16"/>
    </w:p>
    <w:p w14:paraId="3EE414B1" w14:textId="77777777" w:rsidR="00E62252" w:rsidRPr="00E62252" w:rsidRDefault="00E62252" w:rsidP="00E62252">
      <w:pPr>
        <w:spacing w:after="0" w:line="240" w:lineRule="auto"/>
        <w:rPr>
          <w:noProof/>
          <w:lang w:val="en-US"/>
        </w:rPr>
      </w:pPr>
    </w:p>
    <w:p w14:paraId="4EFAAC75"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EK</w:t>
      </w:r>
      <w:r>
        <w:rPr>
          <w:rFonts w:ascii="Times New Roman" w:hAnsi="Times New Roman"/>
          <w:sz w:val="24"/>
        </w:rPr>
        <w:tab/>
        <w:t>Eiropas Kopiena</w:t>
      </w:r>
    </w:p>
    <w:p w14:paraId="01B6DC66"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ECM</w:t>
      </w:r>
      <w:proofErr w:type="spellEnd"/>
      <w:r>
        <w:rPr>
          <w:rFonts w:ascii="Times New Roman" w:hAnsi="Times New Roman"/>
          <w:sz w:val="24"/>
        </w:rPr>
        <w:tab/>
        <w:t>par apkopi atbildīgā struktūrvienība</w:t>
      </w:r>
    </w:p>
    <w:p w14:paraId="5F31EB00"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i/>
          <w:iCs/>
          <w:sz w:val="24"/>
        </w:rPr>
        <w:t>ERA</w:t>
      </w:r>
      <w:r>
        <w:rPr>
          <w:rFonts w:ascii="Times New Roman" w:hAnsi="Times New Roman"/>
          <w:sz w:val="24"/>
        </w:rPr>
        <w:tab/>
        <w:t>Eiropas Savienības Dzelzceļu aģentūra</w:t>
      </w:r>
    </w:p>
    <w:p w14:paraId="191156D1"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ES</w:t>
      </w:r>
      <w:r>
        <w:rPr>
          <w:rFonts w:ascii="Times New Roman" w:hAnsi="Times New Roman"/>
          <w:sz w:val="24"/>
        </w:rPr>
        <w:tab/>
        <w:t>Eiropas Savienība</w:t>
      </w:r>
    </w:p>
    <w:p w14:paraId="493C450D"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IM</w:t>
      </w:r>
      <w:proofErr w:type="spellEnd"/>
      <w:r>
        <w:rPr>
          <w:rFonts w:ascii="Times New Roman" w:hAnsi="Times New Roman"/>
          <w:sz w:val="24"/>
        </w:rPr>
        <w:tab/>
        <w:t>dzelzceļa infrastruktūras pārvaldītājs</w:t>
      </w:r>
    </w:p>
    <w:p w14:paraId="2831D53F"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NIB</w:t>
      </w:r>
      <w:proofErr w:type="spellEnd"/>
      <w:r>
        <w:rPr>
          <w:rFonts w:ascii="Times New Roman" w:hAnsi="Times New Roman"/>
          <w:sz w:val="24"/>
        </w:rPr>
        <w:tab/>
        <w:t>valsts izmeklēšanas struktūra</w:t>
      </w:r>
    </w:p>
    <w:p w14:paraId="1ACE9D58"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NSA</w:t>
      </w:r>
      <w:proofErr w:type="spellEnd"/>
      <w:r>
        <w:rPr>
          <w:rFonts w:ascii="Times New Roman" w:hAnsi="Times New Roman"/>
          <w:sz w:val="24"/>
        </w:rPr>
        <w:tab/>
        <w:t>valsts drošības iestāde</w:t>
      </w:r>
    </w:p>
    <w:p w14:paraId="0376E914"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RU</w:t>
      </w:r>
      <w:proofErr w:type="spellEnd"/>
      <w:r>
        <w:rPr>
          <w:rFonts w:ascii="Times New Roman" w:hAnsi="Times New Roman"/>
          <w:sz w:val="24"/>
        </w:rPr>
        <w:tab/>
        <w:t>pārvadātājs</w:t>
      </w:r>
    </w:p>
    <w:p w14:paraId="03D848E9"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TF</w:t>
      </w:r>
      <w:proofErr w:type="spellEnd"/>
      <w:r>
        <w:rPr>
          <w:rFonts w:ascii="Times New Roman" w:hAnsi="Times New Roman"/>
          <w:sz w:val="24"/>
        </w:rPr>
        <w:tab/>
        <w:t>darba grupa</w:t>
      </w:r>
    </w:p>
    <w:p w14:paraId="1B71BF4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5C4D0B3"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7" w:name="_Ref55373085"/>
      <w:bookmarkStart w:id="18" w:name="_Toc61364252"/>
      <w:bookmarkStart w:id="19" w:name="_Toc61364501"/>
      <w:bookmarkStart w:id="20" w:name="_Ref63842528"/>
      <w:bookmarkStart w:id="21" w:name="_Toc102478550"/>
      <w:bookmarkStart w:id="22" w:name="_Toc134605567"/>
      <w:bookmarkStart w:id="23" w:name="_Toc209413924"/>
      <w:bookmarkStart w:id="24" w:name="_Toc40340068"/>
      <w:bookmarkStart w:id="25" w:name="_Toc202865594"/>
      <w:r>
        <w:rPr>
          <w:rFonts w:ascii="Times New Roman" w:hAnsi="Times New Roman"/>
          <w:sz w:val="24"/>
        </w:rPr>
        <w:t>2.2. Definīcija</w:t>
      </w:r>
      <w:bookmarkEnd w:id="17"/>
      <w:bookmarkEnd w:id="18"/>
      <w:bookmarkEnd w:id="19"/>
      <w:bookmarkEnd w:id="20"/>
      <w:r>
        <w:rPr>
          <w:rFonts w:ascii="Times New Roman" w:hAnsi="Times New Roman"/>
          <w:sz w:val="24"/>
        </w:rPr>
        <w:t>s</w:t>
      </w:r>
      <w:bookmarkEnd w:id="21"/>
      <w:bookmarkEnd w:id="22"/>
    </w:p>
    <w:p w14:paraId="1A875A2A" w14:textId="77777777" w:rsidR="00E62252" w:rsidRPr="00E62252" w:rsidRDefault="00E62252" w:rsidP="00E62252">
      <w:pPr>
        <w:spacing w:after="0" w:line="240" w:lineRule="auto"/>
        <w:rPr>
          <w:noProof/>
          <w:lang w:val="en-US"/>
        </w:rPr>
      </w:pPr>
    </w:p>
    <w:p w14:paraId="559ACFE7" w14:textId="77777777" w:rsidR="00E62252" w:rsidRPr="00E62252" w:rsidRDefault="00E62252" w:rsidP="00E62252">
      <w:pPr>
        <w:spacing w:after="0" w:line="240" w:lineRule="auto"/>
        <w:jc w:val="both"/>
        <w:rPr>
          <w:rFonts w:ascii="Times New Roman" w:hAnsi="Times New Roman" w:cs="Times New Roman"/>
          <w:iCs/>
          <w:noProof/>
          <w:sz w:val="24"/>
          <w:szCs w:val="24"/>
        </w:rPr>
      </w:pPr>
      <w:r>
        <w:rPr>
          <w:rFonts w:ascii="Times New Roman" w:hAnsi="Times New Roman"/>
          <w:sz w:val="24"/>
        </w:rPr>
        <w:t>1. Definīcijas, kas noteiktas Direktīvas 2016/798 3. pantā</w:t>
      </w:r>
    </w:p>
    <w:p w14:paraId="2F26B82C" w14:textId="77777777" w:rsidR="00E62252" w:rsidRPr="00E62252" w:rsidRDefault="00E62252" w:rsidP="00E62252">
      <w:pPr>
        <w:spacing w:after="0" w:line="240" w:lineRule="auto"/>
        <w:jc w:val="both"/>
        <w:rPr>
          <w:rFonts w:ascii="Times New Roman" w:hAnsi="Times New Roman" w:cs="Times New Roman"/>
          <w:iCs/>
          <w:noProof/>
          <w:sz w:val="24"/>
          <w:szCs w:val="24"/>
          <w:lang w:val="en-US"/>
        </w:rPr>
      </w:pPr>
    </w:p>
    <w:p w14:paraId="7B742EFF" w14:textId="77777777" w:rsidR="00E62252" w:rsidRPr="00E62252" w:rsidRDefault="00E62252" w:rsidP="00E62252">
      <w:pPr>
        <w:pStyle w:val="Style4"/>
        <w:spacing w:line="240" w:lineRule="auto"/>
        <w:jc w:val="both"/>
        <w:rPr>
          <w:rFonts w:cs="Times New Roman"/>
          <w:noProof/>
          <w:sz w:val="22"/>
          <w:szCs w:val="22"/>
        </w:rPr>
      </w:pPr>
      <w:r>
        <w:rPr>
          <w:sz w:val="22"/>
        </w:rPr>
        <w:t>1) “Savienības dzelzceļa sistēma” ir Savienības dzelzceļa sistēma, kā definēts Direktīvas (ES) 2016/797 2. panta 1. punktā;</w:t>
      </w:r>
    </w:p>
    <w:p w14:paraId="333BE3A0" w14:textId="77777777" w:rsidR="00E62252" w:rsidRPr="00E62252" w:rsidRDefault="00E62252" w:rsidP="00E62252">
      <w:pPr>
        <w:pStyle w:val="Style4"/>
        <w:spacing w:line="240" w:lineRule="auto"/>
        <w:jc w:val="both"/>
        <w:rPr>
          <w:rFonts w:cs="Times New Roman"/>
          <w:noProof/>
          <w:sz w:val="22"/>
          <w:szCs w:val="22"/>
        </w:rPr>
      </w:pPr>
      <w:r>
        <w:rPr>
          <w:sz w:val="22"/>
        </w:rPr>
        <w:t>11) “negadījums” ir nevēlams vai neparedzēts pēkšņs notikums vai īpaša šādu notikumu virkne ar negatīvām sekām; negadījumus iedala šādi: sadursmes, nobraukšana no sliedēm, negadījumi uz pārbrauktuvēm, negadījumi ar cilvēkiem, kuros iesaistīts kustībā esošs ritošais sastāvs, ugunsgrēki un citi;</w:t>
      </w:r>
    </w:p>
    <w:p w14:paraId="1B9835B0" w14:textId="77777777" w:rsidR="00E62252" w:rsidRPr="00E62252" w:rsidRDefault="00E62252" w:rsidP="00E62252">
      <w:pPr>
        <w:pStyle w:val="Style5"/>
        <w:spacing w:line="240" w:lineRule="auto"/>
        <w:jc w:val="both"/>
        <w:rPr>
          <w:rFonts w:cs="Times New Roman"/>
          <w:noProof/>
          <w:sz w:val="22"/>
          <w:szCs w:val="22"/>
        </w:rPr>
      </w:pPr>
      <w:r>
        <w:rPr>
          <w:sz w:val="22"/>
        </w:rPr>
        <w:t>12) “smags nelaimes gadījums” ir vilcienu sadursme vai nobraukšana no sliedēm, kurā iet bojā vismaz viens cilvēks vai rada smagus miesas bojājumus vismaz pieciem cilvēkiem, vai nodara lielu kaitējumu ritošajam sastāvam, infrastruktūrai vai videi, kā arī jebkurš cits negadījums ar tādām pašām sekām, kam ir acīmredzama ietekme uz dzelzceļa drošības regulēšanu vai drošības pārvaldību; “liels kaitējums” ir zaudējumi, kurus izmeklēšanas struktūra var uzreiz novērtēt kopumā vismaz par EUR 2 miljoniem [2 miljoniem EUR];</w:t>
      </w:r>
    </w:p>
    <w:p w14:paraId="39505C22" w14:textId="77777777" w:rsidR="00E62252" w:rsidRPr="00E62252" w:rsidRDefault="00E62252" w:rsidP="00E62252">
      <w:pPr>
        <w:pStyle w:val="Style4"/>
        <w:spacing w:line="240" w:lineRule="auto"/>
        <w:jc w:val="both"/>
        <w:rPr>
          <w:rFonts w:cs="Times New Roman"/>
          <w:noProof/>
          <w:sz w:val="22"/>
          <w:szCs w:val="22"/>
        </w:rPr>
      </w:pPr>
      <w:r>
        <w:rPr>
          <w:sz w:val="22"/>
        </w:rPr>
        <w:t>15) “cēloņi” ir rīcības, trūkumi, notikumi vai apstākļi, vai to kombinācija, kas izraisījusi negadījumu vai starpgadījumu.</w:t>
      </w:r>
    </w:p>
    <w:p w14:paraId="5AEB4ADC"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0FA3B0D8" w14:textId="77777777" w:rsidR="00E62252" w:rsidRPr="00E62252" w:rsidRDefault="00E62252" w:rsidP="00E62252">
      <w:pPr>
        <w:spacing w:after="0" w:line="240" w:lineRule="auto"/>
        <w:jc w:val="both"/>
        <w:rPr>
          <w:rFonts w:ascii="Times New Roman" w:hAnsi="Times New Roman" w:cs="Times New Roman"/>
          <w:iCs/>
          <w:noProof/>
          <w:sz w:val="24"/>
          <w:szCs w:val="24"/>
        </w:rPr>
      </w:pPr>
      <w:r>
        <w:rPr>
          <w:rFonts w:ascii="Times New Roman" w:hAnsi="Times New Roman"/>
          <w:sz w:val="24"/>
        </w:rPr>
        <w:t>2. Definīcijas, kas noteiktas Direktīvā 2016/797</w:t>
      </w:r>
    </w:p>
    <w:p w14:paraId="15C3F68F" w14:textId="77777777" w:rsidR="00E62252" w:rsidRPr="00E62252" w:rsidRDefault="00E62252" w:rsidP="00E62252">
      <w:pPr>
        <w:spacing w:after="0" w:line="240" w:lineRule="auto"/>
        <w:jc w:val="both"/>
        <w:rPr>
          <w:rFonts w:ascii="Times New Roman" w:hAnsi="Times New Roman" w:cs="Times New Roman"/>
          <w:iCs/>
          <w:noProof/>
          <w:sz w:val="24"/>
          <w:szCs w:val="24"/>
          <w:lang w:val="en-US"/>
        </w:rPr>
      </w:pPr>
    </w:p>
    <w:p w14:paraId="19D6863F" w14:textId="77777777" w:rsidR="00E62252" w:rsidRPr="00E62252" w:rsidRDefault="00E62252" w:rsidP="00E62252">
      <w:pPr>
        <w:pStyle w:val="Style4"/>
        <w:spacing w:line="240" w:lineRule="auto"/>
        <w:jc w:val="both"/>
        <w:rPr>
          <w:rFonts w:cs="Times New Roman"/>
          <w:noProof/>
          <w:sz w:val="22"/>
          <w:szCs w:val="22"/>
        </w:rPr>
      </w:pPr>
      <w:r>
        <w:rPr>
          <w:sz w:val="22"/>
        </w:rPr>
        <w:t>5) “apakšsistēmas” ir II pielikumā noteiktās Savienības dzelzceļa sistēmas strukturālās vai funkcionālās daļas;</w:t>
      </w:r>
    </w:p>
    <w:p w14:paraId="55E8DE80" w14:textId="77777777" w:rsidR="00E62252" w:rsidRPr="00E62252" w:rsidRDefault="00E62252" w:rsidP="00E62252">
      <w:pPr>
        <w:pStyle w:val="Style4"/>
        <w:spacing w:line="240" w:lineRule="auto"/>
        <w:jc w:val="both"/>
        <w:rPr>
          <w:rFonts w:cs="Times New Roman"/>
          <w:noProof/>
          <w:sz w:val="22"/>
          <w:szCs w:val="22"/>
        </w:rPr>
      </w:pPr>
      <w:r>
        <w:rPr>
          <w:sz w:val="22"/>
        </w:rPr>
        <w:t xml:space="preserve">7) “savstarpējas </w:t>
      </w:r>
      <w:proofErr w:type="spellStart"/>
      <w:r>
        <w:rPr>
          <w:sz w:val="22"/>
        </w:rPr>
        <w:t>izmantojamības</w:t>
      </w:r>
      <w:proofErr w:type="spellEnd"/>
      <w:r>
        <w:rPr>
          <w:sz w:val="22"/>
        </w:rPr>
        <w:t xml:space="preserve"> komponenti” ir jebkura atsevišķa detaļa, detaļu grupa, iekārtas mezgla daļa vai vesels mezgls, kas iekļauts vai paredzēts iekļaušanai apakšsistēmā un no kura [kā] tieši vai netieši ir atkarīga dzelzceļa sistēmas savstarpēja </w:t>
      </w:r>
      <w:proofErr w:type="spellStart"/>
      <w:r>
        <w:rPr>
          <w:sz w:val="22"/>
        </w:rPr>
        <w:t>izmantojamība</w:t>
      </w:r>
      <w:proofErr w:type="spellEnd"/>
      <w:r>
        <w:rPr>
          <w:sz w:val="22"/>
        </w:rPr>
        <w:t>, ietverot gan materiālas lietas, gan nemateriālas lietas.</w:t>
      </w:r>
    </w:p>
    <w:p w14:paraId="61ACB681" w14:textId="77777777" w:rsidR="00E62252" w:rsidRPr="00E62252" w:rsidRDefault="00E62252" w:rsidP="00E62252">
      <w:pPr>
        <w:pStyle w:val="Style4"/>
        <w:spacing w:line="240" w:lineRule="auto"/>
        <w:jc w:val="both"/>
        <w:rPr>
          <w:rFonts w:cs="Times New Roman"/>
          <w:noProof/>
          <w:sz w:val="22"/>
          <w:szCs w:val="22"/>
          <w:lang w:val="en-US"/>
        </w:rPr>
      </w:pPr>
    </w:p>
    <w:p w14:paraId="39E2632E"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Skat. arī 10. nodaļā un 1. pielikumā definīcijas no </w:t>
      </w:r>
      <w:proofErr w:type="spellStart"/>
      <w:r>
        <w:rPr>
          <w:rFonts w:ascii="Times New Roman" w:hAnsi="Times New Roman"/>
          <w:i/>
          <w:iCs/>
          <w:sz w:val="24"/>
        </w:rPr>
        <w:t>CSI</w:t>
      </w:r>
      <w:proofErr w:type="spellEnd"/>
      <w:r>
        <w:rPr>
          <w:rFonts w:ascii="Times New Roman" w:hAnsi="Times New Roman"/>
          <w:sz w:val="24"/>
        </w:rPr>
        <w:t xml:space="preserve">, kas noteiktas Direktīvas 2016/798 1. pielikuma papildinājumā. Komentāri par </w:t>
      </w:r>
      <w:proofErr w:type="spellStart"/>
      <w:r>
        <w:rPr>
          <w:rFonts w:ascii="Times New Roman" w:hAnsi="Times New Roman"/>
          <w:i/>
          <w:iCs/>
          <w:sz w:val="24"/>
        </w:rPr>
        <w:t>CSI</w:t>
      </w:r>
      <w:proofErr w:type="spellEnd"/>
      <w:r>
        <w:rPr>
          <w:rFonts w:ascii="Times New Roman" w:hAnsi="Times New Roman"/>
          <w:sz w:val="24"/>
        </w:rPr>
        <w:t xml:space="preserve"> definīcijām ir sniegti 10.1.1. nodaļā.</w:t>
      </w:r>
    </w:p>
    <w:p w14:paraId="3D03C044"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138AA91B" w14:textId="77777777" w:rsidTr="00F80365">
        <w:tc>
          <w:tcPr>
            <w:tcW w:w="5000" w:type="pct"/>
            <w:shd w:val="clear" w:color="auto" w:fill="D0ECFF" w:themeFill="text1" w:themeFillTint="1A"/>
          </w:tcPr>
          <w:p w14:paraId="53F3C166"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494F57F2" w14:textId="77777777" w:rsidR="00E62252" w:rsidRPr="00E62252" w:rsidRDefault="00E62252" w:rsidP="00F80365">
            <w:pPr>
              <w:jc w:val="both"/>
              <w:rPr>
                <w:rFonts w:ascii="Times New Roman" w:hAnsi="Times New Roman" w:cs="Times New Roman"/>
                <w:b/>
                <w:bCs/>
                <w:noProof/>
                <w:sz w:val="24"/>
                <w:szCs w:val="24"/>
                <w:u w:val="single"/>
                <w:lang w:val="en-US"/>
              </w:rPr>
            </w:pPr>
          </w:p>
          <w:p w14:paraId="03EDBC5B"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Direktīvas 2016/798 2. pantā noteikti izņēmumi, kad direktīva nav piemērojama, piemēram, attiecībā uz metro, tramvajiem, vieglajiem dzelzceļa </w:t>
            </w:r>
            <w:proofErr w:type="spellStart"/>
            <w:r>
              <w:rPr>
                <w:rFonts w:ascii="Times New Roman" w:hAnsi="Times New Roman"/>
                <w:sz w:val="24"/>
              </w:rPr>
              <w:t>ritekļiem</w:t>
            </w:r>
            <w:proofErr w:type="spellEnd"/>
            <w:r>
              <w:rPr>
                <w:rFonts w:ascii="Times New Roman" w:hAnsi="Times New Roman"/>
                <w:sz w:val="24"/>
              </w:rPr>
              <w:t xml:space="preserve"> un infrastruktūru, kuru izmanto tikai minētie </w:t>
            </w:r>
            <w:proofErr w:type="spellStart"/>
            <w:r>
              <w:rPr>
                <w:rFonts w:ascii="Times New Roman" w:hAnsi="Times New Roman"/>
                <w:sz w:val="24"/>
              </w:rPr>
              <w:t>ritekļi</w:t>
            </w:r>
            <w:proofErr w:type="spellEnd"/>
            <w:r>
              <w:rPr>
                <w:rFonts w:ascii="Times New Roman" w:hAnsi="Times New Roman"/>
                <w:sz w:val="24"/>
              </w:rPr>
              <w:t>, u. c.</w:t>
            </w:r>
          </w:p>
          <w:p w14:paraId="525F8F94" w14:textId="77777777" w:rsidR="00E62252" w:rsidRPr="00E62252" w:rsidRDefault="00E62252" w:rsidP="00F80365">
            <w:pPr>
              <w:jc w:val="both"/>
              <w:rPr>
                <w:rFonts w:ascii="Times New Roman" w:hAnsi="Times New Roman" w:cs="Times New Roman"/>
                <w:noProof/>
                <w:sz w:val="24"/>
                <w:szCs w:val="24"/>
                <w:lang w:val="en-US"/>
              </w:rPr>
            </w:pPr>
          </w:p>
          <w:p w14:paraId="3713F42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Dalībvalstis var iekļaut izņēmumus atbilstoši valsts tiesību aktiem.</w:t>
            </w:r>
          </w:p>
        </w:tc>
      </w:tr>
    </w:tbl>
    <w:p w14:paraId="49862CFA"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26" w:name="_Toc58769273"/>
      <w:bookmarkStart w:id="27" w:name="_Toc61364253"/>
      <w:bookmarkStart w:id="28" w:name="_Toc61364502"/>
    </w:p>
    <w:p w14:paraId="3B784731"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29" w:name="_Toc102478551"/>
      <w:bookmarkStart w:id="30" w:name="_Toc134605568"/>
      <w:r>
        <w:rPr>
          <w:rFonts w:ascii="Times New Roman" w:hAnsi="Times New Roman"/>
          <w:sz w:val="24"/>
        </w:rPr>
        <w:t>3. Lietotāji, kam paredzēti šie norādījumi</w:t>
      </w:r>
      <w:bookmarkEnd w:id="23"/>
      <w:bookmarkEnd w:id="24"/>
      <w:bookmarkEnd w:id="26"/>
      <w:bookmarkEnd w:id="27"/>
      <w:bookmarkEnd w:id="28"/>
      <w:bookmarkEnd w:id="29"/>
      <w:bookmarkEnd w:id="30"/>
    </w:p>
    <w:p w14:paraId="104FEA83"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4E4508B"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Valsts izmeklēšanas struktūru (</w:t>
      </w:r>
      <w:proofErr w:type="spellStart"/>
      <w:r>
        <w:rPr>
          <w:rFonts w:ascii="Times New Roman" w:hAnsi="Times New Roman"/>
          <w:i/>
          <w:iCs/>
          <w:sz w:val="24"/>
        </w:rPr>
        <w:t>NIB</w:t>
      </w:r>
      <w:proofErr w:type="spellEnd"/>
      <w:r>
        <w:rPr>
          <w:rFonts w:ascii="Times New Roman" w:hAnsi="Times New Roman"/>
          <w:sz w:val="24"/>
        </w:rPr>
        <w:t>) dalībnieki.</w:t>
      </w:r>
    </w:p>
    <w:p w14:paraId="25F2E41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22579BB"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Informācijai:</w:t>
      </w:r>
    </w:p>
    <w:p w14:paraId="22BBF54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FBE098D" w14:textId="77777777" w:rsidR="00E62252" w:rsidRPr="00E62252" w:rsidRDefault="00E62252" w:rsidP="00E62252">
      <w:pPr>
        <w:numPr>
          <w:ilvl w:val="0"/>
          <w:numId w:val="26"/>
        </w:numPr>
        <w:spacing w:after="0" w:line="240" w:lineRule="auto"/>
        <w:ind w:left="567" w:hanging="283"/>
        <w:jc w:val="both"/>
        <w:rPr>
          <w:rFonts w:ascii="Times New Roman" w:hAnsi="Times New Roman" w:cs="Times New Roman"/>
          <w:noProof/>
          <w:sz w:val="24"/>
          <w:szCs w:val="24"/>
        </w:rPr>
      </w:pPr>
      <w:r>
        <w:t>v</w:t>
      </w:r>
      <w:r>
        <w:rPr>
          <w:rFonts w:ascii="Times New Roman" w:hAnsi="Times New Roman"/>
          <w:sz w:val="24"/>
        </w:rPr>
        <w:t>alstu drošības iestāžu (</w:t>
      </w:r>
      <w:proofErr w:type="spellStart"/>
      <w:r>
        <w:rPr>
          <w:rFonts w:ascii="Times New Roman" w:hAnsi="Times New Roman"/>
          <w:i/>
          <w:iCs/>
          <w:sz w:val="24"/>
        </w:rPr>
        <w:t>NSA</w:t>
      </w:r>
      <w:proofErr w:type="spellEnd"/>
      <w:r>
        <w:rPr>
          <w:rFonts w:ascii="Times New Roman" w:hAnsi="Times New Roman"/>
          <w:sz w:val="24"/>
        </w:rPr>
        <w:t xml:space="preserve">) dalībnieki, </w:t>
      </w:r>
      <w:bookmarkStart w:id="31" w:name="_Hlk75792308"/>
      <w:r>
        <w:rPr>
          <w:rFonts w:ascii="Times New Roman" w:hAnsi="Times New Roman"/>
          <w:sz w:val="24"/>
        </w:rPr>
        <w:t>kurus skar izmeklēšanas struktūru ziņojumi un ieteikumi;</w:t>
      </w:r>
      <w:bookmarkEnd w:id="31"/>
    </w:p>
    <w:p w14:paraId="58812EC1" w14:textId="77777777" w:rsidR="00E62252" w:rsidRPr="00E62252" w:rsidRDefault="00E62252" w:rsidP="00E62252">
      <w:pPr>
        <w:numPr>
          <w:ilvl w:val="0"/>
          <w:numId w:val="26"/>
        </w:numPr>
        <w:spacing w:after="0" w:line="240" w:lineRule="auto"/>
        <w:ind w:left="567" w:hanging="283"/>
        <w:jc w:val="both"/>
        <w:rPr>
          <w:rFonts w:ascii="Times New Roman" w:hAnsi="Times New Roman" w:cs="Times New Roman"/>
          <w:noProof/>
          <w:sz w:val="24"/>
          <w:szCs w:val="24"/>
        </w:rPr>
      </w:pPr>
      <w:r>
        <w:rPr>
          <w:rFonts w:ascii="Times New Roman" w:hAnsi="Times New Roman"/>
          <w:sz w:val="24"/>
        </w:rPr>
        <w:t>Eiropas Savienības Dzelzceļu aģentūras (</w:t>
      </w:r>
      <w:r>
        <w:rPr>
          <w:rFonts w:ascii="Times New Roman" w:hAnsi="Times New Roman"/>
          <w:i/>
          <w:iCs/>
          <w:sz w:val="24"/>
        </w:rPr>
        <w:t>ERA</w:t>
      </w:r>
      <w:r>
        <w:rPr>
          <w:rFonts w:ascii="Times New Roman" w:hAnsi="Times New Roman"/>
          <w:sz w:val="24"/>
        </w:rPr>
        <w:t>) dalībnieki, kurus skar izmeklēšanas struktūru ziņojumi un ieteikumi;</w:t>
      </w:r>
    </w:p>
    <w:p w14:paraId="6EEB755B" w14:textId="77777777" w:rsidR="00E62252" w:rsidRPr="00E62252" w:rsidRDefault="00E62252" w:rsidP="00E62252">
      <w:pPr>
        <w:numPr>
          <w:ilvl w:val="0"/>
          <w:numId w:val="26"/>
        </w:numPr>
        <w:spacing w:after="0" w:line="240" w:lineRule="auto"/>
        <w:ind w:left="567" w:hanging="283"/>
        <w:jc w:val="both"/>
        <w:rPr>
          <w:rFonts w:ascii="Times New Roman" w:hAnsi="Times New Roman" w:cs="Times New Roman"/>
          <w:noProof/>
          <w:sz w:val="24"/>
          <w:szCs w:val="24"/>
        </w:rPr>
      </w:pPr>
      <w:r>
        <w:rPr>
          <w:rFonts w:ascii="Times New Roman" w:hAnsi="Times New Roman"/>
          <w:sz w:val="24"/>
        </w:rPr>
        <w:t>citu tādu struktūru locekļi, uz kurām attiecas izmeklēšanas struktūru ziņojumi un ieteikumi (piemēram, par apkopi atbildīgā struktūrvienība (</w:t>
      </w:r>
      <w:proofErr w:type="spellStart"/>
      <w:r>
        <w:rPr>
          <w:rFonts w:ascii="Times New Roman" w:hAnsi="Times New Roman"/>
          <w:i/>
          <w:iCs/>
          <w:sz w:val="24"/>
        </w:rPr>
        <w:t>ECM</w:t>
      </w:r>
      <w:proofErr w:type="spellEnd"/>
      <w:r>
        <w:rPr>
          <w:rFonts w:ascii="Times New Roman" w:hAnsi="Times New Roman"/>
          <w:sz w:val="24"/>
        </w:rPr>
        <w:t>), sertifikācijas iestādes, autoceļu pārvaldes iestādes, avārijas dienesti);</w:t>
      </w:r>
    </w:p>
    <w:p w14:paraId="5A021CB1" w14:textId="77777777" w:rsidR="00E62252" w:rsidRPr="00E62252" w:rsidRDefault="00E62252" w:rsidP="00E62252">
      <w:pPr>
        <w:numPr>
          <w:ilvl w:val="0"/>
          <w:numId w:val="26"/>
        </w:numPr>
        <w:spacing w:after="0" w:line="240" w:lineRule="auto"/>
        <w:ind w:left="567" w:hanging="283"/>
        <w:jc w:val="both"/>
        <w:rPr>
          <w:rFonts w:ascii="Times New Roman" w:hAnsi="Times New Roman" w:cs="Times New Roman"/>
          <w:noProof/>
          <w:sz w:val="24"/>
          <w:szCs w:val="24"/>
        </w:rPr>
      </w:pPr>
      <w:r>
        <w:rPr>
          <w:rFonts w:ascii="Times New Roman" w:hAnsi="Times New Roman"/>
          <w:sz w:val="24"/>
        </w:rPr>
        <w:t>pārvadātāji (</w:t>
      </w:r>
      <w:proofErr w:type="spellStart"/>
      <w:r>
        <w:rPr>
          <w:rFonts w:ascii="Times New Roman" w:hAnsi="Times New Roman"/>
          <w:i/>
          <w:iCs/>
          <w:sz w:val="24"/>
        </w:rPr>
        <w:t>RU</w:t>
      </w:r>
      <w:proofErr w:type="spellEnd"/>
      <w:r>
        <w:rPr>
          <w:rFonts w:ascii="Times New Roman" w:hAnsi="Times New Roman"/>
          <w:sz w:val="24"/>
        </w:rPr>
        <w:t>), dzelzceļa infrastruktūras pārvaldītāji (</w:t>
      </w:r>
      <w:proofErr w:type="spellStart"/>
      <w:r>
        <w:rPr>
          <w:rFonts w:ascii="Times New Roman" w:hAnsi="Times New Roman"/>
          <w:i/>
          <w:iCs/>
          <w:sz w:val="24"/>
        </w:rPr>
        <w:t>IM</w:t>
      </w:r>
      <w:proofErr w:type="spellEnd"/>
      <w:r>
        <w:rPr>
          <w:rFonts w:ascii="Times New Roman" w:hAnsi="Times New Roman"/>
          <w:sz w:val="24"/>
        </w:rPr>
        <w:t>) un citi dzelzceļa nozares dalībnieki, kuri ir ieinteresēti negadījumu izmeklēšanas procesā.</w:t>
      </w:r>
    </w:p>
    <w:p w14:paraId="1E139D3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1837543"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bCs w:val="0"/>
          <w:noProof/>
          <w:sz w:val="24"/>
          <w:szCs w:val="24"/>
        </w:rPr>
      </w:pPr>
      <w:bookmarkStart w:id="32" w:name="_Toc209413925"/>
      <w:bookmarkStart w:id="33" w:name="_Toc40340069"/>
      <w:bookmarkStart w:id="34" w:name="_Toc58769274"/>
      <w:bookmarkStart w:id="35" w:name="_Toc61364254"/>
      <w:bookmarkStart w:id="36" w:name="_Toc61364503"/>
      <w:bookmarkStart w:id="37" w:name="_Toc102478552"/>
      <w:bookmarkStart w:id="38" w:name="_Toc134605569"/>
      <w:r>
        <w:rPr>
          <w:rFonts w:ascii="Times New Roman" w:hAnsi="Times New Roman"/>
          <w:sz w:val="24"/>
        </w:rPr>
        <w:t>4. Ievads</w:t>
      </w:r>
      <w:bookmarkEnd w:id="32"/>
      <w:bookmarkEnd w:id="33"/>
      <w:r>
        <w:rPr>
          <w:rFonts w:ascii="Times New Roman" w:hAnsi="Times New Roman"/>
          <w:sz w:val="24"/>
        </w:rPr>
        <w:t xml:space="preserve"> un šo norādījumu mērķis</w:t>
      </w:r>
      <w:bookmarkEnd w:id="34"/>
      <w:bookmarkEnd w:id="35"/>
      <w:bookmarkEnd w:id="36"/>
      <w:bookmarkEnd w:id="37"/>
      <w:bookmarkEnd w:id="38"/>
    </w:p>
    <w:p w14:paraId="5B367836"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3AE869C"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Direktīvas 2016/798 22. panta 7. punktā norādīts, ka izmeklēšanas struktūras veic aktīvu viedokļu un pieredzes apmaiņu ar nolūku izstrādāt vienotas izmeklēšanas metodes. Lai arī </w:t>
      </w:r>
      <w:proofErr w:type="spellStart"/>
      <w:r>
        <w:rPr>
          <w:rFonts w:ascii="Times New Roman" w:hAnsi="Times New Roman"/>
          <w:i/>
          <w:iCs/>
          <w:sz w:val="24"/>
        </w:rPr>
        <w:t>NIB</w:t>
      </w:r>
      <w:proofErr w:type="spellEnd"/>
      <w:r>
        <w:rPr>
          <w:rFonts w:ascii="Times New Roman" w:hAnsi="Times New Roman"/>
          <w:sz w:val="24"/>
        </w:rPr>
        <w:t xml:space="preserve"> ir sasniegušas augstu vienotas izpratnes līmeni par pieeju ES dzelzceļa negadījumu un starpgadījumu izmeklēšanai, joprojām pastāv dažas atšķirības. Šie norādījumi ir paredzēti tam, lai vēl vairāk konsolidētu vienotu pieeju un apmainītos ar pieredzi, kas gūta vairāk nekā 10 gadus ilgā ES negadījumu izmeklēšanas praksē, attiecībā uz vienotu izpratni par to:</w:t>
      </w:r>
    </w:p>
    <w:p w14:paraId="696EE417"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E3122E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kuri negadījumi ir jāizmeklē;</w:t>
      </w:r>
    </w:p>
    <w:p w14:paraId="1E146B2F"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kurus negadījumus un starpgadījumus var izmeklēt.</w:t>
      </w:r>
    </w:p>
    <w:p w14:paraId="1060A233"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663B33E0"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Šie norādījumi ir paredzēti kā rokasgrāmata valstu izmeklēšanas struktūrām saistībā ar Direktīvas (ES) 2016/798 20. panta 1. punktu, 20. panta 2. punktu un 22. panta 6. punktu un sniedz piemērus, lai veicinātu vienotas izpratnes veidošanos par negadījumu izmeklēšanu Eiropas Savienībā.</w:t>
      </w:r>
    </w:p>
    <w:p w14:paraId="0841FEC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6D8E3EC"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Šos norādījumus nevar izmantot Direktīvas (ES) 2016/798 aizstāšanai.</w:t>
      </w:r>
    </w:p>
    <w:p w14:paraId="29ACD2B1"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61B90BD"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39" w:name="_Ref191440004"/>
      <w:bookmarkStart w:id="40" w:name="_Toc202865598"/>
      <w:bookmarkStart w:id="41" w:name="_Toc190250963"/>
      <w:bookmarkStart w:id="42" w:name="_Toc209413926"/>
      <w:bookmarkStart w:id="43" w:name="_Toc40340071"/>
      <w:bookmarkStart w:id="44" w:name="_Toc58769275"/>
      <w:bookmarkStart w:id="45" w:name="_Toc61364255"/>
      <w:bookmarkStart w:id="46" w:name="_Toc61364504"/>
      <w:bookmarkStart w:id="47" w:name="_Ref280337315"/>
      <w:bookmarkStart w:id="48" w:name="_Ref280337335"/>
      <w:bookmarkStart w:id="49" w:name="_Ref280337367"/>
      <w:bookmarkStart w:id="50" w:name="_Toc290015923"/>
      <w:bookmarkStart w:id="51" w:name="_Toc40340070"/>
      <w:r>
        <w:rPr>
          <w:rFonts w:ascii="Times New Roman" w:hAnsi="Times New Roman"/>
          <w:sz w:val="24"/>
        </w:rPr>
        <w:t>Šie norādījumi nav juridiski saistoši.</w:t>
      </w:r>
    </w:p>
    <w:p w14:paraId="4A8C8497"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BC77E35"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Šos norādījumus pārskatīs </w:t>
      </w:r>
      <w:proofErr w:type="spellStart"/>
      <w:r>
        <w:rPr>
          <w:rFonts w:ascii="Times New Roman" w:hAnsi="Times New Roman"/>
          <w:i/>
          <w:iCs/>
          <w:sz w:val="24"/>
        </w:rPr>
        <w:t>NIB</w:t>
      </w:r>
      <w:proofErr w:type="spellEnd"/>
      <w:r>
        <w:rPr>
          <w:rFonts w:ascii="Times New Roman" w:hAnsi="Times New Roman"/>
          <w:sz w:val="24"/>
        </w:rPr>
        <w:t xml:space="preserve"> tīkls, tos atjauninot, ja nepieciešams, lai atspoguļotu izmaiņas Eiropas tiesību aktos un standartos, kā arī pieredzi, kas gūta, laika gaitā veicot negadījumu izmeklēšanu. Lasītājs tiek aicināts iepazīties ar </w:t>
      </w:r>
      <w:proofErr w:type="spellStart"/>
      <w:r>
        <w:rPr>
          <w:rFonts w:ascii="Times New Roman" w:hAnsi="Times New Roman"/>
          <w:i/>
          <w:iCs/>
          <w:sz w:val="24"/>
        </w:rPr>
        <w:t>NIB</w:t>
      </w:r>
      <w:proofErr w:type="spellEnd"/>
      <w:r>
        <w:rPr>
          <w:rFonts w:ascii="Times New Roman" w:hAnsi="Times New Roman"/>
          <w:sz w:val="24"/>
        </w:rPr>
        <w:t xml:space="preserve"> tīkla norādīto tīmekļa lapu, lai iegūtu informāciju par šo norādījumu jaunāko pieejamo izdevumu.</w:t>
      </w:r>
    </w:p>
    <w:p w14:paraId="7F41799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DE18001"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52" w:name="_Toc102478553"/>
      <w:bookmarkStart w:id="53" w:name="_Toc134605570"/>
      <w:r>
        <w:rPr>
          <w:rFonts w:ascii="Times New Roman" w:hAnsi="Times New Roman"/>
          <w:sz w:val="24"/>
        </w:rPr>
        <w:t>5. Norādījumos izmantotie principi</w:t>
      </w:r>
      <w:bookmarkEnd w:id="39"/>
      <w:bookmarkEnd w:id="40"/>
      <w:bookmarkEnd w:id="41"/>
      <w:bookmarkEnd w:id="42"/>
      <w:bookmarkEnd w:id="43"/>
      <w:bookmarkEnd w:id="44"/>
      <w:bookmarkEnd w:id="45"/>
      <w:bookmarkEnd w:id="46"/>
      <w:bookmarkEnd w:id="52"/>
      <w:bookmarkEnd w:id="53"/>
    </w:p>
    <w:p w14:paraId="1EF84F0D"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6FD7167"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Lai atvieglotu šo norādījumu lasīšanu, Direktīvas (ES) 2016/798 </w:t>
      </w:r>
      <w:proofErr w:type="spellStart"/>
      <w:r>
        <w:rPr>
          <w:rFonts w:ascii="Times New Roman" w:hAnsi="Times New Roman"/>
          <w:sz w:val="24"/>
        </w:rPr>
        <w:t>oriģinālteksts</w:t>
      </w:r>
      <w:proofErr w:type="spellEnd"/>
      <w:r>
        <w:rPr>
          <w:rFonts w:ascii="Times New Roman" w:hAnsi="Times New Roman"/>
          <w:sz w:val="24"/>
        </w:rPr>
        <w:t xml:space="preserve"> ir norādīts pirms attiecīgā norādījumu punkta.</w:t>
      </w:r>
    </w:p>
    <w:p w14:paraId="33F4416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C7ED79A"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Lai Direktīvas (ES) 2016/798 tekstu varētu atšķirt no šo norādījumu teksta, direktīvas teksts ir norādīts ar fontu </w:t>
      </w:r>
      <w:r>
        <w:rPr>
          <w:rFonts w:ascii="Bookman Old Style" w:hAnsi="Bookman Old Style"/>
          <w:i/>
        </w:rPr>
        <w:t>“</w:t>
      </w:r>
      <w:proofErr w:type="spellStart"/>
      <w:r>
        <w:rPr>
          <w:rFonts w:ascii="Bookman Old Style" w:hAnsi="Bookman Old Style"/>
          <w:i/>
          <w:color w:val="3071C9" w:themeColor="accent5" w:themeShade="BF"/>
        </w:rPr>
        <w:t>Bookman</w:t>
      </w:r>
      <w:proofErr w:type="spellEnd"/>
      <w:r>
        <w:rPr>
          <w:rFonts w:ascii="Bookman Old Style" w:hAnsi="Bookman Old Style"/>
          <w:i/>
          <w:color w:val="3071C9" w:themeColor="accent5" w:themeShade="BF"/>
        </w:rPr>
        <w:t xml:space="preserve"> Old </w:t>
      </w:r>
      <w:proofErr w:type="spellStart"/>
      <w:r>
        <w:rPr>
          <w:rFonts w:ascii="Bookman Old Style" w:hAnsi="Bookman Old Style"/>
          <w:i/>
          <w:color w:val="3071C9" w:themeColor="accent5" w:themeShade="BF"/>
        </w:rPr>
        <w:t>Style</w:t>
      </w:r>
      <w:proofErr w:type="spellEnd"/>
      <w:r>
        <w:rPr>
          <w:rFonts w:ascii="Bookman Old Style" w:hAnsi="Bookman Old Style"/>
          <w:i/>
        </w:rPr>
        <w:t xml:space="preserve">” </w:t>
      </w:r>
      <w:r>
        <w:rPr>
          <w:rFonts w:ascii="Times New Roman" w:hAnsi="Times New Roman"/>
          <w:sz w:val="24"/>
        </w:rPr>
        <w:t>un slīprakstā, tieši tā, kā redzams šeit.</w:t>
      </w:r>
    </w:p>
    <w:p w14:paraId="69220316"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8DD6285"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54" w:name="_Toc58769276"/>
      <w:bookmarkStart w:id="55" w:name="_Toc61364256"/>
      <w:bookmarkStart w:id="56" w:name="_Toc61364505"/>
      <w:bookmarkStart w:id="57" w:name="_Toc102478554"/>
      <w:bookmarkStart w:id="58" w:name="_Ref270591352"/>
      <w:bookmarkStart w:id="59" w:name="_Toc290015925"/>
      <w:bookmarkStart w:id="60" w:name="_Toc40340073"/>
      <w:bookmarkStart w:id="61" w:name="_Toc134605571"/>
      <w:bookmarkEnd w:id="25"/>
      <w:bookmarkEnd w:id="47"/>
      <w:bookmarkEnd w:id="48"/>
      <w:bookmarkEnd w:id="49"/>
      <w:bookmarkEnd w:id="50"/>
      <w:bookmarkEnd w:id="51"/>
      <w:r>
        <w:rPr>
          <w:rFonts w:ascii="Times New Roman" w:hAnsi="Times New Roman"/>
          <w:sz w:val="24"/>
        </w:rPr>
        <w:t>6. Izmeklēšanas lēmuma pieņemšanas principi</w:t>
      </w:r>
      <w:bookmarkEnd w:id="54"/>
      <w:bookmarkEnd w:id="55"/>
      <w:bookmarkEnd w:id="56"/>
      <w:bookmarkEnd w:id="57"/>
      <w:bookmarkEnd w:id="58"/>
      <w:bookmarkEnd w:id="59"/>
      <w:bookmarkEnd w:id="60"/>
      <w:bookmarkEnd w:id="61"/>
    </w:p>
    <w:p w14:paraId="4019680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9B7A01E"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Ar Dzelzceļu drošības direktīvu tiek radīts vienots satvars drošības pārvaldībai Eiropas Savienības dzelzceļa sistēmā. Vienota izpratne par direktīvas prasībām ir svarīga, lai nodrošinātu augstu drošības līmeni dzelzceļa sistēmā; tā ietver negadījumu izmeklēšanas prasības.</w:t>
      </w:r>
    </w:p>
    <w:p w14:paraId="048669C1"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393D633"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Direktīvā 2016/798 noteikts tas, kad:</w:t>
      </w:r>
    </w:p>
    <w:p w14:paraId="498D2823"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74996BD"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negadījuma izmeklēšana atbilstoši 20. panta 1. punktam ir obligāta;</w:t>
      </w:r>
    </w:p>
    <w:p w14:paraId="6D28AA32"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par negadījuma vai starpgadījuma izmeklēšanu lemj izmeklēšanas struktūra atbilstoši 20. panta 2. punktam;</w:t>
      </w:r>
    </w:p>
    <w:p w14:paraId="4C1642B0"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negadījumu vai starpgadījumu (izņemot tos, kas noteikti 20. pantā) izmeklēšanu var veikt saskaņā ar valsts tiesību aktiem atbilstoši 22. panta 6. punktam.</w:t>
      </w:r>
    </w:p>
    <w:p w14:paraId="0D0943F7"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37810F08"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NIB</w:t>
      </w:r>
      <w:proofErr w:type="spellEnd"/>
      <w:r>
        <w:rPr>
          <w:rFonts w:ascii="Times New Roman" w:hAnsi="Times New Roman"/>
          <w:sz w:val="24"/>
        </w:rPr>
        <w:t xml:space="preserve"> var veikt izmeklēšanu, pamatojoties uz:</w:t>
      </w:r>
    </w:p>
    <w:p w14:paraId="6D2A778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137624A"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valsts tiesību aktiem, ar kuriem tiek īstenotas Direktīvas 2016/798 prasības;</w:t>
      </w:r>
    </w:p>
    <w:p w14:paraId="14C25CDE"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papildu valsts prasībām.</w:t>
      </w:r>
    </w:p>
    <w:p w14:paraId="7F717C06"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3FAFE80B"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Tas var ietekmēt:</w:t>
      </w:r>
    </w:p>
    <w:p w14:paraId="5A65BD32"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C1800C8"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lēmuma pieņemšanu par izmeklēšanas veikšanu vai neveikšanu;</w:t>
      </w:r>
    </w:p>
    <w:p w14:paraId="0FE2B56D"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Direktīvā 2016/798 noteikto prasību un procedūru piemērošanu.</w:t>
      </w:r>
    </w:p>
    <w:p w14:paraId="0756D5F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95C1803"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Turpmākajā plūsmas diagrammā atspoguļota lēmuma pieņemšana par izmeklēšanas veikšanu atbilstoši Direktīvai 2016/798.</w:t>
      </w:r>
    </w:p>
    <w:p w14:paraId="4D120168" w14:textId="261784CD" w:rsidR="00E62252" w:rsidRPr="00E62252" w:rsidRDefault="00DF0751" w:rsidP="00E62252">
      <w:pPr>
        <w:pStyle w:val="HeadingTableleft"/>
        <w:spacing w:line="240" w:lineRule="auto"/>
        <w:jc w:val="both"/>
        <w:rPr>
          <w:rFonts w:ascii="Times New Roman" w:hAnsi="Times New Roman" w:cs="Times New Roman"/>
          <w:sz w:val="24"/>
          <w:szCs w:val="24"/>
        </w:rPr>
      </w:pPr>
      <w:bookmarkStart w:id="62" w:name="_Ref58770930"/>
      <w:r>
        <w:rPr>
          <w:rFonts w:ascii="Times New Roman" w:hAnsi="Times New Roman"/>
          <w:sz w:val="24"/>
        </w:rPr>
        <w:lastRenderedPageBreak/>
        <w:drawing>
          <wp:inline distT="0" distB="0" distL="0" distR="0" wp14:anchorId="6F4E6AA9" wp14:editId="3E21D03E">
            <wp:extent cx="5772150" cy="8076780"/>
            <wp:effectExtent l="0" t="0" r="0" b="635"/>
            <wp:docPr id="202037730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77309" name="Picture 1" descr="A screenshot of a computer&#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r="54801"/>
                    <a:stretch/>
                  </pic:blipFill>
                  <pic:spPr bwMode="auto">
                    <a:xfrm>
                      <a:off x="0" y="0"/>
                      <a:ext cx="5792715" cy="8105556"/>
                    </a:xfrm>
                    <a:prstGeom prst="rect">
                      <a:avLst/>
                    </a:prstGeom>
                    <a:noFill/>
                    <a:ln>
                      <a:noFill/>
                    </a:ln>
                    <a:extLst>
                      <a:ext uri="{53640926-AAD7-44D8-BBD7-CCE9431645EC}">
                        <a14:shadowObscured xmlns:a14="http://schemas.microsoft.com/office/drawing/2010/main"/>
                      </a:ext>
                    </a:extLst>
                  </pic:spPr>
                </pic:pic>
              </a:graphicData>
            </a:graphic>
          </wp:inline>
        </w:drawing>
      </w:r>
    </w:p>
    <w:p w14:paraId="14005A45" w14:textId="77777777" w:rsidR="00E62252" w:rsidRPr="00E62252" w:rsidRDefault="00E62252" w:rsidP="00E62252">
      <w:pPr>
        <w:pStyle w:val="Caption"/>
        <w:spacing w:after="0" w:line="240" w:lineRule="auto"/>
        <w:jc w:val="both"/>
        <w:rPr>
          <w:rFonts w:ascii="Times New Roman" w:hAnsi="Times New Roman" w:cs="Times New Roman"/>
          <w:noProof/>
          <w:sz w:val="24"/>
          <w:szCs w:val="24"/>
        </w:rPr>
      </w:pPr>
      <w:bookmarkStart w:id="63" w:name="_Ref93493850"/>
    </w:p>
    <w:p w14:paraId="6C93BEDD" w14:textId="77777777" w:rsidR="00E62252" w:rsidRPr="00E62252" w:rsidRDefault="00E62252" w:rsidP="00E62252">
      <w:pPr>
        <w:pStyle w:val="Caption"/>
        <w:spacing w:after="0" w:line="240" w:lineRule="auto"/>
        <w:jc w:val="right"/>
        <w:rPr>
          <w:rFonts w:ascii="Times New Roman" w:hAnsi="Times New Roman" w:cs="Times New Roman"/>
          <w:noProof/>
          <w:sz w:val="24"/>
          <w:szCs w:val="24"/>
        </w:rPr>
      </w:pPr>
      <w:r>
        <w:rPr>
          <w:rFonts w:ascii="Times New Roman" w:hAnsi="Times New Roman"/>
          <w:sz w:val="24"/>
        </w:rPr>
        <w:t>1. attēls</w:t>
      </w:r>
      <w:bookmarkEnd w:id="62"/>
      <w:bookmarkEnd w:id="63"/>
      <w:r>
        <w:rPr>
          <w:rFonts w:ascii="Times New Roman" w:hAnsi="Times New Roman"/>
          <w:sz w:val="24"/>
        </w:rPr>
        <w:t>: Plūsmas diagramma lēmuma pieņemšanai par izmeklēšanas veikšanu vai neveikšanu</w:t>
      </w:r>
    </w:p>
    <w:p w14:paraId="7B0E0E28" w14:textId="77777777" w:rsidR="00E62252" w:rsidRPr="00E62252" w:rsidRDefault="00E62252" w:rsidP="00E62252">
      <w:pPr>
        <w:spacing w:after="0" w:line="240" w:lineRule="auto"/>
        <w:rPr>
          <w:noProof/>
          <w:lang w:val="en-US"/>
        </w:rPr>
      </w:pPr>
    </w:p>
    <w:p w14:paraId="654207B2"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lastRenderedPageBreak/>
        <w:t xml:space="preserve">Saistībā ar negadījumiem, kas jāizmeklē saskaņā ar 20. panta 1. punktu, būtiska nozīme ir vienotai izpratnei par </w:t>
      </w:r>
      <w:r>
        <w:rPr>
          <w:rFonts w:ascii="Bookman Old Style" w:hAnsi="Bookman Old Style"/>
          <w:i/>
        </w:rPr>
        <w:t>“</w:t>
      </w:r>
      <w:r>
        <w:rPr>
          <w:rFonts w:ascii="Bookman Old Style" w:hAnsi="Bookman Old Style"/>
          <w:i/>
          <w:color w:val="3071C9" w:themeColor="accent5" w:themeShade="BF"/>
        </w:rPr>
        <w:t>smaga negadījuma</w:t>
      </w:r>
      <w:r>
        <w:rPr>
          <w:rFonts w:ascii="Bookman Old Style" w:hAnsi="Bookman Old Style"/>
          <w:i/>
        </w:rPr>
        <w:t xml:space="preserve">” </w:t>
      </w:r>
      <w:r>
        <w:rPr>
          <w:rFonts w:ascii="Times New Roman" w:hAnsi="Times New Roman"/>
          <w:sz w:val="24"/>
        </w:rPr>
        <w:t>definīciju:</w:t>
      </w:r>
    </w:p>
    <w:p w14:paraId="312E188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0708761" w14:textId="77777777" w:rsidR="00E62252" w:rsidRPr="00E62252" w:rsidRDefault="00E62252" w:rsidP="00E62252">
      <w:pPr>
        <w:spacing w:after="0" w:line="240" w:lineRule="auto"/>
        <w:jc w:val="both"/>
        <w:rPr>
          <w:rFonts w:ascii="Bookman Old Style" w:hAnsi="Bookman Old Style" w:cs="Times New Roman"/>
          <w:noProof/>
        </w:rPr>
      </w:pPr>
      <w:r>
        <w:rPr>
          <w:rFonts w:ascii="Bookman Old Style" w:hAnsi="Bookman Old Style"/>
          <w:i/>
          <w:color w:val="3071C9" w:themeColor="accent5" w:themeShade="BF"/>
        </w:rPr>
        <w:t>“smags negadījums” ir vilcienu sadursme vai nobraukšana no sliedēm, kurā iet bojā vismaz viens cilvēks vai rada smagus miesas bojājumus vismaz pieciem cilvēkiem, vai nodara lielu kaitējumu ritošajam sastāvam, infrastruktūrai vai videi, kā arī jebkurš cits negadījums ar tādām pašām sekām, kam ir acīmredzama ietekme uz dzelzceļa drošības regulēšanu vai drošības pārvaldību; “liels kaitējums” ir zaudējumi, kurus izmeklēšanas struktūra var uzreiz novērtēt kopumā vismaz par EUR 2 miljoniem [2 miljoniem EUR]</w:t>
      </w:r>
      <w:r>
        <w:rPr>
          <w:rFonts w:ascii="Bookman Old Style" w:hAnsi="Bookman Old Style"/>
        </w:rPr>
        <w:t>;</w:t>
      </w:r>
    </w:p>
    <w:p w14:paraId="080669E3" w14:textId="77777777" w:rsidR="00E62252" w:rsidRPr="00E62252" w:rsidRDefault="00E62252" w:rsidP="00E62252">
      <w:pPr>
        <w:spacing w:after="0" w:line="240" w:lineRule="auto"/>
        <w:jc w:val="both"/>
        <w:rPr>
          <w:rFonts w:ascii="Bookman Old Style" w:hAnsi="Bookman Old Style" w:cs="Times New Roman"/>
          <w:noProof/>
          <w:lang w:val="en-US"/>
        </w:rPr>
      </w:pPr>
    </w:p>
    <w:p w14:paraId="7918CE2D" w14:textId="77777777" w:rsidR="00E62252" w:rsidRPr="00E62252" w:rsidRDefault="00E62252" w:rsidP="00E62252">
      <w:pPr>
        <w:spacing w:after="0" w:line="240" w:lineRule="auto"/>
        <w:jc w:val="both"/>
        <w:rPr>
          <w:rFonts w:ascii="Times New Roman" w:hAnsi="Times New Roman" w:cs="Times New Roman"/>
          <w:iCs/>
          <w:noProof/>
          <w:sz w:val="24"/>
          <w:szCs w:val="24"/>
        </w:rPr>
      </w:pPr>
      <w:r>
        <w:rPr>
          <w:rFonts w:ascii="Times New Roman" w:hAnsi="Times New Roman"/>
          <w:sz w:val="24"/>
        </w:rPr>
        <w:t>Direktīvas 2016/798 20. panta 3. punktā ir sniegti pamatprincipi, kas jāņem vērā, kad tiek lemts par izmeklēšanas tvērumu un piemērojamo procedūru. Šie principi formāli ir piemērojami tikai attiecībā uz izmeklēšanu, kas noteikta 20. pantā. Tomēr, ja nav īpašu valsts prasību, tos var būt lietderīgi piemērot arī attiecībā uz izmeklēšanu, kas noteikta 22. panta 6. punktā, saskaņā ar valsts tiesību aktiem.</w:t>
      </w:r>
    </w:p>
    <w:p w14:paraId="47AA94B3" w14:textId="77777777" w:rsidR="00E62252" w:rsidRPr="00E62252" w:rsidRDefault="00E62252" w:rsidP="00E62252">
      <w:pPr>
        <w:spacing w:after="0" w:line="240" w:lineRule="auto"/>
        <w:jc w:val="both"/>
        <w:rPr>
          <w:rFonts w:ascii="Times New Roman" w:hAnsi="Times New Roman" w:cs="Times New Roman"/>
          <w:iCs/>
          <w:noProof/>
          <w:sz w:val="24"/>
          <w:szCs w:val="24"/>
          <w:lang w:val="en-US"/>
        </w:rPr>
      </w:pPr>
    </w:p>
    <w:p w14:paraId="761776B5"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Lēmumu par izmeklēšanas veikšanu, tostarp lēmuma pamatojumu, reģistrē ziņojumā par izmeklēšanu, skat. Regulas (ES) 2020/572 pielikuma 2.1. un 2.2. punktu.</w:t>
      </w:r>
    </w:p>
    <w:p w14:paraId="7D31FC3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1A654A8"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Turklāt, ievērojot vispārējo labo administratīvo praksi, arī lēmums par izmeklēšanas neveikšanu, tostarp šāda lēmuma pamatojums, ir jādokumentē atbilstošā veidā.</w:t>
      </w:r>
    </w:p>
    <w:p w14:paraId="650A4FD3"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7A54498"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64" w:name="_Toc58769277"/>
      <w:bookmarkStart w:id="65" w:name="_Toc61364257"/>
      <w:bookmarkStart w:id="66" w:name="_Toc61364506"/>
      <w:bookmarkStart w:id="67" w:name="_Toc102478555"/>
      <w:bookmarkStart w:id="68" w:name="_Toc134605572"/>
      <w:r>
        <w:rPr>
          <w:rFonts w:ascii="Times New Roman" w:hAnsi="Times New Roman"/>
          <w:sz w:val="24"/>
        </w:rPr>
        <w:t>7. Obligāta izmeklēšana – smagi negadījumi</w:t>
      </w:r>
      <w:bookmarkEnd w:id="64"/>
      <w:bookmarkEnd w:id="65"/>
      <w:bookmarkEnd w:id="66"/>
      <w:bookmarkEnd w:id="67"/>
      <w:bookmarkEnd w:id="68"/>
    </w:p>
    <w:p w14:paraId="7A455295"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07E1663"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Direktīvas 2016/798 20. panta 1. punktā ir noteikts šādi:</w:t>
      </w:r>
    </w:p>
    <w:p w14:paraId="102DC256"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6852613" w14:textId="77777777" w:rsidR="00E62252" w:rsidRPr="00E62252" w:rsidRDefault="00E62252" w:rsidP="00E62252">
      <w:pPr>
        <w:pStyle w:val="Style4"/>
        <w:spacing w:line="240" w:lineRule="auto"/>
        <w:jc w:val="both"/>
        <w:rPr>
          <w:rFonts w:cs="Times New Roman"/>
          <w:noProof/>
          <w:sz w:val="22"/>
          <w:szCs w:val="22"/>
        </w:rPr>
      </w:pPr>
      <w:r>
        <w:rPr>
          <w:sz w:val="22"/>
        </w:rPr>
        <w:t>“Dalībvalstis nodrošina, ka izmeklēšanu pēc jebkura smaga negadījuma Savienības dzelzceļa sistēmā veic 22. pantā minētā izmeklēšanas struktūra. Izmeklēšanas mērķis, ja iespējams, ir dzelzceļa drošības paaugstināšana un negadījumu novēršana.</w:t>
      </w:r>
    </w:p>
    <w:p w14:paraId="7D126FA8"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4752682E"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69" w:name="_Toc61364258"/>
      <w:bookmarkStart w:id="70" w:name="_Toc61364507"/>
      <w:bookmarkStart w:id="71" w:name="_Toc102478556"/>
      <w:bookmarkStart w:id="72" w:name="_Toc134605573"/>
      <w:r>
        <w:rPr>
          <w:rFonts w:ascii="Times New Roman" w:hAnsi="Times New Roman"/>
          <w:sz w:val="24"/>
        </w:rPr>
        <w:t>7.1. Negadījuma sekas</w:t>
      </w:r>
      <w:bookmarkEnd w:id="69"/>
      <w:bookmarkEnd w:id="70"/>
      <w:bookmarkEnd w:id="71"/>
      <w:bookmarkEnd w:id="72"/>
    </w:p>
    <w:p w14:paraId="3F739922" w14:textId="77777777" w:rsidR="00E62252" w:rsidRPr="00E62252" w:rsidRDefault="00E62252" w:rsidP="00E62252">
      <w:pPr>
        <w:spacing w:after="0" w:line="240" w:lineRule="auto"/>
        <w:rPr>
          <w:noProof/>
          <w:lang w:val="en-US"/>
        </w:rPr>
      </w:pPr>
    </w:p>
    <w:p w14:paraId="50C680D2"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Negadījums, kas rada vienas no šādām sekām:</w:t>
      </w:r>
    </w:p>
    <w:p w14:paraId="6A48DF77"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vismaz 1 persona gājusi bojā;</w:t>
      </w:r>
    </w:p>
    <w:p w14:paraId="08B1B6A5"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vismaz 5 personas guvušas smagus miesas bojājumus.</w:t>
      </w:r>
    </w:p>
    <w:p w14:paraId="24B88653"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Lielu kaitējumu, ko uzreiz var novērtēt kopumā vismaz par 2 miljoniem eiro, vienmēr uzskata par smagu negadījumu, ja:</w:t>
      </w:r>
    </w:p>
    <w:p w14:paraId="5605E256" w14:textId="77777777" w:rsidR="00E62252" w:rsidRPr="00E62252" w:rsidRDefault="00E62252" w:rsidP="00E62252">
      <w:pPr>
        <w:pStyle w:val="Style6"/>
        <w:numPr>
          <w:ilvl w:val="1"/>
          <w:numId w:val="18"/>
        </w:numPr>
        <w:spacing w:after="0" w:line="240" w:lineRule="auto"/>
        <w:ind w:left="851" w:hanging="284"/>
        <w:contextualSpacing w:val="0"/>
        <w:jc w:val="both"/>
        <w:rPr>
          <w:rFonts w:ascii="Times New Roman" w:hAnsi="Times New Roman" w:cs="Times New Roman"/>
          <w:noProof/>
          <w:sz w:val="24"/>
          <w:szCs w:val="24"/>
        </w:rPr>
      </w:pPr>
      <w:r>
        <w:rPr>
          <w:rFonts w:ascii="Times New Roman" w:hAnsi="Times New Roman"/>
          <w:sz w:val="24"/>
        </w:rPr>
        <w:t>tas ir vilcienu sadursme vai nobraukšana no sliedēm vai</w:t>
      </w:r>
    </w:p>
    <w:p w14:paraId="3AC8E252" w14:textId="77777777" w:rsidR="00E62252" w:rsidRPr="00E62252" w:rsidRDefault="00E62252" w:rsidP="00E62252">
      <w:pPr>
        <w:pStyle w:val="Style6"/>
        <w:numPr>
          <w:ilvl w:val="1"/>
          <w:numId w:val="18"/>
        </w:numPr>
        <w:spacing w:after="0" w:line="240" w:lineRule="auto"/>
        <w:ind w:left="851" w:hanging="284"/>
        <w:contextualSpacing w:val="0"/>
        <w:jc w:val="both"/>
        <w:rPr>
          <w:rFonts w:ascii="Times New Roman" w:hAnsi="Times New Roman" w:cs="Times New Roman"/>
          <w:noProof/>
          <w:sz w:val="24"/>
          <w:szCs w:val="24"/>
        </w:rPr>
      </w:pPr>
      <w:r>
        <w:rPr>
          <w:rFonts w:ascii="Times New Roman" w:hAnsi="Times New Roman"/>
          <w:sz w:val="24"/>
        </w:rPr>
        <w:t>tas acīmredzami ietekmē dzelzceļa drošības regulēšanu vai drošības pārvaldību.</w:t>
      </w:r>
    </w:p>
    <w:p w14:paraId="479F3EE7"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433CF8F6"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NIB</w:t>
      </w:r>
      <w:proofErr w:type="spellEnd"/>
      <w:r>
        <w:rPr>
          <w:rFonts w:ascii="Times New Roman" w:hAnsi="Times New Roman"/>
          <w:sz w:val="24"/>
        </w:rPr>
        <w:t xml:space="preserve"> tīklā ir panākta vienota izpratne par šādiem jēdzieniem:</w:t>
      </w:r>
    </w:p>
    <w:p w14:paraId="1527D56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4338B31"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b/>
          <w:bCs/>
          <w:sz w:val="24"/>
        </w:rPr>
        <w:t>bojāgājušais</w:t>
      </w:r>
      <w:r w:rsidRPr="00E62252">
        <w:rPr>
          <w:rFonts w:ascii="Times New Roman" w:hAnsi="Times New Roman" w:cs="Times New Roman"/>
          <w:b/>
          <w:bCs/>
          <w:noProof/>
          <w:sz w:val="24"/>
          <w:szCs w:val="24"/>
          <w:vertAlign w:val="superscript"/>
          <w:lang w:val="en-US"/>
        </w:rPr>
        <w:footnoteReference w:id="2"/>
      </w:r>
      <w:r>
        <w:rPr>
          <w:rFonts w:ascii="Times New Roman" w:hAnsi="Times New Roman"/>
          <w:sz w:val="24"/>
          <w:vertAlign w:val="superscript"/>
        </w:rPr>
        <w:t xml:space="preserve"> </w:t>
      </w:r>
      <w:r>
        <w:rPr>
          <w:rFonts w:ascii="Times New Roman" w:hAnsi="Times New Roman"/>
          <w:sz w:val="24"/>
        </w:rPr>
        <w:t>(nogalināta persona) ir jebkura persona, kas negadījumā gājusi bojā uzreiz vai 30 dienu laikā pēc negadījuma mirusi negadījuma dēļ, izņemot pašnāvības gadījumus;</w:t>
      </w:r>
    </w:p>
    <w:p w14:paraId="386FB36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042B077"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b/>
          <w:bCs/>
          <w:sz w:val="24"/>
        </w:rPr>
        <w:t>smagi miesas bojājumi</w:t>
      </w:r>
      <w:r>
        <w:rPr>
          <w:rFonts w:ascii="Times New Roman" w:hAnsi="Times New Roman"/>
          <w:sz w:val="24"/>
        </w:rPr>
        <w:t xml:space="preserve"> (smagus miesas bojājumus guvusi persona) nozīmē jebkuru personu, kas guvusi smagus miesas bojājumus un kas negadījuma dēļ ir ievietota slimnīcā uz laiku, kas ilgāks par 24 stundām, izņemot jebkādus pašnāvības mēģinājumus.</w:t>
      </w:r>
    </w:p>
    <w:p w14:paraId="09789F99"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38F664E"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Attiecībā uz kritēriju “</w:t>
      </w:r>
      <w:r>
        <w:rPr>
          <w:rFonts w:ascii="Times New Roman" w:hAnsi="Times New Roman"/>
          <w:b/>
          <w:bCs/>
          <w:sz w:val="24"/>
        </w:rPr>
        <w:t>liels kaitējums</w:t>
      </w:r>
      <w:r>
        <w:rPr>
          <w:rFonts w:ascii="Times New Roman" w:hAnsi="Times New Roman"/>
          <w:sz w:val="24"/>
        </w:rPr>
        <w:t>” nav paredzēts, ka izmeklētājiem ir jāaprēķina precīzas izmaksas. Klasifikācija ir atkarīga no sākotnējā novērtējuma, kas veikts negadījuma vietā. Pieredze liecina, ka vairumā gadījumu sākotnēji izmaksas tiek novērtētas par zemu.</w:t>
      </w:r>
    </w:p>
    <w:p w14:paraId="5F54A13D"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CBA985F"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Aprēķini II pielikumā ir sniegti, lai palīdzētu izmeklētājam aptuveni novērtēt kaitējumu; tie ir balstīti uz tehnisko sistēmu </w:t>
      </w:r>
      <w:proofErr w:type="spellStart"/>
      <w:r>
        <w:rPr>
          <w:rFonts w:ascii="Times New Roman" w:hAnsi="Times New Roman"/>
          <w:sz w:val="24"/>
        </w:rPr>
        <w:t>aizstājējvērtību</w:t>
      </w:r>
      <w:proofErr w:type="spellEnd"/>
      <w:r>
        <w:rPr>
          <w:rFonts w:ascii="Times New Roman" w:hAnsi="Times New Roman"/>
          <w:sz w:val="24"/>
        </w:rPr>
        <w:t>. Aprēķinot izmaksas, izmeklētājam jāņem vērā bojātā materiāla vecums un stāvoklis.</w:t>
      </w:r>
      <w:bookmarkStart w:id="73" w:name="_Toc267038279"/>
      <w:bookmarkStart w:id="74" w:name="_Toc267038275"/>
      <w:bookmarkStart w:id="75" w:name="_Ref270591378"/>
      <w:bookmarkStart w:id="76" w:name="_Toc290015927"/>
      <w:bookmarkEnd w:id="73"/>
      <w:bookmarkEnd w:id="74"/>
    </w:p>
    <w:p w14:paraId="2D744DF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shd w:val="clear" w:color="auto" w:fill="F5DCDB" w:themeFill="accent2" w:themeFillTint="33"/>
        <w:tblCellMar>
          <w:top w:w="28" w:type="dxa"/>
          <w:left w:w="28" w:type="dxa"/>
          <w:bottom w:w="28" w:type="dxa"/>
          <w:right w:w="28" w:type="dxa"/>
        </w:tblCellMar>
        <w:tblLook w:val="04A0" w:firstRow="1" w:lastRow="0" w:firstColumn="1" w:lastColumn="0" w:noHBand="0" w:noVBand="1"/>
      </w:tblPr>
      <w:tblGrid>
        <w:gridCol w:w="9062"/>
      </w:tblGrid>
      <w:tr w:rsidR="00E62252" w:rsidRPr="00E62252" w14:paraId="4EEA4767" w14:textId="77777777" w:rsidTr="00F80365">
        <w:tc>
          <w:tcPr>
            <w:tcW w:w="5000" w:type="pct"/>
            <w:shd w:val="clear" w:color="auto" w:fill="F5DCDB" w:themeFill="accent2" w:themeFillTint="33"/>
          </w:tcPr>
          <w:p w14:paraId="61E04503" w14:textId="77777777" w:rsidR="00E62252" w:rsidRPr="00E62252" w:rsidRDefault="00E62252" w:rsidP="00F80365">
            <w:pPr>
              <w:jc w:val="both"/>
              <w:rPr>
                <w:rFonts w:ascii="Times New Roman" w:hAnsi="Times New Roman" w:cs="Times New Roman"/>
                <w:b/>
                <w:bCs/>
                <w:noProof/>
                <w:color w:val="6E231E" w:themeColor="accent2" w:themeShade="80"/>
                <w:sz w:val="24"/>
                <w:szCs w:val="24"/>
                <w:u w:val="single"/>
              </w:rPr>
            </w:pPr>
            <w:r>
              <w:rPr>
                <w:rFonts w:ascii="Times New Roman" w:hAnsi="Times New Roman"/>
                <w:b/>
                <w:color w:val="6E231E" w:themeColor="accent2" w:themeShade="80"/>
                <w:sz w:val="24"/>
                <w:u w:val="single"/>
              </w:rPr>
              <w:t>Laba prakse.</w:t>
            </w:r>
          </w:p>
          <w:p w14:paraId="73C47215" w14:textId="77777777" w:rsidR="00E62252" w:rsidRPr="00E62252" w:rsidRDefault="00E62252" w:rsidP="00F80365">
            <w:pPr>
              <w:jc w:val="both"/>
              <w:rPr>
                <w:rFonts w:ascii="Times New Roman" w:hAnsi="Times New Roman" w:cs="Times New Roman"/>
                <w:b/>
                <w:bCs/>
                <w:noProof/>
                <w:color w:val="6E231E" w:themeColor="accent2" w:themeShade="80"/>
                <w:sz w:val="24"/>
                <w:szCs w:val="24"/>
                <w:u w:val="single"/>
                <w:lang w:val="en-US"/>
              </w:rPr>
            </w:pPr>
          </w:p>
          <w:p w14:paraId="52598258" w14:textId="77777777" w:rsidR="00E62252" w:rsidRPr="00E62252" w:rsidRDefault="00E62252" w:rsidP="00F80365">
            <w:pPr>
              <w:pStyle w:val="Style7"/>
              <w:jc w:val="both"/>
              <w:rPr>
                <w:rFonts w:ascii="Times New Roman" w:hAnsi="Times New Roman" w:cs="Times New Roman"/>
                <w:noProof/>
                <w:sz w:val="24"/>
                <w:szCs w:val="24"/>
              </w:rPr>
            </w:pPr>
            <w:proofErr w:type="spellStart"/>
            <w:r>
              <w:rPr>
                <w:rFonts w:ascii="Times New Roman" w:hAnsi="Times New Roman"/>
                <w:i/>
                <w:iCs/>
                <w:sz w:val="24"/>
              </w:rPr>
              <w:t>NIB</w:t>
            </w:r>
            <w:proofErr w:type="spellEnd"/>
            <w:r>
              <w:rPr>
                <w:rFonts w:ascii="Times New Roman" w:hAnsi="Times New Roman"/>
                <w:sz w:val="24"/>
              </w:rPr>
              <w:t xml:space="preserve"> var uzaicināt speciālistus uz notikuma vietu vai </w:t>
            </w:r>
            <w:proofErr w:type="spellStart"/>
            <w:r>
              <w:rPr>
                <w:rFonts w:ascii="Times New Roman" w:hAnsi="Times New Roman"/>
                <w:i/>
                <w:iCs/>
                <w:sz w:val="24"/>
              </w:rPr>
              <w:t>RU</w:t>
            </w:r>
            <w:proofErr w:type="spellEnd"/>
            <w:r>
              <w:rPr>
                <w:rFonts w:ascii="Times New Roman" w:hAnsi="Times New Roman"/>
                <w:sz w:val="24"/>
              </w:rPr>
              <w:t xml:space="preserve">, vai </w:t>
            </w:r>
            <w:proofErr w:type="spellStart"/>
            <w:r>
              <w:rPr>
                <w:rFonts w:ascii="Times New Roman" w:hAnsi="Times New Roman"/>
                <w:i/>
                <w:iCs/>
                <w:sz w:val="24"/>
              </w:rPr>
              <w:t>IM</w:t>
            </w:r>
            <w:proofErr w:type="spellEnd"/>
            <w:r>
              <w:rPr>
                <w:rFonts w:ascii="Times New Roman" w:hAnsi="Times New Roman"/>
                <w:sz w:val="24"/>
              </w:rPr>
              <w:t>. Viņi zina vecumu, stāvokli un var aprēķināt atjaunošanas izmaksas.</w:t>
            </w:r>
          </w:p>
        </w:tc>
      </w:tr>
    </w:tbl>
    <w:p w14:paraId="0CC227A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F787828"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77" w:name="_Toc40340075"/>
      <w:bookmarkStart w:id="78" w:name="_Ref55421219"/>
      <w:bookmarkStart w:id="79" w:name="_Toc61364259"/>
      <w:bookmarkStart w:id="80" w:name="_Toc61364508"/>
      <w:bookmarkStart w:id="81" w:name="_Toc102478557"/>
      <w:bookmarkStart w:id="82" w:name="_Toc134605574"/>
      <w:bookmarkStart w:id="83" w:name="_Toc58769278"/>
      <w:bookmarkStart w:id="84" w:name="_Ref277606560"/>
      <w:bookmarkStart w:id="85" w:name="_Ref277606618"/>
      <w:bookmarkStart w:id="86" w:name="_Toc290015928"/>
      <w:bookmarkStart w:id="87" w:name="_Toc40340076"/>
      <w:bookmarkEnd w:id="75"/>
      <w:bookmarkEnd w:id="76"/>
      <w:r>
        <w:rPr>
          <w:rFonts w:ascii="Times New Roman" w:hAnsi="Times New Roman"/>
          <w:sz w:val="24"/>
        </w:rPr>
        <w:t>7.2.</w:t>
      </w:r>
      <w:bookmarkEnd w:id="77"/>
      <w:r>
        <w:t xml:space="preserve"> </w:t>
      </w:r>
      <w:r>
        <w:rPr>
          <w:rFonts w:ascii="Times New Roman" w:hAnsi="Times New Roman"/>
          <w:sz w:val="24"/>
        </w:rPr>
        <w:t>Negadījuma “acīmredzamā” ietekme</w:t>
      </w:r>
      <w:bookmarkEnd w:id="78"/>
      <w:bookmarkEnd w:id="79"/>
      <w:bookmarkEnd w:id="80"/>
      <w:bookmarkEnd w:id="81"/>
      <w:bookmarkEnd w:id="82"/>
    </w:p>
    <w:p w14:paraId="1BA65061" w14:textId="77777777" w:rsidR="00E62252" w:rsidRPr="00E62252" w:rsidRDefault="00E62252" w:rsidP="00E62252">
      <w:pPr>
        <w:spacing w:after="0" w:line="240" w:lineRule="auto"/>
        <w:rPr>
          <w:noProof/>
          <w:lang w:val="en-US"/>
        </w:rPr>
      </w:pPr>
    </w:p>
    <w:p w14:paraId="56665568"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Attiecībā uz sadursmēm un nobraukšanu no sliedēm ar 1 vai vairākiem bojāgājušajiem, vismaz 5 personām, kas guvušas smagus miesas bojājumus, vai aprēķinātu kaitējumu, kas pārsniedz 2 miljonus eiro, Direktīva 2016/798 principā paredz, ka šādiem negadījumu veidiem vienmēr ir “acīmredzama ietekme uz dzelzceļa drošības regulēšanu vai drošības pārvaldību”.</w:t>
      </w:r>
    </w:p>
    <w:p w14:paraId="2EE74B27"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A3ADEDF" w14:textId="77777777" w:rsidR="00E62252" w:rsidRPr="00E62252" w:rsidRDefault="00E62252" w:rsidP="00E62252">
      <w:pPr>
        <w:spacing w:after="0" w:line="240" w:lineRule="auto"/>
        <w:jc w:val="both"/>
        <w:rPr>
          <w:rFonts w:ascii="Bookman Old Style" w:hAnsi="Bookman Old Style" w:cs="Times New Roman"/>
          <w:i/>
          <w:iCs/>
          <w:noProof/>
          <w:color w:val="3071C9" w:themeColor="accent5" w:themeShade="BF"/>
        </w:rPr>
      </w:pPr>
      <w:r>
        <w:rPr>
          <w:rFonts w:ascii="Times New Roman" w:hAnsi="Times New Roman"/>
          <w:sz w:val="24"/>
        </w:rPr>
        <w:t xml:space="preserve">Plūsmas diagrammā, kas sniegta 1. attēlā, teksts </w:t>
      </w:r>
      <w:r>
        <w:rPr>
          <w:rFonts w:ascii="Bookman Old Style" w:hAnsi="Bookman Old Style"/>
          <w:i/>
          <w:color w:val="3071C9" w:themeColor="accent5" w:themeShade="BF"/>
        </w:rPr>
        <w:t xml:space="preserve">“jebkurš cits negadījums ar </w:t>
      </w:r>
      <w:bookmarkStart w:id="88" w:name="_Hlk58843430"/>
      <w:r>
        <w:rPr>
          <w:rFonts w:ascii="Bookman Old Style" w:hAnsi="Bookman Old Style"/>
          <w:i/>
          <w:color w:val="3071C9" w:themeColor="accent5" w:themeShade="BF"/>
        </w:rPr>
        <w:t>acīmredzamu ietekmi uz drošības pārvaldību</w:t>
      </w:r>
      <w:bookmarkEnd w:id="88"/>
      <w:r>
        <w:rPr>
          <w:rFonts w:ascii="Bookman Old Style" w:hAnsi="Bookman Old Style"/>
          <w:i/>
          <w:color w:val="3071C9" w:themeColor="accent5" w:themeShade="BF"/>
        </w:rPr>
        <w:t xml:space="preserve">” </w:t>
      </w:r>
      <w:r>
        <w:rPr>
          <w:rFonts w:ascii="Times New Roman" w:hAnsi="Times New Roman"/>
          <w:sz w:val="24"/>
        </w:rPr>
        <w:t xml:space="preserve">ir atsauce uz Direktīvas 2016/798 3. panta 12. punktu </w:t>
      </w:r>
      <w:r>
        <w:rPr>
          <w:rFonts w:ascii="Bookman Old Style" w:hAnsi="Bookman Old Style"/>
          <w:i/>
          <w:color w:val="3071C9" w:themeColor="accent5" w:themeShade="BF"/>
        </w:rPr>
        <w:t>“.. jebkurš cits negadījums ar tādām pašām sekām, kam ir acīmredzama ietekme uz dzelzceļa drošības regulēšanu vai drošības pārvaldību ..”.</w:t>
      </w:r>
    </w:p>
    <w:p w14:paraId="3F850AB2" w14:textId="77777777" w:rsidR="00E62252" w:rsidRPr="00E62252" w:rsidRDefault="00E62252" w:rsidP="00E62252">
      <w:pPr>
        <w:spacing w:after="0" w:line="240" w:lineRule="auto"/>
        <w:jc w:val="both"/>
        <w:rPr>
          <w:rFonts w:ascii="Times New Roman" w:hAnsi="Times New Roman" w:cs="Times New Roman"/>
          <w:iCs/>
          <w:noProof/>
          <w:sz w:val="24"/>
          <w:szCs w:val="24"/>
          <w:lang w:val="en-US"/>
        </w:rPr>
      </w:pPr>
    </w:p>
    <w:p w14:paraId="6DF827E7"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Attiecībā uz visiem citiem negadījumu veidiem ir jāapsver “ietekme uz dzelzceļa drošības regulēšanu vai drošības pārvaldību”, jo šādu negadījumu </w:t>
      </w:r>
      <w:proofErr w:type="spellStart"/>
      <w:r>
        <w:rPr>
          <w:rFonts w:ascii="Times New Roman" w:hAnsi="Times New Roman"/>
          <w:sz w:val="24"/>
        </w:rPr>
        <w:t>cēloņfaktori</w:t>
      </w:r>
      <w:proofErr w:type="spellEnd"/>
      <w:r>
        <w:rPr>
          <w:rFonts w:ascii="Times New Roman" w:hAnsi="Times New Roman"/>
          <w:sz w:val="24"/>
        </w:rPr>
        <w:t xml:space="preserve"> vai sekas ne vienmēr ir saistītas ar dzelzceļa drošības pārvaldību vai regulēšanu (piemēram, pašnāvību gadījumi, neatļauta piekļuve dzelzceļa infrastruktūrai).</w:t>
      </w:r>
    </w:p>
    <w:p w14:paraId="641FAF91"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2E9F482F"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color w:val="auto"/>
          <w:sz w:val="24"/>
          <w:szCs w:val="24"/>
        </w:rPr>
      </w:pPr>
      <w:bookmarkStart w:id="89" w:name="_Toc61364260"/>
      <w:bookmarkStart w:id="90" w:name="_Toc61364509"/>
      <w:bookmarkStart w:id="91" w:name="_Ref63846553"/>
      <w:bookmarkStart w:id="92" w:name="_Ref63846564"/>
      <w:bookmarkStart w:id="93" w:name="_Toc102478558"/>
      <w:bookmarkStart w:id="94" w:name="_Toc134605575"/>
      <w:r>
        <w:rPr>
          <w:rFonts w:ascii="Times New Roman" w:hAnsi="Times New Roman"/>
          <w:color w:val="auto"/>
          <w:sz w:val="24"/>
        </w:rPr>
        <w:lastRenderedPageBreak/>
        <w:t xml:space="preserve">8. Neobligāti – </w:t>
      </w:r>
      <w:proofErr w:type="spellStart"/>
      <w:r>
        <w:rPr>
          <w:rFonts w:ascii="Times New Roman" w:hAnsi="Times New Roman"/>
          <w:i/>
          <w:iCs/>
          <w:color w:val="auto"/>
          <w:sz w:val="24"/>
        </w:rPr>
        <w:t>NIB</w:t>
      </w:r>
      <w:proofErr w:type="spellEnd"/>
      <w:r>
        <w:rPr>
          <w:rFonts w:ascii="Times New Roman" w:hAnsi="Times New Roman"/>
          <w:color w:val="auto"/>
          <w:sz w:val="24"/>
        </w:rPr>
        <w:t xml:space="preserve"> var pieņemt lēmumu par izmeklēšanas veikšanu vai neveikšanu</w:t>
      </w:r>
      <w:bookmarkEnd w:id="83"/>
      <w:bookmarkEnd w:id="89"/>
      <w:bookmarkEnd w:id="90"/>
      <w:bookmarkEnd w:id="91"/>
      <w:bookmarkEnd w:id="92"/>
      <w:bookmarkEnd w:id="93"/>
      <w:bookmarkEnd w:id="94"/>
    </w:p>
    <w:p w14:paraId="2FA10C3D"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05F5FD8"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Minētās direktīvas 20. panta 2. punkta mērķis ir ļaut </w:t>
      </w:r>
      <w:proofErr w:type="spellStart"/>
      <w:r>
        <w:rPr>
          <w:rFonts w:ascii="Times New Roman" w:hAnsi="Times New Roman"/>
          <w:i/>
          <w:iCs/>
          <w:sz w:val="24"/>
        </w:rPr>
        <w:t>NIB</w:t>
      </w:r>
      <w:proofErr w:type="spellEnd"/>
      <w:r>
        <w:rPr>
          <w:rFonts w:ascii="Times New Roman" w:hAnsi="Times New Roman"/>
          <w:sz w:val="24"/>
        </w:rPr>
        <w:t xml:space="preserve"> pēc saviem ieskatiem izmeklēt negadījumus un starpgadījumus, kas neietilpst 20. panta 1. punkta darbības jomā. Turklāt 20. panta 2. punktā ir noteikti kritēriji lēmuma pieņemšanai par notikuma izmeklēšanu:</w:t>
      </w:r>
    </w:p>
    <w:p w14:paraId="75ECB995"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5987A59" w14:textId="77777777" w:rsidR="00E62252" w:rsidRPr="00E62252" w:rsidRDefault="00E62252" w:rsidP="00E62252">
      <w:pPr>
        <w:pStyle w:val="Style4"/>
        <w:spacing w:line="240" w:lineRule="auto"/>
        <w:jc w:val="both"/>
        <w:rPr>
          <w:rFonts w:cs="Times New Roman"/>
          <w:noProof/>
          <w:sz w:val="22"/>
          <w:szCs w:val="22"/>
        </w:rPr>
      </w:pPr>
      <w:r>
        <w:rPr>
          <w:sz w:val="22"/>
        </w:rPr>
        <w:t xml:space="preserve">“Izmeklēšanas struktūra .. var izmeklēt arī tos negadījumus un starpgadījumus, kuri nedaudz citos apstākļos varētu izraisīt smagus negadījumus, tostarp strukturālo apakšsistēmu vai Savienības dzelzceļa sistēmas savstarpējās </w:t>
      </w:r>
      <w:proofErr w:type="spellStart"/>
      <w:r>
        <w:rPr>
          <w:sz w:val="22"/>
        </w:rPr>
        <w:t>izmantojamības</w:t>
      </w:r>
      <w:proofErr w:type="spellEnd"/>
      <w:r>
        <w:rPr>
          <w:sz w:val="22"/>
        </w:rPr>
        <w:t xml:space="preserve"> komponentu tehniskus defektus.</w:t>
      </w:r>
    </w:p>
    <w:p w14:paraId="159A6D7E" w14:textId="77777777" w:rsidR="00E62252" w:rsidRPr="00E62252" w:rsidRDefault="00E62252" w:rsidP="00E62252">
      <w:pPr>
        <w:pStyle w:val="Style4"/>
        <w:spacing w:line="240" w:lineRule="auto"/>
        <w:jc w:val="both"/>
        <w:rPr>
          <w:rFonts w:cs="Times New Roman"/>
          <w:noProof/>
          <w:sz w:val="22"/>
          <w:szCs w:val="22"/>
        </w:rPr>
      </w:pPr>
      <w:r>
        <w:rPr>
          <w:sz w:val="22"/>
        </w:rPr>
        <w:t>Izmeklēšanas struktūra var pieņemt lēmumu, vai jāveic šādu negadījumu un starpgadījumu izmeklēšana. Pieņemot lēmumus, tā ņem vērā:</w:t>
      </w:r>
    </w:p>
    <w:p w14:paraId="60674759" w14:textId="77777777" w:rsidR="00E62252" w:rsidRPr="00E62252" w:rsidRDefault="00E62252" w:rsidP="00E62252">
      <w:pPr>
        <w:pStyle w:val="Style4"/>
        <w:spacing w:line="240" w:lineRule="auto"/>
        <w:ind w:left="284"/>
        <w:jc w:val="both"/>
        <w:rPr>
          <w:rFonts w:cs="Times New Roman"/>
          <w:noProof/>
          <w:sz w:val="22"/>
          <w:szCs w:val="22"/>
        </w:rPr>
      </w:pPr>
      <w:r>
        <w:rPr>
          <w:sz w:val="22"/>
        </w:rPr>
        <w:t>a) avārijas vai starpgadījuma smagumu;</w:t>
      </w:r>
    </w:p>
    <w:p w14:paraId="75291398" w14:textId="77777777" w:rsidR="00E62252" w:rsidRPr="00E62252" w:rsidRDefault="00E62252" w:rsidP="00E62252">
      <w:pPr>
        <w:pStyle w:val="Style4"/>
        <w:spacing w:line="240" w:lineRule="auto"/>
        <w:ind w:left="284"/>
        <w:jc w:val="both"/>
        <w:rPr>
          <w:rFonts w:cs="Times New Roman"/>
          <w:noProof/>
          <w:sz w:val="22"/>
          <w:szCs w:val="22"/>
        </w:rPr>
      </w:pPr>
      <w:r>
        <w:rPr>
          <w:sz w:val="22"/>
        </w:rPr>
        <w:t>b) vai tas nav daļa no avāriju vai starpgadījumu virknes visā sistēmā kopumā;</w:t>
      </w:r>
    </w:p>
    <w:p w14:paraId="43E1AE7F" w14:textId="77777777" w:rsidR="00E62252" w:rsidRPr="00E62252" w:rsidRDefault="00E62252" w:rsidP="00E62252">
      <w:pPr>
        <w:pStyle w:val="Style4"/>
        <w:spacing w:line="240" w:lineRule="auto"/>
        <w:ind w:left="284"/>
        <w:jc w:val="both"/>
        <w:rPr>
          <w:rFonts w:cs="Times New Roman"/>
          <w:noProof/>
          <w:sz w:val="22"/>
          <w:szCs w:val="22"/>
        </w:rPr>
      </w:pPr>
      <w:r>
        <w:rPr>
          <w:sz w:val="22"/>
        </w:rPr>
        <w:t>c) tā ietekmi uz dzelzceļu drošību un</w:t>
      </w:r>
    </w:p>
    <w:p w14:paraId="43F016C7" w14:textId="77777777" w:rsidR="00E62252" w:rsidRPr="00E62252" w:rsidRDefault="00E62252" w:rsidP="00E62252">
      <w:pPr>
        <w:pStyle w:val="Style4"/>
        <w:spacing w:line="240" w:lineRule="auto"/>
        <w:ind w:left="284"/>
        <w:jc w:val="both"/>
        <w:rPr>
          <w:rFonts w:cs="Times New Roman"/>
          <w:noProof/>
          <w:sz w:val="22"/>
          <w:szCs w:val="22"/>
        </w:rPr>
      </w:pPr>
      <w:r>
        <w:rPr>
          <w:sz w:val="22"/>
        </w:rPr>
        <w:t>d) infrastruktūras pārvaldītāju [dzelzceļa infrastruktūras pārvaldītāju], dzelzceļa pārvadājumu uzņēmumu [pārvadātāju], valstu drošības iestādes vai dalībvalstu pieprasījumus.”</w:t>
      </w:r>
    </w:p>
    <w:p w14:paraId="6CA6A58F" w14:textId="77777777" w:rsidR="00E62252" w:rsidRPr="00E62252" w:rsidRDefault="00E62252" w:rsidP="00E62252">
      <w:pPr>
        <w:pStyle w:val="Style4"/>
        <w:spacing w:line="240" w:lineRule="auto"/>
        <w:jc w:val="both"/>
        <w:rPr>
          <w:rFonts w:cs="Times New Roman"/>
          <w:noProof/>
          <w:sz w:val="22"/>
          <w:szCs w:val="22"/>
          <w:lang w:val="en-US"/>
        </w:rPr>
      </w:pPr>
    </w:p>
    <w:p w14:paraId="502A53E9"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95" w:name="_Toc102478559"/>
      <w:bookmarkStart w:id="96" w:name="_Toc134605576"/>
      <w:bookmarkStart w:id="97" w:name="_Toc61364261"/>
      <w:bookmarkStart w:id="98" w:name="_Toc61364510"/>
      <w:bookmarkStart w:id="99" w:name="_Toc58769279"/>
      <w:bookmarkStart w:id="100" w:name="_Toc61364265"/>
      <w:bookmarkStart w:id="101" w:name="_Toc61364514"/>
      <w:r>
        <w:rPr>
          <w:rFonts w:ascii="Times New Roman" w:hAnsi="Times New Roman"/>
          <w:sz w:val="24"/>
        </w:rPr>
        <w:t>8.1. Tāda notikuma izvērtēšana, kam piemīt smaga negadījuma risks</w:t>
      </w:r>
      <w:bookmarkEnd w:id="95"/>
      <w:bookmarkEnd w:id="96"/>
    </w:p>
    <w:p w14:paraId="02E20051" w14:textId="77777777" w:rsidR="00E62252" w:rsidRPr="00E62252" w:rsidRDefault="00E62252" w:rsidP="00E62252">
      <w:pPr>
        <w:spacing w:after="0" w:line="240" w:lineRule="auto"/>
        <w:rPr>
          <w:noProof/>
          <w:lang w:val="en-US"/>
        </w:rPr>
      </w:pPr>
    </w:p>
    <w:p w14:paraId="3332E1C4"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Ne visi starpgadījumi rada vienāda līmeņa riskus. Dažiem starpgadījumiem ir nepieciešami rūpīgāki un formālāki kontroles pasākumi nekā citiem.</w:t>
      </w:r>
    </w:p>
    <w:p w14:paraId="420BFAD7"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bookmarkEnd w:id="97"/>
    <w:bookmarkEnd w:id="98"/>
    <w:p w14:paraId="60A2E464"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Bookman Old Style" w:hAnsi="Bookman Old Style"/>
        </w:rPr>
        <w:t>“</w:t>
      </w:r>
      <w:r>
        <w:rPr>
          <w:rFonts w:ascii="Bookman Old Style" w:hAnsi="Bookman Old Style"/>
          <w:i/>
          <w:color w:val="3071C9" w:themeColor="accent5" w:themeShade="BF"/>
        </w:rPr>
        <w:t>Nedaudz citos apstākļos</w:t>
      </w:r>
      <w:r>
        <w:rPr>
          <w:rFonts w:ascii="Bookman Old Style" w:hAnsi="Bookman Old Style"/>
        </w:rPr>
        <w:t xml:space="preserve">” </w:t>
      </w:r>
      <w:r>
        <w:rPr>
          <w:rFonts w:ascii="Times New Roman" w:hAnsi="Times New Roman"/>
          <w:sz w:val="24"/>
        </w:rPr>
        <w:t>nav skaidri noteikts.</w:t>
      </w:r>
    </w:p>
    <w:p w14:paraId="6420CBCF"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937AB39"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Tomēr formulējums liecina par riska </w:t>
      </w:r>
      <w:proofErr w:type="spellStart"/>
      <w:r>
        <w:rPr>
          <w:rFonts w:ascii="Times New Roman" w:hAnsi="Times New Roman"/>
          <w:sz w:val="24"/>
        </w:rPr>
        <w:t>izvērtējumā</w:t>
      </w:r>
      <w:proofErr w:type="spellEnd"/>
      <w:r>
        <w:rPr>
          <w:rFonts w:ascii="Times New Roman" w:hAnsi="Times New Roman"/>
          <w:sz w:val="24"/>
        </w:rPr>
        <w:t xml:space="preserve"> balstītu pieeju:</w:t>
      </w:r>
    </w:p>
    <w:p w14:paraId="47B0A08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E0BD17B"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“nedaudz citos apstākļos” norāda uz varbūtību;</w:t>
      </w:r>
    </w:p>
    <w:p w14:paraId="0670457C"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“varētu izraisīt smagus negadījumus</w:t>
      </w:r>
      <w:r w:rsidRPr="00E62252">
        <w:rPr>
          <w:rStyle w:val="FootnoteReference"/>
          <w:rFonts w:ascii="Times New Roman" w:hAnsi="Times New Roman" w:cs="Times New Roman"/>
          <w:noProof/>
          <w:sz w:val="24"/>
          <w:szCs w:val="24"/>
          <w:lang w:val="en-US"/>
        </w:rPr>
        <w:footnoteReference w:id="3"/>
      </w:r>
      <w:r>
        <w:rPr>
          <w:rFonts w:ascii="Times New Roman" w:hAnsi="Times New Roman"/>
          <w:sz w:val="24"/>
        </w:rPr>
        <w:t>” norāda uz sekām;</w:t>
      </w:r>
    </w:p>
    <w:p w14:paraId="1C266BCF"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09029BCD" w14:textId="77777777" w:rsidR="00E62252" w:rsidRPr="00E62252" w:rsidRDefault="00E62252" w:rsidP="00E62252">
      <w:pPr>
        <w:spacing w:after="0" w:line="240" w:lineRule="auto"/>
        <w:jc w:val="both"/>
        <w:rPr>
          <w:rFonts w:ascii="Times New Roman" w:hAnsi="Times New Roman" w:cs="Times New Roman"/>
          <w:b/>
          <w:noProof/>
          <w:sz w:val="24"/>
          <w:szCs w:val="24"/>
        </w:rPr>
      </w:pPr>
      <w:r>
        <w:rPr>
          <w:rFonts w:ascii="Bookman Old Style" w:hAnsi="Bookman Old Style"/>
          <w:i/>
        </w:rPr>
        <w:t>“</w:t>
      </w:r>
      <w:r>
        <w:rPr>
          <w:rFonts w:ascii="Bookman Old Style" w:hAnsi="Bookman Old Style"/>
          <w:i/>
          <w:color w:val="3071C9" w:themeColor="accent5" w:themeShade="BF"/>
        </w:rPr>
        <w:t>nedaudz</w:t>
      </w:r>
      <w:r>
        <w:rPr>
          <w:rFonts w:ascii="Bookman Old Style" w:hAnsi="Bookman Old Style"/>
          <w:i/>
        </w:rPr>
        <w:t xml:space="preserve">” </w:t>
      </w:r>
      <w:r>
        <w:rPr>
          <w:rFonts w:ascii="Times New Roman" w:hAnsi="Times New Roman"/>
          <w:sz w:val="24"/>
        </w:rPr>
        <w:t xml:space="preserve">nozīmē to, ka kaut kas pastāv zināmā, taču ne ļoti lielā mērā. Pēc mazāk būtiska negadījuma valstu izmeklēšanas struktūrām ir jāapsver </w:t>
      </w:r>
      <w:r>
        <w:rPr>
          <w:rFonts w:ascii="Times New Roman" w:hAnsi="Times New Roman"/>
          <w:b/>
          <w:bCs/>
          <w:sz w:val="24"/>
        </w:rPr>
        <w:t>viena vai dažu faktoru</w:t>
      </w:r>
      <w:r>
        <w:rPr>
          <w:rFonts w:ascii="Times New Roman" w:hAnsi="Times New Roman"/>
          <w:sz w:val="24"/>
        </w:rPr>
        <w:t xml:space="preserve"> variācija, kas īpašā gadījumā varētu būt sekmējuši salīdzinoši mērenas darbības rezultātu mainīguma sekas, taču ne </w:t>
      </w:r>
      <w:r>
        <w:rPr>
          <w:rFonts w:ascii="Times New Roman" w:hAnsi="Times New Roman"/>
          <w:b/>
          <w:bCs/>
          <w:sz w:val="24"/>
        </w:rPr>
        <w:t>pašu nelabvēlīgāko faktoru kombinācija</w:t>
      </w:r>
      <w:r>
        <w:rPr>
          <w:rFonts w:ascii="Times New Roman" w:hAnsi="Times New Roman"/>
          <w:sz w:val="24"/>
        </w:rPr>
        <w:t>.</w:t>
      </w:r>
    </w:p>
    <w:p w14:paraId="441FB268" w14:textId="77777777" w:rsidR="00E62252" w:rsidRPr="00E62252" w:rsidRDefault="00E62252" w:rsidP="00E62252">
      <w:pPr>
        <w:spacing w:after="0" w:line="240" w:lineRule="auto"/>
        <w:jc w:val="both"/>
        <w:rPr>
          <w:rFonts w:ascii="Times New Roman" w:hAnsi="Times New Roman" w:cs="Times New Roman"/>
          <w:b/>
          <w:bCs/>
          <w:noProof/>
          <w:sz w:val="24"/>
          <w:szCs w:val="24"/>
          <w:u w:val="single"/>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7F4F89" w:rsidRPr="00E62252" w14:paraId="21255A80" w14:textId="77777777" w:rsidTr="00FC3F72">
        <w:tc>
          <w:tcPr>
            <w:tcW w:w="5000" w:type="pct"/>
          </w:tcPr>
          <w:p w14:paraId="0F0C1CB2" w14:textId="77777777" w:rsidR="007F4F89" w:rsidRPr="00E62252" w:rsidRDefault="007F4F89" w:rsidP="00F80365">
            <w:pPr>
              <w:pStyle w:val="Style7"/>
              <w:pBdr>
                <w:top w:val="single" w:sz="4" w:space="1" w:color="auto"/>
                <w:left w:val="single" w:sz="4" w:space="4" w:color="auto"/>
                <w:bottom w:val="single" w:sz="4" w:space="1" w:color="auto"/>
                <w:right w:val="single" w:sz="4" w:space="4" w:color="auto"/>
              </w:pBdr>
              <w:shd w:val="clear" w:color="auto" w:fill="F5DCDB" w:themeFill="accent2" w:themeFillTint="33"/>
              <w:jc w:val="both"/>
              <w:rPr>
                <w:rFonts w:ascii="Times New Roman" w:hAnsi="Times New Roman" w:cs="Times New Roman"/>
                <w:b/>
                <w:bCs/>
                <w:noProof/>
                <w:sz w:val="24"/>
                <w:szCs w:val="24"/>
                <w:u w:val="single"/>
              </w:rPr>
            </w:pPr>
            <w:r>
              <w:rPr>
                <w:rFonts w:ascii="Times New Roman" w:hAnsi="Times New Roman"/>
                <w:b/>
                <w:sz w:val="24"/>
                <w:u w:val="single"/>
              </w:rPr>
              <w:lastRenderedPageBreak/>
              <w:t>Laba prakse.</w:t>
            </w:r>
            <w:bookmarkStart w:id="102" w:name="_Toc267038313"/>
            <w:bookmarkStart w:id="103" w:name="_Toc267038312"/>
            <w:bookmarkStart w:id="104" w:name="_Toc267038311"/>
            <w:bookmarkEnd w:id="102"/>
            <w:bookmarkEnd w:id="103"/>
            <w:bookmarkEnd w:id="104"/>
          </w:p>
          <w:p w14:paraId="5EB59521" w14:textId="77777777" w:rsidR="007F4F89" w:rsidRPr="00E62252" w:rsidRDefault="007F4F89" w:rsidP="00F80365">
            <w:pPr>
              <w:pStyle w:val="Style7"/>
              <w:pBdr>
                <w:top w:val="single" w:sz="4" w:space="1" w:color="auto"/>
                <w:left w:val="single" w:sz="4" w:space="4" w:color="auto"/>
                <w:bottom w:val="single" w:sz="4" w:space="1" w:color="auto"/>
                <w:right w:val="single" w:sz="4" w:space="4" w:color="auto"/>
              </w:pBdr>
              <w:shd w:val="clear" w:color="auto" w:fill="F5DCDB" w:themeFill="accent2" w:themeFillTint="33"/>
              <w:jc w:val="both"/>
              <w:rPr>
                <w:rFonts w:ascii="Times New Roman" w:hAnsi="Times New Roman" w:cs="Times New Roman"/>
                <w:b/>
                <w:bCs/>
                <w:noProof/>
                <w:sz w:val="24"/>
                <w:szCs w:val="24"/>
                <w:u w:val="single"/>
                <w:lang w:val="en-US"/>
              </w:rPr>
            </w:pPr>
          </w:p>
          <w:p w14:paraId="7727033A" w14:textId="77777777" w:rsidR="007F4F89" w:rsidRPr="00E62252" w:rsidRDefault="007F4F89" w:rsidP="00F80365">
            <w:pPr>
              <w:pStyle w:val="Style7"/>
              <w:pBdr>
                <w:top w:val="single" w:sz="4" w:space="1" w:color="auto"/>
                <w:left w:val="single" w:sz="4" w:space="4" w:color="auto"/>
                <w:bottom w:val="single" w:sz="4" w:space="1" w:color="auto"/>
                <w:right w:val="single" w:sz="4" w:space="4" w:color="auto"/>
              </w:pBdr>
              <w:shd w:val="clear" w:color="auto" w:fill="F5DCDB" w:themeFill="accent2" w:themeFillTint="33"/>
              <w:jc w:val="both"/>
              <w:rPr>
                <w:rFonts w:ascii="Times New Roman" w:hAnsi="Times New Roman" w:cs="Times New Roman"/>
                <w:noProof/>
                <w:sz w:val="24"/>
                <w:szCs w:val="24"/>
              </w:rPr>
            </w:pPr>
            <w:r>
              <w:rPr>
                <w:rFonts w:ascii="Times New Roman" w:hAnsi="Times New Roman"/>
                <w:sz w:val="24"/>
              </w:rPr>
              <w:t>Viena no metodēm potenciālā riska izvērtēšanai var būt riska tabulas izmantošana. Pielikumā ir sniegts Portugāles un Ungārijas riska tabulas un lēmuma pieņemšanas vadlīniju paraugs.</w:t>
            </w:r>
          </w:p>
          <w:p w14:paraId="2EB3CC05" w14:textId="77777777" w:rsidR="007F4F89" w:rsidRPr="00E62252" w:rsidRDefault="007F4F89" w:rsidP="00F80365">
            <w:pPr>
              <w:pStyle w:val="Style7"/>
              <w:pBdr>
                <w:top w:val="single" w:sz="4" w:space="1" w:color="auto"/>
                <w:left w:val="single" w:sz="4" w:space="4" w:color="auto"/>
                <w:bottom w:val="single" w:sz="4" w:space="1" w:color="auto"/>
                <w:right w:val="single" w:sz="4" w:space="4" w:color="auto"/>
              </w:pBdr>
              <w:shd w:val="clear" w:color="auto" w:fill="F5DCDB" w:themeFill="accent2" w:themeFillTint="33"/>
              <w:jc w:val="both"/>
              <w:rPr>
                <w:rFonts w:ascii="Times New Roman" w:hAnsi="Times New Roman" w:cs="Times New Roman"/>
                <w:noProof/>
                <w:sz w:val="24"/>
                <w:szCs w:val="24"/>
                <w:lang w:val="en-US" w:eastAsia="nl-BE"/>
              </w:rPr>
            </w:pPr>
          </w:p>
          <w:p w14:paraId="42A6B0B6" w14:textId="77777777" w:rsidR="007F4F89" w:rsidRPr="00E62252" w:rsidRDefault="007F4F89" w:rsidP="00F80365">
            <w:pPr>
              <w:pStyle w:val="Style7"/>
              <w:pBdr>
                <w:top w:val="single" w:sz="4" w:space="1" w:color="auto"/>
                <w:left w:val="single" w:sz="4" w:space="4" w:color="auto"/>
                <w:bottom w:val="single" w:sz="4" w:space="1" w:color="auto"/>
                <w:right w:val="single" w:sz="4" w:space="4" w:color="auto"/>
              </w:pBdr>
              <w:shd w:val="clear" w:color="auto" w:fill="F5DCDB" w:themeFill="accent2" w:themeFillTint="33"/>
              <w:jc w:val="both"/>
              <w:rPr>
                <w:rFonts w:ascii="Times New Roman" w:hAnsi="Times New Roman" w:cs="Times New Roman"/>
                <w:noProof/>
                <w:sz w:val="24"/>
                <w:szCs w:val="24"/>
              </w:rPr>
            </w:pPr>
            <w:r>
              <w:rPr>
                <w:rFonts w:ascii="Times New Roman" w:hAnsi="Times New Roman"/>
                <w:sz w:val="24"/>
              </w:rPr>
              <w:t>Kvalitatīvajām riska analīzes metodēm ir kopīgs mērķis – identificēt ne tikai bīstamos notikumus, kas var izraisīt riskantu situāciju, bet arī šo bīstamo notikumu cēloņus un sekas.</w:t>
            </w:r>
          </w:p>
          <w:p w14:paraId="0FD6083E" w14:textId="77777777" w:rsidR="007F4F89" w:rsidRPr="00E62252" w:rsidRDefault="007F4F89" w:rsidP="00F80365">
            <w:pPr>
              <w:pStyle w:val="Style7"/>
              <w:pBdr>
                <w:top w:val="single" w:sz="4" w:space="1" w:color="auto"/>
                <w:left w:val="single" w:sz="4" w:space="4" w:color="auto"/>
                <w:bottom w:val="single" w:sz="4" w:space="1" w:color="auto"/>
                <w:right w:val="single" w:sz="4" w:space="4" w:color="auto"/>
              </w:pBdr>
              <w:shd w:val="clear" w:color="auto" w:fill="F5DCDB" w:themeFill="accent2" w:themeFillTint="33"/>
              <w:jc w:val="both"/>
              <w:rPr>
                <w:rFonts w:ascii="Times New Roman" w:hAnsi="Times New Roman" w:cs="Times New Roman"/>
                <w:noProof/>
                <w:sz w:val="24"/>
                <w:szCs w:val="24"/>
                <w:lang w:val="en-US" w:eastAsia="nl-BE"/>
              </w:rPr>
            </w:pPr>
          </w:p>
          <w:p w14:paraId="2106E900" w14:textId="77777777" w:rsidR="007F4F89" w:rsidRPr="00E62252" w:rsidRDefault="007F4F89" w:rsidP="00F80365">
            <w:pPr>
              <w:pStyle w:val="Style7"/>
              <w:pBdr>
                <w:top w:val="single" w:sz="4" w:space="1" w:color="auto"/>
                <w:left w:val="single" w:sz="4" w:space="4" w:color="auto"/>
                <w:bottom w:val="single" w:sz="4" w:space="1" w:color="auto"/>
                <w:right w:val="single" w:sz="4" w:space="4" w:color="auto"/>
              </w:pBdr>
              <w:shd w:val="clear" w:color="auto" w:fill="F5DCDB" w:themeFill="accent2" w:themeFillTint="33"/>
              <w:jc w:val="both"/>
              <w:rPr>
                <w:rFonts w:ascii="Times New Roman" w:hAnsi="Times New Roman" w:cs="Times New Roman"/>
                <w:noProof/>
                <w:sz w:val="24"/>
                <w:szCs w:val="24"/>
              </w:rPr>
            </w:pPr>
            <w:r>
              <w:rPr>
                <w:rFonts w:ascii="Times New Roman" w:hAnsi="Times New Roman"/>
                <w:sz w:val="24"/>
              </w:rPr>
              <w:t xml:space="preserve">Riska </w:t>
            </w:r>
            <w:proofErr w:type="spellStart"/>
            <w:r>
              <w:rPr>
                <w:rFonts w:ascii="Times New Roman" w:hAnsi="Times New Roman"/>
                <w:sz w:val="24"/>
              </w:rPr>
              <w:t>izvērtējumā</w:t>
            </w:r>
            <w:proofErr w:type="spellEnd"/>
            <w:r>
              <w:rPr>
                <w:rFonts w:ascii="Times New Roman" w:hAnsi="Times New Roman"/>
                <w:sz w:val="24"/>
              </w:rPr>
              <w:t xml:space="preserve"> balstīta pieeja (</w:t>
            </w:r>
            <w:proofErr w:type="spellStart"/>
            <w:r>
              <w:rPr>
                <w:rFonts w:ascii="Times New Roman" w:hAnsi="Times New Roman"/>
                <w:i/>
                <w:iCs/>
                <w:sz w:val="24"/>
              </w:rPr>
              <w:t>RBA</w:t>
            </w:r>
            <w:proofErr w:type="spellEnd"/>
            <w:r>
              <w:rPr>
                <w:rFonts w:ascii="Times New Roman" w:hAnsi="Times New Roman"/>
                <w:sz w:val="24"/>
              </w:rPr>
              <w:t xml:space="preserve">) ir metodoloģija, kas ļauj </w:t>
            </w:r>
            <w:proofErr w:type="spellStart"/>
            <w:r>
              <w:rPr>
                <w:rFonts w:ascii="Times New Roman" w:hAnsi="Times New Roman"/>
                <w:i/>
                <w:iCs/>
                <w:sz w:val="24"/>
              </w:rPr>
              <w:t>NIB</w:t>
            </w:r>
            <w:proofErr w:type="spellEnd"/>
            <w:r>
              <w:rPr>
                <w:rFonts w:ascii="Times New Roman" w:hAnsi="Times New Roman"/>
                <w:sz w:val="24"/>
              </w:rPr>
              <w:t xml:space="preserve"> sarindot pasākumus pēc svarīguma, pamatojoties uz iepriekšējo datu analīzi. </w:t>
            </w:r>
            <w:proofErr w:type="spellStart"/>
            <w:r>
              <w:rPr>
                <w:rFonts w:ascii="Times New Roman" w:hAnsi="Times New Roman"/>
                <w:i/>
                <w:iCs/>
                <w:sz w:val="24"/>
              </w:rPr>
              <w:t>RBA</w:t>
            </w:r>
            <w:proofErr w:type="spellEnd"/>
            <w:r>
              <w:rPr>
                <w:rFonts w:ascii="Times New Roman" w:hAnsi="Times New Roman"/>
                <w:sz w:val="24"/>
              </w:rPr>
              <w:t xml:space="preserve"> pamatā ir princips, kas paredz, ka līdzekļi (jūsu resursi) ir jātērē tur, kur tas ir visvairāk nepieciešams.</w:t>
            </w:r>
          </w:p>
        </w:tc>
      </w:tr>
    </w:tbl>
    <w:p w14:paraId="310DAE8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39A0644C" w14:textId="77777777" w:rsidTr="00F80365">
        <w:tc>
          <w:tcPr>
            <w:tcW w:w="5000" w:type="pct"/>
            <w:shd w:val="clear" w:color="auto" w:fill="D0ECFF" w:themeFill="text1" w:themeFillTint="1A"/>
          </w:tcPr>
          <w:p w14:paraId="74EC41B5"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26A1BB76" w14:textId="77777777" w:rsidR="00E62252" w:rsidRPr="00E62252" w:rsidRDefault="00E62252" w:rsidP="00F80365">
            <w:pPr>
              <w:jc w:val="both"/>
              <w:rPr>
                <w:rFonts w:ascii="Times New Roman" w:hAnsi="Times New Roman" w:cs="Times New Roman"/>
                <w:b/>
                <w:bCs/>
                <w:noProof/>
                <w:sz w:val="24"/>
                <w:szCs w:val="24"/>
                <w:u w:val="single"/>
                <w:lang w:val="en-US"/>
              </w:rPr>
            </w:pPr>
          </w:p>
          <w:p w14:paraId="25A1575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Direktīvas 20. panta 2. punktā ir skaidri minēta “</w:t>
            </w:r>
            <w:r>
              <w:rPr>
                <w:rFonts w:ascii="Times New Roman" w:hAnsi="Times New Roman"/>
                <w:i/>
                <w:color w:val="3071C9" w:themeColor="accent5" w:themeShade="BF"/>
                <w:sz w:val="24"/>
              </w:rPr>
              <w:t>strukturālo apakšsistēmu</w:t>
            </w:r>
            <w:r>
              <w:rPr>
                <w:rFonts w:ascii="Times New Roman" w:hAnsi="Times New Roman"/>
                <w:sz w:val="24"/>
              </w:rPr>
              <w:t>” “</w:t>
            </w:r>
            <w:r>
              <w:rPr>
                <w:rFonts w:ascii="Times New Roman" w:hAnsi="Times New Roman"/>
                <w:i/>
                <w:color w:val="3071C9" w:themeColor="accent5" w:themeShade="BF"/>
                <w:sz w:val="24"/>
              </w:rPr>
              <w:t>tehnisko defektu</w:t>
            </w:r>
            <w:r>
              <w:rPr>
                <w:rFonts w:ascii="Times New Roman" w:hAnsi="Times New Roman"/>
                <w:sz w:val="24"/>
              </w:rPr>
              <w:t>” izmeklēšana. Tomēr valstu izmeklēšanas struktūrām ir ieteicams iekļaut citus aspektus savos apsvērumos, kad tās lemj par to, vai izmeklēšana ir vai nav jāveic, tādus kā netehniski defekti un funkcionālas apakšsistēmas.</w:t>
            </w:r>
          </w:p>
        </w:tc>
      </w:tr>
    </w:tbl>
    <w:p w14:paraId="59347A38"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D41A28A"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b/>
          <w:bCs/>
          <w:sz w:val="24"/>
          <w:u w:val="single"/>
        </w:rPr>
        <w:t>Nelaimes gadījuma iespējamās sekas</w:t>
      </w:r>
      <w:r>
        <w:rPr>
          <w:rFonts w:ascii="Times New Roman" w:hAnsi="Times New Roman"/>
          <w:sz w:val="24"/>
        </w:rPr>
        <w:t xml:space="preserve"> vienmēr jāizmanto kā kritērijs lēmuma pieņemšanai par to, vai negadījums, kas neietilpst 20. panta 1. punkta darbības jomā, ir vai nav jāizmeklē. Saistībā ar negadījuma smagumu </w:t>
      </w:r>
      <w:proofErr w:type="spellStart"/>
      <w:r>
        <w:rPr>
          <w:rFonts w:ascii="Times New Roman" w:hAnsi="Times New Roman"/>
          <w:i/>
          <w:iCs/>
          <w:sz w:val="24"/>
        </w:rPr>
        <w:t>NIB</w:t>
      </w:r>
      <w:proofErr w:type="spellEnd"/>
      <w:r>
        <w:rPr>
          <w:rFonts w:ascii="Times New Roman" w:hAnsi="Times New Roman"/>
          <w:sz w:val="24"/>
        </w:rPr>
        <w:t>, lemjot par to, vai izmeklēšana ir vai nav jāveic, jāņem vērā arī iespējamās sabiedrības intereses. No sabiedrības viedokļa notikumu var uzskatīt par “smagu negadījumu” pat tad, ja tas neatbilst 20. panta 1. punkta kritērijiem.</w:t>
      </w:r>
    </w:p>
    <w:p w14:paraId="6A056D0F"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D35CBFC"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Tāpēc </w:t>
      </w:r>
      <w:proofErr w:type="spellStart"/>
      <w:r>
        <w:rPr>
          <w:rFonts w:ascii="Times New Roman" w:hAnsi="Times New Roman"/>
          <w:i/>
          <w:iCs/>
          <w:sz w:val="24"/>
        </w:rPr>
        <w:t>NIB</w:t>
      </w:r>
      <w:proofErr w:type="spellEnd"/>
      <w:r>
        <w:rPr>
          <w:rFonts w:ascii="Times New Roman" w:hAnsi="Times New Roman"/>
          <w:sz w:val="24"/>
        </w:rPr>
        <w:t xml:space="preserve"> lēmuma pieņemšanā par to, vai izmeklēšana ir vai nav jāveic, jāņem vērā sabiedrības intereses.</w:t>
      </w:r>
    </w:p>
    <w:p w14:paraId="43DF8632"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12C0B8C" w14:textId="77777777" w:rsidR="00E62252" w:rsidRPr="00E62252" w:rsidRDefault="00E62252" w:rsidP="00E62252">
      <w:pPr>
        <w:spacing w:after="0" w:line="240" w:lineRule="auto"/>
        <w:jc w:val="both"/>
        <w:rPr>
          <w:rFonts w:ascii="Times New Roman" w:eastAsia="Calibri" w:hAnsi="Times New Roman" w:cs="Times New Roman"/>
          <w:noProof/>
          <w:color w:val="001F34"/>
          <w:sz w:val="24"/>
          <w:szCs w:val="24"/>
        </w:rPr>
      </w:pPr>
      <w:r>
        <w:rPr>
          <w:rFonts w:ascii="Times New Roman" w:hAnsi="Times New Roman"/>
          <w:color w:val="001F34"/>
          <w:sz w:val="24"/>
        </w:rPr>
        <w:t xml:space="preserve">Turklāt </w:t>
      </w:r>
      <w:proofErr w:type="spellStart"/>
      <w:r>
        <w:rPr>
          <w:rFonts w:ascii="Times New Roman" w:hAnsi="Times New Roman"/>
          <w:i/>
          <w:iCs/>
          <w:color w:val="001F34"/>
          <w:sz w:val="24"/>
        </w:rPr>
        <w:t>NIB</w:t>
      </w:r>
      <w:proofErr w:type="spellEnd"/>
      <w:r>
        <w:rPr>
          <w:rFonts w:ascii="Times New Roman" w:hAnsi="Times New Roman"/>
          <w:color w:val="001F34"/>
          <w:sz w:val="24"/>
        </w:rPr>
        <w:t xml:space="preserve"> jāņem vērā arī tas, kādi resursi ir pieejami notikuma brīdī un izmeklēšanas veikšanai.</w:t>
      </w:r>
    </w:p>
    <w:p w14:paraId="41C3DC77" w14:textId="77777777" w:rsidR="00E62252" w:rsidRPr="00E62252" w:rsidRDefault="00E62252" w:rsidP="00E62252">
      <w:pPr>
        <w:spacing w:after="0" w:line="240" w:lineRule="auto"/>
        <w:jc w:val="both"/>
        <w:rPr>
          <w:rFonts w:ascii="Times New Roman" w:eastAsia="Calibri" w:hAnsi="Times New Roman" w:cs="Times New Roman"/>
          <w:noProof/>
          <w:color w:val="001F34"/>
          <w:sz w:val="24"/>
          <w:szCs w:val="24"/>
          <w:lang w:val="en-US"/>
        </w:rPr>
      </w:pPr>
    </w:p>
    <w:p w14:paraId="11ED9C92" w14:textId="77777777" w:rsidR="00E62252" w:rsidRPr="00E62252" w:rsidRDefault="00E62252" w:rsidP="00E62252">
      <w:pPr>
        <w:spacing w:after="0" w:line="240" w:lineRule="auto"/>
        <w:jc w:val="both"/>
        <w:rPr>
          <w:rFonts w:ascii="Times New Roman" w:hAnsi="Times New Roman" w:cs="Times New Roman"/>
          <w:b/>
          <w:bCs/>
          <w:noProof/>
          <w:sz w:val="24"/>
          <w:szCs w:val="24"/>
          <w:u w:val="single"/>
          <w:shd w:val="clear" w:color="auto" w:fill="FFFFFF"/>
        </w:rPr>
      </w:pPr>
      <w:r>
        <w:rPr>
          <w:rFonts w:ascii="Times New Roman" w:hAnsi="Times New Roman"/>
          <w:sz w:val="24"/>
          <w:shd w:val="clear" w:color="auto" w:fill="FFFFFF"/>
        </w:rPr>
        <w:t xml:space="preserve">Notikums tiek uztverts kā risks tikai tiktāl, cik tas var </w:t>
      </w:r>
      <w:r>
        <w:rPr>
          <w:rFonts w:ascii="Times New Roman" w:hAnsi="Times New Roman"/>
          <w:b/>
          <w:bCs/>
          <w:sz w:val="24"/>
          <w:u w:val="single"/>
          <w:shd w:val="clear" w:color="auto" w:fill="FFFFFF"/>
        </w:rPr>
        <w:t>ietekmēt dzelzceļa drošību</w:t>
      </w:r>
      <w:r>
        <w:rPr>
          <w:rFonts w:ascii="Times New Roman" w:hAnsi="Times New Roman"/>
          <w:sz w:val="24"/>
          <w:shd w:val="clear" w:color="auto" w:fill="FFFFFF"/>
        </w:rPr>
        <w:t>.</w:t>
      </w:r>
    </w:p>
    <w:p w14:paraId="639C509F" w14:textId="77777777" w:rsidR="00E62252" w:rsidRPr="00E62252" w:rsidRDefault="00E62252" w:rsidP="00E62252">
      <w:pPr>
        <w:spacing w:after="0" w:line="240" w:lineRule="auto"/>
        <w:jc w:val="both"/>
        <w:rPr>
          <w:rFonts w:ascii="Times New Roman" w:hAnsi="Times New Roman" w:cs="Times New Roman"/>
          <w:noProof/>
          <w:sz w:val="24"/>
          <w:szCs w:val="24"/>
          <w:shd w:val="clear" w:color="auto" w:fill="FFFFFF"/>
          <w:lang w:val="en-US"/>
        </w:rPr>
      </w:pPr>
    </w:p>
    <w:p w14:paraId="7ECDDDD1"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(Strukturālo) apakšsistēmu vai savstarpējas </w:t>
      </w:r>
      <w:proofErr w:type="spellStart"/>
      <w:r>
        <w:rPr>
          <w:rFonts w:ascii="Times New Roman" w:hAnsi="Times New Roman"/>
          <w:sz w:val="24"/>
        </w:rPr>
        <w:t>izmantojamības</w:t>
      </w:r>
      <w:proofErr w:type="spellEnd"/>
      <w:r>
        <w:rPr>
          <w:rFonts w:ascii="Times New Roman" w:hAnsi="Times New Roman"/>
          <w:sz w:val="24"/>
        </w:rPr>
        <w:t xml:space="preserve"> komponentu (tehnisko) defektu gadījumā vienmēr jāapsver ietekme uz dzelzceļa drošību, ja defektam ir acīmredzams riska potenciāls. Arī šajā gadījumā riska potenciāls var izrietēt gan no notikuma īstenošanās iespējamības, gan arī no iespējamajām sekām.</w:t>
      </w:r>
    </w:p>
    <w:p w14:paraId="3AC39702"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C84F9C5" w14:textId="77777777" w:rsidR="00E62252" w:rsidRPr="00E62252" w:rsidRDefault="00E62252" w:rsidP="00E62252">
      <w:pPr>
        <w:spacing w:after="0" w:line="240" w:lineRule="auto"/>
        <w:jc w:val="both"/>
        <w:rPr>
          <w:rFonts w:ascii="Bookman Old Style" w:hAnsi="Bookman Old Style" w:cs="Times New Roman"/>
          <w:i/>
          <w:iCs/>
          <w:noProof/>
          <w:color w:val="3071C9" w:themeColor="accent5" w:themeShade="BF"/>
        </w:rPr>
      </w:pPr>
      <w:r>
        <w:rPr>
          <w:rFonts w:ascii="Times New Roman" w:hAnsi="Times New Roman"/>
          <w:sz w:val="24"/>
        </w:rPr>
        <w:t xml:space="preserve">Ja līdzīgi negadījumi vai starpgadījumi ir notikuši arī citās dalībvalstīs, tā var būt vēl viena pazīme, kas liecina par </w:t>
      </w:r>
      <w:r>
        <w:rPr>
          <w:rFonts w:ascii="Bookman Old Style" w:hAnsi="Bookman Old Style"/>
          <w:i/>
          <w:color w:val="3071C9" w:themeColor="accent5" w:themeShade="BF"/>
        </w:rPr>
        <w:t>“.. ietekmi uz dzelzceļa drošību”.</w:t>
      </w:r>
    </w:p>
    <w:p w14:paraId="146EF6CD" w14:textId="77777777" w:rsidR="00E62252" w:rsidRPr="00E62252" w:rsidRDefault="00E62252" w:rsidP="00E62252">
      <w:pPr>
        <w:spacing w:after="0" w:line="240" w:lineRule="auto"/>
        <w:jc w:val="both"/>
        <w:rPr>
          <w:rFonts w:ascii="Bookman Old Style" w:hAnsi="Bookman Old Style" w:cs="Times New Roman"/>
          <w:i/>
          <w:iCs/>
          <w:noProof/>
          <w:color w:val="3071C9" w:themeColor="accent5" w:themeShade="BF"/>
          <w:lang w:val="en-US"/>
        </w:rPr>
      </w:pPr>
    </w:p>
    <w:p w14:paraId="7FFED03D"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Riska potenciāls var izrietēt gan no </w:t>
      </w:r>
      <w:r>
        <w:rPr>
          <w:rFonts w:ascii="Times New Roman" w:hAnsi="Times New Roman"/>
          <w:b/>
          <w:bCs/>
          <w:sz w:val="24"/>
          <w:u w:val="single"/>
        </w:rPr>
        <w:t>notikuma īstenošanās iespējamības</w:t>
      </w:r>
      <w:r>
        <w:rPr>
          <w:rFonts w:ascii="Times New Roman" w:hAnsi="Times New Roman"/>
          <w:sz w:val="24"/>
        </w:rPr>
        <w:t>, gan arī no iespējamajām sekām.</w:t>
      </w:r>
    </w:p>
    <w:p w14:paraId="3279EF52" w14:textId="77777777" w:rsidR="0009379C" w:rsidRDefault="0009379C" w:rsidP="00E62252">
      <w:pPr>
        <w:spacing w:after="0" w:line="240" w:lineRule="auto"/>
        <w:jc w:val="both"/>
        <w:rPr>
          <w:rFonts w:ascii="Times New Roman" w:hAnsi="Times New Roman" w:cs="Times New Roman"/>
          <w:noProof/>
          <w:sz w:val="24"/>
          <w:szCs w:val="24"/>
          <w:lang w:val="en-US"/>
        </w:rPr>
      </w:pPr>
    </w:p>
    <w:p w14:paraId="0A6142A3" w14:textId="3CD780EE"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Lai negadījumu vai starpgadījumu varētu uzskatīt par “daļu no virknes”, jāpastāv līdzībām starp diviem vai vairākiem negadījumiem vai starpgadījumiem. Šīs līdzības var būt saistītas, piemēram, ar:</w:t>
      </w:r>
    </w:p>
    <w:p w14:paraId="50461632"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BCE51BC" w14:textId="77777777" w:rsidR="00E62252" w:rsidRPr="00E62252" w:rsidRDefault="00E62252" w:rsidP="00E62252">
      <w:pPr>
        <w:pStyle w:val="Style6"/>
        <w:spacing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notikuma vietu;</w:t>
      </w:r>
    </w:p>
    <w:p w14:paraId="25225D69" w14:textId="77777777" w:rsidR="00E62252" w:rsidRPr="00E62252" w:rsidRDefault="00E62252" w:rsidP="00E62252">
      <w:pPr>
        <w:pStyle w:val="Style6"/>
        <w:spacing w:after="0" w:line="240" w:lineRule="auto"/>
        <w:ind w:left="0" w:firstLine="0"/>
        <w:contextualSpacing w:val="0"/>
        <w:jc w:val="both"/>
        <w:rPr>
          <w:rFonts w:ascii="Times New Roman" w:hAnsi="Times New Roman" w:cs="Times New Roman"/>
          <w:noProof/>
          <w:sz w:val="24"/>
          <w:szCs w:val="24"/>
        </w:rPr>
      </w:pPr>
      <w:r>
        <w:rPr>
          <w:rFonts w:ascii="Times New Roman" w:hAnsi="Times New Roman"/>
          <w:sz w:val="24"/>
        </w:rPr>
        <w:t>iesaistītā ritošā sastāva tipu vai infrastruktūru, vai tās sastāvdaļām,</w:t>
      </w:r>
    </w:p>
    <w:p w14:paraId="32663CE4"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173AD611"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kā arī</w:t>
      </w:r>
    </w:p>
    <w:p w14:paraId="4732F87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9736A4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ar personāla rīcību, piemēram, ar īpašu darbības procedūru piemērošanas paņēmienu vai ar nepareizi piemērotu saziņas protokolu;</w:t>
      </w:r>
    </w:p>
    <w:p w14:paraId="2BC0758A"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cēloniski – ar veicinošajiem vai sistēmiskajiem faktoriem, kas bija saistīti ar notikumiem; to var būt vēl sarežģītāk konstatēt.</w:t>
      </w:r>
    </w:p>
    <w:p w14:paraId="116A09E0"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2C098894"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Attiecīgajam notikuma veidam ir jāpiemīt acīmredzamam Savienības dzelzceļa sistēmas kopējās drošības apdraudējuma potenciālam.</w:t>
      </w:r>
    </w:p>
    <w:p w14:paraId="04C96412"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D10B2E6"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Parasti kā meklēšanas indikators tiek izmantots negadījuma vai starpgadījuma “veids”. Ja ir divi vai vairāki līdzīgi negadījumi vai starpgadījumi, tos var uzskatīt par daļu no negadījumu vai starpgadījumu virknes.</w:t>
      </w:r>
    </w:p>
    <w:p w14:paraId="44ABE969"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2264268"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Tomēr nepietiek vienkārši ar negadījumu vai starpgadījumu veidu salīdzināšanu. Lai notikumā atpazītu līdzības, atkarībā no negadījuma </w:t>
      </w:r>
      <w:proofErr w:type="spellStart"/>
      <w:r>
        <w:rPr>
          <w:rFonts w:ascii="Times New Roman" w:hAnsi="Times New Roman"/>
          <w:sz w:val="24"/>
        </w:rPr>
        <w:t>cēloņfaktora</w:t>
      </w:r>
      <w:proofErr w:type="spellEnd"/>
      <w:r>
        <w:rPr>
          <w:rFonts w:ascii="Times New Roman" w:hAnsi="Times New Roman"/>
          <w:sz w:val="24"/>
        </w:rPr>
        <w:t xml:space="preserve"> jāmeklē negadījumu veidu un saistīto starpgadījumu veidu vai prekursoru kombinācijas.</w:t>
      </w:r>
    </w:p>
    <w:p w14:paraId="60CE3A6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609"/>
        <w:gridCol w:w="2651"/>
        <w:gridCol w:w="3802"/>
      </w:tblGrid>
      <w:tr w:rsidR="00E62252" w:rsidRPr="00E62252" w14:paraId="50E5800A" w14:textId="77777777" w:rsidTr="00F80365">
        <w:tc>
          <w:tcPr>
            <w:tcW w:w="1439" w:type="pct"/>
          </w:tcPr>
          <w:p w14:paraId="62A3DBE8"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Negadījuma veids</w:t>
            </w:r>
          </w:p>
        </w:tc>
        <w:tc>
          <w:tcPr>
            <w:tcW w:w="1462" w:type="pct"/>
          </w:tcPr>
          <w:p w14:paraId="4338469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Starpgadījums/prekursors </w:t>
            </w:r>
          </w:p>
        </w:tc>
        <w:tc>
          <w:tcPr>
            <w:tcW w:w="2098" w:type="pct"/>
          </w:tcPr>
          <w:p w14:paraId="60F923F6" w14:textId="77777777" w:rsidR="00E62252" w:rsidRPr="00E62252" w:rsidRDefault="00E62252" w:rsidP="00F80365">
            <w:pPr>
              <w:jc w:val="both"/>
              <w:rPr>
                <w:rFonts w:ascii="Times New Roman" w:hAnsi="Times New Roman" w:cs="Times New Roman"/>
                <w:noProof/>
                <w:sz w:val="24"/>
                <w:szCs w:val="24"/>
                <w:lang w:val="en-US"/>
              </w:rPr>
            </w:pPr>
          </w:p>
        </w:tc>
      </w:tr>
      <w:tr w:rsidR="00E62252" w:rsidRPr="00E62252" w14:paraId="6ACA1BCD" w14:textId="77777777" w:rsidTr="00F80365">
        <w:trPr>
          <w:trHeight w:val="356"/>
        </w:trPr>
        <w:tc>
          <w:tcPr>
            <w:tcW w:w="1439" w:type="pct"/>
            <w:vMerge w:val="restart"/>
          </w:tcPr>
          <w:p w14:paraId="0F6DDA2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Vilciena nobraukšana no sliedēm</w:t>
            </w:r>
          </w:p>
        </w:tc>
        <w:tc>
          <w:tcPr>
            <w:tcW w:w="1462" w:type="pct"/>
          </w:tcPr>
          <w:p w14:paraId="0456A778"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Salūzis ritenis</w:t>
            </w:r>
          </w:p>
          <w:p w14:paraId="0B635AE6" w14:textId="77777777" w:rsidR="00E62252" w:rsidRPr="00E62252" w:rsidRDefault="00E62252" w:rsidP="00F80365">
            <w:pPr>
              <w:jc w:val="both"/>
              <w:rPr>
                <w:rFonts w:ascii="Times New Roman" w:hAnsi="Times New Roman" w:cs="Times New Roman"/>
                <w:noProof/>
                <w:sz w:val="24"/>
                <w:szCs w:val="24"/>
                <w:lang w:val="en-US"/>
              </w:rPr>
            </w:pPr>
          </w:p>
        </w:tc>
        <w:tc>
          <w:tcPr>
            <w:tcW w:w="2098" w:type="pct"/>
          </w:tcPr>
          <w:p w14:paraId="7DA2D4C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Salūzis ritenis var būt vilciena nobraukšanas no sliedēm prekursors</w:t>
            </w:r>
          </w:p>
        </w:tc>
      </w:tr>
      <w:tr w:rsidR="00E62252" w:rsidRPr="00E62252" w14:paraId="19DADD3E" w14:textId="77777777" w:rsidTr="00F80365">
        <w:trPr>
          <w:trHeight w:val="354"/>
        </w:trPr>
        <w:tc>
          <w:tcPr>
            <w:tcW w:w="1439" w:type="pct"/>
            <w:vMerge/>
          </w:tcPr>
          <w:p w14:paraId="6699802E" w14:textId="77777777" w:rsidR="00E62252" w:rsidRPr="00E62252" w:rsidRDefault="00E62252" w:rsidP="00F80365">
            <w:pPr>
              <w:jc w:val="both"/>
              <w:rPr>
                <w:rFonts w:ascii="Times New Roman" w:hAnsi="Times New Roman" w:cs="Times New Roman"/>
                <w:noProof/>
                <w:sz w:val="24"/>
                <w:szCs w:val="24"/>
                <w:lang w:val="en-US"/>
              </w:rPr>
            </w:pPr>
          </w:p>
        </w:tc>
        <w:tc>
          <w:tcPr>
            <w:tcW w:w="1462" w:type="pct"/>
          </w:tcPr>
          <w:p w14:paraId="29D7568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Salūzusi ass</w:t>
            </w:r>
          </w:p>
          <w:p w14:paraId="451F4F83" w14:textId="77777777" w:rsidR="00E62252" w:rsidRPr="00E62252" w:rsidRDefault="00E62252" w:rsidP="00F80365">
            <w:pPr>
              <w:jc w:val="both"/>
              <w:rPr>
                <w:rFonts w:ascii="Times New Roman" w:hAnsi="Times New Roman" w:cs="Times New Roman"/>
                <w:noProof/>
                <w:sz w:val="24"/>
                <w:szCs w:val="24"/>
                <w:lang w:val="en-US"/>
              </w:rPr>
            </w:pPr>
          </w:p>
        </w:tc>
        <w:tc>
          <w:tcPr>
            <w:tcW w:w="2098" w:type="pct"/>
          </w:tcPr>
          <w:p w14:paraId="5D3A1F9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Salūzusi ass var būt vilciena nobraukšanas no sliedēm prekursors </w:t>
            </w:r>
          </w:p>
        </w:tc>
      </w:tr>
      <w:tr w:rsidR="00E62252" w:rsidRPr="00E62252" w14:paraId="6403B92E" w14:textId="77777777" w:rsidTr="00F80365">
        <w:trPr>
          <w:trHeight w:val="354"/>
        </w:trPr>
        <w:tc>
          <w:tcPr>
            <w:tcW w:w="1439" w:type="pct"/>
            <w:vMerge/>
          </w:tcPr>
          <w:p w14:paraId="7C6650E3" w14:textId="77777777" w:rsidR="00E62252" w:rsidRPr="00E62252" w:rsidRDefault="00E62252" w:rsidP="00F80365">
            <w:pPr>
              <w:jc w:val="both"/>
              <w:rPr>
                <w:rFonts w:ascii="Times New Roman" w:hAnsi="Times New Roman" w:cs="Times New Roman"/>
                <w:noProof/>
                <w:sz w:val="24"/>
                <w:szCs w:val="24"/>
                <w:lang w:val="en-US"/>
              </w:rPr>
            </w:pPr>
          </w:p>
        </w:tc>
        <w:tc>
          <w:tcPr>
            <w:tcW w:w="1462" w:type="pct"/>
          </w:tcPr>
          <w:p w14:paraId="7C3A0B9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Pabraukšana garām aizliedzošajam signālam</w:t>
            </w:r>
          </w:p>
        </w:tc>
        <w:tc>
          <w:tcPr>
            <w:tcW w:w="2098" w:type="pct"/>
          </w:tcPr>
          <w:p w14:paraId="59DBE59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Pabraukšana garām aizliedzošajam signālam var izraisīt ātruma pārsniegšanu, līdz ar to var būt nobraukšanas no sliedēm prekursors </w:t>
            </w:r>
          </w:p>
        </w:tc>
      </w:tr>
      <w:tr w:rsidR="00E62252" w:rsidRPr="00E62252" w14:paraId="69C2674E" w14:textId="77777777" w:rsidTr="00F80365">
        <w:tc>
          <w:tcPr>
            <w:tcW w:w="1439" w:type="pct"/>
          </w:tcPr>
          <w:p w14:paraId="7DE4060E"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Vilcienu sadursme</w:t>
            </w:r>
          </w:p>
        </w:tc>
        <w:tc>
          <w:tcPr>
            <w:tcW w:w="1462" w:type="pct"/>
          </w:tcPr>
          <w:p w14:paraId="2FC939F4"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Pabraukšana garām aizliedzošajam signālam</w:t>
            </w:r>
          </w:p>
        </w:tc>
        <w:tc>
          <w:tcPr>
            <w:tcW w:w="2098" w:type="pct"/>
          </w:tcPr>
          <w:p w14:paraId="55C10AA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Pabraukšana garām aizliedzošajam signālam var būt vilciena sadursmes prekursors</w:t>
            </w:r>
          </w:p>
        </w:tc>
      </w:tr>
    </w:tbl>
    <w:p w14:paraId="620215D8"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50CD8A3"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Tāpēc var būt lietderīgi salīdzināt “vilciena nobraukšanu no sliedēm”, ko izraisījusi salūzusi ass, ar notikumiem, kad ass ir salūzusi, taču nobraukšana no sliedēm nav notikusi.</w:t>
      </w:r>
    </w:p>
    <w:p w14:paraId="58DF9E89"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20F4AF93" w14:textId="77777777" w:rsidTr="00F80365">
        <w:tc>
          <w:tcPr>
            <w:tcW w:w="5000" w:type="pct"/>
            <w:shd w:val="clear" w:color="auto" w:fill="D0ECFF" w:themeFill="text1" w:themeFillTint="1A"/>
          </w:tcPr>
          <w:p w14:paraId="15D1C5E3"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2BA16052" w14:textId="77777777" w:rsidR="00E62252" w:rsidRPr="00E62252" w:rsidRDefault="00E62252" w:rsidP="00F80365">
            <w:pPr>
              <w:jc w:val="both"/>
              <w:rPr>
                <w:rFonts w:ascii="Times New Roman" w:hAnsi="Times New Roman" w:cs="Times New Roman"/>
                <w:b/>
                <w:bCs/>
                <w:noProof/>
                <w:sz w:val="24"/>
                <w:szCs w:val="24"/>
                <w:u w:val="single"/>
                <w:lang w:val="en-US"/>
              </w:rPr>
            </w:pPr>
          </w:p>
          <w:p w14:paraId="68F8EEDF"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“Virkne” ir līdzīgu notikumu virkne.</w:t>
            </w:r>
          </w:p>
          <w:p w14:paraId="30F0CCF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“Sistēma” ir Direktīvas 2016/798 3. panta 1. punktā noteiktā “Savienības dzelzceļa sistēma”.</w:t>
            </w:r>
          </w:p>
        </w:tc>
      </w:tr>
    </w:tbl>
    <w:p w14:paraId="66004D94"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E62252" w:rsidRPr="00E62252" w14:paraId="30060CEA" w14:textId="77777777" w:rsidTr="00F80365">
        <w:tc>
          <w:tcPr>
            <w:tcW w:w="9345" w:type="dxa"/>
            <w:shd w:val="clear" w:color="auto" w:fill="F5DCDB" w:themeFill="accent2" w:themeFillTint="33"/>
          </w:tcPr>
          <w:p w14:paraId="34AD02EE" w14:textId="77777777" w:rsidR="00E62252" w:rsidRPr="00E62252" w:rsidRDefault="00E62252" w:rsidP="00F80365">
            <w:pPr>
              <w:pStyle w:val="Style7"/>
              <w:jc w:val="both"/>
              <w:rPr>
                <w:rFonts w:ascii="Times New Roman" w:hAnsi="Times New Roman" w:cs="Times New Roman"/>
                <w:b/>
                <w:bCs/>
                <w:noProof/>
                <w:sz w:val="24"/>
                <w:szCs w:val="24"/>
                <w:u w:val="single"/>
              </w:rPr>
            </w:pPr>
            <w:r>
              <w:rPr>
                <w:rFonts w:ascii="Times New Roman" w:hAnsi="Times New Roman"/>
                <w:b/>
                <w:sz w:val="24"/>
                <w:u w:val="single"/>
              </w:rPr>
              <w:t>Laba prakse.</w:t>
            </w:r>
          </w:p>
          <w:p w14:paraId="6C5627F8"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Lai saprastu, vai notikums var būt daļa no virknes, izmeklēšanas struktūras var meklēt līdzīgus negadījumus vai starpgadījumus savā valsts negadījumu datubāzē, Aģentūras datubāzē, “drošības informācijas sistēmā” (</w:t>
            </w:r>
            <w:r>
              <w:rPr>
                <w:rFonts w:ascii="Times New Roman" w:hAnsi="Times New Roman"/>
                <w:i/>
                <w:iCs/>
                <w:sz w:val="24"/>
              </w:rPr>
              <w:t>SIS</w:t>
            </w:r>
            <w:r>
              <w:rPr>
                <w:rFonts w:ascii="Times New Roman" w:hAnsi="Times New Roman"/>
                <w:sz w:val="24"/>
              </w:rPr>
              <w:t>) un citās attiecīgās datubāzēs.</w:t>
            </w:r>
          </w:p>
          <w:p w14:paraId="4048482F" w14:textId="77777777" w:rsidR="00E62252" w:rsidRPr="00E62252" w:rsidRDefault="00E62252" w:rsidP="00F80365">
            <w:pPr>
              <w:jc w:val="both"/>
              <w:rPr>
                <w:rFonts w:ascii="Times New Roman" w:hAnsi="Times New Roman" w:cs="Times New Roman"/>
                <w:noProof/>
                <w:sz w:val="24"/>
                <w:szCs w:val="24"/>
                <w:lang w:val="en-US"/>
              </w:rPr>
            </w:pPr>
          </w:p>
        </w:tc>
      </w:tr>
    </w:tbl>
    <w:p w14:paraId="732A3EAD"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05" w:name="_Toc269979030"/>
      <w:bookmarkStart w:id="106" w:name="_Toc290015944"/>
      <w:bookmarkStart w:id="107" w:name="_Toc40340111"/>
      <w:bookmarkStart w:id="108" w:name="_Toc61364264"/>
      <w:bookmarkStart w:id="109" w:name="_Toc61364513"/>
      <w:bookmarkStart w:id="110" w:name="_Toc102478560"/>
    </w:p>
    <w:p w14:paraId="36B3729A" w14:textId="77777777" w:rsidR="00E62252" w:rsidRPr="00E62252" w:rsidRDefault="00E62252" w:rsidP="00D01C58">
      <w:pPr>
        <w:pStyle w:val="Heading2"/>
        <w:numPr>
          <w:ilvl w:val="0"/>
          <w:numId w:val="0"/>
        </w:numPr>
        <w:spacing w:before="0" w:after="0" w:line="240" w:lineRule="auto"/>
        <w:jc w:val="both"/>
        <w:rPr>
          <w:rFonts w:ascii="Times New Roman" w:hAnsi="Times New Roman" w:cs="Times New Roman"/>
          <w:noProof/>
          <w:sz w:val="24"/>
          <w:szCs w:val="24"/>
        </w:rPr>
      </w:pPr>
      <w:bookmarkStart w:id="111" w:name="_Toc134605577"/>
      <w:r>
        <w:rPr>
          <w:rFonts w:ascii="Times New Roman" w:hAnsi="Times New Roman"/>
          <w:sz w:val="24"/>
        </w:rPr>
        <w:t xml:space="preserve">8.2. Pieprasījumi no </w:t>
      </w:r>
      <w:proofErr w:type="spellStart"/>
      <w:r>
        <w:rPr>
          <w:rFonts w:ascii="Times New Roman" w:hAnsi="Times New Roman"/>
          <w:i/>
          <w:iCs/>
          <w:sz w:val="24"/>
        </w:rPr>
        <w:t>IM</w:t>
      </w:r>
      <w:proofErr w:type="spellEnd"/>
      <w:r>
        <w:rPr>
          <w:rFonts w:ascii="Times New Roman" w:hAnsi="Times New Roman"/>
          <w:sz w:val="24"/>
        </w:rPr>
        <w:t xml:space="preserve">, </w:t>
      </w:r>
      <w:proofErr w:type="spellStart"/>
      <w:r>
        <w:rPr>
          <w:rFonts w:ascii="Times New Roman" w:hAnsi="Times New Roman"/>
          <w:i/>
          <w:iCs/>
          <w:sz w:val="24"/>
        </w:rPr>
        <w:t>RU</w:t>
      </w:r>
      <w:proofErr w:type="spellEnd"/>
      <w:r>
        <w:rPr>
          <w:rFonts w:ascii="Times New Roman" w:hAnsi="Times New Roman"/>
          <w:sz w:val="24"/>
        </w:rPr>
        <w:t xml:space="preserve">, </w:t>
      </w:r>
      <w:proofErr w:type="spellStart"/>
      <w:r>
        <w:rPr>
          <w:rFonts w:ascii="Times New Roman" w:hAnsi="Times New Roman"/>
          <w:i/>
          <w:iCs/>
          <w:sz w:val="24"/>
        </w:rPr>
        <w:t>NSA</w:t>
      </w:r>
      <w:proofErr w:type="spellEnd"/>
      <w:r>
        <w:rPr>
          <w:rFonts w:ascii="Times New Roman" w:hAnsi="Times New Roman"/>
          <w:sz w:val="24"/>
        </w:rPr>
        <w:t xml:space="preserve"> vai DV</w:t>
      </w:r>
      <w:bookmarkEnd w:id="105"/>
      <w:bookmarkEnd w:id="106"/>
      <w:bookmarkEnd w:id="107"/>
      <w:bookmarkEnd w:id="108"/>
      <w:bookmarkEnd w:id="109"/>
      <w:bookmarkEnd w:id="110"/>
      <w:bookmarkEnd w:id="111"/>
    </w:p>
    <w:p w14:paraId="1D404C3F" w14:textId="77777777" w:rsidR="00E62252" w:rsidRPr="00E62252" w:rsidRDefault="00E62252" w:rsidP="00D01C58">
      <w:pPr>
        <w:keepNext/>
        <w:keepLines/>
        <w:spacing w:after="0" w:line="240" w:lineRule="auto"/>
        <w:rPr>
          <w:noProof/>
          <w:lang w:val="en-US"/>
        </w:rPr>
      </w:pPr>
    </w:p>
    <w:p w14:paraId="46B9DF9C" w14:textId="77777777" w:rsidR="00E62252" w:rsidRPr="00E62252" w:rsidRDefault="00E62252" w:rsidP="00D01C58">
      <w:pPr>
        <w:pStyle w:val="ListParagraph"/>
        <w:keepNext/>
        <w:keepLines/>
        <w:spacing w:after="0" w:line="240" w:lineRule="auto"/>
        <w:ind w:left="0"/>
        <w:contextualSpacing w:val="0"/>
        <w:jc w:val="both"/>
        <w:rPr>
          <w:rFonts w:ascii="Times New Roman" w:hAnsi="Times New Roman" w:cs="Times New Roman"/>
          <w:noProof/>
          <w:color w:val="auto"/>
          <w:sz w:val="24"/>
          <w:szCs w:val="24"/>
          <w:u w:val="single"/>
        </w:rPr>
      </w:pPr>
      <w:r>
        <w:rPr>
          <w:rFonts w:ascii="Times New Roman" w:hAnsi="Times New Roman"/>
          <w:i w:val="0"/>
          <w:color w:val="auto"/>
          <w:sz w:val="24"/>
        </w:rPr>
        <w:t xml:space="preserve">a) </w:t>
      </w:r>
      <w:r>
        <w:rPr>
          <w:rFonts w:ascii="Times New Roman" w:hAnsi="Times New Roman"/>
          <w:color w:val="auto"/>
          <w:sz w:val="24"/>
          <w:u w:val="single"/>
        </w:rPr>
        <w:t>Pieprasījumi no dzelzceļa infrastruktūras pārvaldītājiem vai pārvadātājiem</w:t>
      </w:r>
    </w:p>
    <w:p w14:paraId="63C42B87" w14:textId="77777777" w:rsidR="00E62252" w:rsidRPr="00E62252" w:rsidRDefault="00E62252" w:rsidP="00D01C58">
      <w:pPr>
        <w:pStyle w:val="ListParagraph"/>
        <w:keepNext/>
        <w:keepLines/>
        <w:spacing w:after="0" w:line="240" w:lineRule="auto"/>
        <w:ind w:left="0"/>
        <w:contextualSpacing w:val="0"/>
        <w:jc w:val="both"/>
        <w:rPr>
          <w:rFonts w:ascii="Times New Roman" w:hAnsi="Times New Roman" w:cs="Times New Roman"/>
          <w:noProof/>
          <w:color w:val="auto"/>
          <w:sz w:val="24"/>
          <w:szCs w:val="24"/>
          <w:u w:val="single"/>
          <w:lang w:val="en-US"/>
        </w:rPr>
      </w:pPr>
    </w:p>
    <w:p w14:paraId="77C6BB4C" w14:textId="77777777" w:rsidR="00E62252" w:rsidRPr="00E62252" w:rsidRDefault="00E62252" w:rsidP="00D01C58">
      <w:pPr>
        <w:keepNext/>
        <w:keepLines/>
        <w:spacing w:after="0" w:line="240" w:lineRule="auto"/>
        <w:jc w:val="both"/>
        <w:rPr>
          <w:rFonts w:ascii="Times New Roman" w:hAnsi="Times New Roman" w:cs="Times New Roman"/>
          <w:noProof/>
          <w:sz w:val="24"/>
          <w:szCs w:val="24"/>
        </w:rPr>
      </w:pPr>
      <w:r>
        <w:rPr>
          <w:rFonts w:ascii="Times New Roman" w:hAnsi="Times New Roman"/>
          <w:sz w:val="24"/>
        </w:rPr>
        <w:t>Pārvadātājiem (</w:t>
      </w:r>
      <w:proofErr w:type="spellStart"/>
      <w:r>
        <w:rPr>
          <w:rFonts w:ascii="Times New Roman" w:hAnsi="Times New Roman"/>
          <w:i/>
          <w:iCs/>
          <w:sz w:val="24"/>
        </w:rPr>
        <w:t>RU</w:t>
      </w:r>
      <w:proofErr w:type="spellEnd"/>
      <w:r>
        <w:rPr>
          <w:rFonts w:ascii="Times New Roman" w:hAnsi="Times New Roman"/>
          <w:sz w:val="24"/>
        </w:rPr>
        <w:t>) un dzelzceļa infrastruktūras pārvaldītājiem (</w:t>
      </w:r>
      <w:proofErr w:type="spellStart"/>
      <w:r>
        <w:rPr>
          <w:rFonts w:ascii="Times New Roman" w:hAnsi="Times New Roman"/>
          <w:i/>
          <w:iCs/>
          <w:sz w:val="24"/>
        </w:rPr>
        <w:t>IM</w:t>
      </w:r>
      <w:proofErr w:type="spellEnd"/>
      <w:r>
        <w:rPr>
          <w:rFonts w:ascii="Times New Roman" w:hAnsi="Times New Roman"/>
          <w:sz w:val="24"/>
        </w:rPr>
        <w:t xml:space="preserve">) ir pienākums izmeklēt negadījumus un starpgadījumus savā drošības pārvaldības sistēmā (KOMISIJAS DELEĢĒTĀ REGULA (ES) 2018/762, I un II pielikums, jo īpaši 7.1. punkts). Tomēr tie var pieprasīt </w:t>
      </w:r>
      <w:proofErr w:type="spellStart"/>
      <w:r>
        <w:rPr>
          <w:rFonts w:ascii="Times New Roman" w:hAnsi="Times New Roman"/>
          <w:i/>
          <w:iCs/>
          <w:sz w:val="24"/>
        </w:rPr>
        <w:t>NIB</w:t>
      </w:r>
      <w:proofErr w:type="spellEnd"/>
      <w:r>
        <w:rPr>
          <w:rFonts w:ascii="Times New Roman" w:hAnsi="Times New Roman"/>
          <w:i/>
          <w:iCs/>
          <w:sz w:val="24"/>
        </w:rPr>
        <w:t xml:space="preserve"> </w:t>
      </w:r>
      <w:r>
        <w:rPr>
          <w:rFonts w:ascii="Times New Roman" w:hAnsi="Times New Roman"/>
          <w:sz w:val="24"/>
        </w:rPr>
        <w:t xml:space="preserve">veikt neatkarīgu izmeklēšanu. Jo īpaši, ja tiem ir nepieciešama to drošības pārvaldības sistēmas daļu objektīva pārbaude, kas varētu būt sabojājušās un veicinājušas notikumu vai pastiprinājušas tā sekas. Vai to konstatējumi ietekmē drošību visas nozares mērogā, kas skar sistēmu kopumā. Citi iemesli neatkarīgas izmeklēšanas pieprasīšanai varētu būt negadījumi, kuros ir iesaistītas vairākas puses, vai negadījumi, attiecībā uz kuriem </w:t>
      </w:r>
      <w:proofErr w:type="spellStart"/>
      <w:r>
        <w:rPr>
          <w:rFonts w:ascii="Times New Roman" w:hAnsi="Times New Roman"/>
          <w:i/>
          <w:iCs/>
          <w:sz w:val="24"/>
        </w:rPr>
        <w:t>NIB</w:t>
      </w:r>
      <w:proofErr w:type="spellEnd"/>
      <w:r>
        <w:rPr>
          <w:rFonts w:ascii="Times New Roman" w:hAnsi="Times New Roman"/>
          <w:sz w:val="24"/>
        </w:rPr>
        <w:t xml:space="preserve"> ir iepriekšēja pieredze, kas var būt noderīga.</w:t>
      </w:r>
    </w:p>
    <w:p w14:paraId="1E0C49F9"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87E9692" w14:textId="77777777" w:rsidR="00E62252" w:rsidRPr="00E62252" w:rsidRDefault="00E62252" w:rsidP="00E62252">
      <w:pPr>
        <w:pStyle w:val="ListParagraph"/>
        <w:spacing w:after="0" w:line="240" w:lineRule="auto"/>
        <w:ind w:left="0"/>
        <w:contextualSpacing w:val="0"/>
        <w:jc w:val="both"/>
        <w:rPr>
          <w:rFonts w:ascii="Times New Roman" w:hAnsi="Times New Roman" w:cs="Times New Roman"/>
          <w:noProof/>
          <w:color w:val="auto"/>
          <w:sz w:val="24"/>
          <w:szCs w:val="24"/>
          <w:u w:val="single"/>
        </w:rPr>
      </w:pPr>
      <w:r>
        <w:rPr>
          <w:rFonts w:ascii="Times New Roman" w:hAnsi="Times New Roman"/>
          <w:i w:val="0"/>
          <w:color w:val="auto"/>
          <w:sz w:val="24"/>
        </w:rPr>
        <w:t xml:space="preserve">b) </w:t>
      </w:r>
      <w:r>
        <w:rPr>
          <w:rFonts w:ascii="Times New Roman" w:hAnsi="Times New Roman"/>
          <w:color w:val="auto"/>
          <w:sz w:val="24"/>
          <w:u w:val="single"/>
        </w:rPr>
        <w:t>Pieprasījumi no valsts drošības iestādes</w:t>
      </w:r>
    </w:p>
    <w:p w14:paraId="0B6332F6" w14:textId="77777777" w:rsidR="00E62252" w:rsidRPr="00E62252" w:rsidRDefault="00E62252" w:rsidP="00E62252">
      <w:pPr>
        <w:pStyle w:val="ListParagraph"/>
        <w:spacing w:after="0" w:line="240" w:lineRule="auto"/>
        <w:ind w:left="0"/>
        <w:contextualSpacing w:val="0"/>
        <w:jc w:val="both"/>
        <w:rPr>
          <w:rFonts w:ascii="Times New Roman" w:hAnsi="Times New Roman" w:cs="Times New Roman"/>
          <w:noProof/>
          <w:color w:val="auto"/>
          <w:sz w:val="24"/>
          <w:szCs w:val="24"/>
          <w:u w:val="single"/>
          <w:lang w:val="en-US"/>
        </w:rPr>
      </w:pPr>
    </w:p>
    <w:p w14:paraId="77A6CBA0" w14:textId="77777777" w:rsidR="00E62252" w:rsidRPr="00E62252" w:rsidRDefault="00E62252" w:rsidP="00E62252">
      <w:pPr>
        <w:spacing w:after="0" w:line="240" w:lineRule="auto"/>
        <w:jc w:val="both"/>
        <w:rPr>
          <w:rFonts w:ascii="Times New Roman" w:hAnsi="Times New Roman" w:cs="Times New Roman"/>
          <w:noProof/>
          <w:sz w:val="24"/>
          <w:szCs w:val="24"/>
        </w:rPr>
      </w:pPr>
      <w:proofErr w:type="spellStart"/>
      <w:r>
        <w:rPr>
          <w:rFonts w:ascii="Times New Roman" w:hAnsi="Times New Roman"/>
          <w:i/>
          <w:iCs/>
          <w:sz w:val="24"/>
        </w:rPr>
        <w:t>NSA</w:t>
      </w:r>
      <w:proofErr w:type="spellEnd"/>
      <w:r>
        <w:rPr>
          <w:rFonts w:ascii="Times New Roman" w:hAnsi="Times New Roman"/>
          <w:sz w:val="24"/>
        </w:rPr>
        <w:t xml:space="preserve"> pieprasījumi ir skaidri noteikti 20. panta 2. punktā, tāpēc tām ir tiesības pieprasīt </w:t>
      </w:r>
      <w:proofErr w:type="spellStart"/>
      <w:r>
        <w:rPr>
          <w:rFonts w:ascii="Times New Roman" w:hAnsi="Times New Roman"/>
          <w:i/>
          <w:iCs/>
          <w:sz w:val="24"/>
        </w:rPr>
        <w:t>NIB</w:t>
      </w:r>
      <w:proofErr w:type="spellEnd"/>
      <w:r>
        <w:rPr>
          <w:rFonts w:ascii="Times New Roman" w:hAnsi="Times New Roman"/>
          <w:sz w:val="24"/>
        </w:rPr>
        <w:t xml:space="preserve"> izmeklēt negadījumu vai starpgadījumu. Tie var būt arī citu dalībvalstu </w:t>
      </w:r>
      <w:proofErr w:type="spellStart"/>
      <w:r>
        <w:rPr>
          <w:rFonts w:ascii="Times New Roman" w:hAnsi="Times New Roman"/>
          <w:i/>
          <w:iCs/>
          <w:sz w:val="24"/>
        </w:rPr>
        <w:t>NSA</w:t>
      </w:r>
      <w:proofErr w:type="spellEnd"/>
      <w:r>
        <w:rPr>
          <w:rFonts w:ascii="Times New Roman" w:hAnsi="Times New Roman"/>
          <w:sz w:val="24"/>
        </w:rPr>
        <w:t xml:space="preserve"> pieprasījumi, kas nosūtīti </w:t>
      </w:r>
      <w:proofErr w:type="spellStart"/>
      <w:r>
        <w:rPr>
          <w:rFonts w:ascii="Times New Roman" w:hAnsi="Times New Roman"/>
          <w:i/>
          <w:iCs/>
          <w:sz w:val="24"/>
        </w:rPr>
        <w:t>NSA</w:t>
      </w:r>
      <w:proofErr w:type="spellEnd"/>
      <w:r>
        <w:rPr>
          <w:rFonts w:ascii="Times New Roman" w:hAnsi="Times New Roman"/>
          <w:sz w:val="24"/>
        </w:rPr>
        <w:t xml:space="preserve"> tīklā.</w:t>
      </w:r>
    </w:p>
    <w:p w14:paraId="54DEA52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C73601F" w14:textId="77777777" w:rsidR="00E62252" w:rsidRPr="00E62252" w:rsidRDefault="00E62252" w:rsidP="00E62252">
      <w:pPr>
        <w:pStyle w:val="ListParagraph"/>
        <w:spacing w:after="0" w:line="240" w:lineRule="auto"/>
        <w:ind w:left="0"/>
        <w:contextualSpacing w:val="0"/>
        <w:jc w:val="both"/>
        <w:rPr>
          <w:rFonts w:ascii="Times New Roman" w:hAnsi="Times New Roman" w:cs="Times New Roman"/>
          <w:noProof/>
          <w:color w:val="auto"/>
          <w:sz w:val="24"/>
          <w:szCs w:val="24"/>
          <w:u w:val="single"/>
        </w:rPr>
      </w:pPr>
      <w:r>
        <w:rPr>
          <w:rFonts w:ascii="Times New Roman" w:hAnsi="Times New Roman"/>
          <w:i w:val="0"/>
          <w:color w:val="auto"/>
          <w:sz w:val="24"/>
        </w:rPr>
        <w:t xml:space="preserve">c) </w:t>
      </w:r>
      <w:r>
        <w:rPr>
          <w:rFonts w:ascii="Times New Roman" w:hAnsi="Times New Roman"/>
          <w:color w:val="auto"/>
          <w:sz w:val="24"/>
          <w:u w:val="single"/>
        </w:rPr>
        <w:t>Dalībvalstu pieprasījumi</w:t>
      </w:r>
    </w:p>
    <w:p w14:paraId="713B8EFA" w14:textId="77777777" w:rsidR="00E62252" w:rsidRPr="00E62252" w:rsidRDefault="00E62252" w:rsidP="00E62252">
      <w:pPr>
        <w:pStyle w:val="ListParagraph"/>
        <w:spacing w:after="0" w:line="240" w:lineRule="auto"/>
        <w:ind w:left="0"/>
        <w:contextualSpacing w:val="0"/>
        <w:jc w:val="both"/>
        <w:rPr>
          <w:rFonts w:ascii="Times New Roman" w:hAnsi="Times New Roman" w:cs="Times New Roman"/>
          <w:noProof/>
          <w:color w:val="auto"/>
          <w:sz w:val="24"/>
          <w:szCs w:val="24"/>
          <w:u w:val="single"/>
          <w:lang w:val="en-US"/>
        </w:rPr>
      </w:pPr>
    </w:p>
    <w:p w14:paraId="14E907A1"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Iespējami divi gadījumi:</w:t>
      </w:r>
    </w:p>
    <w:p w14:paraId="4AD67A3D"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11C4C5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proofErr w:type="spellStart"/>
      <w:r>
        <w:rPr>
          <w:rFonts w:ascii="Times New Roman" w:hAnsi="Times New Roman"/>
          <w:i/>
          <w:sz w:val="24"/>
        </w:rPr>
        <w:t>NIB</w:t>
      </w:r>
      <w:proofErr w:type="spellEnd"/>
      <w:r>
        <w:rPr>
          <w:rFonts w:ascii="Times New Roman" w:hAnsi="Times New Roman"/>
          <w:sz w:val="24"/>
        </w:rPr>
        <w:t xml:space="preserve"> dalībvalsts valdības, parlamenta vai citas konstitucionālas vai parlamentāras iestādes pieprasījums;</w:t>
      </w:r>
    </w:p>
    <w:p w14:paraId="55A90802"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citas dalībvalsts valdības, parlamenta vai citas konstitucionālas vai parlamentāras iestādes pieprasījums, kas nosūtīts, izmantojot parastos protokolus vai procedūras.</w:t>
      </w:r>
    </w:p>
    <w:p w14:paraId="50A5183B"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689F71AA"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Kā tieši noteikts 20. panta 2. punktā, ir skaidrs, ka šie pieprasījumi ir jāņem vērā lēmuma pieņemšanā par notikuma izmeklēšanas veikšanu vai neveikšanu.</w:t>
      </w:r>
    </w:p>
    <w:p w14:paraId="47D8659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3BF3697" w14:textId="77777777" w:rsidR="00E62252" w:rsidRPr="00E62252" w:rsidRDefault="00E62252" w:rsidP="00E62252">
      <w:pPr>
        <w:spacing w:after="0" w:line="240" w:lineRule="auto"/>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p w14:paraId="699E10AD"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563B89F9" w14:textId="77777777" w:rsidTr="00F80365">
        <w:tc>
          <w:tcPr>
            <w:tcW w:w="5000" w:type="pct"/>
            <w:shd w:val="clear" w:color="auto" w:fill="D0ECFF" w:themeFill="text1" w:themeFillTint="1A"/>
          </w:tcPr>
          <w:p w14:paraId="6FF2A42C"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4A911855" w14:textId="77777777" w:rsidR="00E62252" w:rsidRPr="00E62252" w:rsidRDefault="00E62252" w:rsidP="00F80365">
            <w:pPr>
              <w:jc w:val="both"/>
              <w:rPr>
                <w:rFonts w:ascii="Times New Roman" w:hAnsi="Times New Roman" w:cs="Times New Roman"/>
                <w:b/>
                <w:bCs/>
                <w:noProof/>
                <w:sz w:val="24"/>
                <w:szCs w:val="24"/>
                <w:u w:val="single"/>
                <w:lang w:val="en-US"/>
              </w:rPr>
            </w:pPr>
          </w:p>
          <w:p w14:paraId="3B5F4188"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Direktīvas 2016/798 20. panta 2. punktā noteiktais ierobežojums, kas paredz, ka ir jāņem vērā dzelzceļa infrastruktūras pārvaldītāju, pārvadātāju, valsts drošības iestādes un dalībvalstu pieprasījumi, atšķiras no vispārējās pieejas, kas paredzēta direktīvā, un var tikt paveikts neapzināti. Tā kā aģentūrai ir uzticēti uzdevumi, ko iepriekš veica </w:t>
            </w:r>
            <w:proofErr w:type="spellStart"/>
            <w:r>
              <w:rPr>
                <w:rFonts w:ascii="Times New Roman" w:hAnsi="Times New Roman"/>
                <w:i/>
                <w:iCs/>
                <w:sz w:val="24"/>
              </w:rPr>
              <w:t>NSA</w:t>
            </w:r>
            <w:proofErr w:type="spellEnd"/>
            <w:r>
              <w:rPr>
                <w:rFonts w:ascii="Times New Roman" w:hAnsi="Times New Roman"/>
                <w:sz w:val="24"/>
              </w:rPr>
              <w:t xml:space="preserve">, būtu loģiski, ja arī Aģentūra varētu lūgt </w:t>
            </w:r>
            <w:proofErr w:type="spellStart"/>
            <w:r>
              <w:rPr>
                <w:rFonts w:ascii="Times New Roman" w:hAnsi="Times New Roman"/>
                <w:i/>
                <w:iCs/>
                <w:sz w:val="24"/>
              </w:rPr>
              <w:t>NIB</w:t>
            </w:r>
            <w:proofErr w:type="spellEnd"/>
            <w:r>
              <w:rPr>
                <w:rFonts w:ascii="Times New Roman" w:hAnsi="Times New Roman"/>
                <w:sz w:val="24"/>
              </w:rPr>
              <w:t xml:space="preserve"> veikt izmeklēšanu. Tā kā </w:t>
            </w:r>
            <w:proofErr w:type="spellStart"/>
            <w:r>
              <w:rPr>
                <w:rFonts w:ascii="Times New Roman" w:hAnsi="Times New Roman"/>
                <w:i/>
                <w:iCs/>
                <w:sz w:val="24"/>
              </w:rPr>
              <w:t>NIB</w:t>
            </w:r>
            <w:proofErr w:type="spellEnd"/>
            <w:r>
              <w:rPr>
                <w:rFonts w:ascii="Times New Roman" w:hAnsi="Times New Roman"/>
                <w:sz w:val="24"/>
              </w:rPr>
              <w:t xml:space="preserve"> var pieņemt lēmumus par izmeklēšanu pēc saviem ieskatiem, tās tiek aicinātas ņemt vērā arī Aģentūras pieprasījumus.</w:t>
            </w:r>
          </w:p>
          <w:p w14:paraId="5061D147" w14:textId="77777777" w:rsidR="00E62252" w:rsidRPr="00E62252" w:rsidRDefault="00E62252" w:rsidP="00F80365">
            <w:pPr>
              <w:jc w:val="both"/>
              <w:rPr>
                <w:rFonts w:ascii="Times New Roman" w:hAnsi="Times New Roman" w:cs="Times New Roman"/>
                <w:noProof/>
                <w:sz w:val="24"/>
                <w:szCs w:val="24"/>
                <w:lang w:val="en-US"/>
              </w:rPr>
            </w:pPr>
          </w:p>
          <w:p w14:paraId="53A6669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Pieprasījumi neuzliek obligātu pienākumu veikt izmeklēšanu. Šis lēmums vienmēr ir </w:t>
            </w:r>
            <w:proofErr w:type="spellStart"/>
            <w:r>
              <w:rPr>
                <w:rFonts w:ascii="Times New Roman" w:hAnsi="Times New Roman"/>
                <w:i/>
                <w:iCs/>
                <w:sz w:val="24"/>
              </w:rPr>
              <w:t>NIB</w:t>
            </w:r>
            <w:proofErr w:type="spellEnd"/>
            <w:r>
              <w:rPr>
                <w:rFonts w:ascii="Times New Roman" w:hAnsi="Times New Roman"/>
                <w:sz w:val="24"/>
              </w:rPr>
              <w:t xml:space="preserve"> ziņā.</w:t>
            </w:r>
          </w:p>
          <w:p w14:paraId="31BA618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Direktīvas 23. panta 1. punkta pēdējā teikumā noteikts šādi: </w:t>
            </w:r>
            <w:r>
              <w:rPr>
                <w:rFonts w:ascii="Bookman Old Style" w:hAnsi="Bookman Old Style"/>
              </w:rPr>
              <w:t>“</w:t>
            </w:r>
            <w:r>
              <w:rPr>
                <w:rFonts w:ascii="Bookman Old Style" w:hAnsi="Bookman Old Style"/>
                <w:i/>
                <w:color w:val="3071C9" w:themeColor="accent5" w:themeShade="BF"/>
              </w:rPr>
              <w:t>Šis punkts neliedz dalībvalstīm vienoties, ka citos apstākļos attiecīgās struktūras veic izmeklēšanu, savstarpēji sadarbojoties</w:t>
            </w:r>
            <w:r>
              <w:rPr>
                <w:rStyle w:val="Style4Car"/>
                <w:sz w:val="22"/>
              </w:rPr>
              <w:t>”</w:t>
            </w:r>
            <w:r>
              <w:rPr>
                <w:rFonts w:ascii="Bookman Old Style" w:hAnsi="Bookman Old Style"/>
              </w:rPr>
              <w:t xml:space="preserve">. </w:t>
            </w:r>
            <w:r>
              <w:rPr>
                <w:rFonts w:ascii="Times New Roman" w:hAnsi="Times New Roman"/>
                <w:sz w:val="24"/>
              </w:rPr>
              <w:t xml:space="preserve">Vienošanās starp dalībvalstīm (vai ar trešo valsti) var būt ar plašāku darbības jomu nekā Direktīvas 2016/798 20. pants. Tāpēc pēc negadījuma vai </w:t>
            </w:r>
            <w:r>
              <w:rPr>
                <w:rFonts w:ascii="Times New Roman" w:hAnsi="Times New Roman"/>
                <w:sz w:val="24"/>
              </w:rPr>
              <w:lastRenderedPageBreak/>
              <w:t xml:space="preserve">starpgadījuma, uz kuru attiecas šāda vienošanās, </w:t>
            </w:r>
            <w:proofErr w:type="spellStart"/>
            <w:r>
              <w:rPr>
                <w:rFonts w:ascii="Times New Roman" w:hAnsi="Times New Roman"/>
                <w:i/>
                <w:iCs/>
                <w:sz w:val="24"/>
              </w:rPr>
              <w:t>NIB</w:t>
            </w:r>
            <w:proofErr w:type="spellEnd"/>
            <w:r>
              <w:rPr>
                <w:rFonts w:ascii="Times New Roman" w:hAnsi="Times New Roman"/>
                <w:sz w:val="24"/>
              </w:rPr>
              <w:t xml:space="preserve"> jāpārbauda, vai tas atbilst 20. panta 2. punkta kritērijiem. Ja šādas atbildības nav, uz izmeklēšanu var attiekties 22. panta 6. punkts.</w:t>
            </w:r>
          </w:p>
        </w:tc>
      </w:tr>
    </w:tbl>
    <w:p w14:paraId="4528F5D1"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4F6B1D07"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112" w:name="_Toc102478561"/>
      <w:bookmarkStart w:id="113" w:name="_Toc134605578"/>
      <w:r>
        <w:rPr>
          <w:rFonts w:ascii="Times New Roman" w:hAnsi="Times New Roman"/>
          <w:sz w:val="24"/>
        </w:rPr>
        <w:t>9. Izmeklēšanas veikšana ir noteikta valsts tiesību aktos</w:t>
      </w:r>
      <w:bookmarkEnd w:id="99"/>
      <w:bookmarkEnd w:id="100"/>
      <w:bookmarkEnd w:id="101"/>
      <w:bookmarkEnd w:id="112"/>
      <w:bookmarkEnd w:id="113"/>
    </w:p>
    <w:p w14:paraId="5B458808"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58089BA"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Direktīvas 2016/798 22. panta 6. punktā ir skaidri noteikts, ka dalībvalstij ir tiesības uzticēt izmeklēšanas struktūrai citu izmeklēšanu, kas nav minēta 20. pantā:</w:t>
      </w:r>
    </w:p>
    <w:p w14:paraId="7F3070D8"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0660B3B" w14:textId="77777777" w:rsidR="00E62252" w:rsidRPr="00E62252" w:rsidRDefault="00E62252" w:rsidP="00E62252">
      <w:pPr>
        <w:pStyle w:val="Style4"/>
        <w:spacing w:line="240" w:lineRule="auto"/>
        <w:jc w:val="both"/>
        <w:rPr>
          <w:rFonts w:cs="Times New Roman"/>
          <w:noProof/>
          <w:sz w:val="22"/>
          <w:szCs w:val="22"/>
        </w:rPr>
      </w:pPr>
      <w:r>
        <w:rPr>
          <w:sz w:val="22"/>
        </w:rPr>
        <w:t>“Dalībvalstis izmeklēšanas struktūrai var uzdot izmeklēt arī citus, 20. pantā neminētus dzelzceļa negadījumus un starpgadījumus.”</w:t>
      </w:r>
    </w:p>
    <w:p w14:paraId="65C9742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C7AE6D2"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Tā kā šis pants attiecas uz negadījumiem, kas nav noteikti 20. pantā, ir izveidots skaidrs dalījums starp negadījumu veidiem, uz kuriem attiecas attiecīgais tiesiskais pamats.</w:t>
      </w:r>
    </w:p>
    <w:p w14:paraId="11F5F3E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39B0198"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Ja izmeklēšana ietilpst tikai 22. panta 6. punkta darbības jomā, nevis 20. panta darbības jomā, </w:t>
      </w:r>
      <w:proofErr w:type="spellStart"/>
      <w:r>
        <w:rPr>
          <w:rFonts w:ascii="Times New Roman" w:hAnsi="Times New Roman"/>
          <w:i/>
          <w:iCs/>
          <w:sz w:val="24"/>
        </w:rPr>
        <w:t>NIB</w:t>
      </w:r>
      <w:proofErr w:type="spellEnd"/>
      <w:r>
        <w:rPr>
          <w:rFonts w:ascii="Times New Roman" w:hAnsi="Times New Roman"/>
          <w:sz w:val="24"/>
        </w:rPr>
        <w:t xml:space="preserve"> ievēro tikai attiecīgos valsts tiesību aktus. Tas nozīmē, ka tad, ja valsts tiesību aktos ir noteikts pienākums </w:t>
      </w:r>
      <w:proofErr w:type="spellStart"/>
      <w:r>
        <w:rPr>
          <w:rFonts w:ascii="Times New Roman" w:hAnsi="Times New Roman"/>
          <w:i/>
          <w:iCs/>
          <w:sz w:val="24"/>
        </w:rPr>
        <w:t>NIB</w:t>
      </w:r>
      <w:proofErr w:type="spellEnd"/>
      <w:r>
        <w:rPr>
          <w:rFonts w:ascii="Times New Roman" w:hAnsi="Times New Roman"/>
          <w:sz w:val="24"/>
        </w:rPr>
        <w:t xml:space="preserve"> veikt izmeklēšanu, kas nav noteikta 20. panta 1. punktā vai 20. panta 2. punktā, nepiemēro arī Direktīvas 2016/798 formālās prasības attiecībā uz izmeklēšanas procedūru (23. pants), izmeklēšanas ziņojumiem (24. pants), Aģentūrai sniedzamo informāciju (25. pants) un drošības ieteikumiem (26. pants).</w:t>
      </w:r>
    </w:p>
    <w:p w14:paraId="0C98F6C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6041819D" w14:textId="77777777" w:rsidTr="00F80365">
        <w:tc>
          <w:tcPr>
            <w:tcW w:w="5000" w:type="pct"/>
            <w:shd w:val="clear" w:color="auto" w:fill="D0ECFF" w:themeFill="text1" w:themeFillTint="1A"/>
          </w:tcPr>
          <w:p w14:paraId="634083AA"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3D07FA42" w14:textId="77777777" w:rsidR="00E62252" w:rsidRPr="00E62252" w:rsidRDefault="00E62252" w:rsidP="00F80365">
            <w:pPr>
              <w:jc w:val="both"/>
              <w:rPr>
                <w:rFonts w:ascii="Times New Roman" w:hAnsi="Times New Roman" w:cs="Times New Roman"/>
                <w:b/>
                <w:bCs/>
                <w:noProof/>
                <w:sz w:val="24"/>
                <w:szCs w:val="24"/>
                <w:u w:val="single"/>
                <w:lang w:val="en-US"/>
              </w:rPr>
            </w:pPr>
          </w:p>
          <w:p w14:paraId="7618863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Līdz ar to 22. panta 6. punktā dalībvalstīm ir atļauts uzticēt </w:t>
            </w:r>
            <w:proofErr w:type="spellStart"/>
            <w:r>
              <w:rPr>
                <w:rFonts w:ascii="Times New Roman" w:hAnsi="Times New Roman"/>
                <w:i/>
                <w:iCs/>
                <w:sz w:val="24"/>
              </w:rPr>
              <w:t>NIB</w:t>
            </w:r>
            <w:proofErr w:type="spellEnd"/>
            <w:r>
              <w:rPr>
                <w:rFonts w:ascii="Times New Roman" w:hAnsi="Times New Roman"/>
                <w:sz w:val="24"/>
              </w:rPr>
              <w:t xml:space="preserve"> tādu notikumu izmeklēšanu, kas neietilpst 20. panta 2. punkta darbības jomā. Tie var būt tikai tādi notikumi:</w:t>
            </w:r>
          </w:p>
          <w:p w14:paraId="25E22727"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kas neatbilst kritērijam “kuri nedaudz citos apstākļos varētu izraisīt smagus negadījumus” vai</w:t>
            </w:r>
          </w:p>
          <w:p w14:paraId="7004D31D"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 xml:space="preserve">ko </w:t>
            </w:r>
            <w:proofErr w:type="spellStart"/>
            <w:r>
              <w:rPr>
                <w:rFonts w:ascii="Times New Roman" w:hAnsi="Times New Roman"/>
                <w:i/>
                <w:sz w:val="24"/>
              </w:rPr>
              <w:t>NIB</w:t>
            </w:r>
            <w:proofErr w:type="spellEnd"/>
            <w:r>
              <w:rPr>
                <w:rFonts w:ascii="Times New Roman" w:hAnsi="Times New Roman"/>
                <w:sz w:val="24"/>
              </w:rPr>
              <w:t xml:space="preserve"> ir nolēmusi neizmeklēt citu iemeslu dēļ, ņemot vērā kritērijus, kas uzskaitīti 20. panta 2. punkta a)–d) apakšpunktā.</w:t>
            </w:r>
          </w:p>
          <w:p w14:paraId="0423F879" w14:textId="77777777" w:rsidR="00E62252" w:rsidRPr="00E62252" w:rsidRDefault="00E62252" w:rsidP="00F80365">
            <w:pPr>
              <w:pStyle w:val="Style6"/>
              <w:numPr>
                <w:ilvl w:val="0"/>
                <w:numId w:val="0"/>
              </w:numPr>
              <w:contextualSpacing w:val="0"/>
              <w:jc w:val="both"/>
              <w:rPr>
                <w:rFonts w:ascii="Times New Roman" w:hAnsi="Times New Roman" w:cs="Times New Roman"/>
                <w:noProof/>
                <w:sz w:val="24"/>
                <w:szCs w:val="24"/>
                <w:lang w:val="en-US"/>
              </w:rPr>
            </w:pPr>
          </w:p>
          <w:p w14:paraId="72FFF40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Šādos gadījumos valsts tiesību aktos var paredzēt citu noteikumu piemērošanu attiecībā uz izmeklēšanu, nevis Direktīvas 2016/798 23. panta un nākamo pantu, un valsts tiesību aktu piemērošanu, ar kuriem tiek pārņemta šī direktīva.</w:t>
            </w:r>
          </w:p>
        </w:tc>
      </w:tr>
    </w:tbl>
    <w:p w14:paraId="4C16528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F69E85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D03AB92"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114" w:name="_Ref270591372"/>
      <w:bookmarkStart w:id="115" w:name="_Ref277606257"/>
      <w:bookmarkStart w:id="116" w:name="_Toc290015926"/>
      <w:bookmarkStart w:id="117" w:name="_Toc40340074"/>
      <w:bookmarkStart w:id="118" w:name="_Toc58769280"/>
      <w:bookmarkStart w:id="119" w:name="_Toc61364266"/>
      <w:bookmarkStart w:id="120" w:name="_Toc61364515"/>
      <w:bookmarkStart w:id="121" w:name="_Toc102478562"/>
      <w:r>
        <w:br w:type="page"/>
      </w:r>
    </w:p>
    <w:p w14:paraId="40D9E8F0"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122" w:name="_Toc134605579"/>
      <w:r>
        <w:rPr>
          <w:rFonts w:ascii="Times New Roman" w:hAnsi="Times New Roman"/>
          <w:sz w:val="24"/>
        </w:rPr>
        <w:lastRenderedPageBreak/>
        <w:t>10. Process, kā pieņem lēmumu par izmeklēšanas uzsākšanu, atbilstoši negadījuma veidam</w:t>
      </w:r>
      <w:bookmarkEnd w:id="114"/>
      <w:bookmarkEnd w:id="115"/>
      <w:bookmarkEnd w:id="116"/>
      <w:bookmarkEnd w:id="117"/>
      <w:bookmarkEnd w:id="118"/>
      <w:bookmarkEnd w:id="119"/>
      <w:bookmarkEnd w:id="120"/>
      <w:bookmarkEnd w:id="121"/>
      <w:bookmarkEnd w:id="122"/>
    </w:p>
    <w:p w14:paraId="02CA246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FE3DF8F"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Šajā punktā ir sniegti norādījumi attiecībā uz katru kategoriju, kas noteikta Direktīvas 2016/798 3. panta 11. punktā:</w:t>
      </w:r>
    </w:p>
    <w:p w14:paraId="04043DC2"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1C1E690"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sadursmes;</w:t>
      </w:r>
    </w:p>
    <w:p w14:paraId="76B6E6CB"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nobraukšana no sliedēm;</w:t>
      </w:r>
    </w:p>
    <w:p w14:paraId="61C0FAB2"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negadījumi uz pārbrauktuvēm;</w:t>
      </w:r>
    </w:p>
    <w:p w14:paraId="435E6FBB"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negadījumi ar personām, ko izraisījis kustībā esošs ritošais sastāvs;</w:t>
      </w:r>
    </w:p>
    <w:p w14:paraId="18F13672"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ugunsgrēki;</w:t>
      </w:r>
    </w:p>
    <w:p w14:paraId="78C28143"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citi.</w:t>
      </w:r>
    </w:p>
    <w:p w14:paraId="58E5DCFA"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055B438F"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23" w:name="_Toc61364267"/>
      <w:bookmarkStart w:id="124" w:name="_Toc61364516"/>
      <w:bookmarkStart w:id="125" w:name="_Toc102478563"/>
      <w:bookmarkStart w:id="126" w:name="_Toc134605580"/>
      <w:r>
        <w:rPr>
          <w:rFonts w:ascii="Times New Roman" w:hAnsi="Times New Roman"/>
          <w:sz w:val="24"/>
        </w:rPr>
        <w:t>10. 1. Vilcienu sadursmes</w:t>
      </w:r>
      <w:bookmarkStart w:id="127" w:name="_Ref269889684"/>
      <w:bookmarkStart w:id="128" w:name="_Ref269889786"/>
      <w:bookmarkEnd w:id="84"/>
      <w:bookmarkEnd w:id="85"/>
      <w:bookmarkEnd w:id="86"/>
      <w:bookmarkEnd w:id="87"/>
      <w:bookmarkEnd w:id="123"/>
      <w:bookmarkEnd w:id="124"/>
      <w:bookmarkEnd w:id="125"/>
      <w:bookmarkEnd w:id="126"/>
    </w:p>
    <w:p w14:paraId="193B652C" w14:textId="77777777" w:rsidR="00E62252" w:rsidRPr="00E62252" w:rsidRDefault="00E62252" w:rsidP="00E62252">
      <w:pPr>
        <w:spacing w:after="0" w:line="240" w:lineRule="auto"/>
        <w:rPr>
          <w:noProof/>
          <w:lang w:val="en-US"/>
        </w:rPr>
      </w:pPr>
    </w:p>
    <w:p w14:paraId="16A50082" w14:textId="77777777" w:rsidR="00E62252" w:rsidRPr="00E62252" w:rsidRDefault="00E62252" w:rsidP="00E62252">
      <w:pPr>
        <w:pStyle w:val="NormalTextTable"/>
        <w:spacing w:line="240" w:lineRule="auto"/>
        <w:jc w:val="both"/>
        <w:rPr>
          <w:rFonts w:ascii="Times New Roman" w:hAnsi="Times New Roman" w:cs="Times New Roman"/>
          <w:noProof/>
          <w:sz w:val="24"/>
          <w:szCs w:val="24"/>
        </w:rPr>
      </w:pPr>
      <w:r>
        <w:rPr>
          <w:rFonts w:ascii="Times New Roman" w:hAnsi="Times New Roman"/>
          <w:sz w:val="24"/>
        </w:rPr>
        <w:t>Vilcienu sadursmes vienmēr izmeklē, ja tajās gājusi bojā vismaz viena persona vai nodarīti smagi miesas bojājumi vismaz piecām personām, vai nodarīts liels kaitējums ritošajam sastāvam, infrastruktūrai vai videi.</w:t>
      </w:r>
    </w:p>
    <w:p w14:paraId="5311458E"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rPr>
      </w:pPr>
    </w:p>
    <w:p w14:paraId="58A6399E"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129" w:name="_Toc40340077"/>
      <w:bookmarkStart w:id="130" w:name="_Toc61364268"/>
      <w:bookmarkStart w:id="131" w:name="_Toc61364517"/>
      <w:bookmarkStart w:id="132" w:name="_Toc134605581"/>
      <w:bookmarkEnd w:id="127"/>
      <w:bookmarkEnd w:id="128"/>
      <w:r>
        <w:rPr>
          <w:rFonts w:ascii="Times New Roman" w:hAnsi="Times New Roman"/>
          <w:sz w:val="24"/>
          <w:u w:val="none"/>
        </w:rPr>
        <w:t xml:space="preserve">10. 1.1. </w:t>
      </w:r>
      <w:r>
        <w:rPr>
          <w:rFonts w:ascii="Times New Roman" w:hAnsi="Times New Roman"/>
          <w:sz w:val="24"/>
        </w:rPr>
        <w:t>Definīcijas</w:t>
      </w:r>
      <w:bookmarkEnd w:id="129"/>
      <w:bookmarkEnd w:id="130"/>
      <w:bookmarkEnd w:id="131"/>
      <w:bookmarkEnd w:id="132"/>
    </w:p>
    <w:p w14:paraId="7BFD44DA" w14:textId="77777777" w:rsidR="00E62252" w:rsidRPr="00E62252" w:rsidRDefault="00E62252" w:rsidP="00E62252">
      <w:pPr>
        <w:spacing w:after="0" w:line="240" w:lineRule="auto"/>
        <w:rPr>
          <w:noProof/>
          <w:lang w:val="en-US"/>
        </w:rPr>
      </w:pPr>
    </w:p>
    <w:p w14:paraId="3E4752F6" w14:textId="77777777" w:rsidR="00E62252" w:rsidRPr="00E62252" w:rsidRDefault="00E62252" w:rsidP="00E62252">
      <w:pPr>
        <w:pStyle w:val="NormalTextTable"/>
        <w:spacing w:line="240" w:lineRule="auto"/>
        <w:jc w:val="both"/>
        <w:rPr>
          <w:rFonts w:ascii="Times New Roman" w:hAnsi="Times New Roman" w:cs="Times New Roman"/>
          <w:noProof/>
          <w:sz w:val="24"/>
          <w:szCs w:val="24"/>
        </w:rPr>
      </w:pPr>
      <w:r>
        <w:rPr>
          <w:rFonts w:ascii="Times New Roman" w:hAnsi="Times New Roman"/>
          <w:sz w:val="24"/>
        </w:rPr>
        <w:t xml:space="preserve">Definīcija izriet no vienotajām definīcijām </w:t>
      </w:r>
      <w:proofErr w:type="spellStart"/>
      <w:r>
        <w:rPr>
          <w:rFonts w:ascii="Times New Roman" w:hAnsi="Times New Roman"/>
          <w:i/>
          <w:iCs/>
          <w:sz w:val="24"/>
        </w:rPr>
        <w:t>CSI</w:t>
      </w:r>
      <w:proofErr w:type="spellEnd"/>
      <w:r>
        <w:rPr>
          <w:rFonts w:ascii="Times New Roman" w:hAnsi="Times New Roman"/>
          <w:sz w:val="24"/>
        </w:rPr>
        <w:t xml:space="preserve"> Direktīvas 2016/798 I pielikuma papildinājumā. Vienotās definīcijas tiek izmantotas attiecībā uz </w:t>
      </w:r>
      <w:proofErr w:type="spellStart"/>
      <w:r>
        <w:rPr>
          <w:rFonts w:ascii="Times New Roman" w:hAnsi="Times New Roman"/>
          <w:i/>
          <w:iCs/>
          <w:sz w:val="24"/>
        </w:rPr>
        <w:t>CSI</w:t>
      </w:r>
      <w:proofErr w:type="spellEnd"/>
      <w:r>
        <w:rPr>
          <w:rFonts w:ascii="Times New Roman" w:hAnsi="Times New Roman"/>
          <w:sz w:val="24"/>
        </w:rPr>
        <w:t xml:space="preserve">, un Direktīvā 2016/798 nav skaidri noteikts, ka šādas definīcijas ir jāizmanto arī citiem nolūkiem. Dalībvalstīm un valstu izmeklēšanas struktūrām nav pienākuma stingri piemērot vienotās </w:t>
      </w:r>
      <w:proofErr w:type="spellStart"/>
      <w:r>
        <w:rPr>
          <w:rFonts w:ascii="Times New Roman" w:hAnsi="Times New Roman"/>
          <w:i/>
          <w:iCs/>
          <w:sz w:val="24"/>
        </w:rPr>
        <w:t>CSI</w:t>
      </w:r>
      <w:proofErr w:type="spellEnd"/>
      <w:r>
        <w:rPr>
          <w:rFonts w:ascii="Times New Roman" w:hAnsi="Times New Roman"/>
          <w:sz w:val="24"/>
        </w:rPr>
        <w:t xml:space="preserve"> definīcijas, lai noteiktu “smagu negadījumu”. Smags negadījums saskaņā ar Direktīvas 2016/798 definīciju ir “vilcienu sadursme vai nobraukšana no sliedēm”, neatsaucoties uz </w:t>
      </w:r>
      <w:proofErr w:type="spellStart"/>
      <w:r>
        <w:rPr>
          <w:rFonts w:ascii="Times New Roman" w:hAnsi="Times New Roman"/>
          <w:i/>
          <w:iCs/>
          <w:sz w:val="24"/>
        </w:rPr>
        <w:t>CSI</w:t>
      </w:r>
      <w:proofErr w:type="spellEnd"/>
      <w:r>
        <w:rPr>
          <w:rFonts w:ascii="Times New Roman" w:hAnsi="Times New Roman"/>
          <w:sz w:val="24"/>
        </w:rPr>
        <w:t xml:space="preserve"> vienotajām definīcijām. Ja vien nav jāpiemēro īpaši tiesību akti, valstu izmeklēšanas struktūrām tiek ieteikts saskanības nolūkā piemērot </w:t>
      </w:r>
      <w:proofErr w:type="spellStart"/>
      <w:r>
        <w:rPr>
          <w:rFonts w:ascii="Times New Roman" w:hAnsi="Times New Roman"/>
          <w:i/>
          <w:iCs/>
          <w:sz w:val="24"/>
        </w:rPr>
        <w:t>CSI</w:t>
      </w:r>
      <w:proofErr w:type="spellEnd"/>
      <w:r>
        <w:rPr>
          <w:rFonts w:ascii="Times New Roman" w:hAnsi="Times New Roman"/>
          <w:sz w:val="24"/>
        </w:rPr>
        <w:t xml:space="preserve"> definīcijas.</w:t>
      </w:r>
    </w:p>
    <w:p w14:paraId="51467345"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rPr>
      </w:pPr>
    </w:p>
    <w:p w14:paraId="16C0F7FC" w14:textId="77777777" w:rsidR="00E62252" w:rsidRPr="00E62252" w:rsidRDefault="00E62252" w:rsidP="00E62252">
      <w:pPr>
        <w:pStyle w:val="Style4"/>
        <w:spacing w:line="240" w:lineRule="auto"/>
        <w:jc w:val="both"/>
        <w:rPr>
          <w:rFonts w:cs="Times New Roman"/>
          <w:noProof/>
          <w:sz w:val="22"/>
          <w:szCs w:val="22"/>
        </w:rPr>
      </w:pPr>
      <w:r>
        <w:rPr>
          <w:sz w:val="22"/>
        </w:rPr>
        <w:t>“</w:t>
      </w:r>
      <w:r>
        <w:rPr>
          <w:b/>
          <w:bCs/>
          <w:sz w:val="22"/>
        </w:rPr>
        <w:t>Vilciens</w:t>
      </w:r>
      <w:r>
        <w:rPr>
          <w:sz w:val="22"/>
        </w:rPr>
        <w:t xml:space="preserve">” ir viens vai vairāki dzelzceļa </w:t>
      </w:r>
      <w:proofErr w:type="spellStart"/>
      <w:r>
        <w:rPr>
          <w:sz w:val="22"/>
        </w:rPr>
        <w:t>ritekļi</w:t>
      </w:r>
      <w:proofErr w:type="spellEnd"/>
      <w:r>
        <w:rPr>
          <w:sz w:val="22"/>
        </w:rPr>
        <w:t>, ko velk viena vai vairākas lokomotīves vai motorvagoni, vai viens atsevišķs motorvagons, kas brauc ar savu numuru vai īpašu apzīmējumu no noteikta maršruta sākumpunkta līdz noteiktam galapunktam, ieskaitot rezerves lokomotīvi, t. i., lokomotīvi, kas veic ceļu viena pati.</w:t>
      </w:r>
    </w:p>
    <w:p w14:paraId="03F630D4" w14:textId="77777777" w:rsidR="00E62252" w:rsidRPr="00E62252" w:rsidRDefault="00E62252" w:rsidP="00E62252">
      <w:pPr>
        <w:pStyle w:val="Style4"/>
        <w:spacing w:line="240" w:lineRule="auto"/>
        <w:jc w:val="both"/>
        <w:rPr>
          <w:rFonts w:cs="Times New Roman"/>
          <w:noProof/>
          <w:sz w:val="22"/>
          <w:szCs w:val="22"/>
          <w:lang w:val="en-US"/>
        </w:rPr>
      </w:pPr>
    </w:p>
    <w:p w14:paraId="16BBE3EC" w14:textId="77777777" w:rsidR="00E62252" w:rsidRPr="00E62252" w:rsidRDefault="00E62252" w:rsidP="00E62252">
      <w:pPr>
        <w:pStyle w:val="Style4"/>
        <w:spacing w:line="240" w:lineRule="auto"/>
        <w:jc w:val="both"/>
        <w:rPr>
          <w:rFonts w:cs="Times New Roman"/>
          <w:noProof/>
          <w:sz w:val="22"/>
          <w:szCs w:val="22"/>
        </w:rPr>
      </w:pPr>
      <w:r>
        <w:rPr>
          <w:sz w:val="22"/>
        </w:rPr>
        <w:t>“</w:t>
      </w:r>
      <w:r>
        <w:rPr>
          <w:b/>
          <w:bCs/>
          <w:sz w:val="22"/>
        </w:rPr>
        <w:t xml:space="preserve">Vilciena sadursme ar dzelzceļa </w:t>
      </w:r>
      <w:proofErr w:type="spellStart"/>
      <w:r>
        <w:rPr>
          <w:b/>
          <w:bCs/>
          <w:sz w:val="22"/>
        </w:rPr>
        <w:t>ritekli</w:t>
      </w:r>
      <w:proofErr w:type="spellEnd"/>
      <w:r>
        <w:rPr>
          <w:sz w:val="22"/>
        </w:rPr>
        <w:t xml:space="preserve">” ir viena vilciena daļas sadursme ar cita vilciena vai </w:t>
      </w:r>
      <w:proofErr w:type="spellStart"/>
      <w:r>
        <w:rPr>
          <w:sz w:val="22"/>
        </w:rPr>
        <w:t>ritekļa</w:t>
      </w:r>
      <w:proofErr w:type="spellEnd"/>
      <w:r>
        <w:rPr>
          <w:sz w:val="22"/>
        </w:rPr>
        <w:t>, vai manevru veicošā ritošā sastāva daļu frontāli, no aizmugures vai no sāniem.</w:t>
      </w:r>
    </w:p>
    <w:p w14:paraId="4123A356" w14:textId="77777777" w:rsidR="00E62252" w:rsidRPr="00E62252" w:rsidRDefault="00E62252" w:rsidP="00E62252">
      <w:pPr>
        <w:pStyle w:val="Style4"/>
        <w:spacing w:line="240" w:lineRule="auto"/>
        <w:jc w:val="both"/>
        <w:rPr>
          <w:rFonts w:cs="Times New Roman"/>
          <w:noProof/>
          <w:sz w:val="22"/>
          <w:szCs w:val="22"/>
          <w:lang w:val="en-US"/>
        </w:rPr>
      </w:pPr>
    </w:p>
    <w:p w14:paraId="0F3DE27A" w14:textId="77777777" w:rsidR="00E62252" w:rsidRPr="00E62252" w:rsidRDefault="00E62252" w:rsidP="00E62252">
      <w:pPr>
        <w:pStyle w:val="Style4"/>
        <w:spacing w:line="240" w:lineRule="auto"/>
        <w:jc w:val="both"/>
        <w:rPr>
          <w:rFonts w:cs="Times New Roman"/>
          <w:noProof/>
          <w:sz w:val="22"/>
          <w:szCs w:val="22"/>
        </w:rPr>
      </w:pPr>
      <w:r>
        <w:rPr>
          <w:sz w:val="22"/>
        </w:rPr>
        <w:t>“</w:t>
      </w:r>
      <w:r>
        <w:rPr>
          <w:b/>
          <w:bCs/>
          <w:sz w:val="22"/>
        </w:rPr>
        <w:t>Vilciena sadursme ar šķērsli būvju tuvinājuma gabarītā</w:t>
      </w:r>
      <w:r>
        <w:rPr>
          <w:sz w:val="22"/>
        </w:rPr>
        <w:t>” ir sadursme starp vilciena daļu un objektiem, kas nostiprināti vai īslaicīgi atrodas uz sliežu ceļa vai tā tuvumā (izņemot uz pārbrauktuvēm, ja tur tie nokrituši šķērsojošam transportlīdzeklim vai lietotājam), ieskaitot sadursmi ar gaisvadu kontakttīklu.</w:t>
      </w:r>
    </w:p>
    <w:p w14:paraId="542619B1"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54B47E0E"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1E40E3B" w14:textId="77777777" w:rsidTr="00F80365">
        <w:tc>
          <w:tcPr>
            <w:tcW w:w="5000" w:type="pct"/>
            <w:shd w:val="clear" w:color="auto" w:fill="D0ECFF" w:themeFill="text1" w:themeFillTint="1A"/>
          </w:tcPr>
          <w:p w14:paraId="2B54C85D"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6E975320" w14:textId="77777777" w:rsidR="00E62252" w:rsidRPr="00E62252" w:rsidRDefault="00E62252" w:rsidP="00F80365">
            <w:pPr>
              <w:jc w:val="both"/>
              <w:rPr>
                <w:rFonts w:ascii="Times New Roman" w:hAnsi="Times New Roman" w:cs="Times New Roman"/>
                <w:b/>
                <w:bCs/>
                <w:noProof/>
                <w:sz w:val="24"/>
                <w:szCs w:val="24"/>
                <w:u w:val="single"/>
                <w:lang w:val="en-US"/>
              </w:rPr>
            </w:pPr>
          </w:p>
          <w:p w14:paraId="3E5CED6F"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Sadursme, kas izraisa nobraukšanu no sliedēm, tiek uzskaitīta kā sadursme.</w:t>
            </w:r>
          </w:p>
          <w:p w14:paraId="0E0D8A14" w14:textId="77777777" w:rsidR="00E62252" w:rsidRPr="00E62252" w:rsidRDefault="00E62252" w:rsidP="00F80365">
            <w:pPr>
              <w:jc w:val="both"/>
              <w:rPr>
                <w:rFonts w:ascii="Times New Roman" w:hAnsi="Times New Roman" w:cs="Times New Roman"/>
                <w:noProof/>
                <w:sz w:val="24"/>
                <w:szCs w:val="24"/>
                <w:lang w:val="en-US"/>
              </w:rPr>
            </w:pPr>
          </w:p>
          <w:p w14:paraId="3876D11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Jebkura sadursme, kurā iesaistīti tikai dzelzceļa </w:t>
            </w:r>
            <w:proofErr w:type="spellStart"/>
            <w:r>
              <w:rPr>
                <w:rFonts w:ascii="Times New Roman" w:hAnsi="Times New Roman"/>
                <w:sz w:val="24"/>
              </w:rPr>
              <w:t>ritekļi</w:t>
            </w:r>
            <w:proofErr w:type="spellEnd"/>
            <w:r>
              <w:rPr>
                <w:rFonts w:ascii="Times New Roman" w:hAnsi="Times New Roman"/>
                <w:sz w:val="24"/>
              </w:rPr>
              <w:t>, kas neatbilst vilciena definīcijai, ir jāklasificē kā “cits” vai, ja atbilstīgi, kā “negadījums uz pārbrauktuves”. Turpretī par vilcienu uzskata arī tādus apkopes transportlīdzekļus kā sliežu automašīnu, sliežu ceļa mašīnu, blietētāju, pa sliedēm braucošu apkopes mašīnu, ja tie atbilst iepriekšminētās definīcijas prasībām.</w:t>
            </w:r>
          </w:p>
          <w:p w14:paraId="413F7508" w14:textId="77777777" w:rsidR="00E62252" w:rsidRPr="00E62252" w:rsidRDefault="00E62252" w:rsidP="00F80365">
            <w:pPr>
              <w:jc w:val="both"/>
              <w:rPr>
                <w:rFonts w:ascii="Times New Roman" w:hAnsi="Times New Roman" w:cs="Times New Roman"/>
                <w:noProof/>
                <w:sz w:val="24"/>
                <w:szCs w:val="24"/>
                <w:lang w:val="en-US"/>
              </w:rPr>
            </w:pPr>
          </w:p>
          <w:p w14:paraId="3A79976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Sadursmes starp manevrus veicošu ritošo sastāvu / apkopes mašīnu klasificē kā “cits” negadījuma veids.</w:t>
            </w:r>
          </w:p>
          <w:p w14:paraId="65B27960" w14:textId="77777777" w:rsidR="00E62252" w:rsidRPr="00E62252" w:rsidRDefault="00E62252" w:rsidP="00F80365">
            <w:pPr>
              <w:jc w:val="both"/>
              <w:rPr>
                <w:rFonts w:ascii="Times New Roman" w:hAnsi="Times New Roman" w:cs="Times New Roman"/>
                <w:noProof/>
                <w:sz w:val="24"/>
                <w:szCs w:val="24"/>
                <w:lang w:val="en-US"/>
              </w:rPr>
            </w:pPr>
          </w:p>
          <w:p w14:paraId="0AE736BD"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Šajos norādījumos tiek uzskatīts, ka dzīvnieki ir objekti.</w:t>
            </w:r>
          </w:p>
          <w:p w14:paraId="632BA27C" w14:textId="77777777" w:rsidR="00E62252" w:rsidRPr="00E62252" w:rsidRDefault="00E62252" w:rsidP="00F80365">
            <w:pPr>
              <w:jc w:val="both"/>
              <w:rPr>
                <w:rFonts w:ascii="Times New Roman" w:hAnsi="Times New Roman" w:cs="Times New Roman"/>
                <w:noProof/>
                <w:sz w:val="24"/>
                <w:szCs w:val="24"/>
                <w:lang w:val="en-US"/>
              </w:rPr>
            </w:pPr>
          </w:p>
          <w:p w14:paraId="1C05673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Sadursmes, kas mērķtiecīgi izraisītas, piemērojot drošības procedūras, lai reaģētu uz ārkārtas situāciju, klasificē kā “citas”.</w:t>
            </w:r>
          </w:p>
          <w:p w14:paraId="165629C3" w14:textId="77777777" w:rsidR="00E62252" w:rsidRPr="00E62252" w:rsidRDefault="00E62252" w:rsidP="00F80365">
            <w:pPr>
              <w:jc w:val="both"/>
              <w:rPr>
                <w:rFonts w:ascii="Times New Roman" w:hAnsi="Times New Roman" w:cs="Times New Roman"/>
                <w:noProof/>
                <w:sz w:val="24"/>
                <w:szCs w:val="24"/>
                <w:lang w:val="en-US"/>
              </w:rPr>
            </w:pPr>
          </w:p>
          <w:p w14:paraId="028CE3D4"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Neizsmeļošs stacionāru objektu uzskaitījums:</w:t>
            </w:r>
          </w:p>
          <w:p w14:paraId="720CE227"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strupceļa atbalsts;</w:t>
            </w:r>
          </w:p>
          <w:p w14:paraId="734CDD77"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infrastruktūra (aprīkojums) (tās daļa) būvju tuvinājuma gabarītā.</w:t>
            </w:r>
          </w:p>
          <w:p w14:paraId="66D91357" w14:textId="77777777" w:rsidR="00E62252" w:rsidRPr="00E62252" w:rsidRDefault="00E62252" w:rsidP="00F80365">
            <w:pPr>
              <w:pStyle w:val="Style6"/>
              <w:numPr>
                <w:ilvl w:val="0"/>
                <w:numId w:val="0"/>
              </w:numPr>
              <w:contextualSpacing w:val="0"/>
              <w:jc w:val="both"/>
              <w:rPr>
                <w:rFonts w:ascii="Times New Roman" w:hAnsi="Times New Roman" w:cs="Times New Roman"/>
                <w:noProof/>
                <w:sz w:val="24"/>
                <w:szCs w:val="24"/>
                <w:lang w:val="en-US"/>
              </w:rPr>
            </w:pPr>
          </w:p>
          <w:p w14:paraId="30C7ED3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Visi gadījumi, kad vilciens ir norāvis gaisvadu kontakttīklu, ir jāuzskata par sadursmi ar gaisvadu kontakttīklu.</w:t>
            </w:r>
          </w:p>
          <w:p w14:paraId="00E40D15" w14:textId="77777777" w:rsidR="00E62252" w:rsidRPr="00E62252" w:rsidRDefault="00E62252" w:rsidP="00F80365">
            <w:pPr>
              <w:jc w:val="both"/>
              <w:rPr>
                <w:rFonts w:ascii="Times New Roman" w:hAnsi="Times New Roman" w:cs="Times New Roman"/>
                <w:noProof/>
                <w:sz w:val="24"/>
                <w:szCs w:val="24"/>
                <w:lang w:val="en-US"/>
              </w:rPr>
            </w:pPr>
          </w:p>
          <w:p w14:paraId="47D697A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Neizsmeļošs pagaidu objektu uzskaitījums:</w:t>
            </w:r>
          </w:p>
          <w:p w14:paraId="0E849DEA"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akmeņi;</w:t>
            </w:r>
          </w:p>
          <w:p w14:paraId="10AADA73"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zemes nogruvumi;</w:t>
            </w:r>
          </w:p>
          <w:p w14:paraId="058B2959"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koki;</w:t>
            </w:r>
          </w:p>
          <w:p w14:paraId="46BDFE51"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 xml:space="preserve">no dzelzceļa </w:t>
            </w:r>
            <w:proofErr w:type="spellStart"/>
            <w:r>
              <w:rPr>
                <w:rFonts w:ascii="Times New Roman" w:hAnsi="Times New Roman"/>
                <w:sz w:val="24"/>
              </w:rPr>
              <w:t>ritekļiem</w:t>
            </w:r>
            <w:proofErr w:type="spellEnd"/>
            <w:r>
              <w:rPr>
                <w:rFonts w:ascii="Times New Roman" w:hAnsi="Times New Roman"/>
                <w:sz w:val="24"/>
              </w:rPr>
              <w:t xml:space="preserve"> atdalījušās daļas;</w:t>
            </w:r>
          </w:p>
          <w:p w14:paraId="01D2521B"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izkritušas vai no vietas izbīdījušās kravas;</w:t>
            </w:r>
          </w:p>
          <w:p w14:paraId="7CA47FC4"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proofErr w:type="spellStart"/>
            <w:r>
              <w:rPr>
                <w:rFonts w:ascii="Times New Roman" w:hAnsi="Times New Roman"/>
                <w:sz w:val="24"/>
              </w:rPr>
              <w:t>ritekļi</w:t>
            </w:r>
            <w:proofErr w:type="spellEnd"/>
            <w:r>
              <w:rPr>
                <w:rFonts w:ascii="Times New Roman" w:hAnsi="Times New Roman"/>
                <w:sz w:val="24"/>
              </w:rPr>
              <w:t xml:space="preserve"> un mašīnas vai aprīkojums sliežu ceļu apkopei;</w:t>
            </w:r>
          </w:p>
          <w:p w14:paraId="4DC6779E"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(auto)transporta līdzekļi, kas ietiekušies būves gabarītos.</w:t>
            </w:r>
          </w:p>
          <w:p w14:paraId="51E7CB14" w14:textId="77777777" w:rsidR="00E62252" w:rsidRPr="00E62252" w:rsidRDefault="00E62252" w:rsidP="00F80365">
            <w:pPr>
              <w:pStyle w:val="Style6"/>
              <w:numPr>
                <w:ilvl w:val="0"/>
                <w:numId w:val="0"/>
              </w:numPr>
              <w:contextualSpacing w:val="0"/>
              <w:jc w:val="both"/>
              <w:rPr>
                <w:rFonts w:ascii="Times New Roman" w:hAnsi="Times New Roman" w:cs="Times New Roman"/>
                <w:noProof/>
                <w:sz w:val="24"/>
                <w:szCs w:val="24"/>
                <w:lang w:val="en-US"/>
              </w:rPr>
            </w:pPr>
          </w:p>
          <w:p w14:paraId="4466A09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Jebkuru sadursmi uz pārbrauktuvēm starp dzelzceļa </w:t>
            </w:r>
            <w:proofErr w:type="spellStart"/>
            <w:r>
              <w:rPr>
                <w:rFonts w:ascii="Times New Roman" w:hAnsi="Times New Roman"/>
                <w:sz w:val="24"/>
              </w:rPr>
              <w:t>ritekli</w:t>
            </w:r>
            <w:proofErr w:type="spellEnd"/>
            <w:r>
              <w:rPr>
                <w:rFonts w:ascii="Times New Roman" w:hAnsi="Times New Roman"/>
                <w:sz w:val="24"/>
              </w:rPr>
              <w:t xml:space="preserve"> (vilcienu vai citu dzelzceļa </w:t>
            </w:r>
            <w:proofErr w:type="spellStart"/>
            <w:r>
              <w:rPr>
                <w:rFonts w:ascii="Times New Roman" w:hAnsi="Times New Roman"/>
                <w:sz w:val="24"/>
              </w:rPr>
              <w:t>ritekli</w:t>
            </w:r>
            <w:proofErr w:type="spellEnd"/>
            <w:r>
              <w:rPr>
                <w:rFonts w:ascii="Times New Roman" w:hAnsi="Times New Roman"/>
                <w:sz w:val="24"/>
              </w:rPr>
              <w:t>) un</w:t>
            </w:r>
          </w:p>
          <w:p w14:paraId="302AE6DE"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vienu vai vairākiem autotransporta līdzekļiem, kas šķērso sliežu ceļus;</w:t>
            </w:r>
          </w:p>
          <w:p w14:paraId="78E7A6B7"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citiem pārbrauktuvju lietotājiem, piemēram, gājējiem,</w:t>
            </w:r>
          </w:p>
          <w:p w14:paraId="69F3B30A" w14:textId="77777777" w:rsidR="00E62252" w:rsidRPr="00E62252" w:rsidRDefault="00E62252" w:rsidP="00F80365">
            <w:pPr>
              <w:pStyle w:val="Style6"/>
              <w:ind w:left="540" w:hanging="283"/>
              <w:contextualSpacing w:val="0"/>
              <w:jc w:val="both"/>
              <w:rPr>
                <w:rFonts w:ascii="Times New Roman" w:hAnsi="Times New Roman" w:cs="Times New Roman"/>
                <w:noProof/>
                <w:sz w:val="24"/>
                <w:szCs w:val="24"/>
              </w:rPr>
            </w:pPr>
            <w:r>
              <w:rPr>
                <w:rFonts w:ascii="Times New Roman" w:hAnsi="Times New Roman"/>
                <w:sz w:val="24"/>
              </w:rPr>
              <w:t>vai citiem objektiem, kas atrodas uz sliežu ceļa vai tā tuvumā un ir izkrituši no transportlīdzekļiem, vai lietotājiem, kuri šķērso sliežu ceļus,</w:t>
            </w:r>
          </w:p>
          <w:p w14:paraId="45286A83" w14:textId="77777777" w:rsidR="00E62252" w:rsidRPr="00E62252" w:rsidRDefault="00E62252" w:rsidP="00F80365">
            <w:pPr>
              <w:pStyle w:val="Style6"/>
              <w:numPr>
                <w:ilvl w:val="0"/>
                <w:numId w:val="0"/>
              </w:numPr>
              <w:contextualSpacing w:val="0"/>
              <w:jc w:val="both"/>
              <w:rPr>
                <w:rFonts w:ascii="Times New Roman" w:hAnsi="Times New Roman" w:cs="Times New Roman"/>
                <w:noProof/>
                <w:sz w:val="24"/>
                <w:szCs w:val="24"/>
                <w:lang w:val="en-US"/>
              </w:rPr>
            </w:pPr>
          </w:p>
          <w:p w14:paraId="3A8B024D"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klasificē kā “negadījumu uz pārbrauktuves”.</w:t>
            </w:r>
          </w:p>
        </w:tc>
      </w:tr>
    </w:tbl>
    <w:p w14:paraId="2502A123"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133" w:name="_Toc61364269"/>
      <w:bookmarkStart w:id="134" w:name="_Toc61364518"/>
    </w:p>
    <w:p w14:paraId="70EC7BEE"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135" w:name="_Toc134605582"/>
      <w:r>
        <w:rPr>
          <w:rFonts w:ascii="Times New Roman" w:hAnsi="Times New Roman"/>
          <w:sz w:val="24"/>
          <w:u w:val="none"/>
        </w:rPr>
        <w:t xml:space="preserve">10.1.2. </w:t>
      </w:r>
      <w:r>
        <w:rPr>
          <w:rFonts w:ascii="Times New Roman" w:hAnsi="Times New Roman"/>
          <w:sz w:val="24"/>
        </w:rPr>
        <w:t>Piemēri</w:t>
      </w:r>
      <w:bookmarkEnd w:id="133"/>
      <w:bookmarkEnd w:id="134"/>
      <w:bookmarkEnd w:id="135"/>
    </w:p>
    <w:p w14:paraId="3B5B3D7E" w14:textId="77777777" w:rsidR="00E62252" w:rsidRPr="00E62252" w:rsidRDefault="00E62252" w:rsidP="00E62252">
      <w:pPr>
        <w:spacing w:after="0" w:line="240" w:lineRule="auto"/>
        <w:rPr>
          <w:noProof/>
          <w:lang w:val="en-US"/>
        </w:rPr>
      </w:pPr>
    </w:p>
    <w:p w14:paraId="3652D122"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Vilcienu sadursmes ar sekām, kas minētas 3. panta 12. punktā, ir obligāti jāizmeklē bez jebkādiem izņēmumiem. Izmeklēšana attiecībā uz citām vilcienu sadursmēm, jo īpaši tām, kurās ir iesaistīts cits dzelzceļa transportlīdzeklis, ir nopietni jāapsver atbilstoši 20. panta 2. punktam, jo pastāv augsts riska potenciāls.</w:t>
      </w:r>
    </w:p>
    <w:p w14:paraId="222DCE55"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3E9881BB" w14:textId="77777777" w:rsidTr="00F80365">
        <w:tc>
          <w:tcPr>
            <w:tcW w:w="5000" w:type="pct"/>
            <w:shd w:val="clear" w:color="auto" w:fill="FFF7D8" w:themeFill="accent6" w:themeFillTint="33"/>
          </w:tcPr>
          <w:p w14:paraId="52516992"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rPr>
            </w:pPr>
            <w:r>
              <w:rPr>
                <w:rFonts w:ascii="Times New Roman" w:hAnsi="Times New Roman"/>
                <w:b/>
                <w:sz w:val="24"/>
                <w:u w:val="single"/>
              </w:rPr>
              <w:t>1. piemērs</w:t>
            </w:r>
            <w:r>
              <w:rPr>
                <w:rFonts w:ascii="Times New Roman" w:hAnsi="Times New Roman"/>
                <w:b/>
                <w:sz w:val="24"/>
              </w:rPr>
              <w:t>.</w:t>
            </w:r>
          </w:p>
          <w:p w14:paraId="184BE5F3"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lang w:val="en-US"/>
              </w:rPr>
            </w:pPr>
          </w:p>
          <w:p w14:paraId="32C161F0"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Vilciens saduras ar vilcienu. Gājuši bojā divi pasažieri.</w:t>
            </w:r>
          </w:p>
          <w:p w14:paraId="3FD6F2AE"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3428C36B"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Letālo seku un vilcienu sadursmes dēļ </w:t>
            </w:r>
            <w:r>
              <w:rPr>
                <w:rFonts w:ascii="Times New Roman" w:hAnsi="Times New Roman"/>
                <w:sz w:val="24"/>
                <w:u w:val="single"/>
              </w:rPr>
              <w:t>šā negadījuma izmeklēšana ir obligāta atbilstoši 20. panta 1. punktam</w:t>
            </w:r>
            <w:r>
              <w:rPr>
                <w:rFonts w:ascii="Times New Roman" w:hAnsi="Times New Roman"/>
                <w:sz w:val="24"/>
              </w:rPr>
              <w:t>.</w:t>
            </w:r>
          </w:p>
          <w:p w14:paraId="1ADDC148" w14:textId="77777777" w:rsidR="00E62252" w:rsidRPr="00E62252" w:rsidRDefault="00E62252" w:rsidP="00F80365">
            <w:pPr>
              <w:jc w:val="both"/>
              <w:rPr>
                <w:rFonts w:ascii="Times New Roman" w:hAnsi="Times New Roman" w:cs="Times New Roman"/>
                <w:noProof/>
                <w:sz w:val="24"/>
                <w:szCs w:val="24"/>
                <w:lang w:val="en-US"/>
              </w:rPr>
            </w:pPr>
          </w:p>
          <w:p w14:paraId="484C9FBA"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proofErr w:type="spellStart"/>
            <w:r>
              <w:rPr>
                <w:rFonts w:ascii="Times New Roman" w:hAnsi="Times New Roman"/>
                <w:i/>
                <w:iCs/>
                <w:sz w:val="24"/>
              </w:rPr>
              <w:t>NIB</w:t>
            </w:r>
            <w:proofErr w:type="spellEnd"/>
            <w:r>
              <w:rPr>
                <w:rFonts w:ascii="Times New Roman" w:hAnsi="Times New Roman"/>
                <w:sz w:val="24"/>
              </w:rPr>
              <w:t xml:space="preserve"> ir jāizmeklē šis negadījums. </w:t>
            </w:r>
          </w:p>
        </w:tc>
      </w:tr>
    </w:tbl>
    <w:p w14:paraId="7BB5B0A2" w14:textId="77777777" w:rsidR="00E62252" w:rsidRPr="00E62252" w:rsidRDefault="00E62252" w:rsidP="00E62252">
      <w:pPr>
        <w:pStyle w:val="BodyText"/>
        <w:tabs>
          <w:tab w:val="clear" w:pos="1418"/>
          <w:tab w:val="left" w:pos="1134"/>
        </w:tabs>
        <w:spacing w:before="0" w:beforeAutospacing="0" w:afterAutospacing="0" w:line="240" w:lineRule="auto"/>
        <w:ind w:left="0" w:firstLine="0"/>
        <w:jc w:val="both"/>
        <w:rPr>
          <w:rFonts w:ascii="Times New Roman" w:hAnsi="Times New Roman" w:cs="Times New Roman"/>
          <w:noProof/>
          <w:kern w:val="0"/>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42AA21B3" w14:textId="77777777" w:rsidTr="00F80365">
        <w:tc>
          <w:tcPr>
            <w:tcW w:w="5000" w:type="pct"/>
            <w:shd w:val="clear" w:color="auto" w:fill="FFF7D8" w:themeFill="accent6" w:themeFillTint="33"/>
          </w:tcPr>
          <w:p w14:paraId="04461E8E"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2. piemērs.</w:t>
            </w:r>
          </w:p>
          <w:p w14:paraId="110EF00D"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lang w:val="en-US"/>
              </w:rPr>
            </w:pPr>
          </w:p>
          <w:p w14:paraId="051BDAA0"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Vilciens sadūries ar kravas vagonu, kas nobraucis no sliedēm no pretējā virzienā braucoša vilciena. 10 pasažieri guvuši smagus miesas bojājumus.</w:t>
            </w:r>
          </w:p>
          <w:p w14:paraId="189ECC92"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1F1AC978" w14:textId="77777777" w:rsidR="00E62252" w:rsidRPr="00E62252" w:rsidRDefault="00E62252" w:rsidP="00F80365">
            <w:pPr>
              <w:jc w:val="both"/>
              <w:rPr>
                <w:rFonts w:ascii="Times New Roman" w:eastAsia="Times New Roman" w:hAnsi="Times New Roman" w:cs="Times New Roman"/>
                <w:noProof/>
                <w:sz w:val="24"/>
                <w:szCs w:val="24"/>
              </w:rPr>
            </w:pPr>
            <w:r>
              <w:rPr>
                <w:rFonts w:ascii="Times New Roman" w:hAnsi="Times New Roman"/>
                <w:sz w:val="24"/>
                <w:u w:val="single"/>
              </w:rPr>
              <w:t>Šā negadījuma izmeklēšana ir obligāta</w:t>
            </w:r>
            <w:r>
              <w:rPr>
                <w:rFonts w:ascii="Times New Roman" w:hAnsi="Times New Roman"/>
                <w:sz w:val="24"/>
              </w:rPr>
              <w:t xml:space="preserve"> </w:t>
            </w:r>
            <w:r>
              <w:rPr>
                <w:rFonts w:ascii="Times New Roman" w:hAnsi="Times New Roman"/>
                <w:sz w:val="24"/>
                <w:u w:val="single"/>
              </w:rPr>
              <w:t>atbilstoši 20. panta 1. punktam</w:t>
            </w:r>
            <w:r>
              <w:rPr>
                <w:rFonts w:ascii="Times New Roman" w:hAnsi="Times New Roman"/>
                <w:sz w:val="24"/>
              </w:rPr>
              <w:t>, jo vismaz 5 personas ir guvušas smagus miesas bojājumus, ir notikusi vilcienu sadursme un vilciena nobraukšana no sliedēm.</w:t>
            </w:r>
          </w:p>
          <w:p w14:paraId="61AFBE8F" w14:textId="77777777" w:rsidR="00E62252" w:rsidRPr="00E62252" w:rsidRDefault="00E62252" w:rsidP="00F80365">
            <w:pPr>
              <w:jc w:val="both"/>
              <w:rPr>
                <w:rFonts w:ascii="Times New Roman" w:eastAsia="Times New Roman" w:hAnsi="Times New Roman" w:cs="Times New Roman"/>
                <w:noProof/>
                <w:sz w:val="24"/>
                <w:szCs w:val="24"/>
                <w:lang w:val="en-US" w:eastAsia="fr-FR"/>
              </w:rPr>
            </w:pPr>
          </w:p>
          <w:p w14:paraId="2E2E561B"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proofErr w:type="spellStart"/>
            <w:r>
              <w:rPr>
                <w:rFonts w:ascii="Times New Roman" w:hAnsi="Times New Roman"/>
                <w:i/>
                <w:iCs/>
                <w:sz w:val="24"/>
              </w:rPr>
              <w:t>NIB</w:t>
            </w:r>
            <w:proofErr w:type="spellEnd"/>
            <w:r>
              <w:rPr>
                <w:rFonts w:ascii="Times New Roman" w:hAnsi="Times New Roman"/>
                <w:sz w:val="24"/>
              </w:rPr>
              <w:t xml:space="preserve"> ir jāizmeklē šis negadījums. </w:t>
            </w:r>
          </w:p>
        </w:tc>
      </w:tr>
    </w:tbl>
    <w:p w14:paraId="13DBAC58" w14:textId="77777777" w:rsidR="00E62252" w:rsidRPr="00E62252" w:rsidRDefault="00E62252" w:rsidP="00E62252">
      <w:pPr>
        <w:pStyle w:val="BodyText"/>
        <w:tabs>
          <w:tab w:val="clear" w:pos="1418"/>
          <w:tab w:val="left" w:pos="1134"/>
        </w:tabs>
        <w:spacing w:before="0" w:beforeAutospacing="0" w:afterAutospacing="0" w:line="240" w:lineRule="auto"/>
        <w:ind w:left="0" w:firstLine="0"/>
        <w:jc w:val="both"/>
        <w:rPr>
          <w:rFonts w:ascii="Times New Roman" w:hAnsi="Times New Roman" w:cs="Times New Roman"/>
          <w:noProof/>
          <w:kern w:val="0"/>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76A554A" w14:textId="77777777" w:rsidTr="00F80365">
        <w:tc>
          <w:tcPr>
            <w:tcW w:w="5000" w:type="pct"/>
            <w:shd w:val="clear" w:color="auto" w:fill="FFF7D8" w:themeFill="accent6" w:themeFillTint="33"/>
          </w:tcPr>
          <w:p w14:paraId="6D6F570D"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3. piemērs.</w:t>
            </w:r>
          </w:p>
          <w:p w14:paraId="636B7892"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lang w:val="en-US"/>
              </w:rPr>
            </w:pPr>
          </w:p>
          <w:p w14:paraId="2CFD53C7"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Vilciens sadūries ar zemes nogruvumu. Divi pasažieri guvuši nelielus miesas bojājumus.</w:t>
            </w:r>
          </w:p>
          <w:p w14:paraId="0D83D1DD"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1516B33A" w14:textId="77777777" w:rsidR="00E62252" w:rsidRPr="00E62252" w:rsidRDefault="00E62252" w:rsidP="00F80365">
            <w:pPr>
              <w:pStyle w:val="NormalTextTable"/>
              <w:jc w:val="both"/>
              <w:rPr>
                <w:rFonts w:ascii="Times New Roman" w:hAnsi="Times New Roman" w:cs="Times New Roman"/>
                <w:noProof/>
                <w:sz w:val="24"/>
                <w:szCs w:val="24"/>
                <w:u w:val="single"/>
              </w:rPr>
            </w:pPr>
            <w:r>
              <w:rPr>
                <w:rFonts w:ascii="Times New Roman" w:hAnsi="Times New Roman"/>
                <w:sz w:val="24"/>
                <w:u w:val="single"/>
              </w:rPr>
              <w:t>Šā negadījuma izmeklēšana atbilstoši 20. panta 1. punktam nav obligāta.</w:t>
            </w:r>
          </w:p>
          <w:p w14:paraId="22E6646E" w14:textId="77777777" w:rsidR="00E62252" w:rsidRPr="00E62252" w:rsidRDefault="00E62252" w:rsidP="00F80365">
            <w:pPr>
              <w:jc w:val="both"/>
              <w:rPr>
                <w:rFonts w:ascii="Times New Roman" w:hAnsi="Times New Roman" w:cs="Times New Roman"/>
                <w:noProof/>
                <w:sz w:val="24"/>
                <w:szCs w:val="24"/>
                <w:lang w:val="en-US"/>
              </w:rPr>
            </w:pPr>
          </w:p>
          <w:p w14:paraId="7BA797D0"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tādēļ, ka pastāv augsts smaga negadījuma risks.</w:t>
            </w:r>
          </w:p>
          <w:p w14:paraId="67780E2E"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highlight w:val="cyan"/>
              </w:rPr>
            </w:pPr>
            <w:r>
              <w:rPr>
                <w:rFonts w:ascii="Times New Roman" w:hAnsi="Times New Roman"/>
                <w:sz w:val="24"/>
              </w:rPr>
              <w:t xml:space="preserve">Izmeklēšanā tostarp varētu ietvert to, kā </w:t>
            </w:r>
            <w:proofErr w:type="spellStart"/>
            <w:r>
              <w:rPr>
                <w:rFonts w:ascii="Times New Roman" w:hAnsi="Times New Roman"/>
                <w:i/>
                <w:iCs/>
                <w:sz w:val="24"/>
              </w:rPr>
              <w:t>IM</w:t>
            </w:r>
            <w:proofErr w:type="spellEnd"/>
            <w:r>
              <w:rPr>
                <w:rFonts w:ascii="Times New Roman" w:hAnsi="Times New Roman"/>
                <w:sz w:val="24"/>
              </w:rPr>
              <w:t xml:space="preserve"> mazina zemes nogruvumu risku, risina problēmas evakuācijas laikā utt.</w:t>
            </w:r>
          </w:p>
          <w:p w14:paraId="03C4F23A"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highlight w:val="cyan"/>
                <w:lang w:val="en-US"/>
              </w:rPr>
            </w:pPr>
          </w:p>
          <w:p w14:paraId="358D43AF"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 xml:space="preserve">Lēmumu par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p>
        </w:tc>
      </w:tr>
    </w:tbl>
    <w:p w14:paraId="15569AA7" w14:textId="77777777" w:rsidR="00E62252" w:rsidRPr="00E62252" w:rsidRDefault="00E62252" w:rsidP="00E62252">
      <w:pPr>
        <w:pStyle w:val="BodyText"/>
        <w:tabs>
          <w:tab w:val="clear" w:pos="1418"/>
          <w:tab w:val="left" w:pos="1134"/>
        </w:tabs>
        <w:spacing w:before="0" w:beforeAutospacing="0" w:afterAutospacing="0" w:line="240" w:lineRule="auto"/>
        <w:ind w:left="0" w:firstLine="0"/>
        <w:jc w:val="both"/>
        <w:rPr>
          <w:rFonts w:ascii="Times New Roman" w:hAnsi="Times New Roman" w:cs="Times New Roman"/>
          <w:noProof/>
          <w:kern w:val="0"/>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5BEDABED" w14:textId="77777777" w:rsidTr="00F80365">
        <w:tc>
          <w:tcPr>
            <w:tcW w:w="5000" w:type="pct"/>
            <w:shd w:val="clear" w:color="auto" w:fill="FFF7D8" w:themeFill="accent6" w:themeFillTint="33"/>
          </w:tcPr>
          <w:p w14:paraId="3677B6EF"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4. piemērs.</w:t>
            </w:r>
          </w:p>
          <w:p w14:paraId="29B1C67E"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lang w:val="en-US"/>
              </w:rPr>
            </w:pPr>
          </w:p>
          <w:p w14:paraId="2418972F"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Vilciens sadūries ar koku. Divi pasažieri guvuši nelielus miesas bojājumus. Noteiktās dienas periodos šis vilciens ir pilns ar skolēniem. Skolēnu brīvdienu dēļ negadījuma brīdī vilciens bija gandrīz pavisam tukšs.</w:t>
            </w:r>
          </w:p>
          <w:p w14:paraId="5E6C9D85" w14:textId="77777777" w:rsidR="00E62252" w:rsidRPr="00E62252" w:rsidRDefault="00E62252" w:rsidP="00F80365">
            <w:pPr>
              <w:pStyle w:val="NormalTextTable"/>
              <w:jc w:val="both"/>
              <w:rPr>
                <w:rFonts w:ascii="Times New Roman" w:hAnsi="Times New Roman" w:cs="Times New Roman"/>
                <w:noProof/>
                <w:sz w:val="24"/>
                <w:szCs w:val="24"/>
                <w:u w:val="single"/>
                <w:lang w:val="en-US"/>
              </w:rPr>
            </w:pPr>
          </w:p>
          <w:p w14:paraId="07E3E10B" w14:textId="77777777" w:rsidR="00E62252" w:rsidRPr="00E62252" w:rsidRDefault="00E62252" w:rsidP="00F80365">
            <w:pPr>
              <w:pStyle w:val="NormalTextTable"/>
              <w:jc w:val="both"/>
              <w:rPr>
                <w:rFonts w:ascii="Times New Roman" w:hAnsi="Times New Roman" w:cs="Times New Roman"/>
                <w:noProof/>
                <w:sz w:val="24"/>
                <w:szCs w:val="24"/>
                <w:u w:val="single"/>
              </w:rPr>
            </w:pPr>
            <w:r>
              <w:rPr>
                <w:rFonts w:ascii="Times New Roman" w:hAnsi="Times New Roman"/>
                <w:sz w:val="24"/>
                <w:u w:val="single"/>
              </w:rPr>
              <w:t>Šā negadījuma izmeklēšana atbilstoši 20. panta 1. punktam nav obligāta.</w:t>
            </w:r>
          </w:p>
          <w:p w14:paraId="4C3D21C9"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6045FE1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tādēļ, ka pastāv augsts smagu negadījumu risks:</w:t>
            </w:r>
          </w:p>
          <w:p w14:paraId="7831FC5D" w14:textId="77777777" w:rsidR="00E62252" w:rsidRPr="00E62252" w:rsidRDefault="00E62252" w:rsidP="00F80365">
            <w:pPr>
              <w:pStyle w:val="BodyText"/>
              <w:numPr>
                <w:ilvl w:val="0"/>
                <w:numId w:val="23"/>
              </w:numPr>
              <w:tabs>
                <w:tab w:val="clear" w:pos="1418"/>
              </w:tabs>
              <w:spacing w:before="0" w:beforeAutospacing="0" w:afterAutospacing="0"/>
              <w:ind w:left="540" w:hanging="283"/>
              <w:jc w:val="both"/>
              <w:rPr>
                <w:rFonts w:ascii="Times New Roman" w:hAnsi="Times New Roman" w:cs="Times New Roman"/>
                <w:noProof/>
                <w:kern w:val="0"/>
                <w:sz w:val="24"/>
                <w:szCs w:val="24"/>
              </w:rPr>
            </w:pPr>
            <w:r>
              <w:rPr>
                <w:rFonts w:ascii="Times New Roman" w:hAnsi="Times New Roman"/>
                <w:sz w:val="24"/>
              </w:rPr>
              <w:t>vai tas, ka sadursmei nebija smagu seku atbilstoši 3. panta 12. punktam, bija tikai labvēlīga apstākļa “skolēnu brīvdienas” dēļ. Saistībā ar starpgadījumu/negadījumu šīs skolēnu brīvdienas var būt uzskatāmas par nejaušu apstākli.</w:t>
            </w:r>
          </w:p>
          <w:p w14:paraId="30AB8295" w14:textId="77777777" w:rsidR="00E62252" w:rsidRPr="00E62252" w:rsidRDefault="00E62252" w:rsidP="00F80365">
            <w:pPr>
              <w:pStyle w:val="BodyText"/>
              <w:tabs>
                <w:tab w:val="clear" w:pos="1418"/>
              </w:tabs>
              <w:spacing w:before="0" w:beforeAutospacing="0" w:afterAutospacing="0"/>
              <w:ind w:left="0" w:firstLine="0"/>
              <w:jc w:val="both"/>
              <w:rPr>
                <w:rFonts w:ascii="Times New Roman" w:hAnsi="Times New Roman" w:cs="Times New Roman"/>
                <w:noProof/>
                <w:kern w:val="0"/>
                <w:sz w:val="24"/>
                <w:szCs w:val="24"/>
                <w:lang w:val="en-US"/>
              </w:rPr>
            </w:pPr>
          </w:p>
          <w:p w14:paraId="3EBD5F47"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lastRenderedPageBreak/>
              <w:t xml:space="preserve">Tostarp var pārbaudīt to, kā </w:t>
            </w:r>
            <w:proofErr w:type="spellStart"/>
            <w:r>
              <w:rPr>
                <w:rFonts w:ascii="Times New Roman" w:hAnsi="Times New Roman"/>
                <w:i/>
                <w:iCs/>
                <w:sz w:val="24"/>
              </w:rPr>
              <w:t>IM</w:t>
            </w:r>
            <w:proofErr w:type="spellEnd"/>
            <w:r>
              <w:rPr>
                <w:rFonts w:ascii="Times New Roman" w:hAnsi="Times New Roman"/>
                <w:sz w:val="24"/>
              </w:rPr>
              <w:t xml:space="preserve"> mazina risku, ka koki var nokļūt uz sliedēm, un iespējamību, ka vilciens ir pilns ar skolēniem, utt.</w:t>
            </w:r>
          </w:p>
          <w:p w14:paraId="01FCF5C6"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606D4B46"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 xml:space="preserve">Lēmumu par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p>
        </w:tc>
      </w:tr>
    </w:tbl>
    <w:p w14:paraId="47E9785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5C26929B" w14:textId="77777777" w:rsidTr="00F80365">
        <w:tc>
          <w:tcPr>
            <w:tcW w:w="5000" w:type="pct"/>
            <w:shd w:val="clear" w:color="auto" w:fill="FFF7D8" w:themeFill="accent6" w:themeFillTint="33"/>
          </w:tcPr>
          <w:p w14:paraId="62BB7CBF"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bCs/>
                <w:noProof/>
                <w:kern w:val="0"/>
                <w:sz w:val="24"/>
                <w:szCs w:val="24"/>
                <w:u w:val="single"/>
              </w:rPr>
            </w:pPr>
            <w:r>
              <w:rPr>
                <w:rFonts w:ascii="Times New Roman" w:hAnsi="Times New Roman"/>
                <w:b/>
                <w:sz w:val="24"/>
                <w:u w:val="single"/>
              </w:rPr>
              <w:t>5. piemērs.</w:t>
            </w:r>
          </w:p>
          <w:p w14:paraId="4DAD99FB"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bCs/>
                <w:noProof/>
                <w:kern w:val="0"/>
                <w:sz w:val="24"/>
                <w:szCs w:val="24"/>
                <w:lang w:val="en-US"/>
              </w:rPr>
            </w:pPr>
          </w:p>
          <w:p w14:paraId="17F90FEC"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Divi kravas vilcieni, kas abi brauca ar 10 km/h lielu ātrumu, sadūrās uz posma. Nelielus miesas bojājumus guva viens lokomotīves vadītājs. Viens vilciens pārvietojās ar nelielu ātrumu tādēļ, ka sliežu ceļa darbu dēļ bija noteikts pagaidu ātruma ierobežojums, bet otras lokomotīves vadītājs bija saņēmis “steidzamu apstāšanās izsaukumu” no dzelzceļa dispečera un iedarbinājis avārijas bremzi.</w:t>
            </w:r>
          </w:p>
          <w:p w14:paraId="48E48D20" w14:textId="77777777" w:rsidR="00E62252" w:rsidRPr="00E62252" w:rsidRDefault="00E62252" w:rsidP="00F80365">
            <w:pPr>
              <w:pStyle w:val="NormalTextTable"/>
              <w:jc w:val="both"/>
              <w:rPr>
                <w:rFonts w:ascii="Times New Roman" w:hAnsi="Times New Roman" w:cs="Times New Roman"/>
                <w:noProof/>
                <w:sz w:val="24"/>
                <w:szCs w:val="24"/>
                <w:u w:val="single"/>
                <w:lang w:val="en-US"/>
              </w:rPr>
            </w:pPr>
          </w:p>
          <w:p w14:paraId="0306EDE7" w14:textId="77777777" w:rsidR="00E62252" w:rsidRPr="00E62252" w:rsidRDefault="00E62252" w:rsidP="00F80365">
            <w:pPr>
              <w:pStyle w:val="NormalTextTable"/>
              <w:jc w:val="both"/>
              <w:rPr>
                <w:rFonts w:ascii="Times New Roman" w:hAnsi="Times New Roman" w:cs="Times New Roman"/>
                <w:noProof/>
                <w:sz w:val="24"/>
                <w:szCs w:val="24"/>
                <w:u w:val="single"/>
              </w:rPr>
            </w:pPr>
            <w:r>
              <w:rPr>
                <w:rFonts w:ascii="Times New Roman" w:hAnsi="Times New Roman"/>
                <w:sz w:val="24"/>
                <w:u w:val="single"/>
              </w:rPr>
              <w:t>Šā negadījuma izmeklēšana atbilstoši 20. panta 1. punktam nav obligāta.</w:t>
            </w:r>
          </w:p>
          <w:p w14:paraId="3BE17243"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52E948C9" w14:textId="77777777" w:rsidR="00E62252" w:rsidRPr="00E62252" w:rsidRDefault="00E62252" w:rsidP="00F80365">
            <w:pPr>
              <w:pStyle w:val="NormalTextTable"/>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tādēļ, ka pastāv augsts smaga negadījuma risks. Laimīgas sagadīšanās dēļ vilcieni pārvietojās ar nelielu ātrumu, kas varēja būt tiešs iemesls tam, kādēļ šim notikumam nebija smagu seku.</w:t>
            </w:r>
          </w:p>
          <w:p w14:paraId="5A9A2CB2"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67B19528"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Tostarp varētu pārbaudīt to, kādas barjeras nav ļāvušas notikt sadursmei un kā sliežu ceļa darbi ir ietekmējuši vilcienu satiksmi utt.</w:t>
            </w:r>
          </w:p>
          <w:p w14:paraId="22B42056"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73493FEE"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 xml:space="preserve">Lēmumu par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p>
        </w:tc>
      </w:tr>
    </w:tbl>
    <w:p w14:paraId="4ED33BF8"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136" w:name="_Toc278472177"/>
      <w:bookmarkStart w:id="137" w:name="_Ref269889821"/>
      <w:bookmarkStart w:id="138" w:name="_Ref269889840"/>
      <w:bookmarkStart w:id="139" w:name="_Toc290015929"/>
      <w:bookmarkStart w:id="140" w:name="_Toc40340080"/>
      <w:bookmarkStart w:id="141" w:name="_Toc61364270"/>
      <w:bookmarkStart w:id="142" w:name="_Toc61364519"/>
      <w:bookmarkStart w:id="143" w:name="_Toc102478564"/>
      <w:bookmarkEnd w:id="136"/>
    </w:p>
    <w:p w14:paraId="18B07602"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44ABE732"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44" w:name="_Toc134605583"/>
      <w:r>
        <w:rPr>
          <w:rFonts w:ascii="Times New Roman" w:hAnsi="Times New Roman"/>
          <w:sz w:val="24"/>
        </w:rPr>
        <w:lastRenderedPageBreak/>
        <w:t>10.2. Vilcienu nobraukšana no sliedēm</w:t>
      </w:r>
      <w:bookmarkEnd w:id="137"/>
      <w:bookmarkEnd w:id="138"/>
      <w:bookmarkEnd w:id="139"/>
      <w:bookmarkEnd w:id="140"/>
      <w:bookmarkEnd w:id="141"/>
      <w:bookmarkEnd w:id="142"/>
      <w:bookmarkEnd w:id="143"/>
      <w:bookmarkEnd w:id="144"/>
    </w:p>
    <w:p w14:paraId="11D1330C" w14:textId="77777777" w:rsidR="00E62252" w:rsidRPr="00E62252" w:rsidRDefault="00E62252" w:rsidP="00E62252">
      <w:pPr>
        <w:spacing w:after="0" w:line="240" w:lineRule="auto"/>
        <w:rPr>
          <w:noProof/>
          <w:lang w:val="en-US"/>
        </w:rPr>
      </w:pPr>
    </w:p>
    <w:p w14:paraId="21A00A95"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Vilcienu nobraukšanu no sliedēm vienmēr izmeklē, ja tajā ir gājusi bojā vismaz viena persona vai nodarīti smagi miesas bojājumi vismaz piecām personām, vai nodarīts liels kaitējums ritošajam sastāvam, infrastruktūrai vai videi.</w:t>
      </w:r>
    </w:p>
    <w:p w14:paraId="13C2CAF3"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2F0976E"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145" w:name="_Toc40340081"/>
      <w:bookmarkStart w:id="146" w:name="_Toc61364271"/>
      <w:bookmarkStart w:id="147" w:name="_Toc61364520"/>
      <w:bookmarkStart w:id="148" w:name="_Toc134605584"/>
      <w:r>
        <w:rPr>
          <w:rFonts w:ascii="Times New Roman" w:hAnsi="Times New Roman"/>
          <w:sz w:val="24"/>
          <w:u w:val="none"/>
        </w:rPr>
        <w:t xml:space="preserve">10.2.1. </w:t>
      </w:r>
      <w:r>
        <w:rPr>
          <w:rFonts w:ascii="Times New Roman" w:hAnsi="Times New Roman"/>
          <w:sz w:val="24"/>
        </w:rPr>
        <w:t>Definīcija</w:t>
      </w:r>
      <w:bookmarkEnd w:id="145"/>
      <w:bookmarkEnd w:id="146"/>
      <w:bookmarkEnd w:id="147"/>
      <w:bookmarkEnd w:id="148"/>
    </w:p>
    <w:p w14:paraId="52EE37EB" w14:textId="77777777" w:rsidR="00E62252" w:rsidRPr="00E62252" w:rsidRDefault="00E62252" w:rsidP="00E62252">
      <w:pPr>
        <w:spacing w:after="0" w:line="240" w:lineRule="auto"/>
        <w:rPr>
          <w:rFonts w:ascii="Bookman Old Style" w:hAnsi="Bookman Old Style"/>
          <w:noProof/>
          <w:sz w:val="20"/>
          <w:szCs w:val="20"/>
          <w:lang w:val="en-US"/>
        </w:rPr>
      </w:pPr>
    </w:p>
    <w:p w14:paraId="17E40DDC" w14:textId="77777777" w:rsidR="00E62252" w:rsidRPr="00E62252" w:rsidRDefault="00E62252" w:rsidP="00E62252">
      <w:pPr>
        <w:pStyle w:val="Style4"/>
        <w:spacing w:line="240" w:lineRule="auto"/>
        <w:jc w:val="both"/>
        <w:rPr>
          <w:rFonts w:cs="Times New Roman"/>
          <w:noProof/>
          <w:sz w:val="22"/>
          <w:szCs w:val="22"/>
        </w:rPr>
      </w:pPr>
      <w:r>
        <w:rPr>
          <w:sz w:val="22"/>
        </w:rPr>
        <w:t>“</w:t>
      </w:r>
      <w:r>
        <w:rPr>
          <w:b/>
          <w:bCs/>
          <w:sz w:val="22"/>
        </w:rPr>
        <w:t>Vilciens</w:t>
      </w:r>
      <w:r>
        <w:rPr>
          <w:sz w:val="22"/>
        </w:rPr>
        <w:t xml:space="preserve">” ir viens vai vairāki dzelzceļa </w:t>
      </w:r>
      <w:proofErr w:type="spellStart"/>
      <w:r>
        <w:rPr>
          <w:sz w:val="22"/>
        </w:rPr>
        <w:t>ritekļi</w:t>
      </w:r>
      <w:proofErr w:type="spellEnd"/>
      <w:r>
        <w:rPr>
          <w:sz w:val="22"/>
        </w:rPr>
        <w:t>, ko velk viena vai vairākas lokomotīves vai motorvagoni, vai viens atsevišķs motorvagons, kas brauc ar savu numuru vai īpašu apzīmējumu no noteikta maršruta sākumpunkta līdz noteiktam galapunktam, ieskaitot rezerves lokomotīvi, t. i., lokomotīvi, kas veic ceļu viena pati.</w:t>
      </w:r>
    </w:p>
    <w:p w14:paraId="22F48272" w14:textId="77777777" w:rsidR="00E62252" w:rsidRPr="00E62252" w:rsidRDefault="00E62252" w:rsidP="00E62252">
      <w:pPr>
        <w:pStyle w:val="Style4"/>
        <w:spacing w:line="240" w:lineRule="auto"/>
        <w:jc w:val="both"/>
        <w:rPr>
          <w:rFonts w:cs="Times New Roman"/>
          <w:noProof/>
          <w:sz w:val="22"/>
          <w:szCs w:val="22"/>
          <w:lang w:val="en-US"/>
        </w:rPr>
      </w:pPr>
    </w:p>
    <w:p w14:paraId="193D1ADF" w14:textId="77777777" w:rsidR="00E62252" w:rsidRPr="00E62252" w:rsidRDefault="00E62252" w:rsidP="00E62252">
      <w:pPr>
        <w:pStyle w:val="Style4"/>
        <w:spacing w:line="240" w:lineRule="auto"/>
        <w:jc w:val="both"/>
        <w:rPr>
          <w:rFonts w:cs="Times New Roman"/>
          <w:noProof/>
          <w:sz w:val="22"/>
          <w:szCs w:val="22"/>
        </w:rPr>
      </w:pPr>
      <w:r>
        <w:rPr>
          <w:sz w:val="22"/>
        </w:rPr>
        <w:t>“</w:t>
      </w:r>
      <w:r>
        <w:rPr>
          <w:b/>
          <w:bCs/>
          <w:sz w:val="22"/>
        </w:rPr>
        <w:t>Vilciena nobraukšana no sliedēm</w:t>
      </w:r>
      <w:r>
        <w:rPr>
          <w:sz w:val="22"/>
        </w:rPr>
        <w:t>” ir katrs gadījums, kad vismaz viens vilciena ritenis nobrauc no sliedēm.</w:t>
      </w:r>
    </w:p>
    <w:p w14:paraId="583C8D1D"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4906B5D9" w14:textId="77777777" w:rsidTr="00F80365">
        <w:tc>
          <w:tcPr>
            <w:tcW w:w="5000" w:type="pct"/>
            <w:shd w:val="clear" w:color="auto" w:fill="D0ECFF" w:themeFill="text1" w:themeFillTint="1A"/>
          </w:tcPr>
          <w:p w14:paraId="25FE82E7"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2FF0AAF1" w14:textId="77777777" w:rsidR="00E62252" w:rsidRPr="00E62252" w:rsidRDefault="00E62252" w:rsidP="00F80365">
            <w:pPr>
              <w:jc w:val="both"/>
              <w:rPr>
                <w:rFonts w:ascii="Times New Roman" w:hAnsi="Times New Roman" w:cs="Times New Roman"/>
                <w:b/>
                <w:bCs/>
                <w:noProof/>
                <w:sz w:val="24"/>
                <w:szCs w:val="24"/>
                <w:u w:val="single"/>
                <w:lang w:val="en-US"/>
              </w:rPr>
            </w:pPr>
          </w:p>
          <w:p w14:paraId="3EDA9CEB"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Ietver arī gadījumus, kad ir notikusi uzcelšana atpakaļ uz sliedēm (ja negadījumi ir ievērojami).</w:t>
            </w:r>
          </w:p>
          <w:p w14:paraId="63C2B424" w14:textId="77777777" w:rsidR="00E62252" w:rsidRPr="00E62252" w:rsidRDefault="00E62252" w:rsidP="00F80365">
            <w:pPr>
              <w:jc w:val="both"/>
              <w:rPr>
                <w:rFonts w:ascii="Times New Roman" w:hAnsi="Times New Roman" w:cs="Times New Roman"/>
                <w:noProof/>
                <w:sz w:val="24"/>
                <w:szCs w:val="24"/>
                <w:lang w:val="en-US"/>
              </w:rPr>
            </w:pPr>
          </w:p>
          <w:p w14:paraId="3F85C1F0"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Nobraukšanu no sliedēm, kas mērķtiecīgi izraisīta, piemērojot drošības procedūras, lai reaģētu uz ārkārtas situāciju, klasificē kā “cits” negadījumu veids.</w:t>
            </w:r>
          </w:p>
          <w:p w14:paraId="096DED81" w14:textId="77777777" w:rsidR="00E62252" w:rsidRPr="00E62252" w:rsidRDefault="00E62252" w:rsidP="00F80365">
            <w:pPr>
              <w:jc w:val="both"/>
              <w:rPr>
                <w:rFonts w:ascii="Times New Roman" w:hAnsi="Times New Roman" w:cs="Times New Roman"/>
                <w:noProof/>
                <w:sz w:val="24"/>
                <w:szCs w:val="24"/>
                <w:lang w:val="en-US"/>
              </w:rPr>
            </w:pPr>
          </w:p>
          <w:p w14:paraId="593D351E"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Manevrus veicoša ritošā sastāva / apkopes mašīnas / </w:t>
            </w:r>
            <w:proofErr w:type="spellStart"/>
            <w:r>
              <w:rPr>
                <w:rFonts w:ascii="Times New Roman" w:hAnsi="Times New Roman"/>
                <w:sz w:val="24"/>
              </w:rPr>
              <w:t>ritekļa</w:t>
            </w:r>
            <w:proofErr w:type="spellEnd"/>
            <w:r>
              <w:rPr>
                <w:rFonts w:ascii="Times New Roman" w:hAnsi="Times New Roman"/>
                <w:sz w:val="24"/>
              </w:rPr>
              <w:t xml:space="preserve"> nobraukšanu no sliedēm klasificē kā “citu” negadījuma veidu.</w:t>
            </w:r>
          </w:p>
          <w:p w14:paraId="1C2BB623" w14:textId="77777777" w:rsidR="00E62252" w:rsidRPr="00E62252" w:rsidRDefault="00E62252" w:rsidP="00F80365">
            <w:pPr>
              <w:jc w:val="both"/>
              <w:rPr>
                <w:rFonts w:ascii="Times New Roman" w:hAnsi="Times New Roman" w:cs="Times New Roman"/>
                <w:noProof/>
                <w:sz w:val="24"/>
                <w:szCs w:val="24"/>
                <w:lang w:val="en-US"/>
              </w:rPr>
            </w:pPr>
          </w:p>
          <w:p w14:paraId="53F72851"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Sadursmes ar ritošo sastāvu / šķēršļiem, kam seko nobraukšana no sliedēm, nav iekļautas, un šādus notikumus klasificē kā sadursmes.</w:t>
            </w:r>
          </w:p>
          <w:p w14:paraId="4BD28FD4" w14:textId="77777777" w:rsidR="00E62252" w:rsidRPr="00E62252" w:rsidRDefault="00E62252" w:rsidP="00F80365">
            <w:pPr>
              <w:jc w:val="both"/>
              <w:rPr>
                <w:rFonts w:ascii="Times New Roman" w:hAnsi="Times New Roman" w:cs="Times New Roman"/>
                <w:noProof/>
                <w:sz w:val="24"/>
                <w:szCs w:val="24"/>
                <w:lang w:val="en-US"/>
              </w:rPr>
            </w:pPr>
          </w:p>
          <w:p w14:paraId="67E4A123"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Vilciena nobraukšanu no sliedēm, ko izraisa bremžu klucis, klasificē kā “nobraukšanu no sliedēm”.</w:t>
            </w:r>
          </w:p>
        </w:tc>
      </w:tr>
    </w:tbl>
    <w:p w14:paraId="217B2285"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149" w:name="_Toc61364272"/>
      <w:bookmarkStart w:id="150" w:name="_Toc61364521"/>
    </w:p>
    <w:p w14:paraId="0BE8163F"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151" w:name="_Toc134605585"/>
      <w:r>
        <w:rPr>
          <w:rFonts w:ascii="Times New Roman" w:hAnsi="Times New Roman"/>
          <w:sz w:val="24"/>
          <w:u w:val="none"/>
        </w:rPr>
        <w:t xml:space="preserve">10.2.2. </w:t>
      </w:r>
      <w:r>
        <w:rPr>
          <w:rFonts w:ascii="Times New Roman" w:hAnsi="Times New Roman"/>
          <w:sz w:val="24"/>
        </w:rPr>
        <w:t>Piemēri</w:t>
      </w:r>
      <w:bookmarkEnd w:id="149"/>
      <w:bookmarkEnd w:id="150"/>
      <w:bookmarkEnd w:id="151"/>
    </w:p>
    <w:p w14:paraId="61AA1EC4" w14:textId="77777777" w:rsidR="00E62252" w:rsidRPr="00E62252" w:rsidRDefault="00E62252" w:rsidP="00E62252">
      <w:pPr>
        <w:spacing w:after="0" w:line="240" w:lineRule="auto"/>
        <w:rPr>
          <w:noProof/>
          <w:lang w:val="en-US"/>
        </w:rPr>
      </w:pPr>
    </w:p>
    <w:p w14:paraId="566B21AA"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Vilcienu nobraukšana no sliedēm ar sekām, kas minētas 3. panta 12. punktā, ir obligāti jāizmeklē bez jebkādiem izņēmumiem. Izmeklēšana attiecībā uz citu vilciena nobraukšanu no sliedēm atbilstoši 20. panta 2. punktam ir nopietni jāapsver, jo pastāv augsts riska potenciāls.</w:t>
      </w:r>
    </w:p>
    <w:p w14:paraId="66F75624"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68444F0B" w14:textId="77777777" w:rsidTr="00F80365">
        <w:tc>
          <w:tcPr>
            <w:tcW w:w="5000" w:type="pct"/>
            <w:tcBorders>
              <w:top w:val="single" w:sz="4" w:space="0" w:color="094595" w:themeColor="text2"/>
              <w:left w:val="single" w:sz="4" w:space="0" w:color="094595" w:themeColor="text2"/>
              <w:bottom w:val="single" w:sz="4" w:space="0" w:color="094595" w:themeColor="text2"/>
              <w:right w:val="single" w:sz="4" w:space="0" w:color="094595" w:themeColor="text2"/>
            </w:tcBorders>
            <w:shd w:val="clear" w:color="auto" w:fill="FFF7D8" w:themeFill="accent6" w:themeFillTint="33"/>
          </w:tcPr>
          <w:p w14:paraId="39B085AF"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1. piemērs.</w:t>
            </w:r>
          </w:p>
          <w:p w14:paraId="440565E9"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1E238598"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Cs/>
                <w:noProof/>
                <w:kern w:val="0"/>
                <w:sz w:val="24"/>
                <w:szCs w:val="24"/>
              </w:rPr>
            </w:pPr>
            <w:r>
              <w:rPr>
                <w:rFonts w:ascii="Times New Roman" w:hAnsi="Times New Roman"/>
                <w:sz w:val="24"/>
              </w:rPr>
              <w:t>Divi kravas vilciena vagoni nobrauca no sliedēm uz posma.</w:t>
            </w:r>
          </w:p>
          <w:p w14:paraId="53C8EBEA"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Cs/>
                <w:noProof/>
                <w:kern w:val="0"/>
                <w:sz w:val="24"/>
                <w:szCs w:val="24"/>
                <w:lang w:val="en-US"/>
              </w:rPr>
            </w:pPr>
          </w:p>
          <w:p w14:paraId="5E0F45B9"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Bojāgājušo nebija. Sliežu ceļš tika iznīcināts 3500 m garā posmā, tika iznīcinātas divas pārmiju pārvedas. Aprēķinātais kaitējums bija 2 500 000 €.</w:t>
            </w:r>
          </w:p>
          <w:p w14:paraId="0AF2C29F"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1E20FD45"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u w:val="single"/>
              </w:rPr>
              <w:t>Šāda negadījuma izmeklēšana atbilstoši 20. panta 1. punktam</w:t>
            </w:r>
            <w:r>
              <w:rPr>
                <w:rFonts w:ascii="Times New Roman" w:hAnsi="Times New Roman"/>
                <w:sz w:val="24"/>
              </w:rPr>
              <w:t xml:space="preserve"> ir obligāta tādēļ, ka bija notikusi vilciena nobraukšana no sliedēm un tās rezultātā tika nodarīts kaitējums.</w:t>
            </w:r>
          </w:p>
          <w:p w14:paraId="72A0F9AF" w14:textId="77777777" w:rsidR="00E62252" w:rsidRPr="00E62252" w:rsidRDefault="00E62252" w:rsidP="00F80365">
            <w:pPr>
              <w:jc w:val="both"/>
              <w:rPr>
                <w:rFonts w:ascii="Times New Roman" w:hAnsi="Times New Roman" w:cs="Times New Roman"/>
                <w:noProof/>
                <w:sz w:val="24"/>
                <w:szCs w:val="24"/>
                <w:lang w:val="en-US"/>
              </w:rPr>
            </w:pPr>
          </w:p>
          <w:p w14:paraId="2497A291"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proofErr w:type="spellStart"/>
            <w:r>
              <w:rPr>
                <w:rFonts w:ascii="Times New Roman" w:hAnsi="Times New Roman"/>
                <w:i/>
                <w:iCs/>
                <w:sz w:val="24"/>
              </w:rPr>
              <w:t>NIB</w:t>
            </w:r>
            <w:proofErr w:type="spellEnd"/>
            <w:r>
              <w:rPr>
                <w:rFonts w:ascii="Times New Roman" w:hAnsi="Times New Roman"/>
                <w:sz w:val="24"/>
              </w:rPr>
              <w:t xml:space="preserve"> ir jāizmeklē šis negadījums. </w:t>
            </w:r>
          </w:p>
        </w:tc>
      </w:tr>
    </w:tbl>
    <w:p w14:paraId="1F9945F2"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81F9D18" w14:textId="77777777" w:rsidTr="00F80365">
        <w:tc>
          <w:tcPr>
            <w:tcW w:w="5000" w:type="pct"/>
            <w:shd w:val="clear" w:color="auto" w:fill="FFF7D8" w:themeFill="accent6" w:themeFillTint="33"/>
          </w:tcPr>
          <w:p w14:paraId="561D0C6F"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lastRenderedPageBreak/>
              <w:br w:type="page"/>
              <w:t>2. piemērs.</w:t>
            </w:r>
          </w:p>
          <w:p w14:paraId="3372EF04"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5B484D7C" w14:textId="77777777" w:rsidR="00E62252" w:rsidRPr="00E62252" w:rsidRDefault="00E62252" w:rsidP="00F80365">
            <w:pPr>
              <w:pStyle w:val="NormalTextTable"/>
              <w:jc w:val="both"/>
              <w:rPr>
                <w:rFonts w:ascii="Times New Roman" w:hAnsi="Times New Roman" w:cs="Times New Roman"/>
                <w:noProof/>
                <w:sz w:val="24"/>
                <w:szCs w:val="24"/>
              </w:rPr>
            </w:pPr>
            <w:r>
              <w:rPr>
                <w:rFonts w:ascii="Times New Roman" w:hAnsi="Times New Roman"/>
                <w:sz w:val="24"/>
              </w:rPr>
              <w:t>Divi kravas vilciena vagoni nobrauca no sliedēm uz posma. Neviens neguva miesas bojājumus, aprēķinātais kaitējums bija 25 000 €.</w:t>
            </w:r>
          </w:p>
          <w:p w14:paraId="7FD17080" w14:textId="77777777" w:rsidR="00E62252" w:rsidRPr="00E62252" w:rsidRDefault="00E62252" w:rsidP="00F80365">
            <w:pPr>
              <w:pStyle w:val="NormalTextTable"/>
              <w:jc w:val="both"/>
              <w:rPr>
                <w:rFonts w:ascii="Times New Roman" w:hAnsi="Times New Roman" w:cs="Times New Roman"/>
                <w:noProof/>
                <w:sz w:val="24"/>
                <w:szCs w:val="24"/>
                <w:lang w:val="en-US"/>
              </w:rPr>
            </w:pPr>
          </w:p>
          <w:p w14:paraId="20D5D244" w14:textId="77777777" w:rsidR="00E62252" w:rsidRPr="00E62252" w:rsidRDefault="00E62252" w:rsidP="00F80365">
            <w:pPr>
              <w:pStyle w:val="NormalTextTable"/>
              <w:jc w:val="both"/>
              <w:rPr>
                <w:rFonts w:ascii="Times New Roman" w:hAnsi="Times New Roman" w:cs="Times New Roman"/>
                <w:noProof/>
                <w:sz w:val="24"/>
                <w:szCs w:val="24"/>
                <w:u w:val="single"/>
              </w:rPr>
            </w:pPr>
            <w:r>
              <w:rPr>
                <w:rFonts w:ascii="Times New Roman" w:hAnsi="Times New Roman"/>
                <w:sz w:val="24"/>
                <w:u w:val="single"/>
              </w:rPr>
              <w:t>Šā negadījuma izmeklēšana atbilstoši 20. panta 1. punktam nav obligāta.</w:t>
            </w:r>
          </w:p>
          <w:p w14:paraId="45F0469B" w14:textId="77777777" w:rsidR="00E62252" w:rsidRPr="00E62252" w:rsidRDefault="00E62252" w:rsidP="00F80365">
            <w:pPr>
              <w:pStyle w:val="NormalTextTable"/>
              <w:jc w:val="both"/>
              <w:rPr>
                <w:rFonts w:ascii="Times New Roman" w:hAnsi="Times New Roman" w:cs="Times New Roman"/>
                <w:noProof/>
                <w:sz w:val="24"/>
                <w:szCs w:val="24"/>
                <w:lang w:val="en-US"/>
              </w:rPr>
            </w:pPr>
          </w:p>
          <w:p w14:paraId="2DD18239" w14:textId="77777777" w:rsidR="00E62252" w:rsidRPr="00E62252" w:rsidRDefault="00E62252" w:rsidP="00F80365">
            <w:pPr>
              <w:pStyle w:val="NormalTextTable"/>
              <w:jc w:val="both"/>
              <w:rPr>
                <w:rFonts w:ascii="Times New Roman" w:hAnsi="Times New Roman" w:cs="Times New Roman"/>
                <w:noProof/>
                <w:color w:val="002034" w:themeColor="text1"/>
                <w:sz w:val="24"/>
                <w:szCs w:val="24"/>
              </w:rPr>
            </w:pPr>
            <w:r>
              <w:rPr>
                <w:rFonts w:ascii="Times New Roman" w:hAnsi="Times New Roman"/>
                <w:sz w:val="24"/>
              </w:rPr>
              <w:t>Tomēr jāpārbauda, vai izmeklēšana atbilstoši 20. panta 2. punktam var būt lietderīga tādēļ, ka pastāv augsts smaga negadījuma risks.</w:t>
            </w:r>
          </w:p>
          <w:p w14:paraId="597D9D59"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430A349A"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Tostarp varētu pārbaudīt infrastruktūras stāvokli un tehniskās apkopes pasākumus, vagonu riteņu stāvokli un tehniskās apkopes pasākumus utt.</w:t>
            </w:r>
          </w:p>
          <w:p w14:paraId="7990C68B" w14:textId="77777777" w:rsidR="00E62252" w:rsidRPr="00E62252" w:rsidRDefault="00E62252" w:rsidP="00F80365">
            <w:pPr>
              <w:pStyle w:val="NormalTextTable"/>
              <w:jc w:val="both"/>
              <w:rPr>
                <w:rFonts w:ascii="Times New Roman" w:hAnsi="Times New Roman" w:cs="Times New Roman"/>
                <w:noProof/>
                <w:color w:val="002034" w:themeColor="text1"/>
                <w:sz w:val="24"/>
                <w:szCs w:val="24"/>
                <w:lang w:val="en-US"/>
              </w:rPr>
            </w:pPr>
          </w:p>
          <w:p w14:paraId="421DB117" w14:textId="77777777" w:rsidR="00E62252" w:rsidRPr="00E62252" w:rsidRDefault="00E62252" w:rsidP="00F80365">
            <w:pPr>
              <w:jc w:val="both"/>
              <w:rPr>
                <w:rFonts w:ascii="Times New Roman" w:eastAsia="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tc>
      </w:tr>
    </w:tbl>
    <w:p w14:paraId="3FDA5E1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58FF3C24" w14:textId="77777777" w:rsidTr="00F80365">
        <w:tc>
          <w:tcPr>
            <w:tcW w:w="5000" w:type="pct"/>
            <w:shd w:val="clear" w:color="auto" w:fill="FFF7D8" w:themeFill="accent6" w:themeFillTint="33"/>
          </w:tcPr>
          <w:p w14:paraId="37594172"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3. piemērs.</w:t>
            </w:r>
          </w:p>
          <w:p w14:paraId="7630941E"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b/>
                <w:noProof/>
                <w:kern w:val="0"/>
                <w:sz w:val="24"/>
                <w:szCs w:val="24"/>
                <w:u w:val="single"/>
                <w:lang w:val="en-US"/>
              </w:rPr>
            </w:pPr>
          </w:p>
          <w:p w14:paraId="40AF3DB5"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Divi kravas vilciena vagoni nobrauca no sliedēm. Nobraukšanu no sliedēm bija pamanījis dzelzceļa dispečers, kurš nekavējoties par to informēja vilces līdzekļa vadītāju (mašīnistu). Neviens cilvēks neguva miesas bojājumus; aprēķinātais kaitējums bija 25 000 €. Dzelzceļa dispečers spēja pamanīt nobraukšanu no sliedēm tikai tāpēc, ka tas notika tieši viņa kabineta priekšā. Var pieņemt, ka citā gadījumā kaitējums būtu bijis daudz lielāks un varētu būt ievainotas personas.</w:t>
            </w:r>
          </w:p>
          <w:p w14:paraId="1DDF1782" w14:textId="77777777" w:rsidR="00E62252" w:rsidRPr="00E62252" w:rsidRDefault="00E62252" w:rsidP="00F80365">
            <w:pPr>
              <w:jc w:val="both"/>
              <w:rPr>
                <w:rFonts w:ascii="Times New Roman" w:hAnsi="Times New Roman" w:cs="Times New Roman"/>
                <w:noProof/>
                <w:sz w:val="24"/>
                <w:szCs w:val="24"/>
                <w:lang w:val="en-US"/>
              </w:rPr>
            </w:pPr>
          </w:p>
          <w:p w14:paraId="12958609" w14:textId="77777777" w:rsidR="00E62252" w:rsidRPr="00E62252" w:rsidRDefault="00E62252" w:rsidP="00F80365">
            <w:pPr>
              <w:pStyle w:val="NormalTextTable"/>
              <w:jc w:val="both"/>
              <w:rPr>
                <w:rFonts w:ascii="Times New Roman" w:hAnsi="Times New Roman" w:cs="Times New Roman"/>
                <w:noProof/>
                <w:sz w:val="24"/>
                <w:szCs w:val="24"/>
                <w:u w:val="single"/>
              </w:rPr>
            </w:pPr>
            <w:r>
              <w:rPr>
                <w:rFonts w:ascii="Times New Roman" w:hAnsi="Times New Roman"/>
                <w:sz w:val="24"/>
                <w:u w:val="single"/>
              </w:rPr>
              <w:t>Šā negadījuma izmeklēšana atbilstoši 20. panta 1. punktam nav obligāta.</w:t>
            </w:r>
          </w:p>
          <w:p w14:paraId="0D43B667"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79B94A8E" w14:textId="77777777" w:rsidR="00E62252" w:rsidRPr="00E62252" w:rsidRDefault="00E62252" w:rsidP="00F80365">
            <w:pPr>
              <w:pStyle w:val="NormalTextTable"/>
              <w:jc w:val="both"/>
              <w:rPr>
                <w:rFonts w:ascii="Times New Roman" w:hAnsi="Times New Roman" w:cs="Times New Roman"/>
                <w:noProof/>
                <w:color w:val="002034" w:themeColor="text1"/>
                <w:sz w:val="24"/>
                <w:szCs w:val="24"/>
              </w:rPr>
            </w:pPr>
            <w:r>
              <w:rPr>
                <w:rFonts w:ascii="Times New Roman" w:hAnsi="Times New Roman"/>
                <w:sz w:val="24"/>
              </w:rPr>
              <w:t xml:space="preserve">Tomēr jāpārbauda, vai izmeklēšana atbilstoši 20. panta 2. punktam var būt lietderīga tādēļ, ka pastāv augsts smaga negadījuma risks. </w:t>
            </w:r>
            <w:r>
              <w:rPr>
                <w:rFonts w:ascii="Times New Roman" w:hAnsi="Times New Roman"/>
                <w:color w:val="002034" w:themeColor="text1"/>
                <w:sz w:val="24"/>
              </w:rPr>
              <w:t>Nobraukšanas no sliedēm novērošanu var uzskatīt par īpašu, veiksmīgu apstākli, kas varēja būt tiešs iemesls tam, kādēļ šim notikumam nebija smagu seku.</w:t>
            </w:r>
          </w:p>
          <w:p w14:paraId="546E322E"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color w:val="002034" w:themeColor="text1"/>
                <w:sz w:val="24"/>
                <w:szCs w:val="24"/>
                <w:lang w:val="en-US"/>
              </w:rPr>
            </w:pPr>
          </w:p>
          <w:p w14:paraId="2287EDA6"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rPr>
            </w:pPr>
            <w:r>
              <w:rPr>
                <w:rFonts w:ascii="Times New Roman" w:hAnsi="Times New Roman"/>
                <w:sz w:val="24"/>
              </w:rPr>
              <w:t>Tostarp varētu pārbaudīt būtiskus faktorus satiksmes vadības laikā stacijā, infrastruktūras stāvokli un tehniskās apkopes pasākumus, vagonu riteņu stāvokli un tehniskās apkopes pasākumus utt.</w:t>
            </w:r>
          </w:p>
          <w:p w14:paraId="53B4B219" w14:textId="77777777" w:rsidR="00E62252" w:rsidRPr="00E62252" w:rsidRDefault="00E62252" w:rsidP="00F80365">
            <w:pPr>
              <w:pStyle w:val="BodyText"/>
              <w:spacing w:before="0" w:beforeAutospacing="0" w:afterAutospacing="0"/>
              <w:ind w:left="0" w:firstLine="0"/>
              <w:jc w:val="both"/>
              <w:rPr>
                <w:rFonts w:ascii="Times New Roman" w:hAnsi="Times New Roman" w:cs="Times New Roman"/>
                <w:noProof/>
                <w:kern w:val="0"/>
                <w:sz w:val="24"/>
                <w:szCs w:val="24"/>
                <w:lang w:val="en-US"/>
              </w:rPr>
            </w:pPr>
          </w:p>
          <w:p w14:paraId="56215D25"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 xml:space="preserve">Lēmumu par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p>
        </w:tc>
      </w:tr>
    </w:tbl>
    <w:p w14:paraId="52B319E7"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BF5912E"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6448BCF0" w14:textId="77777777" w:rsidTr="00F80365">
        <w:tc>
          <w:tcPr>
            <w:tcW w:w="5000" w:type="pct"/>
            <w:shd w:val="clear" w:color="auto" w:fill="FFF7D8" w:themeFill="accent6" w:themeFillTint="33"/>
          </w:tcPr>
          <w:p w14:paraId="56CF5884"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lastRenderedPageBreak/>
              <w:t>4. piemērs.</w:t>
            </w:r>
          </w:p>
          <w:p w14:paraId="6B83B2BE" w14:textId="77777777" w:rsidR="00E62252" w:rsidRPr="00E62252" w:rsidRDefault="00E62252" w:rsidP="00F80365">
            <w:pPr>
              <w:jc w:val="both"/>
              <w:rPr>
                <w:rFonts w:ascii="Times New Roman" w:hAnsi="Times New Roman" w:cs="Times New Roman"/>
                <w:b/>
                <w:bCs/>
                <w:noProof/>
                <w:sz w:val="24"/>
                <w:szCs w:val="24"/>
                <w:u w:val="single"/>
                <w:lang w:val="en-US"/>
              </w:rPr>
            </w:pPr>
          </w:p>
          <w:p w14:paraId="366D075A"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Salūzuša riteņa dēļ tunelī no sliedēm nobrauca astoņi pasažieru vilciena vagoni. Vilciens, kas tika izmantots kreisās puses satiksmē, nobrauca no sliedēm uz kreiso pusi, bet neapgāzās, jo atspiedās pret tuneļa sienu. Pēc dažām sekundēm garām pretējā virzienā brauca vilciens, bet sadursme ar tā vilciena daļām, kas bija nobraucis no sliedēm, nenotika. Neviens neguva smagus miesas bojājumus. Neviens netika nogalināts, kā arī neguva smagus miesas bojājumus, un kaitējuma apmērs bija mazāks par 2 miljoniem eiro.</w:t>
            </w:r>
          </w:p>
          <w:p w14:paraId="0FBFE9EE" w14:textId="77777777" w:rsidR="00E62252" w:rsidRPr="00E62252" w:rsidRDefault="00E62252" w:rsidP="00F80365">
            <w:pPr>
              <w:jc w:val="both"/>
              <w:rPr>
                <w:rFonts w:ascii="Times New Roman" w:hAnsi="Times New Roman" w:cs="Times New Roman"/>
                <w:noProof/>
                <w:sz w:val="24"/>
                <w:szCs w:val="24"/>
                <w:lang w:val="en-US"/>
              </w:rPr>
            </w:pPr>
          </w:p>
          <w:p w14:paraId="507E07F5" w14:textId="77777777" w:rsidR="00E62252" w:rsidRPr="00E62252" w:rsidRDefault="00E62252" w:rsidP="00F80365">
            <w:pPr>
              <w:pStyle w:val="NormalTextTable"/>
              <w:jc w:val="both"/>
              <w:rPr>
                <w:rFonts w:ascii="Times New Roman" w:hAnsi="Times New Roman" w:cs="Times New Roman"/>
                <w:noProof/>
                <w:sz w:val="24"/>
                <w:szCs w:val="24"/>
                <w:u w:val="single"/>
              </w:rPr>
            </w:pPr>
            <w:r>
              <w:rPr>
                <w:rFonts w:ascii="Times New Roman" w:hAnsi="Times New Roman"/>
                <w:sz w:val="24"/>
                <w:u w:val="single"/>
              </w:rPr>
              <w:t>Šā negadījuma izmeklēšana atbilstoši 20. panta 1. punktam nav obligāta.</w:t>
            </w:r>
          </w:p>
          <w:p w14:paraId="0E041A33" w14:textId="77777777" w:rsidR="00E62252" w:rsidRPr="00E62252" w:rsidRDefault="00E62252" w:rsidP="00F80365">
            <w:pPr>
              <w:jc w:val="both"/>
              <w:rPr>
                <w:rFonts w:ascii="Times New Roman" w:hAnsi="Times New Roman" w:cs="Times New Roman"/>
                <w:noProof/>
                <w:sz w:val="24"/>
                <w:szCs w:val="24"/>
                <w:lang w:val="en-US"/>
              </w:rPr>
            </w:pPr>
          </w:p>
          <w:p w14:paraId="4E6DC1FC" w14:textId="77777777" w:rsidR="00E62252" w:rsidRPr="00E62252" w:rsidRDefault="00E62252" w:rsidP="00F80365">
            <w:pPr>
              <w:jc w:val="both"/>
              <w:rPr>
                <w:rFonts w:ascii="Times New Roman" w:hAnsi="Times New Roman" w:cs="Times New Roman"/>
                <w:noProof/>
                <w:color w:val="002034" w:themeColor="text1"/>
                <w:sz w:val="24"/>
                <w:szCs w:val="24"/>
              </w:rPr>
            </w:pPr>
            <w:r>
              <w:rPr>
                <w:rFonts w:ascii="Times New Roman" w:hAnsi="Times New Roman"/>
                <w:sz w:val="24"/>
              </w:rPr>
              <w:t xml:space="preserve">Tomēr jāpārbauda, vai izmeklēšana atbilstoši 20. panta 2. punktam var būt lietderīga tādēļ, ka pastāv augsts smaga negadījuma risks. </w:t>
            </w:r>
            <w:r>
              <w:rPr>
                <w:rFonts w:ascii="Times New Roman" w:hAnsi="Times New Roman"/>
                <w:color w:val="002034" w:themeColor="text1"/>
                <w:sz w:val="24"/>
              </w:rPr>
              <w:t>Nobraukšanas no sliedēm virzienu var uzskatīt par “nejaušības” apstākli. Nobraukšana no sliedēm būtu izraisījusi smagu negadījumu, ja šis viens apstāklis atšķirtos.</w:t>
            </w:r>
          </w:p>
          <w:p w14:paraId="63B7C7DF" w14:textId="77777777" w:rsidR="00E62252" w:rsidRPr="00E62252" w:rsidRDefault="00E62252" w:rsidP="00F80365">
            <w:pPr>
              <w:jc w:val="both"/>
              <w:rPr>
                <w:rFonts w:ascii="Times New Roman" w:hAnsi="Times New Roman" w:cs="Times New Roman"/>
                <w:noProof/>
                <w:color w:val="002034" w:themeColor="text1"/>
                <w:sz w:val="24"/>
                <w:szCs w:val="24"/>
                <w:highlight w:val="cyan"/>
                <w:lang w:val="en-US"/>
              </w:rPr>
            </w:pPr>
          </w:p>
          <w:p w14:paraId="1C7BA25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Tostarp varētu pārbaudīt vagonu riteņu stāvokli un tehniskās apkopes pasākumus, veikt salauztā riteņa pārbaudi pie metalurģijas speciālistiem utt.</w:t>
            </w:r>
          </w:p>
          <w:p w14:paraId="4E106FEC" w14:textId="77777777" w:rsidR="00E62252" w:rsidRPr="00E62252" w:rsidRDefault="00E62252" w:rsidP="00F80365">
            <w:pPr>
              <w:jc w:val="both"/>
              <w:rPr>
                <w:rFonts w:ascii="Times New Roman" w:hAnsi="Times New Roman" w:cs="Times New Roman"/>
                <w:noProof/>
                <w:sz w:val="24"/>
                <w:szCs w:val="24"/>
                <w:lang w:val="en-US"/>
              </w:rPr>
            </w:pPr>
          </w:p>
          <w:p w14:paraId="67A29C08"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 xml:space="preserve">Lēmumu par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p>
        </w:tc>
      </w:tr>
    </w:tbl>
    <w:p w14:paraId="558541D1"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187E313D" w14:textId="77777777" w:rsidTr="00F80365">
        <w:tc>
          <w:tcPr>
            <w:tcW w:w="5000" w:type="pct"/>
            <w:tcBorders>
              <w:top w:val="single" w:sz="4" w:space="0" w:color="094595" w:themeColor="text2"/>
              <w:left w:val="single" w:sz="4" w:space="0" w:color="094595" w:themeColor="text2"/>
              <w:bottom w:val="single" w:sz="4" w:space="0" w:color="094595" w:themeColor="text2"/>
              <w:right w:val="single" w:sz="4" w:space="0" w:color="094595" w:themeColor="text2"/>
            </w:tcBorders>
            <w:shd w:val="clear" w:color="auto" w:fill="FFF7D8" w:themeFill="accent6" w:themeFillTint="33"/>
          </w:tcPr>
          <w:p w14:paraId="743AC7B7"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5. piemērs.</w:t>
            </w:r>
          </w:p>
          <w:p w14:paraId="0E0C9AB0" w14:textId="77777777" w:rsidR="00E62252" w:rsidRPr="00E62252" w:rsidRDefault="00E62252" w:rsidP="00F80365">
            <w:pPr>
              <w:jc w:val="both"/>
              <w:rPr>
                <w:rFonts w:ascii="Times New Roman" w:hAnsi="Times New Roman" w:cs="Times New Roman"/>
                <w:b/>
                <w:bCs/>
                <w:noProof/>
                <w:sz w:val="24"/>
                <w:szCs w:val="24"/>
                <w:u w:val="single"/>
                <w:lang w:val="en-US"/>
              </w:rPr>
            </w:pPr>
          </w:p>
          <w:p w14:paraId="1497184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Reģionālā kravas vilciena pirmie ratiņi, pārvietojoties ar nelielu ātrumu pa </w:t>
            </w:r>
            <w:proofErr w:type="spellStart"/>
            <w:r>
              <w:rPr>
                <w:rFonts w:ascii="Times New Roman" w:hAnsi="Times New Roman"/>
                <w:sz w:val="24"/>
              </w:rPr>
              <w:t>vienceļa</w:t>
            </w:r>
            <w:proofErr w:type="spellEnd"/>
            <w:r>
              <w:rPr>
                <w:rFonts w:ascii="Times New Roman" w:hAnsi="Times New Roman"/>
                <w:sz w:val="24"/>
              </w:rPr>
              <w:t xml:space="preserve"> līniju, sniega apstākļu dēļ nobrauca no sliedēm. Sliežu lāgojuma dēļ parasti ātrums šajā līnijā ir ierobežots līdz 40 km/h. Šajā līnijā nekursē pasažieru vilcieni.</w:t>
            </w:r>
          </w:p>
          <w:p w14:paraId="038BE498" w14:textId="77777777" w:rsidR="00E62252" w:rsidRPr="00E62252" w:rsidRDefault="00E62252" w:rsidP="00F80365">
            <w:pPr>
              <w:jc w:val="both"/>
              <w:rPr>
                <w:rFonts w:ascii="Times New Roman" w:hAnsi="Times New Roman" w:cs="Times New Roman"/>
                <w:noProof/>
                <w:sz w:val="24"/>
                <w:szCs w:val="24"/>
                <w:lang w:val="en-US"/>
              </w:rPr>
            </w:pPr>
          </w:p>
          <w:p w14:paraId="28CD4B8D" w14:textId="77777777" w:rsidR="00E62252" w:rsidRPr="00E62252" w:rsidRDefault="00E62252" w:rsidP="00F80365">
            <w:pPr>
              <w:pStyle w:val="NormalTextTable"/>
              <w:jc w:val="both"/>
              <w:rPr>
                <w:rFonts w:ascii="Times New Roman" w:hAnsi="Times New Roman" w:cs="Times New Roman"/>
                <w:noProof/>
                <w:sz w:val="24"/>
                <w:szCs w:val="24"/>
                <w:u w:val="single"/>
              </w:rPr>
            </w:pPr>
            <w:r>
              <w:rPr>
                <w:rFonts w:ascii="Times New Roman" w:hAnsi="Times New Roman"/>
                <w:sz w:val="24"/>
                <w:u w:val="single"/>
              </w:rPr>
              <w:t>Šā negadījuma izmeklēšana atbilstoši 20. panta 1. punktam nav obligāta.</w:t>
            </w:r>
          </w:p>
          <w:p w14:paraId="66D819C4" w14:textId="77777777" w:rsidR="00E62252" w:rsidRPr="00E62252" w:rsidRDefault="00E62252" w:rsidP="00F80365">
            <w:pPr>
              <w:jc w:val="both"/>
              <w:rPr>
                <w:rFonts w:ascii="Times New Roman" w:hAnsi="Times New Roman" w:cs="Times New Roman"/>
                <w:noProof/>
                <w:sz w:val="24"/>
                <w:szCs w:val="24"/>
                <w:lang w:val="en-US"/>
              </w:rPr>
            </w:pPr>
          </w:p>
          <w:p w14:paraId="0B61613A"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tādēļ, ka pastāv augsts smaga negadījuma risks.</w:t>
            </w:r>
          </w:p>
          <w:p w14:paraId="31DBAC90" w14:textId="77777777" w:rsidR="00E62252" w:rsidRPr="00E62252" w:rsidRDefault="00E62252" w:rsidP="00F80365">
            <w:pPr>
              <w:jc w:val="both"/>
              <w:rPr>
                <w:rFonts w:ascii="Times New Roman" w:hAnsi="Times New Roman" w:cs="Times New Roman"/>
                <w:i/>
                <w:noProof/>
                <w:color w:val="002034" w:themeColor="text1"/>
                <w:sz w:val="24"/>
                <w:szCs w:val="24"/>
                <w:lang w:val="en-US"/>
              </w:rPr>
            </w:pPr>
          </w:p>
          <w:p w14:paraId="5377D685" w14:textId="77777777" w:rsidR="00E62252" w:rsidRPr="00E62252" w:rsidRDefault="00E62252" w:rsidP="00F80365">
            <w:pPr>
              <w:pStyle w:val="NormalTextTable"/>
              <w:jc w:val="both"/>
              <w:rPr>
                <w:rFonts w:ascii="Times New Roman" w:hAnsi="Times New Roman" w:cs="Times New Roman"/>
                <w:noProof/>
                <w:sz w:val="24"/>
                <w:szCs w:val="24"/>
              </w:rPr>
            </w:pPr>
            <w:r>
              <w:rPr>
                <w:rFonts w:ascii="Times New Roman" w:hAnsi="Times New Roman"/>
                <w:sz w:val="24"/>
              </w:rPr>
              <w:t xml:space="preserve">Var pārbaudīt to, kā </w:t>
            </w:r>
            <w:proofErr w:type="spellStart"/>
            <w:r>
              <w:rPr>
                <w:rFonts w:ascii="Times New Roman" w:hAnsi="Times New Roman"/>
                <w:i/>
                <w:iCs/>
                <w:sz w:val="24"/>
              </w:rPr>
              <w:t>RU</w:t>
            </w:r>
            <w:proofErr w:type="spellEnd"/>
            <w:r>
              <w:rPr>
                <w:rFonts w:ascii="Times New Roman" w:hAnsi="Times New Roman"/>
                <w:sz w:val="24"/>
              </w:rPr>
              <w:t xml:space="preserve"> un </w:t>
            </w:r>
            <w:proofErr w:type="spellStart"/>
            <w:r>
              <w:rPr>
                <w:rFonts w:ascii="Times New Roman" w:hAnsi="Times New Roman"/>
                <w:i/>
                <w:iCs/>
                <w:sz w:val="24"/>
              </w:rPr>
              <w:t>IM</w:t>
            </w:r>
            <w:proofErr w:type="spellEnd"/>
            <w:r>
              <w:rPr>
                <w:rFonts w:ascii="Times New Roman" w:hAnsi="Times New Roman"/>
                <w:sz w:val="24"/>
              </w:rPr>
              <w:t xml:space="preserve"> savās drošības pārvaldības sistēmās mazina snigšanas radīto risku.</w:t>
            </w:r>
          </w:p>
          <w:p w14:paraId="376D8DB9" w14:textId="77777777" w:rsidR="00E62252" w:rsidRPr="00E62252" w:rsidRDefault="00E62252" w:rsidP="00F80365">
            <w:pPr>
              <w:pStyle w:val="NormalTextTable"/>
              <w:jc w:val="both"/>
              <w:rPr>
                <w:rFonts w:ascii="Times New Roman" w:hAnsi="Times New Roman" w:cs="Times New Roman"/>
                <w:noProof/>
                <w:sz w:val="24"/>
                <w:szCs w:val="24"/>
                <w:lang w:val="en-US"/>
              </w:rPr>
            </w:pPr>
          </w:p>
          <w:p w14:paraId="00E2D125"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 xml:space="preserve">Lēmumu par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p>
        </w:tc>
      </w:tr>
    </w:tbl>
    <w:p w14:paraId="3C33BEDD"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82DF120"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152" w:name="_Ref277606576"/>
      <w:bookmarkStart w:id="153" w:name="_Ref277606633"/>
      <w:bookmarkStart w:id="154" w:name="_Toc290015930"/>
      <w:bookmarkStart w:id="155" w:name="_Toc40340084"/>
      <w:r>
        <w:br w:type="page"/>
      </w:r>
    </w:p>
    <w:p w14:paraId="058829B4"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56" w:name="_Toc61364273"/>
      <w:bookmarkStart w:id="157" w:name="_Toc61364522"/>
      <w:bookmarkStart w:id="158" w:name="_Toc102478565"/>
      <w:bookmarkStart w:id="159" w:name="_Toc134605586"/>
      <w:r>
        <w:rPr>
          <w:rFonts w:ascii="Times New Roman" w:hAnsi="Times New Roman"/>
          <w:sz w:val="24"/>
        </w:rPr>
        <w:lastRenderedPageBreak/>
        <w:t>10. 3. Negadījumi uz pārbrauktuvēm</w:t>
      </w:r>
      <w:bookmarkStart w:id="160" w:name="_Toc270594876"/>
      <w:bookmarkStart w:id="161" w:name="_Toc270594821"/>
      <w:bookmarkStart w:id="162" w:name="_Toc270594756"/>
      <w:bookmarkStart w:id="163" w:name="_Toc269979010"/>
      <w:bookmarkStart w:id="164" w:name="_Toc269979007"/>
      <w:bookmarkStart w:id="165" w:name="_Toc269806169"/>
      <w:bookmarkStart w:id="166" w:name="_Toc267038297"/>
      <w:bookmarkStart w:id="167" w:name="_Toc267038296"/>
      <w:bookmarkStart w:id="168" w:name="_Toc267038295"/>
      <w:bookmarkStart w:id="169" w:name="_Toc267038294"/>
      <w:bookmarkStart w:id="170" w:name="_Toc267038293"/>
      <w:bookmarkStart w:id="171" w:name="_Toc267038292"/>
      <w:bookmarkStart w:id="172" w:name="_Toc267038291"/>
      <w:bookmarkStart w:id="173" w:name="_Toc267038290"/>
      <w:bookmarkStart w:id="174" w:name="_Toc267038289"/>
      <w:bookmarkStart w:id="175" w:name="_Toc26703828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3B48008" w14:textId="77777777" w:rsidR="00E62252" w:rsidRPr="00E62252" w:rsidRDefault="00E62252" w:rsidP="00E62252">
      <w:pPr>
        <w:spacing w:after="0" w:line="240" w:lineRule="auto"/>
        <w:rPr>
          <w:noProof/>
          <w:lang w:val="en-US"/>
        </w:rPr>
      </w:pPr>
    </w:p>
    <w:p w14:paraId="4EA0A219"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Negadījumi uz pārbrauktuvēm ir jāizmeklē, ja:</w:t>
      </w:r>
    </w:p>
    <w:p w14:paraId="03778834"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1BB0F4AE"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 xml:space="preserve">tajos bojā gājusi vismaz viena persona vai nodarīti smagi miesas bojājumi vismaz piecām personām, vai radīts liels kaitējums </w:t>
      </w:r>
      <w:r>
        <w:rPr>
          <w:rFonts w:ascii="Times New Roman" w:hAnsi="Times New Roman"/>
          <w:b/>
          <w:bCs/>
          <w:sz w:val="24"/>
        </w:rPr>
        <w:t>un</w:t>
      </w:r>
    </w:p>
    <w:p w14:paraId="6EA77D1E"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negadījumam ir acīmredzama ietekme uz dzelzceļa drošības regulēšanu vai drošības pārvaldību.</w:t>
      </w:r>
    </w:p>
    <w:p w14:paraId="2A77D3CC"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5205022A"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Negadījumiem uz pārbrauktuvēm ir acīmredzama ietekme uz dzelzceļa drošības regulēšanu vai drošības pārvaldību, ja:</w:t>
      </w:r>
    </w:p>
    <w:p w14:paraId="2530E2E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F7E2D28"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b/>
          <w:bCs/>
          <w:sz w:val="24"/>
        </w:rPr>
        <w:t>negadījuma</w:t>
      </w:r>
      <w:r>
        <w:rPr>
          <w:rFonts w:ascii="Times New Roman" w:hAnsi="Times New Roman"/>
          <w:sz w:val="24"/>
        </w:rPr>
        <w:t xml:space="preserve"> iemesls acīmredzami bija nepilnības dzelzceļa sistēmā (piemēram, infrastruktūras ierīču vai ritošā sastāva tehniskās kļūmes, personāls, kas neievēro procedūras, nepilnības drošības pārvaldības sistēmā utt.);</w:t>
      </w:r>
    </w:p>
    <w:p w14:paraId="069744EE"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b/>
          <w:bCs/>
          <w:sz w:val="24"/>
        </w:rPr>
        <w:t>sekas</w:t>
      </w:r>
      <w:r>
        <w:rPr>
          <w:rFonts w:ascii="Times New Roman" w:hAnsi="Times New Roman"/>
          <w:sz w:val="24"/>
        </w:rPr>
        <w:t xml:space="preserve"> acīmredzami bija radušās dzelzceļa sistēmas trūkumu dēļ (piemēram, ritošā sastāva konstrukcijas problēmas, nefunkcionējoši operatīvās rīcības plāni utt.).</w:t>
      </w:r>
    </w:p>
    <w:p w14:paraId="743C196D"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40A868ED"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176" w:name="_Toc40340085"/>
      <w:bookmarkStart w:id="177" w:name="_Toc61364274"/>
      <w:bookmarkStart w:id="178" w:name="_Toc61364523"/>
      <w:bookmarkStart w:id="179" w:name="_Toc134605587"/>
      <w:r>
        <w:rPr>
          <w:rFonts w:ascii="Times New Roman" w:hAnsi="Times New Roman"/>
          <w:sz w:val="24"/>
          <w:u w:val="none"/>
        </w:rPr>
        <w:t xml:space="preserve">10. 3.1. </w:t>
      </w:r>
      <w:r>
        <w:rPr>
          <w:rFonts w:ascii="Times New Roman" w:hAnsi="Times New Roman"/>
          <w:sz w:val="24"/>
        </w:rPr>
        <w:t>Definīcijas</w:t>
      </w:r>
      <w:bookmarkEnd w:id="176"/>
      <w:bookmarkEnd w:id="177"/>
      <w:bookmarkEnd w:id="178"/>
      <w:bookmarkEnd w:id="179"/>
    </w:p>
    <w:p w14:paraId="17CE2F88" w14:textId="77777777" w:rsidR="00E62252" w:rsidRPr="00E62252" w:rsidRDefault="00E62252" w:rsidP="00E62252">
      <w:pPr>
        <w:spacing w:after="0" w:line="240" w:lineRule="auto"/>
        <w:rPr>
          <w:noProof/>
          <w:lang w:val="en-US"/>
        </w:rPr>
      </w:pPr>
    </w:p>
    <w:p w14:paraId="5C02294E" w14:textId="77777777" w:rsidR="00E62252" w:rsidRPr="00E62252" w:rsidRDefault="00E62252" w:rsidP="00E62252">
      <w:pPr>
        <w:pStyle w:val="Style5"/>
        <w:spacing w:line="240" w:lineRule="auto"/>
        <w:jc w:val="both"/>
        <w:rPr>
          <w:rFonts w:cs="Times New Roman"/>
          <w:noProof/>
          <w:sz w:val="22"/>
          <w:szCs w:val="22"/>
        </w:rPr>
      </w:pPr>
      <w:r>
        <w:rPr>
          <w:sz w:val="22"/>
        </w:rPr>
        <w:t>“</w:t>
      </w:r>
      <w:r>
        <w:rPr>
          <w:b/>
          <w:bCs/>
          <w:sz w:val="22"/>
        </w:rPr>
        <w:t>Negadījums uz pārbrauktuves</w:t>
      </w:r>
      <w:r>
        <w:rPr>
          <w:sz w:val="22"/>
        </w:rPr>
        <w:t xml:space="preserve">” ir tāds negadījums uz pārbrauktuves, kurā iesaistīts vismaz viens dzelzceļa </w:t>
      </w:r>
      <w:proofErr w:type="spellStart"/>
      <w:r>
        <w:rPr>
          <w:sz w:val="22"/>
        </w:rPr>
        <w:t>riteklis</w:t>
      </w:r>
      <w:proofErr w:type="spellEnd"/>
      <w:r>
        <w:rPr>
          <w:sz w:val="22"/>
        </w:rPr>
        <w:t xml:space="preserve"> un viens vai vairāki pārbrauktuvi šķērsojoši transportlīdzekļi, citi pārbrauktuves lietotāji, piemēram, gājēji, vai citi objekti, kas īslaicīgi atrodas uz sliežu ceļiem vai to tuvumā, ja tur tos pazaudējis transportlīdzeklis vai lietotājs, kas šķērso šo pārbrauktuvi.</w:t>
      </w:r>
    </w:p>
    <w:p w14:paraId="59F77851" w14:textId="77777777" w:rsidR="00E62252" w:rsidRPr="00E62252" w:rsidRDefault="00E62252" w:rsidP="00E62252">
      <w:pPr>
        <w:pStyle w:val="Style5"/>
        <w:spacing w:line="240" w:lineRule="auto"/>
        <w:jc w:val="both"/>
        <w:rPr>
          <w:rFonts w:cs="Times New Roman"/>
          <w:noProof/>
          <w:sz w:val="22"/>
          <w:szCs w:val="22"/>
          <w:lang w:val="en-US"/>
        </w:rPr>
      </w:pPr>
    </w:p>
    <w:p w14:paraId="05CF933F" w14:textId="77777777" w:rsidR="00E62252" w:rsidRPr="00E62252" w:rsidRDefault="00E62252" w:rsidP="00E62252">
      <w:pPr>
        <w:pStyle w:val="Style5"/>
        <w:spacing w:line="240" w:lineRule="auto"/>
        <w:jc w:val="both"/>
        <w:rPr>
          <w:rFonts w:cs="Times New Roman"/>
          <w:noProof/>
          <w:sz w:val="22"/>
          <w:szCs w:val="22"/>
        </w:rPr>
      </w:pPr>
      <w:r>
        <w:rPr>
          <w:sz w:val="22"/>
        </w:rPr>
        <w:t>“</w:t>
      </w:r>
      <w:r>
        <w:rPr>
          <w:b/>
          <w:bCs/>
          <w:sz w:val="22"/>
        </w:rPr>
        <w:t>Pārbrauktuve</w:t>
      </w:r>
      <w:r>
        <w:rPr>
          <w:sz w:val="22"/>
        </w:rPr>
        <w:t>” ir ceļa vai pārejas un sliežu ceļa krustojums, ko par tādu atzīst dzelzceļa infrastruktūras pārvaldītājs un kas ir atvērts publiskajiem vai privātajiem lietotājiem. Par pārbrauktuvēm neuzskata pārejas starp peroniem stacijās, kā arī pārejas uz sliežu ceļiem, kas paredzētas tikai dzelzceļa personālam.</w:t>
      </w:r>
    </w:p>
    <w:p w14:paraId="075086DF" w14:textId="77777777" w:rsidR="00E62252" w:rsidRPr="00E62252" w:rsidRDefault="00E62252" w:rsidP="00E62252">
      <w:pPr>
        <w:pStyle w:val="Style5"/>
        <w:spacing w:line="240" w:lineRule="auto"/>
        <w:jc w:val="both"/>
        <w:rPr>
          <w:rFonts w:cs="Times New Roman"/>
          <w:noProof/>
          <w:sz w:val="22"/>
          <w:szCs w:val="22"/>
          <w:lang w:val="en-US"/>
        </w:rPr>
      </w:pPr>
    </w:p>
    <w:p w14:paraId="3752C838" w14:textId="77777777" w:rsidR="00E62252" w:rsidRPr="00E62252" w:rsidRDefault="00E62252" w:rsidP="00E62252">
      <w:pPr>
        <w:pStyle w:val="Style5"/>
        <w:spacing w:line="240" w:lineRule="auto"/>
        <w:jc w:val="both"/>
        <w:rPr>
          <w:rFonts w:cs="Times New Roman"/>
          <w:noProof/>
          <w:sz w:val="22"/>
          <w:szCs w:val="22"/>
        </w:rPr>
      </w:pPr>
      <w:r>
        <w:rPr>
          <w:sz w:val="22"/>
        </w:rPr>
        <w:t>“</w:t>
      </w:r>
      <w:r>
        <w:rPr>
          <w:b/>
          <w:bCs/>
          <w:sz w:val="22"/>
        </w:rPr>
        <w:t>Ceļš</w:t>
      </w:r>
      <w:r>
        <w:rPr>
          <w:sz w:val="22"/>
        </w:rPr>
        <w:t>” dzelzceļa negadījumu statistikas vajadzībām ir publiskas lietošanas vai privāts ceļš, iela vai autostrāde, ieskaitot blakusesošās ietves un riteņbraucēju celiņus.</w:t>
      </w:r>
    </w:p>
    <w:p w14:paraId="7DD7D073" w14:textId="77777777" w:rsidR="00E62252" w:rsidRPr="00E62252" w:rsidRDefault="00E62252" w:rsidP="00E62252">
      <w:pPr>
        <w:pStyle w:val="Style5"/>
        <w:spacing w:line="240" w:lineRule="auto"/>
        <w:jc w:val="both"/>
        <w:rPr>
          <w:rFonts w:cs="Times New Roman"/>
          <w:noProof/>
          <w:sz w:val="22"/>
          <w:szCs w:val="22"/>
          <w:lang w:val="en-US"/>
        </w:rPr>
      </w:pPr>
    </w:p>
    <w:p w14:paraId="5B64D040" w14:textId="77777777" w:rsidR="00E62252" w:rsidRPr="00E62252" w:rsidRDefault="00E62252" w:rsidP="00E62252">
      <w:pPr>
        <w:pStyle w:val="Style5"/>
        <w:spacing w:line="240" w:lineRule="auto"/>
        <w:jc w:val="both"/>
        <w:rPr>
          <w:rFonts w:cs="Times New Roman"/>
          <w:noProof/>
          <w:sz w:val="22"/>
          <w:szCs w:val="22"/>
        </w:rPr>
      </w:pPr>
      <w:r>
        <w:rPr>
          <w:sz w:val="22"/>
        </w:rPr>
        <w:t>“</w:t>
      </w:r>
      <w:r>
        <w:rPr>
          <w:b/>
          <w:bCs/>
          <w:sz w:val="22"/>
        </w:rPr>
        <w:t>Pāreja</w:t>
      </w:r>
      <w:r>
        <w:rPr>
          <w:sz w:val="22"/>
        </w:rPr>
        <w:t>” ir ietve vai brauktuve, kura nav ceļš un pa kuru ir paredzēts pārvietoties cilvēkiem, dzīvniekiem, mehāniskajiem transportlīdzekļiem vai tehnikai.</w:t>
      </w:r>
    </w:p>
    <w:p w14:paraId="4596067C" w14:textId="77777777" w:rsidR="00E62252" w:rsidRPr="00E62252" w:rsidRDefault="00E62252" w:rsidP="00E62252">
      <w:pPr>
        <w:pStyle w:val="Style5"/>
        <w:spacing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22F9511E" w14:textId="77777777" w:rsidTr="00F80365">
        <w:tc>
          <w:tcPr>
            <w:tcW w:w="5000" w:type="pct"/>
            <w:shd w:val="clear" w:color="auto" w:fill="D0ECFF" w:themeFill="text1" w:themeFillTint="1A"/>
          </w:tcPr>
          <w:p w14:paraId="278397B8"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7E602B0F" w14:textId="77777777" w:rsidR="00E62252" w:rsidRPr="00E62252" w:rsidRDefault="00E62252" w:rsidP="00F80365">
            <w:pPr>
              <w:jc w:val="both"/>
              <w:rPr>
                <w:rFonts w:ascii="Times New Roman" w:hAnsi="Times New Roman" w:cs="Times New Roman"/>
                <w:b/>
                <w:bCs/>
                <w:noProof/>
                <w:sz w:val="24"/>
                <w:szCs w:val="24"/>
                <w:u w:val="single"/>
                <w:lang w:val="en-US"/>
              </w:rPr>
            </w:pPr>
          </w:p>
          <w:p w14:paraId="4A60C7A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Sadursmes ar objektiem uz pārbrauktuvēm klasificējamas kā sadursmes, nevis kā negadījumi uz pārbrauktuvēm, izņemot gadījumus, kad šķērsli pazaudējis pārbrauktuves lietotājs vai kad tas nokritis no pārbrauktuvi šķērsojoša transportlīdzekļa, kas nav saistīts ar dzelzceļu.</w:t>
            </w:r>
          </w:p>
          <w:p w14:paraId="7DD8060A" w14:textId="77777777" w:rsidR="00E62252" w:rsidRPr="00E62252" w:rsidRDefault="00E62252" w:rsidP="00F80365">
            <w:pPr>
              <w:jc w:val="both"/>
              <w:rPr>
                <w:rFonts w:ascii="Times New Roman" w:hAnsi="Times New Roman" w:cs="Times New Roman"/>
                <w:noProof/>
                <w:sz w:val="24"/>
                <w:szCs w:val="24"/>
                <w:lang w:val="en-US"/>
              </w:rPr>
            </w:pPr>
          </w:p>
          <w:p w14:paraId="636CAC8F"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Jāiekļauj sadursmes ar uzraudzītiem dzīvniekiem uz pārbrauktuves. Sadursme uz pārbrauktuves ar savvaļas dzīvniekiem un dzīvniekiem, kas netiek uzraudzīti, jāiekļauj vilcienu sadursmēs vai citos negadījumos (atkarībā no iesaistītā dzelzceļa </w:t>
            </w:r>
            <w:proofErr w:type="spellStart"/>
            <w:r>
              <w:rPr>
                <w:rFonts w:ascii="Times New Roman" w:hAnsi="Times New Roman"/>
                <w:sz w:val="24"/>
              </w:rPr>
              <w:t>ritekļa</w:t>
            </w:r>
            <w:proofErr w:type="spellEnd"/>
            <w:r>
              <w:rPr>
                <w:rFonts w:ascii="Times New Roman" w:hAnsi="Times New Roman"/>
                <w:sz w:val="24"/>
              </w:rPr>
              <w:t>).</w:t>
            </w:r>
          </w:p>
          <w:p w14:paraId="5B24DEC3" w14:textId="77777777" w:rsidR="00E62252" w:rsidRPr="00E62252" w:rsidRDefault="00E62252" w:rsidP="00F80365">
            <w:pPr>
              <w:jc w:val="both"/>
              <w:rPr>
                <w:rFonts w:ascii="Times New Roman" w:hAnsi="Times New Roman" w:cs="Times New Roman"/>
                <w:noProof/>
                <w:sz w:val="24"/>
                <w:szCs w:val="24"/>
                <w:lang w:val="en-US"/>
              </w:rPr>
            </w:pPr>
          </w:p>
          <w:p w14:paraId="3082BF80"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Pārbrauktuves lietotāji ir visas personas motorizētos un nemotorizētos transportlīdzekļos, kā arī gājēji.</w:t>
            </w:r>
          </w:p>
        </w:tc>
      </w:tr>
    </w:tbl>
    <w:p w14:paraId="51A9A78A"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180" w:name="_Toc61364275"/>
      <w:bookmarkStart w:id="181" w:name="_Toc61364524"/>
      <w:bookmarkStart w:id="182" w:name="_Toc267038299"/>
      <w:bookmarkStart w:id="183" w:name="_Toc269806172"/>
      <w:bookmarkStart w:id="184" w:name="_Toc269979012"/>
      <w:bookmarkStart w:id="185" w:name="_Toc270437976"/>
      <w:bookmarkStart w:id="186" w:name="_Toc270594757"/>
      <w:bookmarkStart w:id="187" w:name="_Toc270594877"/>
    </w:p>
    <w:p w14:paraId="748D4973"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188" w:name="_Toc134605588"/>
      <w:r>
        <w:rPr>
          <w:rFonts w:ascii="Times New Roman" w:hAnsi="Times New Roman"/>
          <w:sz w:val="24"/>
          <w:u w:val="none"/>
        </w:rPr>
        <w:lastRenderedPageBreak/>
        <w:t xml:space="preserve">10.3.2. </w:t>
      </w:r>
      <w:r>
        <w:rPr>
          <w:rFonts w:ascii="Times New Roman" w:hAnsi="Times New Roman"/>
          <w:sz w:val="24"/>
        </w:rPr>
        <w:t>Piemēri</w:t>
      </w:r>
      <w:bookmarkEnd w:id="180"/>
      <w:bookmarkEnd w:id="181"/>
      <w:bookmarkEnd w:id="188"/>
    </w:p>
    <w:p w14:paraId="6B47A554" w14:textId="77777777" w:rsidR="00E62252" w:rsidRPr="00E62252" w:rsidRDefault="00E62252" w:rsidP="00E62252">
      <w:pPr>
        <w:spacing w:after="0" w:line="240" w:lineRule="auto"/>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EB7DC82" w14:textId="77777777" w:rsidTr="00F80365">
        <w:tc>
          <w:tcPr>
            <w:tcW w:w="5000" w:type="pct"/>
            <w:shd w:val="clear" w:color="auto" w:fill="D0ECFF" w:themeFill="text1" w:themeFillTint="1A"/>
          </w:tcPr>
          <w:p w14:paraId="369E7EBA"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79707F1B" w14:textId="77777777" w:rsidR="00E62252" w:rsidRPr="00E62252" w:rsidRDefault="00E62252" w:rsidP="00F80365">
            <w:pPr>
              <w:jc w:val="both"/>
              <w:rPr>
                <w:rFonts w:ascii="Times New Roman" w:hAnsi="Times New Roman" w:cs="Times New Roman"/>
                <w:b/>
                <w:bCs/>
                <w:noProof/>
                <w:sz w:val="24"/>
                <w:szCs w:val="24"/>
                <w:u w:val="single"/>
                <w:lang w:val="en-US"/>
              </w:rPr>
            </w:pPr>
          </w:p>
          <w:p w14:paraId="6BC93155"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Negadījums uz pārbrauktuves ar smagajiem mehāniskajiem transportlīdzekļiem vienmēr var izraisīt smagu negadījumu. Tas var būt iemesls izmeklēšanas veikšanai.</w:t>
            </w:r>
          </w:p>
          <w:p w14:paraId="207673E8" w14:textId="77777777" w:rsidR="00E62252" w:rsidRPr="00E62252" w:rsidRDefault="00E62252" w:rsidP="00F80365">
            <w:pPr>
              <w:jc w:val="both"/>
              <w:rPr>
                <w:rFonts w:ascii="Times New Roman" w:hAnsi="Times New Roman" w:cs="Times New Roman"/>
                <w:noProof/>
                <w:sz w:val="24"/>
                <w:szCs w:val="24"/>
                <w:lang w:val="en-US"/>
              </w:rPr>
            </w:pPr>
          </w:p>
          <w:p w14:paraId="7B493FA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Neatļauta nokļūšana uz pārbrauktuves ir plaši izplatīta problēma, tāpēc šie acīmredzama “pārkāpuma” gadījumi bieži netiek izmeklēti. Tomēr valstu izmeklēšanas struktūras nedrīkst šādus gadījumus izslēgt no izmeklēšanas pēc noklusējuma, jo tādējādi var palaist garām iespēju ievērojami sekmēt pārbrauktuvju drošības uzlabošanu. Pat acīmredzama drošības noteikumu pārkāpuma gadījumā cēloniskie vai veicinošie faktori var izrietēt no dzelzceļa sistēmas.</w:t>
            </w:r>
          </w:p>
          <w:p w14:paraId="441BE899" w14:textId="77777777" w:rsidR="00E62252" w:rsidRPr="00E62252" w:rsidRDefault="00E62252" w:rsidP="00F80365">
            <w:pPr>
              <w:jc w:val="both"/>
              <w:rPr>
                <w:rFonts w:ascii="Times New Roman" w:hAnsi="Times New Roman" w:cs="Times New Roman"/>
                <w:noProof/>
                <w:sz w:val="24"/>
                <w:szCs w:val="24"/>
                <w:lang w:val="en-US"/>
              </w:rPr>
            </w:pPr>
          </w:p>
          <w:p w14:paraId="7DB7040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Gadījumos, kad pārbrauktuves lietotāja rīcību nevar racionāli izskaidrot, ieteicams sākt sākotnējo pārbaudi.</w:t>
            </w:r>
            <w:r w:rsidRPr="00E62252">
              <w:rPr>
                <w:rStyle w:val="FootnoteReference"/>
                <w:rFonts w:ascii="Times New Roman" w:hAnsi="Times New Roman" w:cs="Times New Roman"/>
                <w:i/>
                <w:noProof/>
                <w:sz w:val="24"/>
                <w:szCs w:val="24"/>
                <w:lang w:val="en-US"/>
              </w:rPr>
              <w:footnoteReference w:id="4"/>
            </w:r>
            <w:r>
              <w:rPr>
                <w:rFonts w:ascii="Times New Roman" w:hAnsi="Times New Roman"/>
                <w:sz w:val="24"/>
              </w:rPr>
              <w:t xml:space="preserve"> Bieži vien pārbrauktuvju lietotāju rīcību ietekmē slikta redzamība, nepietiekami pārbrauktuves </w:t>
            </w:r>
            <w:proofErr w:type="spellStart"/>
            <w:r>
              <w:rPr>
                <w:rFonts w:ascii="Times New Roman" w:hAnsi="Times New Roman"/>
                <w:sz w:val="24"/>
              </w:rPr>
              <w:t>signālrādītāji</w:t>
            </w:r>
            <w:proofErr w:type="spellEnd"/>
            <w:r>
              <w:rPr>
                <w:rFonts w:ascii="Times New Roman" w:hAnsi="Times New Roman"/>
                <w:sz w:val="24"/>
              </w:rPr>
              <w:t xml:space="preserve"> un </w:t>
            </w:r>
            <w:proofErr w:type="spellStart"/>
            <w:r>
              <w:rPr>
                <w:rFonts w:ascii="Times New Roman" w:hAnsi="Times New Roman"/>
                <w:sz w:val="24"/>
              </w:rPr>
              <w:t>signālzīmes</w:t>
            </w:r>
            <w:proofErr w:type="spellEnd"/>
            <w:r>
              <w:rPr>
                <w:rFonts w:ascii="Times New Roman" w:hAnsi="Times New Roman"/>
                <w:sz w:val="24"/>
              </w:rPr>
              <w:t xml:space="preserve"> vai slikta pārbrauktuves uzbūve.</w:t>
            </w:r>
          </w:p>
          <w:p w14:paraId="71228790" w14:textId="77777777" w:rsidR="00E62252" w:rsidRPr="00E62252" w:rsidRDefault="00E62252" w:rsidP="00F80365">
            <w:pPr>
              <w:jc w:val="both"/>
              <w:rPr>
                <w:rFonts w:ascii="Times New Roman" w:hAnsi="Times New Roman" w:cs="Times New Roman"/>
                <w:noProof/>
                <w:sz w:val="24"/>
                <w:szCs w:val="24"/>
                <w:lang w:val="en-US"/>
              </w:rPr>
            </w:pPr>
          </w:p>
          <w:p w14:paraId="54B78570"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Negadījumi un starpgadījumi uz pārbrauktuves var būt piemēroti gadījumi negadījumu virknes izpētei. Šajā izskatīšanā ir jāiekļauj starpgadījumi.</w:t>
            </w:r>
          </w:p>
          <w:p w14:paraId="1F8709B5" w14:textId="77777777" w:rsidR="00E62252" w:rsidRPr="00E62252" w:rsidRDefault="00E62252" w:rsidP="00F80365">
            <w:pPr>
              <w:jc w:val="both"/>
              <w:rPr>
                <w:rFonts w:ascii="Times New Roman" w:hAnsi="Times New Roman" w:cs="Times New Roman"/>
                <w:noProof/>
                <w:sz w:val="24"/>
                <w:szCs w:val="24"/>
                <w:lang w:val="en-US"/>
              </w:rPr>
            </w:pPr>
          </w:p>
          <w:p w14:paraId="1A8C2D70"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Pamatojoties uz negadījumu uz pārbrauktuvēm izmeklēšanas secinājumiem, var tikt sagatavoti drošības ieteikumi “citām iestādēm un struktūrām” 26. panta 2. punkta nozīmē ar mērķi panākt uzlabojumus uz autoceļiem.</w:t>
            </w:r>
          </w:p>
        </w:tc>
      </w:tr>
    </w:tbl>
    <w:p w14:paraId="3E933142" w14:textId="77777777" w:rsidR="00E62252" w:rsidRPr="00E62252" w:rsidRDefault="00E62252" w:rsidP="00E62252">
      <w:pPr>
        <w:pStyle w:val="BodyText"/>
        <w:spacing w:before="0" w:beforeAutospacing="0" w:afterAutospacing="0" w:line="240" w:lineRule="auto"/>
        <w:ind w:left="0" w:firstLine="0"/>
        <w:jc w:val="both"/>
        <w:rPr>
          <w:rFonts w:ascii="Times New Roman" w:hAnsi="Times New Roman" w:cs="Times New Roman"/>
          <w:noProof/>
          <w:kern w:val="0"/>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20E4A0C7" w14:textId="77777777" w:rsidTr="00F80365">
        <w:tc>
          <w:tcPr>
            <w:tcW w:w="5000" w:type="pct"/>
            <w:shd w:val="clear" w:color="auto" w:fill="F5DCDB" w:themeFill="accent2" w:themeFillTint="33"/>
          </w:tcPr>
          <w:p w14:paraId="2FD57623" w14:textId="77777777" w:rsidR="00E62252" w:rsidRPr="00E62252" w:rsidRDefault="00E62252" w:rsidP="00F80365">
            <w:pPr>
              <w:pStyle w:val="Style7"/>
              <w:jc w:val="both"/>
              <w:rPr>
                <w:rFonts w:ascii="Times New Roman" w:hAnsi="Times New Roman" w:cs="Times New Roman"/>
                <w:b/>
                <w:bCs/>
                <w:noProof/>
                <w:sz w:val="24"/>
                <w:szCs w:val="24"/>
                <w:u w:val="single"/>
              </w:rPr>
            </w:pPr>
            <w:r>
              <w:rPr>
                <w:rFonts w:ascii="Times New Roman" w:hAnsi="Times New Roman"/>
                <w:b/>
                <w:sz w:val="24"/>
                <w:u w:val="single"/>
              </w:rPr>
              <w:t>Laba prakse.</w:t>
            </w:r>
          </w:p>
          <w:p w14:paraId="2B21E94B" w14:textId="77777777" w:rsidR="00E62252" w:rsidRPr="00E62252" w:rsidRDefault="00E62252" w:rsidP="00F80365">
            <w:pPr>
              <w:pStyle w:val="Style7"/>
              <w:jc w:val="both"/>
              <w:rPr>
                <w:rFonts w:ascii="Times New Roman" w:hAnsi="Times New Roman" w:cs="Times New Roman"/>
                <w:b/>
                <w:bCs/>
                <w:noProof/>
                <w:sz w:val="24"/>
                <w:szCs w:val="24"/>
                <w:u w:val="single"/>
                <w:lang w:val="en-US"/>
              </w:rPr>
            </w:pPr>
          </w:p>
          <w:p w14:paraId="4EFFAE26"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Pēc negadījuma uz pārbrauktuves, kurā gājuši bojā vai smagi ievainoti pārbrauktuves lietotāji, jāveic sākotnējā pārbaude, lai noteiktu, vai dzelzceļa sistēmas (gan pārbrauktuve, gan vilciens) ir darbojušās pareizi. Gadījumos, kad vilcienā ir gājušas bojā vai smagi ievainotas personas, šajā sākotnējā pārbaudē jāizskata, vai vilciena pasīvās aizsardzības sistēma ir darbojusies pareizi.</w:t>
            </w:r>
          </w:p>
          <w:p w14:paraId="41C8C1B8" w14:textId="77777777" w:rsidR="00E62252" w:rsidRPr="00E62252" w:rsidRDefault="00E62252" w:rsidP="00F80365">
            <w:pPr>
              <w:pStyle w:val="Style7"/>
              <w:jc w:val="both"/>
              <w:rPr>
                <w:rFonts w:ascii="Times New Roman" w:hAnsi="Times New Roman" w:cs="Times New Roman"/>
                <w:noProof/>
                <w:sz w:val="24"/>
                <w:szCs w:val="24"/>
                <w:lang w:val="en-US"/>
              </w:rPr>
            </w:pPr>
          </w:p>
          <w:p w14:paraId="4DBC887C"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 xml:space="preserve">Izmeklēšana varētu būt lietderīga arī tad, ja dzelzceļa apakšsistēmas ir darbojušās pareizi un pārbrauktuves lietotāji (piemēram, transportlīdzekļu vadītāji u. c.) paši ir apdraudējuši sevi (piemēram, apzināti ignorējot brīdinājuma gaismas un apbraucot </w:t>
            </w:r>
            <w:proofErr w:type="spellStart"/>
            <w:r>
              <w:rPr>
                <w:rFonts w:ascii="Times New Roman" w:hAnsi="Times New Roman"/>
                <w:sz w:val="24"/>
              </w:rPr>
              <w:t>pusbarjeras</w:t>
            </w:r>
            <w:proofErr w:type="spellEnd"/>
            <w:r>
              <w:rPr>
                <w:rFonts w:ascii="Times New Roman" w:hAnsi="Times New Roman"/>
                <w:sz w:val="24"/>
              </w:rPr>
              <w:t>) un ja šāda izmeklēšana uzlabotu dzelzceļa drošību.</w:t>
            </w:r>
          </w:p>
          <w:p w14:paraId="54CCD250" w14:textId="77777777" w:rsidR="00E62252" w:rsidRPr="00E62252" w:rsidRDefault="00E62252" w:rsidP="00F80365">
            <w:pPr>
              <w:pStyle w:val="Style7"/>
              <w:jc w:val="both"/>
              <w:rPr>
                <w:rFonts w:ascii="Times New Roman" w:hAnsi="Times New Roman" w:cs="Times New Roman"/>
                <w:noProof/>
                <w:sz w:val="24"/>
                <w:szCs w:val="24"/>
                <w:lang w:val="en-US"/>
              </w:rPr>
            </w:pPr>
          </w:p>
          <w:p w14:paraId="50AD3C06"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Tā kā pārbrauktuvēs ietilpst arī cits transporta veids (autotransports), ieteicams iesaistīt arī personālu ar specializētām zināšanām (par autoceļiem, transportlīdzekļiem, transportlīdzekļu vadīšanu utt.), lai gūtu labāku izpratni par problēmām no autotransporta viedokļa. Multimodālas valstu izmeklēšanas struktūras tādās valstīs kā Zviedrija un Norvēģija ir ziņojušas par labu pieredzi, kas gūta, attiecībā uz negadījumiem uz pārbrauktuvēm, sadarbojoties ar autotransporta jautājumos kompetentām iestādēm.</w:t>
            </w:r>
          </w:p>
        </w:tc>
      </w:tr>
    </w:tbl>
    <w:p w14:paraId="7DF8A9A9" w14:textId="77777777" w:rsidR="00E62252" w:rsidRPr="00E62252" w:rsidRDefault="00E62252" w:rsidP="00E62252">
      <w:pPr>
        <w:spacing w:after="0" w:line="240" w:lineRule="auto"/>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58CE821E" w14:textId="77777777" w:rsidTr="00F80365">
        <w:tc>
          <w:tcPr>
            <w:tcW w:w="5000" w:type="pct"/>
            <w:tcBorders>
              <w:top w:val="single" w:sz="4" w:space="0" w:color="094595" w:themeColor="text2"/>
              <w:left w:val="single" w:sz="4" w:space="0" w:color="094595" w:themeColor="text2"/>
              <w:bottom w:val="single" w:sz="4" w:space="0" w:color="auto"/>
              <w:right w:val="single" w:sz="4" w:space="0" w:color="094595" w:themeColor="text2"/>
            </w:tcBorders>
            <w:shd w:val="clear" w:color="auto" w:fill="FFF7D8" w:themeFill="accent6" w:themeFillTint="33"/>
          </w:tcPr>
          <w:p w14:paraId="4791C183"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lastRenderedPageBreak/>
              <w:br w:type="page"/>
            </w:r>
            <w:bookmarkStart w:id="189" w:name="_Hlk61360480"/>
            <w:r>
              <w:rPr>
                <w:rFonts w:ascii="Times New Roman" w:hAnsi="Times New Roman"/>
                <w:b/>
                <w:sz w:val="24"/>
                <w:u w:val="single"/>
              </w:rPr>
              <w:t>1. piemērs.</w:t>
            </w:r>
          </w:p>
          <w:p w14:paraId="3DB9A804"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166F6AB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Vilciens sadūrās ar automašīnu uz pārbrauktuves, kas aprīkota ar </w:t>
            </w:r>
            <w:proofErr w:type="spellStart"/>
            <w:r>
              <w:rPr>
                <w:rFonts w:ascii="Times New Roman" w:hAnsi="Times New Roman"/>
                <w:sz w:val="24"/>
              </w:rPr>
              <w:t>pusbarjerām</w:t>
            </w:r>
            <w:proofErr w:type="spellEnd"/>
            <w:r>
              <w:rPr>
                <w:rFonts w:ascii="Times New Roman" w:hAnsi="Times New Roman"/>
                <w:sz w:val="24"/>
              </w:rPr>
              <w:t>. Divi cilvēki automašīnā gājuši bojā, bet vilces līdzekļa vadītājs (mašīnists) guva nelielus miesas bojājumus. Bija liecības par barjeru darbības traucējumiem, jo tās neaizvērās.</w:t>
            </w:r>
          </w:p>
          <w:p w14:paraId="4B5E7A80" w14:textId="77777777" w:rsidR="00E62252" w:rsidRPr="00E62252" w:rsidRDefault="00E62252" w:rsidP="00F80365">
            <w:pPr>
              <w:jc w:val="both"/>
              <w:rPr>
                <w:rFonts w:ascii="Times New Roman" w:hAnsi="Times New Roman" w:cs="Times New Roman"/>
                <w:noProof/>
                <w:sz w:val="24"/>
                <w:szCs w:val="24"/>
                <w:lang w:val="en-US"/>
              </w:rPr>
            </w:pPr>
          </w:p>
          <w:p w14:paraId="028E4FEE"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u w:val="single"/>
              </w:rPr>
              <w:t>Izmeklēšana atbilstoši 20. panta 1. punktam ir obligāta</w:t>
            </w:r>
            <w:r>
              <w:rPr>
                <w:rFonts w:ascii="Times New Roman" w:hAnsi="Times New Roman"/>
                <w:sz w:val="24"/>
              </w:rPr>
              <w:t xml:space="preserve"> letālo seku dēļ un tādēļ, ka pastāv acīmredzama ietekme uz dzelzceļa drošību.</w:t>
            </w:r>
          </w:p>
          <w:p w14:paraId="289CFF41" w14:textId="77777777" w:rsidR="00E62252" w:rsidRPr="00E62252" w:rsidRDefault="00E62252" w:rsidP="00F80365">
            <w:pPr>
              <w:jc w:val="both"/>
              <w:rPr>
                <w:rFonts w:ascii="Times New Roman" w:hAnsi="Times New Roman" w:cs="Times New Roman"/>
                <w:noProof/>
                <w:sz w:val="24"/>
                <w:szCs w:val="24"/>
                <w:lang w:val="en-US"/>
              </w:rPr>
            </w:pPr>
          </w:p>
          <w:p w14:paraId="29F93762"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proofErr w:type="spellStart"/>
            <w:r>
              <w:rPr>
                <w:rFonts w:ascii="Times New Roman" w:hAnsi="Times New Roman"/>
                <w:i/>
                <w:iCs/>
                <w:sz w:val="24"/>
              </w:rPr>
              <w:t>NIB</w:t>
            </w:r>
            <w:proofErr w:type="spellEnd"/>
            <w:r>
              <w:rPr>
                <w:rFonts w:ascii="Times New Roman" w:hAnsi="Times New Roman"/>
                <w:sz w:val="24"/>
              </w:rPr>
              <w:t xml:space="preserve"> ir jāizmeklē šis negadījums. </w:t>
            </w:r>
          </w:p>
        </w:tc>
      </w:tr>
    </w:tbl>
    <w:p w14:paraId="056298BC" w14:textId="77777777" w:rsidR="00E62252" w:rsidRPr="00E62252" w:rsidRDefault="00E62252" w:rsidP="00E62252">
      <w:pPr>
        <w:spacing w:after="0" w:line="240" w:lineRule="auto"/>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1E9EB1DA" w14:textId="77777777" w:rsidTr="00F80365">
        <w:tc>
          <w:tcPr>
            <w:tcW w:w="5000" w:type="pct"/>
            <w:tcBorders>
              <w:top w:val="single" w:sz="4" w:space="0" w:color="auto"/>
              <w:left w:val="single" w:sz="4" w:space="0" w:color="094595" w:themeColor="text2"/>
              <w:bottom w:val="single" w:sz="4" w:space="0" w:color="094595" w:themeColor="text2"/>
              <w:right w:val="single" w:sz="4" w:space="0" w:color="094595" w:themeColor="text2"/>
            </w:tcBorders>
            <w:shd w:val="clear" w:color="auto" w:fill="FFF7D8" w:themeFill="accent6" w:themeFillTint="33"/>
          </w:tcPr>
          <w:p w14:paraId="328A23FD"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bookmarkStart w:id="190" w:name="_Hlk61360793"/>
            <w:bookmarkEnd w:id="189"/>
            <w:r>
              <w:rPr>
                <w:rFonts w:ascii="Times New Roman" w:hAnsi="Times New Roman"/>
                <w:b/>
                <w:sz w:val="24"/>
                <w:u w:val="single"/>
              </w:rPr>
              <w:t>2. piemērs.</w:t>
            </w:r>
          </w:p>
          <w:p w14:paraId="78936385"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495DD183"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Vilciens sadūrās ar automašīnu uz pārbrauktuves, kas nebija aprīkota ar tehnisko aizsardzību. Gāja bojā divas personas, kas atradās automašīnā. Pārbaudē tika konstatēts, ka bija ievēroti visi tehniskie standarti un ka vilciena apkalpe ir rīkojusies saskaņā ar noteikumiem.</w:t>
            </w:r>
          </w:p>
          <w:p w14:paraId="2F3B7385" w14:textId="77777777" w:rsidR="00E62252" w:rsidRPr="00E62252" w:rsidRDefault="00E62252" w:rsidP="00F80365">
            <w:pPr>
              <w:jc w:val="both"/>
              <w:rPr>
                <w:rFonts w:ascii="Times New Roman" w:hAnsi="Times New Roman" w:cs="Times New Roman"/>
                <w:noProof/>
                <w:sz w:val="24"/>
                <w:szCs w:val="24"/>
                <w:lang w:val="en-US"/>
              </w:rPr>
            </w:pPr>
          </w:p>
          <w:p w14:paraId="16CB827F"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Šis negadījums nav jāizmeklē atbilstoši 20. panta 1. punktam.</w:t>
            </w:r>
          </w:p>
          <w:p w14:paraId="1859F910" w14:textId="77777777" w:rsidR="00E62252" w:rsidRPr="00E62252" w:rsidRDefault="00E62252" w:rsidP="00F80365">
            <w:pPr>
              <w:jc w:val="both"/>
              <w:rPr>
                <w:rFonts w:ascii="Times New Roman" w:hAnsi="Times New Roman" w:cs="Times New Roman"/>
                <w:noProof/>
                <w:sz w:val="24"/>
                <w:szCs w:val="24"/>
                <w:u w:val="single"/>
                <w:lang w:val="en-US"/>
              </w:rPr>
            </w:pPr>
          </w:p>
          <w:p w14:paraId="4EB493C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Šis negadījums nav jāklasificē kā negadījums atbilstoši 20. panta 2. punktam, ja vien nav īpašu iemeslu, kādēļ automašīnas vadītājs centās šķērsot pārbrauktuvi.</w:t>
            </w:r>
          </w:p>
          <w:p w14:paraId="0095551E" w14:textId="77777777" w:rsidR="00E62252" w:rsidRPr="00E62252" w:rsidRDefault="00E62252" w:rsidP="00F80365">
            <w:pPr>
              <w:jc w:val="both"/>
              <w:rPr>
                <w:rFonts w:ascii="Times New Roman" w:hAnsi="Times New Roman" w:cs="Times New Roman"/>
                <w:noProof/>
                <w:color w:val="002034" w:themeColor="text1"/>
                <w:sz w:val="24"/>
                <w:szCs w:val="24"/>
                <w:lang w:val="en-US"/>
              </w:rPr>
            </w:pPr>
          </w:p>
          <w:p w14:paraId="7BEF18FE" w14:textId="77777777" w:rsidR="00E62252" w:rsidRPr="00E62252" w:rsidRDefault="00E62252" w:rsidP="00F80365">
            <w:pPr>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tc>
      </w:tr>
      <w:bookmarkEnd w:id="190"/>
    </w:tbl>
    <w:p w14:paraId="4919B4A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51396FA" w14:textId="77777777" w:rsidTr="00F80365">
        <w:tc>
          <w:tcPr>
            <w:tcW w:w="9345" w:type="dxa"/>
            <w:shd w:val="clear" w:color="auto" w:fill="FFF7D8" w:themeFill="accent6" w:themeFillTint="33"/>
          </w:tcPr>
          <w:p w14:paraId="7A34A7A2"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3. piemērs.</w:t>
            </w:r>
          </w:p>
          <w:p w14:paraId="510FF5CD"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6C558E5D"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Vilciens sadūrās ar automašīnu uz pārbrauktuves, kas aprīkota ar </w:t>
            </w:r>
            <w:proofErr w:type="spellStart"/>
            <w:r>
              <w:rPr>
                <w:rFonts w:ascii="Times New Roman" w:hAnsi="Times New Roman"/>
                <w:sz w:val="24"/>
              </w:rPr>
              <w:t>pusbarjerām</w:t>
            </w:r>
            <w:proofErr w:type="spellEnd"/>
            <w:r>
              <w:rPr>
                <w:rFonts w:ascii="Times New Roman" w:hAnsi="Times New Roman"/>
                <w:sz w:val="24"/>
              </w:rPr>
              <w:t>. Divi cilvēki automašīnā ir gājuši bojā, bet vilces līdzekļa vadītājs (mašīnists) un 7 pasažieri ir guvuši smagus miesas bojājumus. Ne barjerām, ne citām dzelzceļa puses drošības ierīcēm nebija darbības traucējumu. Liecinieki atstāstīja, ka automašīnas vadītājs bija centies apbraukt barjeras.</w:t>
            </w:r>
          </w:p>
          <w:p w14:paraId="29437E46" w14:textId="77777777" w:rsidR="00E62252" w:rsidRPr="00E62252" w:rsidRDefault="00E62252" w:rsidP="00F80365">
            <w:pPr>
              <w:jc w:val="both"/>
              <w:rPr>
                <w:rFonts w:ascii="Times New Roman" w:hAnsi="Times New Roman" w:cs="Times New Roman"/>
                <w:noProof/>
                <w:sz w:val="24"/>
                <w:szCs w:val="24"/>
                <w:lang w:val="en-US"/>
              </w:rPr>
            </w:pPr>
          </w:p>
          <w:p w14:paraId="1D4FF9E8"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Šis negadījums nav jāizmeklē atbilstoši 20. panta 1. punktam.</w:t>
            </w:r>
          </w:p>
          <w:p w14:paraId="2032EEC8" w14:textId="77777777" w:rsidR="00E62252" w:rsidRPr="00E62252" w:rsidRDefault="00E62252" w:rsidP="00F80365">
            <w:pPr>
              <w:jc w:val="both"/>
              <w:rPr>
                <w:rFonts w:ascii="Times New Roman" w:hAnsi="Times New Roman" w:cs="Times New Roman"/>
                <w:noProof/>
                <w:sz w:val="24"/>
                <w:szCs w:val="24"/>
                <w:u w:val="single"/>
                <w:lang w:val="en-US"/>
              </w:rPr>
            </w:pPr>
          </w:p>
          <w:p w14:paraId="5CFF3CA8"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Tomēr jāpārbauda, vai izmeklēšana atbilstoši 20. panta 2. punktam var būt lietderīga, ņemot vērā sekas, ar kurām </w:t>
            </w:r>
            <w:proofErr w:type="spellStart"/>
            <w:r>
              <w:rPr>
                <w:rFonts w:ascii="Times New Roman" w:hAnsi="Times New Roman"/>
                <w:sz w:val="24"/>
              </w:rPr>
              <w:t>saskārās</w:t>
            </w:r>
            <w:proofErr w:type="spellEnd"/>
            <w:r>
              <w:rPr>
                <w:rFonts w:ascii="Times New Roman" w:hAnsi="Times New Roman"/>
                <w:sz w:val="24"/>
              </w:rPr>
              <w:t xml:space="preserve"> pasažieri un darbinieki. Šis negadījums liecina par to, ka pastāv atziņas, kas ir jāņem vērā drošības pārvaldībā un/vai drošības regulēšanā.</w:t>
            </w:r>
          </w:p>
          <w:p w14:paraId="46C6D63E" w14:textId="77777777" w:rsidR="00E62252" w:rsidRPr="00E62252" w:rsidRDefault="00E62252" w:rsidP="00F80365">
            <w:pPr>
              <w:jc w:val="both"/>
              <w:rPr>
                <w:rFonts w:ascii="Times New Roman" w:hAnsi="Times New Roman" w:cs="Times New Roman"/>
                <w:noProof/>
                <w:sz w:val="24"/>
                <w:szCs w:val="24"/>
                <w:lang w:val="en-US"/>
              </w:rPr>
            </w:pPr>
          </w:p>
          <w:p w14:paraId="5515E0DD" w14:textId="77777777" w:rsidR="00E62252" w:rsidRPr="00E62252" w:rsidRDefault="00E62252" w:rsidP="00F80365">
            <w:pPr>
              <w:jc w:val="both"/>
              <w:rPr>
                <w:rFonts w:ascii="Times New Roman" w:hAnsi="Times New Roman" w:cs="Times New Roman"/>
                <w:noProof/>
                <w:color w:val="6E231E" w:themeColor="accent2" w:themeShade="80"/>
                <w:sz w:val="24"/>
                <w:szCs w:val="24"/>
              </w:rPr>
            </w:pPr>
            <w:r>
              <w:rPr>
                <w:rFonts w:ascii="Times New Roman" w:hAnsi="Times New Roman"/>
                <w:color w:val="6E231E" w:themeColor="accent2" w:themeShade="80"/>
                <w:sz w:val="24"/>
              </w:rPr>
              <w:t>Izmeklēšanā tostarp var iekļaut šādus jautājumus:</w:t>
            </w:r>
          </w:p>
          <w:p w14:paraId="43605E0B" w14:textId="77777777" w:rsidR="00E62252" w:rsidRPr="00E62252" w:rsidRDefault="00E62252" w:rsidP="00F80365">
            <w:pPr>
              <w:ind w:left="534" w:hanging="283"/>
              <w:jc w:val="both"/>
              <w:rPr>
                <w:rFonts w:ascii="Times New Roman" w:hAnsi="Times New Roman" w:cs="Times New Roman"/>
                <w:noProof/>
                <w:sz w:val="24"/>
                <w:szCs w:val="24"/>
              </w:rPr>
            </w:pPr>
            <w:r>
              <w:rPr>
                <w:rFonts w:ascii="Times New Roman" w:hAnsi="Times New Roman"/>
                <w:sz w:val="24"/>
              </w:rPr>
              <w:t>›</w:t>
            </w:r>
            <w:r>
              <w:rPr>
                <w:rFonts w:ascii="Times New Roman" w:hAnsi="Times New Roman"/>
                <w:sz w:val="24"/>
              </w:rPr>
              <w:tab/>
              <w:t>Kādēļ sadursme tik smagi skāra vilcienā esošās personas?</w:t>
            </w:r>
          </w:p>
          <w:p w14:paraId="6304AB14" w14:textId="77777777" w:rsidR="00E62252" w:rsidRPr="00E62252" w:rsidRDefault="00E62252" w:rsidP="00F80365">
            <w:pPr>
              <w:ind w:left="534" w:hanging="283"/>
              <w:jc w:val="both"/>
              <w:rPr>
                <w:rFonts w:ascii="Times New Roman" w:hAnsi="Times New Roman" w:cs="Times New Roman"/>
                <w:noProof/>
                <w:sz w:val="24"/>
                <w:szCs w:val="24"/>
              </w:rPr>
            </w:pPr>
            <w:r>
              <w:rPr>
                <w:rFonts w:ascii="Times New Roman" w:hAnsi="Times New Roman"/>
                <w:sz w:val="24"/>
              </w:rPr>
              <w:t>›</w:t>
            </w:r>
            <w:r>
              <w:rPr>
                <w:rFonts w:ascii="Times New Roman" w:hAnsi="Times New Roman"/>
                <w:sz w:val="24"/>
              </w:rPr>
              <w:tab/>
              <w:t>Vai ir izvērtēti riski, kas apdraud vilces līdzekļa vadītāju (mašīnistu) un pasažierus šādos relatīvi biežos notikumos, un vai ir ieviesti atbilstoši pasākumi?</w:t>
            </w:r>
          </w:p>
          <w:p w14:paraId="45240B5C" w14:textId="77777777" w:rsidR="00E62252" w:rsidRPr="00E62252" w:rsidRDefault="00E62252" w:rsidP="00F80365">
            <w:pPr>
              <w:jc w:val="both"/>
              <w:rPr>
                <w:rFonts w:ascii="Times New Roman" w:hAnsi="Times New Roman" w:cs="Times New Roman"/>
                <w:noProof/>
                <w:sz w:val="24"/>
                <w:szCs w:val="24"/>
                <w:lang w:val="en-US"/>
              </w:rPr>
            </w:pPr>
          </w:p>
          <w:p w14:paraId="12D4B43F" w14:textId="77777777" w:rsidR="00E62252" w:rsidRPr="00E62252" w:rsidRDefault="00E62252" w:rsidP="00F80365">
            <w:pPr>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tc>
      </w:tr>
    </w:tbl>
    <w:p w14:paraId="5B93B03D"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77FD11F" w14:textId="77777777" w:rsidTr="00F80365">
        <w:tc>
          <w:tcPr>
            <w:tcW w:w="5000" w:type="pct"/>
            <w:shd w:val="clear" w:color="auto" w:fill="FFF7D8" w:themeFill="accent6" w:themeFillTint="33"/>
          </w:tcPr>
          <w:p w14:paraId="4BDCEF93"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lastRenderedPageBreak/>
              <w:t>4. piemērs.</w:t>
            </w:r>
          </w:p>
          <w:p w14:paraId="75DFA4F4"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1FC81A94"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Vilciens sadūrās ar sievieti uz gājējiem paredzētas pārejas. Sieviete guva smagus miesas bojājumus. Bija skaidrs, ka sieviete nebija ievērojusi akustisko brīdinājuma signālu par vilciena tuvošanos.</w:t>
            </w:r>
          </w:p>
          <w:p w14:paraId="5AB07602" w14:textId="77777777" w:rsidR="00E62252" w:rsidRPr="00E62252" w:rsidRDefault="00E62252" w:rsidP="00F80365">
            <w:pPr>
              <w:jc w:val="both"/>
              <w:rPr>
                <w:rFonts w:ascii="Times New Roman" w:hAnsi="Times New Roman" w:cs="Times New Roman"/>
                <w:noProof/>
                <w:sz w:val="24"/>
                <w:szCs w:val="24"/>
                <w:lang w:val="en-US"/>
              </w:rPr>
            </w:pPr>
          </w:p>
          <w:p w14:paraId="3EAC0730"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Šis ir tāda negadījuma piemērs, kas var neietilpt 20. panta 2. punkta darbības jomā.</w:t>
            </w:r>
          </w:p>
          <w:p w14:paraId="689C9BD2" w14:textId="77777777" w:rsidR="00E62252" w:rsidRPr="00E62252" w:rsidRDefault="00E62252" w:rsidP="00F80365">
            <w:pPr>
              <w:jc w:val="both"/>
              <w:rPr>
                <w:rFonts w:ascii="Times New Roman" w:hAnsi="Times New Roman" w:cs="Times New Roman"/>
                <w:noProof/>
                <w:sz w:val="24"/>
                <w:szCs w:val="24"/>
                <w:u w:val="single"/>
                <w:lang w:val="en-US"/>
              </w:rPr>
            </w:pPr>
          </w:p>
          <w:p w14:paraId="5B12A9E5"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Šis negadījums nav jāklasificē kā negadījums atbilstoši 20. panta 2. punktam, ja vien tam nav īpaša pamatojuma, piemēram, paredzama būtisku atziņu gūšana drošības jomā vai īpašu valsts noteikumu sagatavošana atbilstoši 20. panta 6. punktam.</w:t>
            </w:r>
          </w:p>
          <w:p w14:paraId="760C9187" w14:textId="77777777" w:rsidR="00E62252" w:rsidRPr="00E62252" w:rsidRDefault="00E62252" w:rsidP="00F80365">
            <w:pPr>
              <w:jc w:val="both"/>
              <w:rPr>
                <w:rFonts w:ascii="Times New Roman" w:hAnsi="Times New Roman" w:cs="Times New Roman"/>
                <w:noProof/>
                <w:color w:val="002034" w:themeColor="text1"/>
                <w:sz w:val="24"/>
                <w:szCs w:val="24"/>
                <w:lang w:val="en-US"/>
              </w:rPr>
            </w:pPr>
          </w:p>
          <w:p w14:paraId="5B37D1FE" w14:textId="77777777" w:rsidR="00E62252" w:rsidRPr="00E62252" w:rsidRDefault="00E62252" w:rsidP="00F80365">
            <w:pPr>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tc>
      </w:tr>
    </w:tbl>
    <w:p w14:paraId="4D864F8D"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191" w:name="_Ref277606366"/>
      <w:bookmarkStart w:id="192" w:name="_Ref277606585"/>
      <w:bookmarkStart w:id="193" w:name="_Ref277606641"/>
      <w:bookmarkStart w:id="194" w:name="_Toc290015931"/>
      <w:bookmarkStart w:id="195" w:name="_Toc40340089"/>
      <w:bookmarkEnd w:id="182"/>
      <w:bookmarkEnd w:id="183"/>
      <w:bookmarkEnd w:id="184"/>
      <w:bookmarkEnd w:id="185"/>
      <w:bookmarkEnd w:id="186"/>
      <w:bookmarkEnd w:id="187"/>
    </w:p>
    <w:p w14:paraId="34A6C464"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196" w:name="_Toc61364276"/>
      <w:bookmarkStart w:id="197" w:name="_Toc61364525"/>
      <w:bookmarkStart w:id="198" w:name="_Toc102478566"/>
      <w:bookmarkStart w:id="199" w:name="_Toc134605589"/>
      <w:r>
        <w:rPr>
          <w:rFonts w:ascii="Times New Roman" w:hAnsi="Times New Roman"/>
          <w:sz w:val="24"/>
        </w:rPr>
        <w:t>10.4. Negadījumi ar personām, kuros iesaistīts kustībā esošs ritošais sastāvs (izņemot pašnāvības)</w:t>
      </w:r>
      <w:bookmarkEnd w:id="191"/>
      <w:bookmarkEnd w:id="192"/>
      <w:bookmarkEnd w:id="193"/>
      <w:bookmarkEnd w:id="194"/>
      <w:bookmarkEnd w:id="195"/>
      <w:bookmarkEnd w:id="196"/>
      <w:bookmarkEnd w:id="197"/>
      <w:bookmarkEnd w:id="198"/>
      <w:bookmarkEnd w:id="199"/>
    </w:p>
    <w:p w14:paraId="7CC906F1" w14:textId="77777777" w:rsidR="00E62252" w:rsidRPr="00E62252" w:rsidRDefault="00E62252" w:rsidP="00E62252">
      <w:pPr>
        <w:spacing w:after="0" w:line="240" w:lineRule="auto"/>
        <w:rPr>
          <w:noProof/>
          <w:lang w:val="en-US"/>
        </w:rPr>
      </w:pPr>
    </w:p>
    <w:p w14:paraId="471C4ADB"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Negadījumi ar personām, kuros iesaistīts kustībā esošs ritošais sastāvs, ir jāizmeklē šādos gadījumos:</w:t>
      </w:r>
    </w:p>
    <w:p w14:paraId="23707E6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DAE6D98"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 xml:space="preserve">tajos bojā gājusi vismaz viena persona vai nodarīti smagi miesas bojājumi vismaz piecām personām, vai radīts liels kaitējums </w:t>
      </w:r>
      <w:r>
        <w:rPr>
          <w:rFonts w:ascii="Times New Roman" w:hAnsi="Times New Roman"/>
          <w:b/>
          <w:bCs/>
          <w:sz w:val="24"/>
        </w:rPr>
        <w:t>un</w:t>
      </w:r>
    </w:p>
    <w:p w14:paraId="17AF25D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negadījumam ir acīmredzama ietekme uz dzelzceļa drošības regulēšanu vai drošības pārvaldību.</w:t>
      </w:r>
    </w:p>
    <w:p w14:paraId="354B060A"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1A33872D"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b/>
          <w:bCs/>
          <w:sz w:val="24"/>
        </w:rPr>
        <w:t>Negadījumi ar personām, kuros iesaistīts kustībā esošs ritošais sastāvs</w:t>
      </w:r>
      <w:r>
        <w:rPr>
          <w:rFonts w:ascii="Times New Roman" w:hAnsi="Times New Roman"/>
          <w:sz w:val="24"/>
        </w:rPr>
        <w:t>, acīmredzami ietekmē dzelzceļa drošības regulēšanu vai drošības pārvaldību, ja negadījums ir noticis dzelzceļa sistēmas nepilnību dēļ (piemēram, infrastruktūras ierīču vai ritošā sastāva tehniskās kļūmes, personāls nav ievērojis procedūras, slikta tehniskās apkopes darbu plānošana utt.).</w:t>
      </w:r>
    </w:p>
    <w:p w14:paraId="45D57F25"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A7B9851"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00" w:name="_Toc40340090"/>
      <w:bookmarkStart w:id="201" w:name="_Toc61364277"/>
      <w:bookmarkStart w:id="202" w:name="_Toc61364526"/>
      <w:bookmarkStart w:id="203" w:name="_Toc134605590"/>
      <w:r>
        <w:rPr>
          <w:rFonts w:ascii="Times New Roman" w:hAnsi="Times New Roman"/>
          <w:sz w:val="24"/>
          <w:u w:val="none"/>
        </w:rPr>
        <w:t xml:space="preserve">10.4.1. </w:t>
      </w:r>
      <w:r>
        <w:rPr>
          <w:rFonts w:ascii="Times New Roman" w:hAnsi="Times New Roman"/>
          <w:sz w:val="24"/>
        </w:rPr>
        <w:t>Definīcija</w:t>
      </w:r>
      <w:bookmarkEnd w:id="200"/>
      <w:bookmarkEnd w:id="201"/>
      <w:bookmarkEnd w:id="202"/>
      <w:bookmarkEnd w:id="203"/>
    </w:p>
    <w:p w14:paraId="628F2827" w14:textId="77777777" w:rsidR="00E62252" w:rsidRPr="00E62252" w:rsidRDefault="00E62252" w:rsidP="00E62252">
      <w:pPr>
        <w:spacing w:after="0" w:line="240" w:lineRule="auto"/>
        <w:rPr>
          <w:noProof/>
          <w:lang w:val="en-US"/>
        </w:rPr>
      </w:pPr>
    </w:p>
    <w:p w14:paraId="29043A02" w14:textId="77777777" w:rsidR="00E62252" w:rsidRPr="00E62252" w:rsidRDefault="00E62252" w:rsidP="00E62252">
      <w:pPr>
        <w:pStyle w:val="NormalTextTable"/>
        <w:spacing w:line="240" w:lineRule="auto"/>
        <w:jc w:val="both"/>
        <w:rPr>
          <w:rFonts w:ascii="Bookman Old Style" w:hAnsi="Bookman Old Style" w:cs="Times New Roman"/>
          <w:noProof/>
        </w:rPr>
      </w:pPr>
      <w:r>
        <w:rPr>
          <w:rFonts w:ascii="Bookman Old Style" w:hAnsi="Bookman Old Style"/>
          <w:i/>
          <w:color w:val="3071C9" w:themeColor="accent5" w:themeShade="BF"/>
        </w:rPr>
        <w:t>“</w:t>
      </w:r>
      <w:r>
        <w:rPr>
          <w:rFonts w:ascii="Bookman Old Style" w:hAnsi="Bookman Old Style"/>
          <w:b/>
          <w:bCs/>
          <w:i/>
          <w:color w:val="3071C9" w:themeColor="accent5" w:themeShade="BF"/>
        </w:rPr>
        <w:t>Negadījums ar personām, kurā iesaistīts kustībā esošs ritošais sastāvs</w:t>
      </w:r>
      <w:r>
        <w:rPr>
          <w:rFonts w:ascii="Bookman Old Style" w:hAnsi="Bookman Old Style"/>
          <w:i/>
          <w:color w:val="3071C9" w:themeColor="accent5" w:themeShade="BF"/>
        </w:rPr>
        <w:t xml:space="preserve">” ir tāds negadījums, kurā vienu vai vairākus cilvēkus notriec dzelzceļa </w:t>
      </w:r>
      <w:proofErr w:type="spellStart"/>
      <w:r>
        <w:rPr>
          <w:rFonts w:ascii="Bookman Old Style" w:hAnsi="Bookman Old Style"/>
          <w:i/>
          <w:color w:val="3071C9" w:themeColor="accent5" w:themeShade="BF"/>
        </w:rPr>
        <w:t>riteklis</w:t>
      </w:r>
      <w:proofErr w:type="spellEnd"/>
      <w:r>
        <w:rPr>
          <w:rFonts w:ascii="Bookman Old Style" w:hAnsi="Bookman Old Style"/>
          <w:i/>
          <w:color w:val="3071C9" w:themeColor="accent5" w:themeShade="BF"/>
        </w:rPr>
        <w:t xml:space="preserve">, tam piestiprināts vai no tā atdalījies priekšmets; šajā kategorijā ietver arī cilvēkus, kas izkrīt no dzelzceļa </w:t>
      </w:r>
      <w:proofErr w:type="spellStart"/>
      <w:r>
        <w:rPr>
          <w:rFonts w:ascii="Bookman Old Style" w:hAnsi="Bookman Old Style"/>
          <w:i/>
          <w:color w:val="3071C9" w:themeColor="accent5" w:themeShade="BF"/>
        </w:rPr>
        <w:t>ritekļiem</w:t>
      </w:r>
      <w:proofErr w:type="spellEnd"/>
      <w:r>
        <w:rPr>
          <w:rFonts w:ascii="Bookman Old Style" w:hAnsi="Bookman Old Style"/>
          <w:i/>
          <w:color w:val="3071C9" w:themeColor="accent5" w:themeShade="BF"/>
        </w:rPr>
        <w:t xml:space="preserve">, kā arī cilvēkus, kuri nokrīt vai kurus notriec nenostiprināti priekšmeti, tiem atrodoties </w:t>
      </w:r>
      <w:proofErr w:type="spellStart"/>
      <w:r>
        <w:rPr>
          <w:rFonts w:ascii="Bookman Old Style" w:hAnsi="Bookman Old Style"/>
          <w:i/>
          <w:color w:val="3071C9" w:themeColor="accent5" w:themeShade="BF"/>
        </w:rPr>
        <w:t>riteklī</w:t>
      </w:r>
      <w:proofErr w:type="spellEnd"/>
      <w:r>
        <w:rPr>
          <w:rFonts w:ascii="Bookman Old Style" w:hAnsi="Bookman Old Style"/>
          <w:i/>
          <w:color w:val="3071C9" w:themeColor="accent5" w:themeShade="BF"/>
        </w:rPr>
        <w:t>.</w:t>
      </w:r>
    </w:p>
    <w:p w14:paraId="22323067"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1B293BA4" w14:textId="77777777" w:rsidTr="00F80365">
        <w:tc>
          <w:tcPr>
            <w:tcW w:w="5000" w:type="pct"/>
            <w:shd w:val="clear" w:color="auto" w:fill="D0ECFF" w:themeFill="text1" w:themeFillTint="1A"/>
          </w:tcPr>
          <w:p w14:paraId="7A779271"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5839EDA3" w14:textId="77777777" w:rsidR="00E62252" w:rsidRPr="00E62252" w:rsidRDefault="00E62252" w:rsidP="00F80365">
            <w:pPr>
              <w:jc w:val="both"/>
              <w:rPr>
                <w:rFonts w:ascii="Times New Roman" w:hAnsi="Times New Roman" w:cs="Times New Roman"/>
                <w:b/>
                <w:bCs/>
                <w:noProof/>
                <w:sz w:val="24"/>
                <w:szCs w:val="24"/>
                <w:u w:val="single"/>
                <w:lang w:val="en-US"/>
              </w:rPr>
            </w:pPr>
          </w:p>
          <w:p w14:paraId="415E7855"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Turpmāk sniegts neizsmeļošs notikumu uzskaitījums:</w:t>
            </w:r>
          </w:p>
          <w:p w14:paraId="603B20DB"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vilciens notriec personas laikā, kad tās izmanto pārejas starp peroniem;</w:t>
            </w:r>
          </w:p>
          <w:p w14:paraId="57685271"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personas izkrīt no vilcieniem;</w:t>
            </w:r>
          </w:p>
          <w:p w14:paraId="582F8D92"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pasažieri saņem triecienu no vilciena;</w:t>
            </w:r>
          </w:p>
          <w:p w14:paraId="3356EFAF"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darbinieki saņem triecienu no vilciena.</w:t>
            </w:r>
          </w:p>
          <w:p w14:paraId="2935D7A7" w14:textId="77777777" w:rsidR="00E62252" w:rsidRPr="00E62252" w:rsidRDefault="00E62252" w:rsidP="00F80365">
            <w:pPr>
              <w:pStyle w:val="Style6"/>
              <w:numPr>
                <w:ilvl w:val="0"/>
                <w:numId w:val="0"/>
              </w:numPr>
              <w:contextualSpacing w:val="0"/>
              <w:jc w:val="both"/>
              <w:rPr>
                <w:rFonts w:ascii="Times New Roman" w:hAnsi="Times New Roman" w:cs="Times New Roman"/>
                <w:noProof/>
                <w:sz w:val="24"/>
                <w:szCs w:val="24"/>
                <w:lang w:val="en-US"/>
              </w:rPr>
            </w:pPr>
          </w:p>
          <w:p w14:paraId="119EFBA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Netiek iekļautas personas, kas pārvietojas ar vilcieniem un gūst smagus miesas bojājumus vai iet bojā nesaistīti ar vilciena kustību. Piemēram, pasažieris vilcienā paslīd un nokrīt vai pasažieris vilcienā applaucējas ar karstu dzērienu.</w:t>
            </w:r>
          </w:p>
        </w:tc>
      </w:tr>
    </w:tbl>
    <w:p w14:paraId="17E1D3BA"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04" w:name="_Toc61364278"/>
      <w:bookmarkStart w:id="205" w:name="_Toc61364527"/>
    </w:p>
    <w:p w14:paraId="4D84558B"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06" w:name="_Toc134605591"/>
      <w:r>
        <w:rPr>
          <w:rFonts w:ascii="Times New Roman" w:hAnsi="Times New Roman"/>
          <w:sz w:val="24"/>
          <w:u w:val="none"/>
        </w:rPr>
        <w:t xml:space="preserve">10.4.2. </w:t>
      </w:r>
      <w:r>
        <w:rPr>
          <w:rFonts w:ascii="Times New Roman" w:hAnsi="Times New Roman"/>
          <w:sz w:val="24"/>
        </w:rPr>
        <w:t>Piemēri</w:t>
      </w:r>
      <w:bookmarkEnd w:id="204"/>
      <w:bookmarkEnd w:id="205"/>
      <w:bookmarkEnd w:id="206"/>
    </w:p>
    <w:p w14:paraId="68D2A091" w14:textId="77777777" w:rsidR="00E62252" w:rsidRPr="00E62252" w:rsidRDefault="00E62252" w:rsidP="00E62252">
      <w:pPr>
        <w:spacing w:after="0" w:line="240" w:lineRule="auto"/>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2E369B29" w14:textId="77777777" w:rsidTr="00F80365">
        <w:tc>
          <w:tcPr>
            <w:tcW w:w="5000" w:type="pct"/>
            <w:shd w:val="clear" w:color="auto" w:fill="D0ECFF" w:themeFill="text1" w:themeFillTint="1A"/>
          </w:tcPr>
          <w:p w14:paraId="7366CA2B"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4966B840" w14:textId="77777777" w:rsidR="00E62252" w:rsidRPr="00E62252" w:rsidRDefault="00E62252" w:rsidP="00F80365">
            <w:pPr>
              <w:jc w:val="both"/>
              <w:rPr>
                <w:rFonts w:ascii="Times New Roman" w:hAnsi="Times New Roman" w:cs="Times New Roman"/>
                <w:b/>
                <w:bCs/>
                <w:noProof/>
                <w:sz w:val="24"/>
                <w:szCs w:val="24"/>
                <w:u w:val="single"/>
                <w:lang w:val="en-US"/>
              </w:rPr>
            </w:pPr>
          </w:p>
          <w:p w14:paraId="04B746FF"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Negadījumi, “kuros iesaistīts kustībā esošs ritošais sastāvs”, ietver atsevišķi braucošus vagonus, manevru kustības u. c.; tie ietver negadījumus starp peroniem stacijās, kā arī negadījumus ar pasažieriem uz sliežu ceļiem, kas paredzēti tikai izmantošanai darbiniekiem.</w:t>
            </w:r>
          </w:p>
          <w:p w14:paraId="062B4CA7" w14:textId="77777777" w:rsidR="00E62252" w:rsidRPr="00E62252" w:rsidRDefault="00E62252" w:rsidP="00F80365">
            <w:pPr>
              <w:jc w:val="both"/>
              <w:rPr>
                <w:rFonts w:ascii="Times New Roman" w:hAnsi="Times New Roman" w:cs="Times New Roman"/>
                <w:noProof/>
                <w:sz w:val="24"/>
                <w:szCs w:val="24"/>
                <w:lang w:val="en-US"/>
              </w:rPr>
            </w:pPr>
          </w:p>
          <w:p w14:paraId="462855FE"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Neatļauta piekļuve dzelzceļa infrastruktūrai, ko angliski dēvē par “</w:t>
            </w:r>
            <w:proofErr w:type="spellStart"/>
            <w:r>
              <w:rPr>
                <w:rFonts w:ascii="Times New Roman" w:hAnsi="Times New Roman"/>
                <w:sz w:val="24"/>
              </w:rPr>
              <w:t>trespassing</w:t>
            </w:r>
            <w:proofErr w:type="spellEnd"/>
            <w:r>
              <w:rPr>
                <w:rFonts w:ascii="Times New Roman" w:hAnsi="Times New Roman"/>
                <w:sz w:val="24"/>
              </w:rPr>
              <w:t>”, ir plaši izplatīta problēma, tāpēc šie acīmredzama “pārkāpuma” gadījumi bieži vien netiek izmeklēti. Tomēr valstu izmeklēšanas struktūras nedrīkst šādus gadījumus izslēgt no izmeklēšanas pēc noklusējuma, jo tādējādi var palaist garām iespēju ievērojami veicināt dzelzceļa drošības uzlabošanu. Pat acīmredzama drošības noteikumu pārkāpuma gadījumā cēloniskie vai veicinošie faktori var izrietēt no dzelzceļa sistēmas (piemēram, no nepilnībām riska novērtēšanā).</w:t>
            </w:r>
          </w:p>
          <w:p w14:paraId="1477DB60" w14:textId="77777777" w:rsidR="00E62252" w:rsidRPr="00E62252" w:rsidRDefault="00E62252" w:rsidP="00F80365">
            <w:pPr>
              <w:jc w:val="both"/>
              <w:rPr>
                <w:rFonts w:ascii="Times New Roman" w:hAnsi="Times New Roman" w:cs="Times New Roman"/>
                <w:noProof/>
                <w:sz w:val="24"/>
                <w:szCs w:val="24"/>
                <w:lang w:val="en-US"/>
              </w:rPr>
            </w:pPr>
          </w:p>
          <w:p w14:paraId="5527AD24"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Valstu izmeklēšanas struktūrām ir jāsāk sākotnējā pārbaude vismaz attiecībā uz tiem negadījumiem, kuros miesas bojājumus ir guvušas personas, kas tika notriektas laikā, kad šī persona veica ar paredzēto dzelzceļa lietojumu cieši saistītu darbību. Var pieņemt, ka pastāv cieša saistība ar paredzēto lietojumu, ja cilvēki ir notriekti:</w:t>
            </w:r>
          </w:p>
          <w:p w14:paraId="6E2A31EA" w14:textId="77777777" w:rsidR="00E62252" w:rsidRPr="00E62252" w:rsidRDefault="00E62252" w:rsidP="00F80365">
            <w:pPr>
              <w:jc w:val="both"/>
              <w:rPr>
                <w:rFonts w:ascii="Times New Roman" w:hAnsi="Times New Roman" w:cs="Times New Roman"/>
                <w:noProof/>
                <w:sz w:val="24"/>
                <w:szCs w:val="24"/>
                <w:lang w:val="en-US"/>
              </w:rPr>
            </w:pPr>
          </w:p>
          <w:p w14:paraId="63C9D72A"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dzelzceļa stacijās (tostarp uz pārejām starp peroniem);</w:t>
            </w:r>
          </w:p>
          <w:p w14:paraId="51505B85"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šķirotavās (tostarp uz pārejām, kas paredzētas sliežu ceļa šķērsošanai tikai darba devējiem);</w:t>
            </w:r>
          </w:p>
          <w:p w14:paraId="12D3E16C"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dzelzceļa infrastruktūras būvniecības vai tehniskās apkopes darbu laikā.</w:t>
            </w:r>
          </w:p>
          <w:p w14:paraId="657BB97C" w14:textId="77777777" w:rsidR="00E62252" w:rsidRPr="00E62252" w:rsidRDefault="00E62252" w:rsidP="00F80365">
            <w:pPr>
              <w:pStyle w:val="Style6"/>
              <w:numPr>
                <w:ilvl w:val="0"/>
                <w:numId w:val="0"/>
              </w:numPr>
              <w:contextualSpacing w:val="0"/>
              <w:jc w:val="both"/>
              <w:rPr>
                <w:rFonts w:ascii="Times New Roman" w:hAnsi="Times New Roman" w:cs="Times New Roman"/>
                <w:noProof/>
                <w:sz w:val="24"/>
                <w:szCs w:val="24"/>
                <w:lang w:val="en-US"/>
              </w:rPr>
            </w:pPr>
          </w:p>
          <w:p w14:paraId="5687AE4D"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Bieži vien cilvēku rīcību ietekmē slikti redzamības apstākļi, nepietiekami pārbrauktuves </w:t>
            </w:r>
            <w:proofErr w:type="spellStart"/>
            <w:r>
              <w:rPr>
                <w:rFonts w:ascii="Times New Roman" w:hAnsi="Times New Roman"/>
                <w:sz w:val="24"/>
              </w:rPr>
              <w:t>signālrādītāji</w:t>
            </w:r>
            <w:proofErr w:type="spellEnd"/>
            <w:r>
              <w:rPr>
                <w:rFonts w:ascii="Times New Roman" w:hAnsi="Times New Roman"/>
                <w:sz w:val="24"/>
              </w:rPr>
              <w:t xml:space="preserve"> un </w:t>
            </w:r>
            <w:proofErr w:type="spellStart"/>
            <w:r>
              <w:rPr>
                <w:rFonts w:ascii="Times New Roman" w:hAnsi="Times New Roman"/>
                <w:sz w:val="24"/>
              </w:rPr>
              <w:t>signālzīmes</w:t>
            </w:r>
            <w:proofErr w:type="spellEnd"/>
            <w:r>
              <w:rPr>
                <w:rFonts w:ascii="Times New Roman" w:hAnsi="Times New Roman"/>
                <w:sz w:val="24"/>
              </w:rPr>
              <w:t xml:space="preserve"> vai slikts procedūru plānojums.</w:t>
            </w:r>
          </w:p>
        </w:tc>
      </w:tr>
    </w:tbl>
    <w:p w14:paraId="7FEB4FE7" w14:textId="77777777" w:rsidR="00E62252" w:rsidRPr="00E62252" w:rsidRDefault="00E62252" w:rsidP="00E62252">
      <w:pPr>
        <w:pStyle w:val="BodyText"/>
        <w:spacing w:before="0" w:beforeAutospacing="0" w:afterAutospacing="0" w:line="240" w:lineRule="auto"/>
        <w:ind w:left="0" w:firstLine="0"/>
        <w:jc w:val="both"/>
        <w:rPr>
          <w:rFonts w:ascii="Times New Roman" w:hAnsi="Times New Roman" w:cs="Times New Roman"/>
          <w:noProof/>
          <w:kern w:val="0"/>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7D4837FD" w14:textId="77777777" w:rsidTr="00F80365">
        <w:tc>
          <w:tcPr>
            <w:tcW w:w="5000" w:type="pct"/>
            <w:shd w:val="clear" w:color="auto" w:fill="F5DCDB" w:themeFill="accent2" w:themeFillTint="33"/>
          </w:tcPr>
          <w:p w14:paraId="01655339" w14:textId="77777777" w:rsidR="00E62252" w:rsidRPr="00E62252" w:rsidRDefault="00E62252" w:rsidP="00F80365">
            <w:pPr>
              <w:pStyle w:val="Style7"/>
              <w:jc w:val="both"/>
              <w:rPr>
                <w:rFonts w:ascii="Times New Roman" w:hAnsi="Times New Roman" w:cs="Times New Roman"/>
                <w:b/>
                <w:bCs/>
                <w:noProof/>
                <w:sz w:val="24"/>
                <w:szCs w:val="24"/>
                <w:u w:val="single"/>
              </w:rPr>
            </w:pPr>
            <w:r>
              <w:rPr>
                <w:rFonts w:ascii="Times New Roman" w:hAnsi="Times New Roman"/>
                <w:b/>
                <w:sz w:val="24"/>
                <w:u w:val="single"/>
              </w:rPr>
              <w:t>Laba prakse</w:t>
            </w:r>
          </w:p>
          <w:p w14:paraId="27366064" w14:textId="77777777" w:rsidR="00E62252" w:rsidRPr="00E62252" w:rsidRDefault="00E62252" w:rsidP="00F80365">
            <w:pPr>
              <w:pStyle w:val="Style7"/>
              <w:jc w:val="both"/>
              <w:rPr>
                <w:rFonts w:ascii="Times New Roman" w:hAnsi="Times New Roman" w:cs="Times New Roman"/>
                <w:b/>
                <w:bCs/>
                <w:noProof/>
                <w:sz w:val="24"/>
                <w:szCs w:val="24"/>
                <w:u w:val="single"/>
                <w:lang w:val="en-US"/>
              </w:rPr>
            </w:pPr>
          </w:p>
          <w:p w14:paraId="6C1C9606"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Pēc negadījuma ar personām, kurā iesaistīts kustībā esošs ritošais sastāvs un kurā kāda persona gājusi bojā vai guvusi smagus miesas bojājumus, jāveic sākotnējā pārbaude, lai noskaidrotu, vai ir pierādījumi vai spēcīgas liecības par pašnāvību. Ja aizdomas par pašnāvību neapstiprinās, pārbaudē jānosaka, vai dzelzceļa apakšsistēmas ir darbojušās pareizi gan vilcienā, gan iespējamajās stacionārajās lauka aizsardzības iekārtās.</w:t>
            </w:r>
          </w:p>
          <w:p w14:paraId="1FB44447" w14:textId="77777777" w:rsidR="00E62252" w:rsidRPr="00E62252" w:rsidRDefault="00E62252" w:rsidP="00F80365">
            <w:pPr>
              <w:pStyle w:val="Style7"/>
              <w:jc w:val="both"/>
              <w:rPr>
                <w:rFonts w:ascii="Times New Roman" w:hAnsi="Times New Roman" w:cs="Times New Roman"/>
                <w:noProof/>
                <w:sz w:val="24"/>
                <w:szCs w:val="24"/>
                <w:lang w:val="en-US"/>
              </w:rPr>
            </w:pPr>
          </w:p>
          <w:p w14:paraId="61AC1CCD"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Attiecībā uz negadījumiem, kuri saistīti ar dzelzceļa sistēmas tehniskās apkopes darbiem vai būvdarbiem un kuros personas ir guvušas miesas bojājumus vai gājušas bojā, sākotnējā pārbaudē jāizskata, vai drošības pasākumi ir bijuši pietiekami un vai tie ir pareizi izpildīti.</w:t>
            </w:r>
          </w:p>
          <w:p w14:paraId="22D9C97A" w14:textId="77777777" w:rsidR="00E62252" w:rsidRPr="00E62252" w:rsidRDefault="00E62252" w:rsidP="00F80365">
            <w:pPr>
              <w:pStyle w:val="Style7"/>
              <w:jc w:val="both"/>
              <w:rPr>
                <w:rFonts w:ascii="Times New Roman" w:hAnsi="Times New Roman" w:cs="Times New Roman"/>
                <w:noProof/>
                <w:sz w:val="24"/>
                <w:szCs w:val="24"/>
                <w:lang w:val="en-US"/>
              </w:rPr>
            </w:pPr>
          </w:p>
          <w:p w14:paraId="18132178"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 xml:space="preserve">Ja visas dzelzceļa apakšsistēmas bija darbojušās pareizi un notriektā persona (piemēram, persona, kas neatļauti piekļuvusi dzelzceļa infrastruktūrai) pati bija pakļāvusi sevi briesmām (piemēram, šķērsojot sliežu ceļus, nevis izmantojot pietiekami netālu esošu drošu pāreju), un </w:t>
            </w:r>
            <w:r>
              <w:rPr>
                <w:rFonts w:ascii="Times New Roman" w:hAnsi="Times New Roman"/>
                <w:b/>
                <w:bCs/>
                <w:sz w:val="24"/>
              </w:rPr>
              <w:t>šīs personas rīcību acīmredzami nav ietekmējuši dzelzceļa sistēmā esoši faktori</w:t>
            </w:r>
            <w:r>
              <w:rPr>
                <w:rFonts w:ascii="Times New Roman" w:hAnsi="Times New Roman"/>
                <w:sz w:val="24"/>
              </w:rPr>
              <w:t>, tad izmeklēšanu nebūtu piemēroti veikt, ja vien tā nepārprotami neuzlabotu dzelzceļa drošību.</w:t>
            </w:r>
          </w:p>
          <w:p w14:paraId="30F7AB65" w14:textId="77777777" w:rsidR="00E62252" w:rsidRPr="00E62252" w:rsidRDefault="00E62252" w:rsidP="00F80365">
            <w:pPr>
              <w:pStyle w:val="Style7"/>
              <w:jc w:val="both"/>
              <w:rPr>
                <w:rFonts w:ascii="Times New Roman" w:hAnsi="Times New Roman" w:cs="Times New Roman"/>
                <w:noProof/>
                <w:sz w:val="24"/>
                <w:szCs w:val="24"/>
                <w:lang w:val="en-US"/>
              </w:rPr>
            </w:pPr>
          </w:p>
          <w:p w14:paraId="28772160"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lastRenderedPageBreak/>
              <w:t xml:space="preserve">Lai arī gadījums var neatbilst 20. panta 1. punktā noteiktās izmeklēšanas kritērijiem, </w:t>
            </w:r>
            <w:proofErr w:type="spellStart"/>
            <w:r>
              <w:rPr>
                <w:rFonts w:ascii="Times New Roman" w:hAnsi="Times New Roman"/>
                <w:i/>
                <w:iCs/>
                <w:sz w:val="24"/>
              </w:rPr>
              <w:t>NIB</w:t>
            </w:r>
            <w:proofErr w:type="spellEnd"/>
            <w:r>
              <w:rPr>
                <w:rFonts w:ascii="Times New Roman" w:hAnsi="Times New Roman"/>
                <w:sz w:val="24"/>
              </w:rPr>
              <w:t xml:space="preserve"> var nolemt izmeklēt šo negadījumu atbilstoši 20. panta 2. punktam, piemēram, ja tas atbilst sabiedrības interesēm vai ja tas ir paredzēts valsts tiesību aktos (22. panta 6. punkts).</w:t>
            </w:r>
          </w:p>
        </w:tc>
      </w:tr>
    </w:tbl>
    <w:p w14:paraId="5698D62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4ACA0DFA" w14:textId="77777777" w:rsidTr="00F80365">
        <w:tc>
          <w:tcPr>
            <w:tcW w:w="5000" w:type="pct"/>
            <w:shd w:val="clear" w:color="auto" w:fill="FFF7D8" w:themeFill="accent6" w:themeFillTint="33"/>
          </w:tcPr>
          <w:p w14:paraId="405B7526"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1. piemērs.</w:t>
            </w:r>
          </w:p>
          <w:p w14:paraId="0FA9FF62"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07B71E8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Vilciens ietriecas personu grupā uz </w:t>
            </w:r>
            <w:proofErr w:type="spellStart"/>
            <w:r>
              <w:rPr>
                <w:rFonts w:ascii="Times New Roman" w:hAnsi="Times New Roman"/>
                <w:sz w:val="24"/>
              </w:rPr>
              <w:t>divceļu</w:t>
            </w:r>
            <w:proofErr w:type="spellEnd"/>
            <w:r>
              <w:rPr>
                <w:rFonts w:ascii="Times New Roman" w:hAnsi="Times New Roman"/>
                <w:sz w:val="24"/>
              </w:rPr>
              <w:t xml:space="preserve"> līnijas. Divas personas tiek nogalinātas, vēl divas citas personas gūst smagus miesas bojājumus. Iegūtas liecības par to, ka šīs personas bija </w:t>
            </w:r>
            <w:proofErr w:type="spellStart"/>
            <w:r>
              <w:rPr>
                <w:rFonts w:ascii="Times New Roman" w:hAnsi="Times New Roman"/>
                <w:i/>
                <w:iCs/>
                <w:sz w:val="24"/>
              </w:rPr>
              <w:t>IM</w:t>
            </w:r>
            <w:proofErr w:type="spellEnd"/>
            <w:r>
              <w:rPr>
                <w:rFonts w:ascii="Times New Roman" w:hAnsi="Times New Roman"/>
                <w:sz w:val="24"/>
              </w:rPr>
              <w:t xml:space="preserve"> apmeklētāji, kas vēlējās izpētīt konkrētu iekārtu sliežu ceļa tuvumā. Personas atradās sliežu ceļa zonā ar dispečera atļauju un </w:t>
            </w:r>
            <w:proofErr w:type="spellStart"/>
            <w:r>
              <w:rPr>
                <w:rFonts w:ascii="Times New Roman" w:hAnsi="Times New Roman"/>
                <w:i/>
                <w:iCs/>
                <w:sz w:val="24"/>
              </w:rPr>
              <w:t>IM</w:t>
            </w:r>
            <w:proofErr w:type="spellEnd"/>
            <w:r>
              <w:rPr>
                <w:rFonts w:ascii="Times New Roman" w:hAnsi="Times New Roman"/>
                <w:sz w:val="24"/>
              </w:rPr>
              <w:t xml:space="preserve"> drošības darbinieku uzraudzībā.</w:t>
            </w:r>
          </w:p>
          <w:p w14:paraId="171A14C8" w14:textId="77777777" w:rsidR="00E62252" w:rsidRPr="00E62252" w:rsidRDefault="00E62252" w:rsidP="00F80365">
            <w:pPr>
              <w:jc w:val="both"/>
              <w:rPr>
                <w:rFonts w:ascii="Times New Roman" w:hAnsi="Times New Roman" w:cs="Times New Roman"/>
                <w:noProof/>
                <w:sz w:val="24"/>
                <w:szCs w:val="24"/>
                <w:lang w:val="en-US"/>
              </w:rPr>
            </w:pPr>
          </w:p>
          <w:p w14:paraId="5E9BEEEE"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u w:val="single"/>
              </w:rPr>
              <w:t>Izmeklēšana atbilstoši 20. panta 1. punktam ir obligāta</w:t>
            </w:r>
            <w:r>
              <w:rPr>
                <w:rFonts w:ascii="Times New Roman" w:hAnsi="Times New Roman"/>
                <w:sz w:val="24"/>
              </w:rPr>
              <w:t xml:space="preserve"> letālo seku dēļ un tādēļ, ka pastāv acīmredzama ietekme uz dzelzceļa drošību.</w:t>
            </w:r>
          </w:p>
          <w:p w14:paraId="1F2A1C18" w14:textId="77777777" w:rsidR="00E62252" w:rsidRPr="00E62252" w:rsidRDefault="00E62252" w:rsidP="00F80365">
            <w:pPr>
              <w:jc w:val="both"/>
              <w:rPr>
                <w:rFonts w:ascii="Times New Roman" w:hAnsi="Times New Roman" w:cs="Times New Roman"/>
                <w:noProof/>
                <w:sz w:val="24"/>
                <w:szCs w:val="24"/>
                <w:lang w:val="en-US"/>
              </w:rPr>
            </w:pPr>
          </w:p>
          <w:p w14:paraId="2D84935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Gadījuma apraksts liecina par saziņas problēmu dzelzceļa sistēmā un to, ka no šā gadījuma var gūt mācību attiecībā uz drošības pārvaldību.</w:t>
            </w:r>
          </w:p>
          <w:p w14:paraId="52147905" w14:textId="77777777" w:rsidR="00E62252" w:rsidRPr="00E62252" w:rsidRDefault="00E62252" w:rsidP="00F80365">
            <w:pPr>
              <w:jc w:val="both"/>
              <w:rPr>
                <w:rFonts w:ascii="Times New Roman" w:hAnsi="Times New Roman" w:cs="Times New Roman"/>
                <w:noProof/>
                <w:sz w:val="24"/>
                <w:szCs w:val="24"/>
                <w:lang w:val="en-US"/>
              </w:rPr>
            </w:pPr>
          </w:p>
          <w:p w14:paraId="7673928C"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proofErr w:type="spellStart"/>
            <w:r>
              <w:rPr>
                <w:rFonts w:ascii="Times New Roman" w:hAnsi="Times New Roman"/>
                <w:i/>
                <w:iCs/>
                <w:sz w:val="24"/>
              </w:rPr>
              <w:t>NIB</w:t>
            </w:r>
            <w:proofErr w:type="spellEnd"/>
            <w:r>
              <w:rPr>
                <w:rFonts w:ascii="Times New Roman" w:hAnsi="Times New Roman"/>
                <w:sz w:val="24"/>
              </w:rPr>
              <w:t xml:space="preserve"> ir jāizmeklē šis negadījums.</w:t>
            </w:r>
          </w:p>
        </w:tc>
      </w:tr>
    </w:tbl>
    <w:p w14:paraId="4487193F"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B41FD6F" w14:textId="77777777" w:rsidTr="00F80365">
        <w:tc>
          <w:tcPr>
            <w:tcW w:w="9345" w:type="dxa"/>
            <w:shd w:val="clear" w:color="auto" w:fill="FFF7D8" w:themeFill="accent6" w:themeFillTint="33"/>
          </w:tcPr>
          <w:p w14:paraId="0DE04F2C"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2. piemērs.</w:t>
            </w:r>
          </w:p>
          <w:p w14:paraId="7149F0D2"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3CA89E14"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Stacijā gājušas bojā divas personas. Šīs personas notrieca garām braucošs vilciens laikā, kad tās šķērsoja sliežu ceļus stacijā. Tika iegūtas liecības par to, ka tās ir “satraucis” īsais perona maiņas laiks un tās vēlējušās paspēt uz piepilsētas vilcienu, kura atiešana bija noteikta no cita perona nekā parasti. Tuvākā drošā sliežu ceļu šķērsošanas vieta atradās 300 metru attālumā.</w:t>
            </w:r>
          </w:p>
          <w:p w14:paraId="2BC52D6C" w14:textId="77777777" w:rsidR="00E62252" w:rsidRPr="00E62252" w:rsidRDefault="00E62252" w:rsidP="00F80365">
            <w:pPr>
              <w:jc w:val="both"/>
              <w:rPr>
                <w:rFonts w:ascii="Times New Roman" w:hAnsi="Times New Roman" w:cs="Times New Roman"/>
                <w:noProof/>
                <w:sz w:val="24"/>
                <w:szCs w:val="24"/>
                <w:lang w:val="en-US"/>
              </w:rPr>
            </w:pPr>
          </w:p>
          <w:p w14:paraId="466C5F00"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Šis negadījums nav jāizmeklē atbilstoši 20. panta 1. punktam.</w:t>
            </w:r>
          </w:p>
          <w:p w14:paraId="468569E0" w14:textId="77777777" w:rsidR="00E62252" w:rsidRPr="00E62252" w:rsidRDefault="00E62252" w:rsidP="00F80365">
            <w:pPr>
              <w:jc w:val="both"/>
              <w:rPr>
                <w:rFonts w:ascii="Times New Roman" w:hAnsi="Times New Roman" w:cs="Times New Roman"/>
                <w:noProof/>
                <w:sz w:val="24"/>
                <w:szCs w:val="24"/>
                <w:u w:val="single"/>
                <w:lang w:val="en-US"/>
              </w:rPr>
            </w:pPr>
          </w:p>
          <w:p w14:paraId="073B9F4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Tomēr gadījuma apraksts liecina par to, ka dispečera lēmums par perona maiņu neilgi pirms vilciena atiešanas var būt sekmējis negadījumu un ka no šā gadījuma var gūt mācību attiecībā uz drošības pārvaldības sistēmu.</w:t>
            </w:r>
          </w:p>
          <w:p w14:paraId="155A25A9" w14:textId="77777777" w:rsidR="00E62252" w:rsidRPr="00E62252" w:rsidRDefault="00E62252" w:rsidP="00F80365">
            <w:pPr>
              <w:jc w:val="both"/>
              <w:rPr>
                <w:rFonts w:ascii="Times New Roman" w:hAnsi="Times New Roman" w:cs="Times New Roman"/>
                <w:noProof/>
                <w:sz w:val="24"/>
                <w:szCs w:val="24"/>
                <w:lang w:val="en-US"/>
              </w:rPr>
            </w:pPr>
          </w:p>
          <w:p w14:paraId="3E638715"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 xml:space="preserve">Lēmumu par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p>
        </w:tc>
      </w:tr>
    </w:tbl>
    <w:p w14:paraId="7DA445C4"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7759DF49" w14:textId="77777777" w:rsidTr="00F80365">
        <w:tc>
          <w:tcPr>
            <w:tcW w:w="5000" w:type="pct"/>
            <w:shd w:val="clear" w:color="auto" w:fill="FFF7D8" w:themeFill="accent6" w:themeFillTint="33"/>
          </w:tcPr>
          <w:p w14:paraId="2215641F"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3. piemērs.</w:t>
            </w:r>
          </w:p>
          <w:p w14:paraId="29AEACBD"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2D25A055" w14:textId="77777777" w:rsidR="00E62252" w:rsidRPr="00E62252" w:rsidRDefault="00E62252" w:rsidP="00F80365">
            <w:pPr>
              <w:jc w:val="both"/>
              <w:rPr>
                <w:rFonts w:ascii="Times New Roman" w:hAnsi="Times New Roman" w:cs="Times New Roman"/>
                <w:noProof/>
                <w:sz w:val="24"/>
                <w:szCs w:val="24"/>
              </w:rPr>
            </w:pPr>
            <w:proofErr w:type="spellStart"/>
            <w:r>
              <w:rPr>
                <w:rFonts w:ascii="Times New Roman" w:hAnsi="Times New Roman"/>
                <w:i/>
                <w:iCs/>
                <w:sz w:val="24"/>
              </w:rPr>
              <w:t>NIB</w:t>
            </w:r>
            <w:proofErr w:type="spellEnd"/>
            <w:r>
              <w:rPr>
                <w:rFonts w:ascii="Times New Roman" w:hAnsi="Times New Roman"/>
                <w:sz w:val="24"/>
              </w:rPr>
              <w:t xml:space="preserve"> tika informēta par sievieti, kuru stacijā bija nogalinājis kustībā esošs vilciens. Tika konstatēts, ka šajā gadījumā ir notikusi neatļauta piekļuve dzelzceļa infrastruktūrai. Tāpēc </w:t>
            </w:r>
            <w:proofErr w:type="spellStart"/>
            <w:r>
              <w:rPr>
                <w:rFonts w:ascii="Times New Roman" w:hAnsi="Times New Roman"/>
                <w:i/>
                <w:iCs/>
                <w:sz w:val="24"/>
              </w:rPr>
              <w:t>NIB</w:t>
            </w:r>
            <w:proofErr w:type="spellEnd"/>
            <w:r>
              <w:rPr>
                <w:rFonts w:ascii="Times New Roman" w:hAnsi="Times New Roman"/>
                <w:sz w:val="24"/>
              </w:rPr>
              <w:t xml:space="preserve"> ir nolēmusi neizmeklēt šo gadījumu. Taču no paziņojumiem plašsaziņas līdzekļos un liecinieku izteikumiem </w:t>
            </w:r>
            <w:proofErr w:type="spellStart"/>
            <w:r>
              <w:rPr>
                <w:rFonts w:ascii="Times New Roman" w:hAnsi="Times New Roman"/>
                <w:i/>
                <w:iCs/>
                <w:sz w:val="24"/>
              </w:rPr>
              <w:t>NIB</w:t>
            </w:r>
            <w:proofErr w:type="spellEnd"/>
            <w:r>
              <w:rPr>
                <w:rFonts w:ascii="Times New Roman" w:hAnsi="Times New Roman"/>
                <w:sz w:val="24"/>
              </w:rPr>
              <w:t xml:space="preserve"> uzzināja, ka dzelzceļa sistēmā, iespējams, bijuši apstākļi, kas ir izraisījuši negadījumu. </w:t>
            </w:r>
            <w:proofErr w:type="spellStart"/>
            <w:r>
              <w:rPr>
                <w:rFonts w:ascii="Times New Roman" w:hAnsi="Times New Roman"/>
                <w:i/>
                <w:iCs/>
                <w:sz w:val="24"/>
              </w:rPr>
              <w:t>NIB</w:t>
            </w:r>
            <w:proofErr w:type="spellEnd"/>
            <w:r>
              <w:rPr>
                <w:rFonts w:ascii="Times New Roman" w:hAnsi="Times New Roman"/>
                <w:sz w:val="24"/>
              </w:rPr>
              <w:t xml:space="preserve"> pārskatīja savu lēmumu un sāka izmeklēšanu. Izmeklēšanā noskaidrots, ka sieviete, saņemot neskaidru informāciju, bija iekāpusi nepareizajā vilcienā. Kad vilciens sāka kustību nepareizajā virzienā, viņa atvēra durvis (apejot tehniskās ierīces, kas novērš durvju atvēršanu) un izkrita no vilciena. Pēc tam viņai uzbrauca cits vilciens, kad viņa savainojusies gulēja uz sliežu ceļa.</w:t>
            </w:r>
          </w:p>
          <w:p w14:paraId="1784B645" w14:textId="77777777" w:rsidR="00E62252" w:rsidRPr="00E62252" w:rsidRDefault="00E62252" w:rsidP="00F80365">
            <w:pPr>
              <w:jc w:val="both"/>
              <w:rPr>
                <w:rFonts w:ascii="Times New Roman" w:hAnsi="Times New Roman" w:cs="Times New Roman"/>
                <w:noProof/>
                <w:sz w:val="24"/>
                <w:szCs w:val="24"/>
                <w:lang w:val="en-US"/>
              </w:rPr>
            </w:pPr>
          </w:p>
          <w:p w14:paraId="5951434A"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rPr>
              <w:t xml:space="preserve">Sākotnēji šis negadījums varēja būt klasificēts kā negadījums atbilstoši 20. panta 2. punktam. Pēc tam, kad kļuva pieejama papildu informācija (acīmredzama ietekme uz dzelzceļa </w:t>
            </w:r>
            <w:r>
              <w:rPr>
                <w:rFonts w:ascii="Times New Roman" w:hAnsi="Times New Roman"/>
                <w:sz w:val="24"/>
              </w:rPr>
              <w:lastRenderedPageBreak/>
              <w:t xml:space="preserve">regulēšanu vai drošības pārvaldību, piemēram, ar durvju bloķēšanas sistēmu), šis </w:t>
            </w:r>
            <w:r>
              <w:rPr>
                <w:rFonts w:ascii="Times New Roman" w:hAnsi="Times New Roman"/>
                <w:sz w:val="24"/>
                <w:u w:val="single"/>
              </w:rPr>
              <w:t>negadījums bija jāklasificē kā negadījums atbilstoši 20. panta 1. punktam</w:t>
            </w:r>
            <w:r>
              <w:rPr>
                <w:rFonts w:ascii="Times New Roman" w:hAnsi="Times New Roman"/>
                <w:sz w:val="24"/>
              </w:rPr>
              <w:t>.</w:t>
            </w:r>
          </w:p>
          <w:p w14:paraId="1D8F6000" w14:textId="77777777" w:rsidR="00E62252" w:rsidRPr="00E62252" w:rsidRDefault="00E62252" w:rsidP="00F80365">
            <w:pPr>
              <w:jc w:val="both"/>
              <w:rPr>
                <w:rFonts w:ascii="Times New Roman" w:hAnsi="Times New Roman" w:cs="Times New Roman"/>
                <w:noProof/>
                <w:sz w:val="24"/>
                <w:szCs w:val="24"/>
                <w:u w:val="single"/>
                <w:lang w:val="en-US"/>
              </w:rPr>
            </w:pPr>
          </w:p>
          <w:p w14:paraId="2062ABFB"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Šajā izmeklēšanā tostarp var izvērtēt personas rīcību un to, kādi šķēršļi ir (vai nav) ieviesti, lai novērstu šāda veida negadījumus.</w:t>
            </w:r>
          </w:p>
          <w:p w14:paraId="046C76B5" w14:textId="77777777" w:rsidR="00E62252" w:rsidRPr="00E62252" w:rsidRDefault="00E62252" w:rsidP="00F80365">
            <w:pPr>
              <w:jc w:val="both"/>
              <w:rPr>
                <w:rFonts w:ascii="Times New Roman" w:hAnsi="Times New Roman" w:cs="Times New Roman"/>
                <w:noProof/>
                <w:sz w:val="24"/>
                <w:szCs w:val="24"/>
                <w:lang w:val="en-US"/>
              </w:rPr>
            </w:pPr>
          </w:p>
          <w:p w14:paraId="5012ABE9"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r>
              <w:rPr>
                <w:rFonts w:ascii="Times New Roman" w:hAnsi="Times New Roman"/>
                <w:sz w:val="24"/>
              </w:rPr>
              <w:t>Šis negadījums ir jāizmeklē atbilstoši 20. panta 1. punktam.</w:t>
            </w:r>
          </w:p>
        </w:tc>
      </w:tr>
    </w:tbl>
    <w:p w14:paraId="4DD7E4F6" w14:textId="77777777" w:rsidR="00E62252" w:rsidRPr="00E62252" w:rsidRDefault="00E62252" w:rsidP="00E62252">
      <w:pPr>
        <w:spacing w:after="0" w:line="240" w:lineRule="auto"/>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42F24F46" w14:textId="77777777" w:rsidTr="00F80365">
        <w:tc>
          <w:tcPr>
            <w:tcW w:w="5000" w:type="pct"/>
            <w:shd w:val="clear" w:color="auto" w:fill="FFF7D8" w:themeFill="accent6" w:themeFillTint="33"/>
          </w:tcPr>
          <w:p w14:paraId="6E778B81"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4. piemērs.</w:t>
            </w:r>
          </w:p>
          <w:p w14:paraId="7B2FC168"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Vilciens ietriecas personu grupā uz </w:t>
            </w:r>
            <w:proofErr w:type="spellStart"/>
            <w:r>
              <w:rPr>
                <w:rFonts w:ascii="Times New Roman" w:hAnsi="Times New Roman"/>
                <w:sz w:val="24"/>
              </w:rPr>
              <w:t>divceļu</w:t>
            </w:r>
            <w:proofErr w:type="spellEnd"/>
            <w:r>
              <w:rPr>
                <w:rFonts w:ascii="Times New Roman" w:hAnsi="Times New Roman"/>
                <w:sz w:val="24"/>
              </w:rPr>
              <w:t xml:space="preserve"> līnijas. Divas personas tiek nogalinātas, vēl divas citas personas gūst smagus miesas bojājumus. Tika saņemtas liecības par to, ka šīs personas bija vēlējušās saīsināt ceļu līdz restorānam.</w:t>
            </w:r>
          </w:p>
          <w:p w14:paraId="721BA232" w14:textId="77777777" w:rsidR="00E62252" w:rsidRPr="00E62252" w:rsidRDefault="00E62252" w:rsidP="00F80365">
            <w:pPr>
              <w:jc w:val="both"/>
              <w:rPr>
                <w:rFonts w:ascii="Times New Roman" w:hAnsi="Times New Roman" w:cs="Times New Roman"/>
                <w:noProof/>
                <w:sz w:val="24"/>
                <w:szCs w:val="24"/>
                <w:lang w:val="en-US"/>
              </w:rPr>
            </w:pPr>
          </w:p>
          <w:p w14:paraId="292A5C44"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Šis negadījums nav jāizmeklē atbilstoši 20. panta 1. punktam.</w:t>
            </w:r>
          </w:p>
          <w:p w14:paraId="5922592B" w14:textId="77777777" w:rsidR="00E62252" w:rsidRPr="00E62252" w:rsidRDefault="00E62252" w:rsidP="00F80365">
            <w:pPr>
              <w:jc w:val="both"/>
              <w:rPr>
                <w:rFonts w:ascii="Times New Roman" w:hAnsi="Times New Roman" w:cs="Times New Roman"/>
                <w:noProof/>
                <w:sz w:val="24"/>
                <w:szCs w:val="24"/>
                <w:u w:val="single"/>
                <w:lang w:val="en-US"/>
              </w:rPr>
            </w:pPr>
          </w:p>
          <w:p w14:paraId="15C3B6DE"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jo īpaši, ja ir saņemtas liecības par to, ka šāda maršruta saīsināšana ir izplatīta prakse.</w:t>
            </w:r>
          </w:p>
          <w:p w14:paraId="104B19E0" w14:textId="77777777" w:rsidR="00E62252" w:rsidRPr="00E62252" w:rsidRDefault="00E62252" w:rsidP="00F80365">
            <w:pPr>
              <w:jc w:val="both"/>
              <w:rPr>
                <w:rFonts w:ascii="Times New Roman" w:hAnsi="Times New Roman" w:cs="Times New Roman"/>
                <w:noProof/>
                <w:sz w:val="24"/>
                <w:szCs w:val="24"/>
                <w:lang w:val="en-US"/>
              </w:rPr>
            </w:pPr>
          </w:p>
          <w:p w14:paraId="2C2C54D5"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Šajā izmeklēšanā tostarp var izvērtēt personas rīcību un to, kādi šķēršļi ir (vai nav) ieviesti, lai novērstu šāda veida negadījumus.</w:t>
            </w:r>
          </w:p>
          <w:p w14:paraId="3BBF3A88" w14:textId="77777777" w:rsidR="00E62252" w:rsidRPr="00E62252" w:rsidRDefault="00E62252" w:rsidP="00F80365">
            <w:pPr>
              <w:jc w:val="both"/>
              <w:rPr>
                <w:rFonts w:ascii="Times New Roman" w:hAnsi="Times New Roman" w:cs="Times New Roman"/>
                <w:noProof/>
                <w:sz w:val="24"/>
                <w:szCs w:val="24"/>
                <w:lang w:val="en-US"/>
              </w:rPr>
            </w:pPr>
          </w:p>
          <w:p w14:paraId="3235545D" w14:textId="77777777" w:rsidR="00E62252" w:rsidRPr="00E62252" w:rsidRDefault="00E62252" w:rsidP="00F80365">
            <w:pPr>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tc>
      </w:tr>
    </w:tbl>
    <w:p w14:paraId="64D801F3"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E62252" w:rsidRPr="00E62252" w14:paraId="382D4B25" w14:textId="77777777" w:rsidTr="00F80365">
        <w:tc>
          <w:tcPr>
            <w:tcW w:w="9345" w:type="dxa"/>
            <w:shd w:val="clear" w:color="auto" w:fill="FFF7D8" w:themeFill="accent6" w:themeFillTint="33"/>
          </w:tcPr>
          <w:p w14:paraId="4DCFB918"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5. piemērs.</w:t>
            </w:r>
          </w:p>
          <w:p w14:paraId="34FCA430"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5B339070"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Garām braucoša kravas vilciena radīta gaisa plūsma uzvilka uz sliedēm bērnu ratiņus no perona, kas atradās pie </w:t>
            </w:r>
            <w:proofErr w:type="spellStart"/>
            <w:r>
              <w:rPr>
                <w:rFonts w:ascii="Times New Roman" w:hAnsi="Times New Roman"/>
                <w:sz w:val="24"/>
              </w:rPr>
              <w:t>divceļu</w:t>
            </w:r>
            <w:proofErr w:type="spellEnd"/>
            <w:r>
              <w:rPr>
                <w:rFonts w:ascii="Times New Roman" w:hAnsi="Times New Roman"/>
                <w:sz w:val="24"/>
              </w:rPr>
              <w:t xml:space="preserve"> līnijas. Sagadīšanās dēļ bērnu ratiņi bija tukši, jo tēvs tikko bija paņēmis bērnu rokās.</w:t>
            </w:r>
          </w:p>
          <w:p w14:paraId="64391212" w14:textId="77777777" w:rsidR="00E62252" w:rsidRPr="00E62252" w:rsidRDefault="00E62252" w:rsidP="00F80365">
            <w:pPr>
              <w:jc w:val="both"/>
              <w:rPr>
                <w:rFonts w:ascii="Times New Roman" w:hAnsi="Times New Roman" w:cs="Times New Roman"/>
                <w:noProof/>
                <w:sz w:val="24"/>
                <w:szCs w:val="24"/>
                <w:lang w:val="en-US"/>
              </w:rPr>
            </w:pPr>
          </w:p>
          <w:p w14:paraId="7C772044"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Šis negadījums nav jāizmeklē atbilstoši 20. panta 1. punktam.</w:t>
            </w:r>
          </w:p>
          <w:p w14:paraId="011DC7D8" w14:textId="77777777" w:rsidR="00E62252" w:rsidRPr="00E62252" w:rsidRDefault="00E62252" w:rsidP="00F80365">
            <w:pPr>
              <w:jc w:val="both"/>
              <w:rPr>
                <w:rFonts w:ascii="Times New Roman" w:hAnsi="Times New Roman" w:cs="Times New Roman"/>
                <w:noProof/>
                <w:sz w:val="24"/>
                <w:szCs w:val="24"/>
                <w:u w:val="single"/>
                <w:lang w:val="en-US"/>
              </w:rPr>
            </w:pPr>
          </w:p>
          <w:p w14:paraId="6E8855C0"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tādēļ, ka pastāv augsts smaga negadījuma risks.</w:t>
            </w:r>
          </w:p>
          <w:p w14:paraId="7F4E8E00" w14:textId="77777777" w:rsidR="00E62252" w:rsidRPr="00E62252" w:rsidRDefault="00E62252" w:rsidP="00F80365">
            <w:pPr>
              <w:jc w:val="both"/>
              <w:rPr>
                <w:rFonts w:ascii="Times New Roman" w:hAnsi="Times New Roman" w:cs="Times New Roman"/>
                <w:noProof/>
                <w:sz w:val="24"/>
                <w:szCs w:val="24"/>
                <w:lang w:val="en-US"/>
              </w:rPr>
            </w:pPr>
          </w:p>
          <w:p w14:paraId="03AA86E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Šajā izmeklēšanā tostarp var izvērtēt to, kādas barjeras ir (vai nav) ieviestas, lai novērstu šāda veida negadījumus.</w:t>
            </w:r>
          </w:p>
          <w:p w14:paraId="4006B505" w14:textId="77777777" w:rsidR="00E62252" w:rsidRPr="00E62252" w:rsidRDefault="00E62252" w:rsidP="00F80365">
            <w:pPr>
              <w:jc w:val="both"/>
              <w:rPr>
                <w:rFonts w:ascii="Times New Roman" w:hAnsi="Times New Roman" w:cs="Times New Roman"/>
                <w:noProof/>
                <w:sz w:val="24"/>
                <w:szCs w:val="24"/>
                <w:lang w:val="en-US"/>
              </w:rPr>
            </w:pPr>
          </w:p>
          <w:p w14:paraId="5C5B5DE0" w14:textId="77777777" w:rsidR="00E62252" w:rsidRPr="00E62252" w:rsidRDefault="00E62252" w:rsidP="00F80365">
            <w:pPr>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tc>
      </w:tr>
    </w:tbl>
    <w:p w14:paraId="3CA88C14"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207" w:name="_Ref277606591"/>
      <w:bookmarkStart w:id="208" w:name="_Toc290015932"/>
      <w:bookmarkStart w:id="209" w:name="_Toc40340093"/>
      <w:bookmarkStart w:id="210" w:name="_Toc61364279"/>
      <w:bookmarkStart w:id="211" w:name="_Toc61364528"/>
      <w:bookmarkStart w:id="212" w:name="_Toc102478567"/>
    </w:p>
    <w:p w14:paraId="2912B99A"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213" w:name="_Toc134605592"/>
      <w:r>
        <w:rPr>
          <w:rFonts w:ascii="Times New Roman" w:hAnsi="Times New Roman"/>
          <w:sz w:val="24"/>
        </w:rPr>
        <w:t>10.5. Ritošā sastāva ugunsgrēks</w:t>
      </w:r>
      <w:bookmarkEnd w:id="207"/>
      <w:bookmarkEnd w:id="208"/>
      <w:bookmarkEnd w:id="209"/>
      <w:bookmarkEnd w:id="210"/>
      <w:bookmarkEnd w:id="211"/>
      <w:bookmarkEnd w:id="212"/>
      <w:bookmarkEnd w:id="213"/>
    </w:p>
    <w:p w14:paraId="4E6716B8" w14:textId="77777777" w:rsidR="00E62252" w:rsidRPr="00E62252" w:rsidRDefault="00E62252" w:rsidP="00E62252">
      <w:pPr>
        <w:spacing w:after="0" w:line="240" w:lineRule="auto"/>
        <w:rPr>
          <w:noProof/>
          <w:lang w:val="en-US"/>
        </w:rPr>
      </w:pPr>
    </w:p>
    <w:p w14:paraId="63DF7F83"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b/>
          <w:bCs/>
          <w:sz w:val="24"/>
        </w:rPr>
        <w:t>Ritošā sastāva ugunsgrēks</w:t>
      </w:r>
      <w:r>
        <w:rPr>
          <w:rFonts w:ascii="Times New Roman" w:hAnsi="Times New Roman"/>
          <w:sz w:val="24"/>
        </w:rPr>
        <w:t xml:space="preserve"> ir jāizmeklē, ja:</w:t>
      </w:r>
    </w:p>
    <w:p w14:paraId="102BA94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60A80E1" w14:textId="77777777" w:rsidR="00E62252" w:rsidRPr="00E62252" w:rsidRDefault="00E62252" w:rsidP="00E62252">
      <w:pPr>
        <w:pStyle w:val="Style6"/>
        <w:spacing w:after="0" w:line="240" w:lineRule="auto"/>
        <w:ind w:left="534" w:hanging="283"/>
        <w:contextualSpacing w:val="0"/>
        <w:jc w:val="both"/>
        <w:rPr>
          <w:rFonts w:ascii="Times New Roman" w:hAnsi="Times New Roman" w:cs="Times New Roman"/>
          <w:b/>
          <w:bCs/>
          <w:noProof/>
          <w:sz w:val="24"/>
          <w:szCs w:val="24"/>
        </w:rPr>
      </w:pPr>
      <w:r>
        <w:rPr>
          <w:rFonts w:ascii="Times New Roman" w:hAnsi="Times New Roman"/>
          <w:sz w:val="24"/>
        </w:rPr>
        <w:t xml:space="preserve">tajā gājusi bojā vismaz viena persona vai nodarīti smagi miesas bojājumi vismaz piecām personām, vai radīts liels kaitējums </w:t>
      </w:r>
      <w:r>
        <w:rPr>
          <w:rFonts w:ascii="Times New Roman" w:hAnsi="Times New Roman"/>
          <w:b/>
          <w:bCs/>
          <w:sz w:val="24"/>
        </w:rPr>
        <w:t>un</w:t>
      </w:r>
    </w:p>
    <w:p w14:paraId="0BFF2164" w14:textId="77777777" w:rsidR="00E62252" w:rsidRPr="00E62252" w:rsidRDefault="00E62252" w:rsidP="00E62252">
      <w:pPr>
        <w:pStyle w:val="Style6"/>
        <w:spacing w:after="0" w:line="240" w:lineRule="auto"/>
        <w:ind w:left="534" w:hanging="283"/>
        <w:contextualSpacing w:val="0"/>
        <w:jc w:val="both"/>
        <w:rPr>
          <w:rFonts w:ascii="Times New Roman" w:hAnsi="Times New Roman" w:cs="Times New Roman"/>
          <w:noProof/>
          <w:sz w:val="24"/>
          <w:szCs w:val="24"/>
        </w:rPr>
      </w:pPr>
      <w:r>
        <w:rPr>
          <w:rFonts w:ascii="Times New Roman" w:hAnsi="Times New Roman"/>
          <w:sz w:val="24"/>
        </w:rPr>
        <w:t>negadījumam ir acīmredzama ietekme uz dzelzceļa drošības regulēšanu vai drošības pārvaldību.</w:t>
      </w:r>
    </w:p>
    <w:p w14:paraId="55B0B14C"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768EA4BF" w14:textId="77777777" w:rsidR="00E62252" w:rsidRPr="00E62252" w:rsidRDefault="00E62252" w:rsidP="00D67112">
      <w:pPr>
        <w:keepNext/>
        <w:keepLines/>
        <w:spacing w:after="0" w:line="240" w:lineRule="auto"/>
        <w:jc w:val="both"/>
        <w:rPr>
          <w:rFonts w:ascii="Times New Roman" w:hAnsi="Times New Roman" w:cs="Times New Roman"/>
          <w:noProof/>
          <w:sz w:val="24"/>
          <w:szCs w:val="24"/>
        </w:rPr>
      </w:pPr>
      <w:r>
        <w:rPr>
          <w:rFonts w:ascii="Times New Roman" w:hAnsi="Times New Roman"/>
          <w:b/>
          <w:bCs/>
          <w:sz w:val="24"/>
        </w:rPr>
        <w:lastRenderedPageBreak/>
        <w:t>Ritošā sastāva ugunsgrēkam</w:t>
      </w:r>
      <w:r>
        <w:rPr>
          <w:rFonts w:ascii="Times New Roman" w:hAnsi="Times New Roman"/>
          <w:sz w:val="24"/>
        </w:rPr>
        <w:t xml:space="preserve"> ir acīmredzama ietekme uz dzelzceļa drošības regulēšanu vai drošības pārvaldību, ja:</w:t>
      </w:r>
    </w:p>
    <w:p w14:paraId="5953220E" w14:textId="77777777" w:rsidR="00E62252" w:rsidRPr="00E62252" w:rsidRDefault="00E62252" w:rsidP="00D67112">
      <w:pPr>
        <w:pStyle w:val="Style6"/>
        <w:keepNext/>
        <w:keepLines/>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ugunsgrēks ir izcēlies dzelzceļa sistēmas nepilnību dēļ (piemēram, ritošā sastāva tehniskās kļūmes, ritošā sastāva slikta vai nolaidīga tehniskā apkope, infrastruktūras ierīču tehniskās kļūmes, kuru dēļ ritošajā sastāvā izcēlies ugunsgrēks) vai</w:t>
      </w:r>
    </w:p>
    <w:p w14:paraId="654E57DD"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sekas izrietējušas no dzelzceļa sistēmas nepilnībām (piemēram, ja pasažieri nav varējuši tikt laukā aizslēgtu durvju dēļ).</w:t>
      </w:r>
    </w:p>
    <w:p w14:paraId="098D9EE4"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19154FFF"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14" w:name="_Toc40340094"/>
      <w:bookmarkStart w:id="215" w:name="_Toc61364280"/>
      <w:bookmarkStart w:id="216" w:name="_Toc61364529"/>
      <w:bookmarkStart w:id="217" w:name="_Toc134605593"/>
      <w:r>
        <w:rPr>
          <w:rFonts w:ascii="Times New Roman" w:hAnsi="Times New Roman"/>
          <w:sz w:val="24"/>
          <w:u w:val="none"/>
        </w:rPr>
        <w:t xml:space="preserve">10.5.1. </w:t>
      </w:r>
      <w:r>
        <w:rPr>
          <w:rFonts w:ascii="Times New Roman" w:hAnsi="Times New Roman"/>
          <w:sz w:val="24"/>
        </w:rPr>
        <w:t>Definīcija</w:t>
      </w:r>
      <w:bookmarkStart w:id="218" w:name="_Toc270594881"/>
      <w:bookmarkStart w:id="219" w:name="_Toc270594826"/>
      <w:bookmarkStart w:id="220" w:name="_Toc270594761"/>
      <w:bookmarkEnd w:id="214"/>
      <w:bookmarkEnd w:id="215"/>
      <w:bookmarkEnd w:id="216"/>
      <w:bookmarkEnd w:id="217"/>
      <w:bookmarkEnd w:id="218"/>
      <w:bookmarkEnd w:id="219"/>
      <w:bookmarkEnd w:id="220"/>
    </w:p>
    <w:p w14:paraId="61AAA1D5" w14:textId="77777777" w:rsidR="00E62252" w:rsidRPr="00E62252" w:rsidRDefault="00E62252" w:rsidP="00E62252">
      <w:pPr>
        <w:spacing w:after="0" w:line="240" w:lineRule="auto"/>
        <w:rPr>
          <w:noProof/>
          <w:lang w:val="en-US"/>
        </w:rPr>
      </w:pPr>
    </w:p>
    <w:p w14:paraId="6A0F4B0F" w14:textId="77777777" w:rsidR="00E62252" w:rsidRPr="00E62252" w:rsidRDefault="00E62252" w:rsidP="00E62252">
      <w:pPr>
        <w:pStyle w:val="NormalTextTable"/>
        <w:spacing w:line="240" w:lineRule="auto"/>
        <w:jc w:val="both"/>
        <w:rPr>
          <w:rFonts w:ascii="Bookman Old Style" w:hAnsi="Bookman Old Style" w:cs="Times New Roman"/>
          <w:noProof/>
        </w:rPr>
      </w:pPr>
      <w:r>
        <w:rPr>
          <w:rFonts w:ascii="Bookman Old Style" w:hAnsi="Bookman Old Style"/>
          <w:i/>
          <w:color w:val="3071C9" w:themeColor="accent5" w:themeShade="BF"/>
        </w:rPr>
        <w:t>“</w:t>
      </w:r>
      <w:r>
        <w:rPr>
          <w:rFonts w:ascii="Bookman Old Style" w:hAnsi="Bookman Old Style"/>
          <w:b/>
          <w:bCs/>
          <w:i/>
          <w:color w:val="3071C9" w:themeColor="accent5" w:themeShade="BF"/>
        </w:rPr>
        <w:t>Ritošā sastāva ugunsgrēks</w:t>
      </w:r>
      <w:r>
        <w:rPr>
          <w:rFonts w:ascii="Bookman Old Style" w:hAnsi="Bookman Old Style"/>
          <w:i/>
          <w:color w:val="3071C9" w:themeColor="accent5" w:themeShade="BF"/>
        </w:rPr>
        <w:t xml:space="preserve">” ir ugunsgrēks vai sprādziens dzelzceļa </w:t>
      </w:r>
      <w:proofErr w:type="spellStart"/>
      <w:r>
        <w:rPr>
          <w:rFonts w:ascii="Bookman Old Style" w:hAnsi="Bookman Old Style"/>
          <w:i/>
          <w:color w:val="3071C9" w:themeColor="accent5" w:themeShade="BF"/>
        </w:rPr>
        <w:t>riteklī</w:t>
      </w:r>
      <w:proofErr w:type="spellEnd"/>
      <w:r>
        <w:rPr>
          <w:rFonts w:ascii="Bookman Old Style" w:hAnsi="Bookman Old Style"/>
          <w:i/>
          <w:color w:val="3071C9" w:themeColor="accent5" w:themeShade="BF"/>
        </w:rPr>
        <w:t xml:space="preserve"> (arī tā kravā), kas izceļas tā kustības laikā no izbraukšanas stacijas līdz galastacijai, ieskaitot stāvēšanas laiku izbraukšanas stacijā, galastacijā vai starpstacijās, kā arī ritošā sastāva šķirošanas darbību laikā.</w:t>
      </w:r>
    </w:p>
    <w:p w14:paraId="67BF60C1"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eastAsia="fr-FR"/>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89B2A32" w14:textId="77777777" w:rsidTr="00F80365">
        <w:tc>
          <w:tcPr>
            <w:tcW w:w="5000" w:type="pct"/>
            <w:shd w:val="clear" w:color="auto" w:fill="D0ECFF" w:themeFill="text1" w:themeFillTint="1A"/>
          </w:tcPr>
          <w:p w14:paraId="33EFB1F1"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0D8A3EA0" w14:textId="77777777" w:rsidR="00E62252" w:rsidRPr="00E62252" w:rsidRDefault="00E62252" w:rsidP="00F80365">
            <w:pPr>
              <w:jc w:val="both"/>
              <w:rPr>
                <w:rFonts w:ascii="Times New Roman" w:hAnsi="Times New Roman" w:cs="Times New Roman"/>
                <w:b/>
                <w:bCs/>
                <w:noProof/>
                <w:sz w:val="24"/>
                <w:szCs w:val="24"/>
                <w:u w:val="single"/>
                <w:lang w:val="en-US" w:eastAsia="fr-FR"/>
              </w:rPr>
            </w:pPr>
          </w:p>
          <w:p w14:paraId="0B912BF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Ietilpst arī ugunsgrēki, kas izcēlušies, dzelzceļa </w:t>
            </w:r>
            <w:proofErr w:type="spellStart"/>
            <w:r>
              <w:rPr>
                <w:rFonts w:ascii="Times New Roman" w:hAnsi="Times New Roman"/>
                <w:sz w:val="24"/>
              </w:rPr>
              <w:t>riteklim</w:t>
            </w:r>
            <w:proofErr w:type="spellEnd"/>
            <w:r>
              <w:rPr>
                <w:rFonts w:ascii="Times New Roman" w:hAnsi="Times New Roman"/>
                <w:sz w:val="24"/>
              </w:rPr>
              <w:t xml:space="preserve"> neesot kustībā.</w:t>
            </w:r>
          </w:p>
          <w:p w14:paraId="5B5039CF" w14:textId="77777777" w:rsidR="00E62252" w:rsidRPr="00E62252" w:rsidRDefault="00E62252" w:rsidP="00F80365">
            <w:pPr>
              <w:jc w:val="both"/>
              <w:rPr>
                <w:rFonts w:ascii="Times New Roman" w:hAnsi="Times New Roman" w:cs="Times New Roman"/>
                <w:noProof/>
                <w:sz w:val="24"/>
                <w:szCs w:val="24"/>
                <w:lang w:val="en-US"/>
              </w:rPr>
            </w:pPr>
          </w:p>
          <w:p w14:paraId="2FC691F1"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Ritošā sastāva šķirošanas darbības ir darbības, kas īstenotas starp izbraukšanas staciju un galastaciju.</w:t>
            </w:r>
          </w:p>
          <w:p w14:paraId="6FD998EC" w14:textId="77777777" w:rsidR="00E62252" w:rsidRPr="00E62252" w:rsidRDefault="00E62252" w:rsidP="00F80365">
            <w:pPr>
              <w:jc w:val="both"/>
              <w:rPr>
                <w:rFonts w:ascii="Times New Roman" w:hAnsi="Times New Roman" w:cs="Times New Roman"/>
                <w:noProof/>
                <w:sz w:val="24"/>
                <w:szCs w:val="24"/>
                <w:lang w:val="en-US"/>
              </w:rPr>
            </w:pPr>
          </w:p>
          <w:p w14:paraId="09CC95CA"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Var iekļaut arī dūmus, karstumu un uguns vai eksplozijas radītu triecienvilni, kas radījis negadījumu.</w:t>
            </w:r>
          </w:p>
        </w:tc>
      </w:tr>
    </w:tbl>
    <w:p w14:paraId="43AE8267"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21" w:name="_Toc61364281"/>
      <w:bookmarkStart w:id="222" w:name="_Toc61364530"/>
    </w:p>
    <w:p w14:paraId="18CD72C7"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23" w:name="_Toc134605594"/>
      <w:r>
        <w:rPr>
          <w:rFonts w:ascii="Times New Roman" w:hAnsi="Times New Roman"/>
          <w:sz w:val="24"/>
          <w:u w:val="none"/>
        </w:rPr>
        <w:t xml:space="preserve">10.5.2. </w:t>
      </w:r>
      <w:r>
        <w:rPr>
          <w:rFonts w:ascii="Times New Roman" w:hAnsi="Times New Roman"/>
          <w:sz w:val="24"/>
        </w:rPr>
        <w:t>Piemēri</w:t>
      </w:r>
      <w:bookmarkEnd w:id="221"/>
      <w:bookmarkEnd w:id="222"/>
      <w:bookmarkEnd w:id="223"/>
    </w:p>
    <w:p w14:paraId="1CB8E91A" w14:textId="77777777" w:rsidR="00E62252" w:rsidRPr="00E62252" w:rsidRDefault="00E62252" w:rsidP="00E62252">
      <w:pPr>
        <w:spacing w:after="0" w:line="240" w:lineRule="auto"/>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7FD4B4BC" w14:textId="77777777" w:rsidTr="00F80365">
        <w:tc>
          <w:tcPr>
            <w:tcW w:w="5000" w:type="pct"/>
            <w:shd w:val="clear" w:color="auto" w:fill="D0ECFF" w:themeFill="text1" w:themeFillTint="1A"/>
          </w:tcPr>
          <w:p w14:paraId="7CD355BF"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528D6F48" w14:textId="77777777" w:rsidR="00E62252" w:rsidRPr="00E62252" w:rsidRDefault="00E62252" w:rsidP="00F80365">
            <w:pPr>
              <w:jc w:val="both"/>
              <w:rPr>
                <w:rFonts w:ascii="Times New Roman" w:hAnsi="Times New Roman" w:cs="Times New Roman"/>
                <w:b/>
                <w:bCs/>
                <w:noProof/>
                <w:sz w:val="24"/>
                <w:szCs w:val="24"/>
                <w:u w:val="single"/>
                <w:lang w:val="en-US"/>
              </w:rPr>
            </w:pPr>
          </w:p>
          <w:p w14:paraId="16F2F068"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Ugunsgrēki, kas izceļas no ritošā sastāva, vienmēr var radīt katastrofālas sekas, piemēram, ja tie notiek tuneļos.</w:t>
            </w:r>
          </w:p>
          <w:p w14:paraId="00FD71B2" w14:textId="77777777" w:rsidR="00E62252" w:rsidRPr="00E62252" w:rsidRDefault="00E62252" w:rsidP="00F80365">
            <w:pPr>
              <w:jc w:val="both"/>
              <w:rPr>
                <w:rFonts w:ascii="Times New Roman" w:hAnsi="Times New Roman" w:cs="Times New Roman"/>
                <w:noProof/>
                <w:sz w:val="24"/>
                <w:szCs w:val="24"/>
                <w:lang w:val="en-US"/>
              </w:rPr>
            </w:pPr>
          </w:p>
          <w:p w14:paraId="15FF57B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Parasti ir jāizmeklē visi ugunsgrēki pasažieru vilcienos.</w:t>
            </w:r>
          </w:p>
        </w:tc>
      </w:tr>
    </w:tbl>
    <w:p w14:paraId="1E2690E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4F948216" w14:textId="77777777" w:rsidTr="00F80365">
        <w:tc>
          <w:tcPr>
            <w:tcW w:w="5000" w:type="pct"/>
            <w:shd w:val="clear" w:color="auto" w:fill="F5DCDB" w:themeFill="accent2" w:themeFillTint="33"/>
          </w:tcPr>
          <w:p w14:paraId="48921F93"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u w:val="single"/>
              </w:rPr>
            </w:pPr>
            <w:r>
              <w:rPr>
                <w:rFonts w:ascii="Times New Roman" w:hAnsi="Times New Roman"/>
                <w:sz w:val="24"/>
                <w:u w:val="single"/>
              </w:rPr>
              <w:t>Laba prakse.</w:t>
            </w:r>
          </w:p>
          <w:p w14:paraId="28D21795"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u w:val="single"/>
                <w:lang w:val="en-US"/>
              </w:rPr>
            </w:pPr>
          </w:p>
          <w:p w14:paraId="1EDF660E"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Pēc ritošā sastāva ugunsgrēka, kurā kāda persona gājusi bojā vai guvusi smagus miesas bojājumus, jāveic pārbaude, lai noteiktu, vai ir pierādījumi vai spēcīgas liecības par faktoriem, kas ir veicinājuši ugunsgrēku (uguns izplatīšanos). Ja šādas aizdomas neapstiprinās, pārbaudē jānosaka, vai dzelzceļa apakšsistēmas ir darbojušās pareizi (ņemot vērā gan vietu, kur izcēlās ugunsgrēks, gan aizsardzības un drošības iekārtas).</w:t>
            </w:r>
          </w:p>
          <w:p w14:paraId="7B5AE007" w14:textId="77777777" w:rsidR="00E62252" w:rsidRPr="00E62252" w:rsidRDefault="00E62252" w:rsidP="00F80365">
            <w:pPr>
              <w:pStyle w:val="Style7"/>
              <w:jc w:val="both"/>
              <w:rPr>
                <w:rFonts w:ascii="Times New Roman" w:hAnsi="Times New Roman" w:cs="Times New Roman"/>
                <w:noProof/>
                <w:sz w:val="24"/>
                <w:szCs w:val="24"/>
                <w:lang w:val="en-US"/>
              </w:rPr>
            </w:pPr>
          </w:p>
          <w:p w14:paraId="68516E8B"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Uguns izplatīšanās gadījumā izmeklēšana varētu būt nepieciešama, ja, piemēram, ir spēcīgas liecības par to, ka sēdekļos un citā iekšējā apdarē izmantotais materiāls varētu būt pastiprinājis ugunsgrēka sekas (degšanas veicināšana vai indīgu gāzu veidošanās).</w:t>
            </w:r>
          </w:p>
          <w:p w14:paraId="170AAA08" w14:textId="77777777" w:rsidR="00E62252" w:rsidRPr="00E62252" w:rsidRDefault="00E62252" w:rsidP="00F80365">
            <w:pPr>
              <w:pStyle w:val="Style7"/>
              <w:jc w:val="both"/>
              <w:rPr>
                <w:rFonts w:ascii="Times New Roman" w:hAnsi="Times New Roman" w:cs="Times New Roman"/>
                <w:noProof/>
                <w:sz w:val="24"/>
                <w:szCs w:val="24"/>
                <w:lang w:val="en-US"/>
              </w:rPr>
            </w:pPr>
          </w:p>
          <w:p w14:paraId="0F29BF17" w14:textId="77777777" w:rsidR="00E62252" w:rsidRPr="00E62252" w:rsidRDefault="00E62252" w:rsidP="00F80365">
            <w:pPr>
              <w:pStyle w:val="Style7"/>
              <w:jc w:val="both"/>
              <w:rPr>
                <w:rFonts w:ascii="Times New Roman" w:hAnsi="Times New Roman" w:cs="Times New Roman"/>
                <w:noProof/>
                <w:sz w:val="24"/>
                <w:szCs w:val="24"/>
              </w:rPr>
            </w:pPr>
            <w:r>
              <w:rPr>
                <w:rFonts w:ascii="Times New Roman" w:hAnsi="Times New Roman"/>
                <w:sz w:val="24"/>
              </w:rPr>
              <w:t xml:space="preserve">Ja uz attiecīgo gadījumu neattiecas 20. panta 1. punktā noteiktās izmeklēšanas kritēriji, </w:t>
            </w:r>
            <w:proofErr w:type="spellStart"/>
            <w:r>
              <w:rPr>
                <w:rFonts w:ascii="Times New Roman" w:hAnsi="Times New Roman"/>
                <w:i/>
                <w:iCs/>
                <w:sz w:val="24"/>
              </w:rPr>
              <w:t>NIB</w:t>
            </w:r>
            <w:proofErr w:type="spellEnd"/>
            <w:r>
              <w:rPr>
                <w:rFonts w:ascii="Times New Roman" w:hAnsi="Times New Roman"/>
                <w:sz w:val="24"/>
              </w:rPr>
              <w:t xml:space="preserve"> pēc saviem ieskatiem var izmeklēt negadījumu atbilstoši 20. panta 2. punktam, piemēram, nopietna negadījuma iespējamība utt., vai tad, ja pienākums veikt šādu izmeklēšanu ir noteikts valsts tiesību aktos atbilstoši 22. panta 6. punktam.</w:t>
            </w:r>
          </w:p>
        </w:tc>
      </w:tr>
      <w:tr w:rsidR="00E62252" w:rsidRPr="00E62252" w14:paraId="2E05CEF5" w14:textId="77777777" w:rsidTr="00F80365">
        <w:tblPrEx>
          <w:shd w:val="clear" w:color="auto" w:fill="FFF7D8" w:themeFill="accent6" w:themeFillTint="33"/>
        </w:tblPrEx>
        <w:tc>
          <w:tcPr>
            <w:tcW w:w="5000" w:type="pct"/>
            <w:shd w:val="clear" w:color="auto" w:fill="FFF7D8" w:themeFill="accent6" w:themeFillTint="33"/>
          </w:tcPr>
          <w:p w14:paraId="09B51D84"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lastRenderedPageBreak/>
              <w:t>1. piemērs.</w:t>
            </w:r>
          </w:p>
          <w:p w14:paraId="043A0089"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4033485C"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Pasažieru vilciena vagonā ir noticis ugunsgrēks. Pēc šā negadījuma viens pasažieris ir gājis bojā, bet divi pasažieri guvuši smagus miesas bojājumus. Bija redzams, ka ugunsgrēks izcēlās uz </w:t>
            </w:r>
            <w:proofErr w:type="spellStart"/>
            <w:r>
              <w:rPr>
                <w:rFonts w:ascii="Times New Roman" w:hAnsi="Times New Roman"/>
                <w:sz w:val="24"/>
              </w:rPr>
              <w:t>augšklāja</w:t>
            </w:r>
            <w:proofErr w:type="spellEnd"/>
            <w:r>
              <w:rPr>
                <w:rFonts w:ascii="Times New Roman" w:hAnsi="Times New Roman"/>
                <w:sz w:val="24"/>
              </w:rPr>
              <w:t>. Pasažieris, kurš mira no saindēšanās ar dūmiem, tika atrasts augšējā līmenī un bija mēģinājis tikt laukā pa logiem, kas bija apzīmēti kā avārijas izeja.</w:t>
            </w:r>
          </w:p>
          <w:p w14:paraId="0A6BBAEE" w14:textId="77777777" w:rsidR="00E62252" w:rsidRPr="00E62252" w:rsidRDefault="00E62252" w:rsidP="00F80365">
            <w:pPr>
              <w:jc w:val="both"/>
              <w:rPr>
                <w:rFonts w:ascii="Times New Roman" w:hAnsi="Times New Roman" w:cs="Times New Roman"/>
                <w:noProof/>
                <w:sz w:val="24"/>
                <w:szCs w:val="24"/>
                <w:lang w:val="en-US"/>
              </w:rPr>
            </w:pPr>
          </w:p>
          <w:p w14:paraId="61EEF734"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u w:val="single"/>
              </w:rPr>
              <w:t>Izmeklēšana atbilstoši 20. panta 1. punktam ir obligāta</w:t>
            </w:r>
            <w:r>
              <w:rPr>
                <w:rFonts w:ascii="Times New Roman" w:hAnsi="Times New Roman"/>
                <w:sz w:val="24"/>
              </w:rPr>
              <w:t xml:space="preserve"> letālo seku dēļ un tādēļ, ka pastāv acīmredzama ietekme uz dzelzceļa drošību.</w:t>
            </w:r>
          </w:p>
          <w:p w14:paraId="278E6F51" w14:textId="77777777" w:rsidR="00E62252" w:rsidRPr="00E62252" w:rsidRDefault="00E62252" w:rsidP="00F80365">
            <w:pPr>
              <w:jc w:val="both"/>
              <w:rPr>
                <w:rFonts w:ascii="Times New Roman" w:hAnsi="Times New Roman" w:cs="Times New Roman"/>
                <w:noProof/>
                <w:sz w:val="24"/>
                <w:szCs w:val="24"/>
                <w:lang w:val="en-US"/>
              </w:rPr>
            </w:pPr>
          </w:p>
          <w:p w14:paraId="1E513FB5" w14:textId="77777777" w:rsidR="00E62252" w:rsidRPr="00E62252" w:rsidRDefault="00E62252" w:rsidP="00F80365">
            <w:pPr>
              <w:pStyle w:val="Style9"/>
              <w:spacing w:before="0" w:beforeAutospacing="0" w:after="0" w:afterAutospacing="0"/>
              <w:ind w:right="0"/>
              <w:jc w:val="both"/>
              <w:rPr>
                <w:rFonts w:ascii="Times New Roman" w:hAnsi="Times New Roman"/>
                <w:noProof/>
                <w:kern w:val="0"/>
                <w:sz w:val="24"/>
                <w:szCs w:val="24"/>
              </w:rPr>
            </w:pPr>
            <w:proofErr w:type="spellStart"/>
            <w:r>
              <w:rPr>
                <w:rFonts w:ascii="Times New Roman" w:hAnsi="Times New Roman"/>
                <w:i/>
                <w:iCs/>
                <w:sz w:val="24"/>
              </w:rPr>
              <w:t>NIB</w:t>
            </w:r>
            <w:proofErr w:type="spellEnd"/>
            <w:r>
              <w:rPr>
                <w:rFonts w:ascii="Times New Roman" w:hAnsi="Times New Roman"/>
                <w:sz w:val="24"/>
              </w:rPr>
              <w:t xml:space="preserve"> ir jāizmeklē šis negadījums. </w:t>
            </w:r>
          </w:p>
        </w:tc>
      </w:tr>
    </w:tbl>
    <w:p w14:paraId="2FE15C6E"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0FFB3557" w14:textId="77777777" w:rsidTr="00F80365">
        <w:tc>
          <w:tcPr>
            <w:tcW w:w="5000" w:type="pct"/>
            <w:shd w:val="clear" w:color="auto" w:fill="FFF7D8" w:themeFill="accent6" w:themeFillTint="33"/>
          </w:tcPr>
          <w:p w14:paraId="73A3B01D"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rPr>
            </w:pPr>
            <w:r>
              <w:rPr>
                <w:rFonts w:ascii="Times New Roman" w:hAnsi="Times New Roman"/>
                <w:b/>
                <w:sz w:val="24"/>
                <w:u w:val="single"/>
              </w:rPr>
              <w:t>2. piemērs.</w:t>
            </w:r>
          </w:p>
          <w:p w14:paraId="69A845AA" w14:textId="77777777" w:rsidR="00E62252" w:rsidRPr="00E62252" w:rsidRDefault="00E62252" w:rsidP="00F80365">
            <w:pPr>
              <w:pStyle w:val="BodyText"/>
              <w:tabs>
                <w:tab w:val="clear" w:pos="1418"/>
                <w:tab w:val="left" w:pos="1134"/>
              </w:tabs>
              <w:spacing w:before="0" w:beforeAutospacing="0" w:afterAutospacing="0"/>
              <w:ind w:left="0" w:firstLine="0"/>
              <w:jc w:val="both"/>
              <w:rPr>
                <w:rFonts w:ascii="Times New Roman" w:hAnsi="Times New Roman" w:cs="Times New Roman"/>
                <w:b/>
                <w:noProof/>
                <w:kern w:val="0"/>
                <w:sz w:val="24"/>
                <w:szCs w:val="24"/>
                <w:u w:val="single"/>
                <w:lang w:val="en-US"/>
              </w:rPr>
            </w:pPr>
          </w:p>
          <w:p w14:paraId="778571C8"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Pasažieru vilciena vagonā ir noticis ugunsgrēks. Šajā negadījumā divi pasažieri guva nelielus miesas bojājumus. Bija skaidrs, ka uguns bija izraisījusi elektrisko īssavienojumu ventilācijas sistēmā. Ir iespējams arī tas, ka negadījuma sekas pasažieriem pastiprināja vagonu konstrukcija.</w:t>
            </w:r>
          </w:p>
          <w:p w14:paraId="556AFC7E" w14:textId="77777777" w:rsidR="00E62252" w:rsidRPr="00E62252" w:rsidRDefault="00E62252" w:rsidP="00F80365">
            <w:pPr>
              <w:jc w:val="both"/>
              <w:rPr>
                <w:rFonts w:ascii="Times New Roman" w:hAnsi="Times New Roman" w:cs="Times New Roman"/>
                <w:noProof/>
                <w:sz w:val="24"/>
                <w:szCs w:val="24"/>
                <w:lang w:val="en-US"/>
              </w:rPr>
            </w:pPr>
          </w:p>
          <w:p w14:paraId="04654AEA"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Šis negadījums nav jāizmeklē atbilstoši 20. panta 1. punktam.</w:t>
            </w:r>
          </w:p>
          <w:p w14:paraId="3CF79E04" w14:textId="77777777" w:rsidR="00E62252" w:rsidRPr="00E62252" w:rsidRDefault="00E62252" w:rsidP="00F80365">
            <w:pPr>
              <w:jc w:val="both"/>
              <w:rPr>
                <w:rFonts w:ascii="Times New Roman" w:hAnsi="Times New Roman" w:cs="Times New Roman"/>
                <w:noProof/>
                <w:sz w:val="24"/>
                <w:szCs w:val="24"/>
                <w:u w:val="single"/>
                <w:lang w:val="en-US"/>
              </w:rPr>
            </w:pPr>
          </w:p>
          <w:p w14:paraId="0275E35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tādēļ, ka pastāv augsts smaga negadījuma risks. Elektrības īssavienojums ventilācijas sistēmā var ietekmēt dzelzceļa drošību visas Kopienas līmenī, jo tā ietilpst pasažieru vilcienu standarta aprīkojumā.</w:t>
            </w:r>
          </w:p>
          <w:p w14:paraId="7F9F1296" w14:textId="77777777" w:rsidR="00E62252" w:rsidRPr="00E62252" w:rsidRDefault="00E62252" w:rsidP="00F80365">
            <w:pPr>
              <w:jc w:val="both"/>
              <w:rPr>
                <w:rFonts w:ascii="Times New Roman" w:hAnsi="Times New Roman" w:cs="Times New Roman"/>
                <w:noProof/>
                <w:sz w:val="24"/>
                <w:szCs w:val="24"/>
                <w:lang w:val="en-US" w:eastAsia="fr-FR"/>
              </w:rPr>
            </w:pPr>
          </w:p>
          <w:p w14:paraId="1498F51D"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Tostarp var pārbaudīt, vai vagonu konstrukcija ir pastiprinājusi sekas pasažieriem un var ietekmēt drošību arī citos vagonos.</w:t>
            </w:r>
          </w:p>
          <w:p w14:paraId="4B00243D" w14:textId="77777777" w:rsidR="00E62252" w:rsidRPr="00E62252" w:rsidRDefault="00E62252" w:rsidP="00F80365">
            <w:pPr>
              <w:jc w:val="both"/>
              <w:rPr>
                <w:rFonts w:ascii="Times New Roman" w:hAnsi="Times New Roman" w:cs="Times New Roman"/>
                <w:noProof/>
                <w:sz w:val="24"/>
                <w:szCs w:val="24"/>
                <w:lang w:val="en-US" w:eastAsia="fr-FR"/>
              </w:rPr>
            </w:pPr>
          </w:p>
          <w:p w14:paraId="5F7B15AB" w14:textId="77777777" w:rsidR="00E62252" w:rsidRPr="00E62252" w:rsidRDefault="00E62252" w:rsidP="00F80365">
            <w:pPr>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tc>
      </w:tr>
    </w:tbl>
    <w:p w14:paraId="3339F384"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224" w:name="_Ref277606601"/>
      <w:bookmarkStart w:id="225" w:name="_Ref277606656"/>
      <w:bookmarkStart w:id="226" w:name="_Toc290015933"/>
      <w:bookmarkStart w:id="227" w:name="_Toc40340097"/>
      <w:bookmarkStart w:id="228" w:name="_Toc61364282"/>
      <w:bookmarkStart w:id="229" w:name="_Toc61364531"/>
      <w:bookmarkStart w:id="230" w:name="_Toc102478568"/>
    </w:p>
    <w:p w14:paraId="513FEF89"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231" w:name="_Toc134605595"/>
      <w:r>
        <w:rPr>
          <w:rFonts w:ascii="Times New Roman" w:hAnsi="Times New Roman"/>
          <w:sz w:val="24"/>
        </w:rPr>
        <w:t>10.6. Citi negadījumi</w:t>
      </w:r>
      <w:bookmarkEnd w:id="224"/>
      <w:bookmarkEnd w:id="225"/>
      <w:bookmarkEnd w:id="226"/>
      <w:bookmarkEnd w:id="227"/>
      <w:bookmarkEnd w:id="228"/>
      <w:bookmarkEnd w:id="229"/>
      <w:bookmarkEnd w:id="230"/>
      <w:bookmarkEnd w:id="231"/>
    </w:p>
    <w:p w14:paraId="1CD539C8" w14:textId="77777777" w:rsidR="00E62252" w:rsidRPr="00E62252" w:rsidRDefault="00E62252" w:rsidP="00E62252">
      <w:pPr>
        <w:spacing w:after="0" w:line="240" w:lineRule="auto"/>
        <w:rPr>
          <w:noProof/>
          <w:lang w:val="en-US"/>
        </w:rPr>
      </w:pPr>
    </w:p>
    <w:p w14:paraId="3B166D6C"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b/>
          <w:bCs/>
          <w:sz w:val="24"/>
        </w:rPr>
        <w:t>“Cits negadījums”</w:t>
      </w:r>
      <w:r>
        <w:rPr>
          <w:rFonts w:ascii="Times New Roman" w:hAnsi="Times New Roman"/>
          <w:sz w:val="24"/>
        </w:rPr>
        <w:t xml:space="preserve"> ir jāizmeklē, ja:</w:t>
      </w:r>
    </w:p>
    <w:p w14:paraId="667091D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796C0A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 xml:space="preserve">tajā gājusi bojā vismaz viena persona vai nodarīti smagi miesas bojājumi vismaz piecām personām, vai radīts liels kaitējums </w:t>
      </w:r>
      <w:r>
        <w:rPr>
          <w:rFonts w:ascii="Times New Roman" w:hAnsi="Times New Roman"/>
          <w:b/>
          <w:bCs/>
          <w:sz w:val="24"/>
        </w:rPr>
        <w:t>un</w:t>
      </w:r>
    </w:p>
    <w:p w14:paraId="3D691285"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negadījumam ir acīmredzama ietekme uz dzelzceļa drošības regulēšanu vai drošības pārvaldību.</w:t>
      </w:r>
    </w:p>
    <w:p w14:paraId="02F841FA"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0907B624"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Negadījumam, kas </w:t>
      </w:r>
      <w:r>
        <w:rPr>
          <w:rFonts w:ascii="Times New Roman" w:hAnsi="Times New Roman"/>
          <w:b/>
          <w:bCs/>
          <w:sz w:val="24"/>
        </w:rPr>
        <w:t>klasificēts kā “cits negadījums”</w:t>
      </w:r>
      <w:r>
        <w:rPr>
          <w:rFonts w:ascii="Times New Roman" w:hAnsi="Times New Roman"/>
          <w:sz w:val="24"/>
        </w:rPr>
        <w:t>, ir acīmredzama ietekme uz dzelzceļa drošības regulēšanu vai drošības pārvaldību, ja:</w:t>
      </w:r>
    </w:p>
    <w:p w14:paraId="07E33DE7"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33CA819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notikums ir noticis dzelzceļa sistēmas nepilnību dēļ (piemēram, ritošā sastāva tehnisku kļūmju, infrastruktūras tehnisku kļūmju dēļ);</w:t>
      </w:r>
    </w:p>
    <w:p w14:paraId="7AD9DDF6"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sekas ir izraisījušas nepilnības dzelzceļa sistēmā (piemēram, ja nav nostrādājis aizsarglīdzeklis);</w:t>
      </w:r>
    </w:p>
    <w:p w14:paraId="13251F7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sekas ir radušās pasažieriem vai personālam (abas grupas jāskaita kopā).</w:t>
      </w:r>
    </w:p>
    <w:p w14:paraId="12346D00"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004653E6"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32" w:name="_Toc40340098"/>
      <w:bookmarkStart w:id="233" w:name="_Toc61364283"/>
      <w:bookmarkStart w:id="234" w:name="_Toc61364532"/>
      <w:bookmarkStart w:id="235" w:name="_Toc134605596"/>
      <w:r>
        <w:rPr>
          <w:rFonts w:ascii="Times New Roman" w:hAnsi="Times New Roman"/>
          <w:sz w:val="24"/>
          <w:u w:val="none"/>
        </w:rPr>
        <w:lastRenderedPageBreak/>
        <w:t xml:space="preserve">10.6.1. </w:t>
      </w:r>
      <w:r>
        <w:rPr>
          <w:rFonts w:ascii="Times New Roman" w:hAnsi="Times New Roman"/>
          <w:sz w:val="24"/>
        </w:rPr>
        <w:t>Definīcija</w:t>
      </w:r>
      <w:bookmarkEnd w:id="232"/>
      <w:bookmarkEnd w:id="233"/>
      <w:bookmarkEnd w:id="234"/>
      <w:bookmarkEnd w:id="235"/>
    </w:p>
    <w:p w14:paraId="250D4931" w14:textId="77777777" w:rsidR="00E62252" w:rsidRPr="00E62252" w:rsidRDefault="00E62252" w:rsidP="00E62252">
      <w:pPr>
        <w:spacing w:after="0" w:line="240" w:lineRule="auto"/>
        <w:rPr>
          <w:noProof/>
          <w:lang w:val="en-US"/>
        </w:rPr>
      </w:pPr>
    </w:p>
    <w:p w14:paraId="09BD9DD8" w14:textId="77777777" w:rsidR="00E62252" w:rsidRPr="00E62252" w:rsidRDefault="00E62252" w:rsidP="00E62252">
      <w:pPr>
        <w:pStyle w:val="Style5"/>
        <w:spacing w:line="240" w:lineRule="auto"/>
        <w:jc w:val="both"/>
        <w:rPr>
          <w:rFonts w:cs="Times New Roman"/>
          <w:noProof/>
          <w:sz w:val="22"/>
          <w:szCs w:val="22"/>
        </w:rPr>
      </w:pPr>
      <w:r>
        <w:rPr>
          <w:sz w:val="22"/>
        </w:rPr>
        <w:t xml:space="preserve">“Cits (negadījums)” ir jebkurš negadījums, kas nav vilciena sadursme ar dzelzceļa </w:t>
      </w:r>
      <w:proofErr w:type="spellStart"/>
      <w:r>
        <w:rPr>
          <w:sz w:val="22"/>
        </w:rPr>
        <w:t>ritekli</w:t>
      </w:r>
      <w:proofErr w:type="spellEnd"/>
      <w:r>
        <w:rPr>
          <w:sz w:val="22"/>
        </w:rPr>
        <w:t>, vilciena sadursme ar šķērsli būvju tuvinājuma gabarītā, vilciena nobraukšana no sliedēm, negadījums uz pārbrauktuves, negadījums ar personām, kurā iesaistīts kustībā esošs ritošais sastāvs, vai ritošā sastāva ugunsgrēks.</w:t>
      </w:r>
      <w:bookmarkStart w:id="236" w:name="_Toc267038307"/>
      <w:bookmarkStart w:id="237" w:name="_Toc267038306"/>
      <w:bookmarkStart w:id="238" w:name="_Toc267038305"/>
      <w:bookmarkStart w:id="239" w:name="_Toc267038304"/>
      <w:bookmarkEnd w:id="236"/>
      <w:bookmarkEnd w:id="237"/>
      <w:bookmarkEnd w:id="238"/>
      <w:bookmarkEnd w:id="239"/>
    </w:p>
    <w:p w14:paraId="4A5D1C71" w14:textId="77777777" w:rsidR="00E62252" w:rsidRPr="00E62252" w:rsidRDefault="00E62252" w:rsidP="00E62252">
      <w:pPr>
        <w:pStyle w:val="Style5"/>
        <w:spacing w:line="240" w:lineRule="auto"/>
        <w:jc w:val="both"/>
        <w:rPr>
          <w:rFonts w:cs="Times New Roman"/>
          <w:noProof/>
          <w:sz w:val="22"/>
          <w:szCs w:val="22"/>
          <w:lang w:val="en-US"/>
        </w:rPr>
      </w:pPr>
    </w:p>
    <w:p w14:paraId="711904FF"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40" w:name="_Toc61364284"/>
      <w:bookmarkStart w:id="241" w:name="_Toc61364533"/>
      <w:bookmarkStart w:id="242" w:name="_Toc134605597"/>
      <w:r>
        <w:rPr>
          <w:rFonts w:ascii="Times New Roman" w:hAnsi="Times New Roman"/>
          <w:sz w:val="24"/>
          <w:u w:val="none"/>
        </w:rPr>
        <w:t xml:space="preserve">10.6.2. </w:t>
      </w:r>
      <w:r>
        <w:rPr>
          <w:rFonts w:ascii="Times New Roman" w:hAnsi="Times New Roman"/>
          <w:sz w:val="24"/>
        </w:rPr>
        <w:t>Piemēri</w:t>
      </w:r>
      <w:bookmarkEnd w:id="240"/>
      <w:bookmarkEnd w:id="241"/>
      <w:bookmarkEnd w:id="242"/>
    </w:p>
    <w:p w14:paraId="67E1A4B1" w14:textId="77777777" w:rsidR="00E62252" w:rsidRPr="00E62252" w:rsidRDefault="00E62252" w:rsidP="00E62252">
      <w:pPr>
        <w:spacing w:after="0" w:line="240" w:lineRule="auto"/>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2A47BA49" w14:textId="77777777" w:rsidTr="00F80365">
        <w:tc>
          <w:tcPr>
            <w:tcW w:w="5000" w:type="pct"/>
            <w:shd w:val="clear" w:color="auto" w:fill="FFF7D8" w:themeFill="accent6" w:themeFillTint="33"/>
          </w:tcPr>
          <w:p w14:paraId="56781675" w14:textId="77777777" w:rsidR="00E62252" w:rsidRPr="00E62252" w:rsidRDefault="00E62252" w:rsidP="00F80365">
            <w:pPr>
              <w:pStyle w:val="Text1"/>
              <w:jc w:val="both"/>
              <w:rPr>
                <w:rFonts w:ascii="Times New Roman" w:hAnsi="Times New Roman"/>
                <w:noProof/>
                <w:kern w:val="0"/>
                <w:sz w:val="24"/>
                <w:szCs w:val="24"/>
              </w:rPr>
            </w:pPr>
            <w:r>
              <w:rPr>
                <w:rFonts w:ascii="Times New Roman" w:hAnsi="Times New Roman"/>
                <w:sz w:val="24"/>
              </w:rPr>
              <w:t>Šis saraksts nav pilnīgs, un tajā sniegti tikai daži piemēri, kas atbilst “</w:t>
            </w:r>
            <w:r>
              <w:rPr>
                <w:rFonts w:ascii="Times New Roman" w:hAnsi="Times New Roman"/>
                <w:b/>
                <w:bCs/>
                <w:sz w:val="24"/>
              </w:rPr>
              <w:t>citu negadījumu</w:t>
            </w:r>
            <w:r>
              <w:rPr>
                <w:rFonts w:ascii="Times New Roman" w:hAnsi="Times New Roman"/>
                <w:sz w:val="24"/>
              </w:rPr>
              <w:t>” veidam:</w:t>
            </w:r>
          </w:p>
          <w:p w14:paraId="58025F84"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manevru veicoša ritošā sastāva / apkopes mašīnas sadursmes un nobraukšana no sliedēm, tostarp uz sliežu ceļiem, kas slēgti tehniskās apkopes pasākumu veikšanai;</w:t>
            </w:r>
          </w:p>
          <w:p w14:paraId="6E174310"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sadursmes un nobraukšana no sliedēm, kas mērķtiecīgi izraisītas, piemērojot drošības procedūras, reaģējot uz ārkārtas situāciju (piemēram, izmantojot ietaisi novirzīšanai no sliedēm);</w:t>
            </w:r>
          </w:p>
          <w:p w14:paraId="0D749D2C"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bīstamas kravas, kas izkritušas pārvadāšanas laikā;</w:t>
            </w:r>
          </w:p>
          <w:p w14:paraId="4DBE6B3D"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no vilciena atdalījušies priekšmeti, piemēram, smagi priekšmeti, ledus u. c.;</w:t>
            </w:r>
          </w:p>
          <w:p w14:paraId="1D24DD3A" w14:textId="77777777" w:rsidR="00E62252" w:rsidRPr="00E62252" w:rsidRDefault="00E62252" w:rsidP="00F80365">
            <w:pPr>
              <w:pStyle w:val="Style6"/>
              <w:ind w:left="534" w:hanging="283"/>
              <w:contextualSpacing w:val="0"/>
              <w:jc w:val="both"/>
              <w:rPr>
                <w:rFonts w:ascii="Times New Roman" w:hAnsi="Times New Roman" w:cs="Times New Roman"/>
                <w:noProof/>
                <w:sz w:val="24"/>
                <w:szCs w:val="24"/>
              </w:rPr>
            </w:pPr>
            <w:r>
              <w:rPr>
                <w:rFonts w:ascii="Times New Roman" w:hAnsi="Times New Roman"/>
                <w:sz w:val="24"/>
              </w:rPr>
              <w:t>nāvējošs elektrošoks saistībā ar kustībā esošu ritošo sastāvu.</w:t>
            </w:r>
          </w:p>
        </w:tc>
      </w:tr>
    </w:tbl>
    <w:p w14:paraId="1CC24F8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3A3ADDC9" w14:textId="77777777" w:rsidTr="00F80365">
        <w:tc>
          <w:tcPr>
            <w:tcW w:w="5000" w:type="pct"/>
            <w:shd w:val="clear" w:color="auto" w:fill="D0ECFF" w:themeFill="text1" w:themeFillTint="1A"/>
          </w:tcPr>
          <w:p w14:paraId="65727D35"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743A41CD" w14:textId="77777777" w:rsidR="00E62252" w:rsidRPr="00E62252" w:rsidRDefault="00E62252" w:rsidP="00F80365">
            <w:pPr>
              <w:jc w:val="both"/>
              <w:rPr>
                <w:rFonts w:ascii="Times New Roman" w:hAnsi="Times New Roman" w:cs="Times New Roman"/>
                <w:b/>
                <w:bCs/>
                <w:noProof/>
                <w:sz w:val="24"/>
                <w:szCs w:val="24"/>
                <w:u w:val="single"/>
                <w:lang w:val="en-US"/>
              </w:rPr>
            </w:pPr>
          </w:p>
          <w:p w14:paraId="79FB56B9"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Šaubu gadījumā varētu būt lietderīgi sazināties ar citu </w:t>
            </w:r>
            <w:proofErr w:type="spellStart"/>
            <w:r>
              <w:rPr>
                <w:rFonts w:ascii="Times New Roman" w:hAnsi="Times New Roman"/>
                <w:i/>
                <w:iCs/>
                <w:sz w:val="24"/>
              </w:rPr>
              <w:t>NIB</w:t>
            </w:r>
            <w:proofErr w:type="spellEnd"/>
            <w:r>
              <w:rPr>
                <w:rFonts w:ascii="Times New Roman" w:hAnsi="Times New Roman"/>
                <w:sz w:val="24"/>
              </w:rPr>
              <w:t xml:space="preserve"> vai Aģentūru, lai apspriestu, vai gadījums ir vai nav jāizmeklē. Galīgais lēmums jāpieņem izmeklēšanas struktūrai.</w:t>
            </w:r>
          </w:p>
        </w:tc>
        <w:bookmarkStart w:id="243" w:name="_Toc149364455"/>
      </w:tr>
    </w:tbl>
    <w:p w14:paraId="7F5B351E"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244" w:name="_Toc267038345"/>
      <w:bookmarkStart w:id="245" w:name="_Toc267038344"/>
      <w:bookmarkStart w:id="246" w:name="_Toc267038343"/>
      <w:bookmarkStart w:id="247" w:name="_Toc267038342"/>
      <w:bookmarkStart w:id="248" w:name="_Toc267038341"/>
      <w:bookmarkStart w:id="249" w:name="_Toc267038340"/>
      <w:bookmarkStart w:id="250" w:name="_Toc267038339"/>
      <w:bookmarkStart w:id="251" w:name="_Toc267038338"/>
      <w:bookmarkStart w:id="252" w:name="_Toc267038337"/>
      <w:bookmarkStart w:id="253" w:name="_Toc267038327"/>
      <w:bookmarkStart w:id="254" w:name="_Toc58769281"/>
      <w:bookmarkStart w:id="255" w:name="_Toc290015948"/>
      <w:bookmarkStart w:id="256" w:name="_Toc40340115"/>
      <w:bookmarkEnd w:id="243"/>
      <w:bookmarkEnd w:id="244"/>
      <w:bookmarkEnd w:id="245"/>
      <w:bookmarkEnd w:id="246"/>
      <w:bookmarkEnd w:id="247"/>
      <w:bookmarkEnd w:id="248"/>
      <w:bookmarkEnd w:id="249"/>
      <w:bookmarkEnd w:id="250"/>
      <w:bookmarkEnd w:id="251"/>
      <w:bookmarkEnd w:id="252"/>
      <w:bookmarkEnd w:id="253"/>
    </w:p>
    <w:p w14:paraId="6911BC94" w14:textId="77777777" w:rsidR="00E62252" w:rsidRPr="00E62252" w:rsidRDefault="00E62252" w:rsidP="00E62252">
      <w:pPr>
        <w:spacing w:after="0" w:line="240" w:lineRule="auto"/>
        <w:jc w:val="both"/>
        <w:rPr>
          <w:rFonts w:ascii="Times New Roman" w:hAnsi="Times New Roman" w:cs="Times New Roman"/>
          <w:noProof/>
          <w:sz w:val="24"/>
          <w:szCs w:val="24"/>
        </w:rPr>
      </w:pPr>
      <w:bookmarkStart w:id="257" w:name="_Toc102478569"/>
      <w:r>
        <w:br w:type="page"/>
      </w:r>
    </w:p>
    <w:p w14:paraId="687C5D31"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258" w:name="_Toc134605598"/>
      <w:r>
        <w:rPr>
          <w:rFonts w:ascii="Times New Roman" w:hAnsi="Times New Roman"/>
          <w:sz w:val="24"/>
        </w:rPr>
        <w:lastRenderedPageBreak/>
        <w:t>10.7. Citi starpgadījumi</w:t>
      </w:r>
      <w:bookmarkEnd w:id="257"/>
      <w:bookmarkEnd w:id="258"/>
    </w:p>
    <w:p w14:paraId="0610226E" w14:textId="77777777" w:rsidR="00E62252" w:rsidRPr="00E62252" w:rsidRDefault="00E62252" w:rsidP="00E62252">
      <w:pPr>
        <w:spacing w:after="0" w:line="240" w:lineRule="auto"/>
        <w:rPr>
          <w:noProof/>
          <w:lang w:val="en-US"/>
        </w:rPr>
      </w:pPr>
    </w:p>
    <w:p w14:paraId="34059294" w14:textId="77777777" w:rsidR="00E62252" w:rsidRPr="00E62252" w:rsidRDefault="00E62252" w:rsidP="00E62252">
      <w:pPr>
        <w:pStyle w:val="NormalTextTable"/>
        <w:spacing w:line="240" w:lineRule="auto"/>
        <w:jc w:val="both"/>
        <w:rPr>
          <w:rFonts w:ascii="Times New Roman" w:hAnsi="Times New Roman" w:cs="Times New Roman"/>
          <w:noProof/>
          <w:sz w:val="24"/>
          <w:szCs w:val="24"/>
        </w:rPr>
      </w:pPr>
      <w:r>
        <w:rPr>
          <w:rFonts w:ascii="Times New Roman" w:hAnsi="Times New Roman"/>
          <w:sz w:val="24"/>
        </w:rPr>
        <w:t xml:space="preserve">Lēmumu par citu starpgadījumu izmeklēšanas veikšanu vai neveikšanu pieņem </w:t>
      </w:r>
      <w:proofErr w:type="spellStart"/>
      <w:r>
        <w:rPr>
          <w:rFonts w:ascii="Times New Roman" w:hAnsi="Times New Roman"/>
          <w:i/>
          <w:iCs/>
          <w:sz w:val="24"/>
        </w:rPr>
        <w:t>NIB</w:t>
      </w:r>
      <w:proofErr w:type="spellEnd"/>
      <w:r>
        <w:rPr>
          <w:rFonts w:ascii="Times New Roman" w:hAnsi="Times New Roman"/>
          <w:i/>
          <w:iCs/>
          <w:sz w:val="24"/>
        </w:rPr>
        <w:t>.</w:t>
      </w:r>
      <w:r w:rsidRPr="00E62252">
        <w:rPr>
          <w:rFonts w:ascii="Times New Roman" w:hAnsi="Times New Roman" w:cs="Times New Roman"/>
          <w:noProof/>
          <w:sz w:val="24"/>
          <w:szCs w:val="24"/>
          <w:vertAlign w:val="superscript"/>
          <w:lang w:val="en-US"/>
        </w:rPr>
        <w:footnoteReference w:id="5"/>
      </w:r>
      <w:r>
        <w:rPr>
          <w:rFonts w:ascii="Times New Roman" w:hAnsi="Times New Roman"/>
          <w:sz w:val="24"/>
          <w:vertAlign w:val="superscript"/>
        </w:rPr>
        <w:t xml:space="preserve"> </w:t>
      </w:r>
      <w:r>
        <w:rPr>
          <w:rFonts w:ascii="Times New Roman" w:hAnsi="Times New Roman"/>
          <w:sz w:val="24"/>
        </w:rPr>
        <w:t>Kad tiek apsvērta izmeklēšanas uzsākšana, jāņem vērā turpmāk minētais:</w:t>
      </w:r>
    </w:p>
    <w:p w14:paraId="54D50F95" w14:textId="77777777" w:rsidR="00E62252" w:rsidRPr="00E62252" w:rsidRDefault="00E62252" w:rsidP="00E62252">
      <w:pPr>
        <w:pStyle w:val="NormalTextTable"/>
        <w:spacing w:line="240" w:lineRule="auto"/>
        <w:ind w:left="284"/>
        <w:jc w:val="both"/>
        <w:rPr>
          <w:rFonts w:ascii="Times New Roman" w:hAnsi="Times New Roman" w:cs="Times New Roman"/>
          <w:noProof/>
          <w:sz w:val="24"/>
          <w:szCs w:val="24"/>
        </w:rPr>
      </w:pPr>
      <w:r>
        <w:rPr>
          <w:rFonts w:ascii="Times New Roman" w:hAnsi="Times New Roman"/>
          <w:sz w:val="24"/>
        </w:rPr>
        <w:t>a) starpgadījuma smagums;</w:t>
      </w:r>
    </w:p>
    <w:p w14:paraId="0CC39C7A" w14:textId="77777777" w:rsidR="00E62252" w:rsidRPr="00E62252" w:rsidRDefault="00E62252" w:rsidP="00E62252">
      <w:pPr>
        <w:pStyle w:val="NormalTextTable"/>
        <w:spacing w:line="240" w:lineRule="auto"/>
        <w:ind w:left="284"/>
        <w:jc w:val="both"/>
        <w:rPr>
          <w:rFonts w:ascii="Times New Roman" w:hAnsi="Times New Roman" w:cs="Times New Roman"/>
          <w:noProof/>
          <w:sz w:val="24"/>
          <w:szCs w:val="24"/>
        </w:rPr>
      </w:pPr>
      <w:r>
        <w:rPr>
          <w:rFonts w:ascii="Times New Roman" w:hAnsi="Times New Roman"/>
          <w:sz w:val="24"/>
        </w:rPr>
        <w:t>b) vai starpgadījums nav daļa no starpgadījumu virknes, kas ir būtisks visai sistēmai kā kopumam;</w:t>
      </w:r>
    </w:p>
    <w:p w14:paraId="4756A386" w14:textId="77777777" w:rsidR="00E62252" w:rsidRPr="00E62252" w:rsidRDefault="00E62252" w:rsidP="00E62252">
      <w:pPr>
        <w:pStyle w:val="NormalTextTable"/>
        <w:spacing w:line="240" w:lineRule="auto"/>
        <w:ind w:left="284"/>
        <w:jc w:val="both"/>
        <w:rPr>
          <w:rFonts w:ascii="Times New Roman" w:hAnsi="Times New Roman" w:cs="Times New Roman"/>
          <w:noProof/>
          <w:sz w:val="24"/>
          <w:szCs w:val="24"/>
        </w:rPr>
      </w:pPr>
      <w:r>
        <w:rPr>
          <w:rFonts w:ascii="Times New Roman" w:hAnsi="Times New Roman"/>
          <w:sz w:val="24"/>
        </w:rPr>
        <w:t>c) starpgadījuma ietekme uz dzelzceļu drošību un</w:t>
      </w:r>
    </w:p>
    <w:p w14:paraId="61CC3627" w14:textId="77777777" w:rsidR="00E62252" w:rsidRPr="00E62252" w:rsidRDefault="00E62252" w:rsidP="00E62252">
      <w:pPr>
        <w:pStyle w:val="NormalTextTable"/>
        <w:spacing w:line="240" w:lineRule="auto"/>
        <w:ind w:left="284"/>
        <w:jc w:val="both"/>
        <w:rPr>
          <w:rFonts w:ascii="Times New Roman" w:hAnsi="Times New Roman" w:cs="Times New Roman"/>
          <w:noProof/>
          <w:sz w:val="24"/>
          <w:szCs w:val="24"/>
        </w:rPr>
      </w:pPr>
      <w:r>
        <w:rPr>
          <w:rFonts w:ascii="Times New Roman" w:hAnsi="Times New Roman"/>
          <w:sz w:val="24"/>
        </w:rPr>
        <w:t>d) dzelzceļa infrastruktūras pārvaldītāju, pārvadātāju, valsts drošības iestādes vai dalībvalstu pieprasījumi.</w:t>
      </w:r>
    </w:p>
    <w:p w14:paraId="72465446"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rPr>
      </w:pPr>
    </w:p>
    <w:p w14:paraId="0F1C0708" w14:textId="77777777" w:rsidR="00E62252" w:rsidRPr="00E62252" w:rsidRDefault="00E62252" w:rsidP="00E62252">
      <w:pPr>
        <w:pStyle w:val="NormalTextTable"/>
        <w:spacing w:line="240" w:lineRule="auto"/>
        <w:jc w:val="both"/>
        <w:rPr>
          <w:rFonts w:ascii="Times New Roman" w:hAnsi="Times New Roman" w:cs="Times New Roman"/>
          <w:noProof/>
          <w:sz w:val="24"/>
          <w:szCs w:val="24"/>
        </w:rPr>
      </w:pPr>
      <w:bookmarkStart w:id="259" w:name="_Hlk102638960"/>
      <w:r>
        <w:rPr>
          <w:rFonts w:ascii="Times New Roman" w:hAnsi="Times New Roman"/>
          <w:sz w:val="24"/>
        </w:rPr>
        <w:t xml:space="preserve">Šā dokumenta 11. nodaļā “Pielikums” uzskaitīta virkne prekursoru no vienotajām definīcijām </w:t>
      </w:r>
      <w:proofErr w:type="spellStart"/>
      <w:r>
        <w:rPr>
          <w:rFonts w:ascii="Times New Roman" w:hAnsi="Times New Roman"/>
          <w:i/>
          <w:iCs/>
          <w:sz w:val="24"/>
        </w:rPr>
        <w:t>CSI</w:t>
      </w:r>
      <w:proofErr w:type="spellEnd"/>
      <w:r>
        <w:rPr>
          <w:rFonts w:ascii="Times New Roman" w:hAnsi="Times New Roman"/>
          <w:sz w:val="24"/>
        </w:rPr>
        <w:t xml:space="preserve"> Direktīvas 2016/798 1. pielikuma papildinājumā. Šos prekursorus var izmantot arī kā citu tādu starpgadījumu piemērus, par kuriem </w:t>
      </w:r>
      <w:proofErr w:type="spellStart"/>
      <w:r>
        <w:rPr>
          <w:rFonts w:ascii="Times New Roman" w:hAnsi="Times New Roman"/>
          <w:i/>
          <w:iCs/>
          <w:sz w:val="24"/>
        </w:rPr>
        <w:t>NIB</w:t>
      </w:r>
      <w:proofErr w:type="spellEnd"/>
      <w:r>
        <w:rPr>
          <w:rFonts w:ascii="Times New Roman" w:hAnsi="Times New Roman"/>
          <w:sz w:val="24"/>
        </w:rPr>
        <w:t xml:space="preserve"> pieņem lēmumu par izmeklēšanas veikšanu vai neveikšanu.</w:t>
      </w:r>
    </w:p>
    <w:p w14:paraId="41466C4A"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rPr>
      </w:pPr>
    </w:p>
    <w:p w14:paraId="45B51711"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60" w:name="_Toc134605599"/>
      <w:bookmarkEnd w:id="259"/>
      <w:r>
        <w:rPr>
          <w:rFonts w:ascii="Times New Roman" w:hAnsi="Times New Roman"/>
          <w:sz w:val="24"/>
          <w:u w:val="none"/>
        </w:rPr>
        <w:t xml:space="preserve">10.7.1. </w:t>
      </w:r>
      <w:r>
        <w:rPr>
          <w:rFonts w:ascii="Times New Roman" w:hAnsi="Times New Roman"/>
          <w:sz w:val="24"/>
        </w:rPr>
        <w:t>Definīcija</w:t>
      </w:r>
      <w:bookmarkEnd w:id="260"/>
    </w:p>
    <w:p w14:paraId="4F42CC41" w14:textId="77777777" w:rsidR="00E62252" w:rsidRPr="00E62252" w:rsidRDefault="00E62252" w:rsidP="00E62252">
      <w:pPr>
        <w:spacing w:after="0" w:line="240" w:lineRule="auto"/>
        <w:rPr>
          <w:noProof/>
          <w:lang w:val="en-US"/>
        </w:rPr>
      </w:pPr>
    </w:p>
    <w:p w14:paraId="50A2B4BA" w14:textId="77777777" w:rsidR="00E62252" w:rsidRPr="00E62252" w:rsidRDefault="00E62252" w:rsidP="00E62252">
      <w:pPr>
        <w:pStyle w:val="Style5"/>
        <w:spacing w:line="240" w:lineRule="auto"/>
        <w:jc w:val="both"/>
        <w:rPr>
          <w:rFonts w:cs="Times New Roman"/>
          <w:noProof/>
          <w:sz w:val="22"/>
          <w:szCs w:val="22"/>
        </w:rPr>
      </w:pPr>
      <w:r>
        <w:rPr>
          <w:sz w:val="22"/>
        </w:rPr>
        <w:t>“</w:t>
      </w:r>
      <w:r>
        <w:rPr>
          <w:b/>
          <w:bCs/>
          <w:sz w:val="22"/>
        </w:rPr>
        <w:t>Cits (starpgadījums)</w:t>
      </w:r>
      <w:r>
        <w:rPr>
          <w:sz w:val="22"/>
        </w:rPr>
        <w:t>” ir jebkāds notikums, kas nav negadījums vai smags negadījums un kam ir vai var būt ietekme uz dzelzceļa pārvadājumu drošību.</w:t>
      </w:r>
    </w:p>
    <w:p w14:paraId="0CFC189E" w14:textId="77777777" w:rsidR="00E62252" w:rsidRPr="00E62252" w:rsidRDefault="00E62252" w:rsidP="00E62252">
      <w:pPr>
        <w:pStyle w:val="Style5"/>
        <w:spacing w:line="240" w:lineRule="auto"/>
        <w:jc w:val="both"/>
        <w:rPr>
          <w:rFonts w:ascii="Times New Roman" w:hAnsi="Times New Roman" w:cs="Times New Roman"/>
          <w:noProof/>
          <w:sz w:val="24"/>
          <w:szCs w:val="24"/>
          <w:lang w:val="en-US"/>
        </w:rPr>
      </w:pPr>
    </w:p>
    <w:p w14:paraId="3E491F18" w14:textId="77777777" w:rsidR="00E62252" w:rsidRPr="00E62252" w:rsidRDefault="00E62252" w:rsidP="00E62252">
      <w:pPr>
        <w:pStyle w:val="Heading3"/>
        <w:numPr>
          <w:ilvl w:val="0"/>
          <w:numId w:val="0"/>
        </w:numPr>
        <w:spacing w:before="0" w:beforeAutospacing="0" w:after="0" w:afterAutospacing="0" w:line="240" w:lineRule="auto"/>
        <w:jc w:val="both"/>
        <w:rPr>
          <w:rFonts w:ascii="Times New Roman" w:hAnsi="Times New Roman" w:cs="Times New Roman"/>
          <w:noProof/>
          <w:sz w:val="24"/>
          <w:szCs w:val="24"/>
        </w:rPr>
      </w:pPr>
      <w:bookmarkStart w:id="261" w:name="_Toc134605600"/>
      <w:r>
        <w:rPr>
          <w:rFonts w:ascii="Times New Roman" w:hAnsi="Times New Roman"/>
          <w:sz w:val="24"/>
          <w:u w:val="none"/>
        </w:rPr>
        <w:t xml:space="preserve">10.7.2. </w:t>
      </w:r>
      <w:r>
        <w:rPr>
          <w:rFonts w:ascii="Times New Roman" w:hAnsi="Times New Roman"/>
          <w:sz w:val="24"/>
        </w:rPr>
        <w:t>Piemēri</w:t>
      </w:r>
      <w:bookmarkEnd w:id="261"/>
    </w:p>
    <w:p w14:paraId="163AB051" w14:textId="77777777" w:rsidR="00E62252" w:rsidRPr="00E62252" w:rsidRDefault="00E62252" w:rsidP="00E62252">
      <w:pPr>
        <w:spacing w:after="0" w:line="240" w:lineRule="auto"/>
        <w:rPr>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62252" w:rsidRPr="00E62252" w14:paraId="2B79B6BB" w14:textId="77777777" w:rsidTr="00F80365">
        <w:tc>
          <w:tcPr>
            <w:tcW w:w="9062" w:type="dxa"/>
          </w:tcPr>
          <w:p w14:paraId="648AC9AC"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b/>
                <w:bCs/>
                <w:noProof/>
                <w:sz w:val="24"/>
                <w:szCs w:val="24"/>
              </w:rPr>
            </w:pPr>
            <w:r>
              <w:rPr>
                <w:rFonts w:ascii="Times New Roman" w:hAnsi="Times New Roman"/>
                <w:b/>
                <w:sz w:val="24"/>
                <w:u w:val="single"/>
              </w:rPr>
              <w:t>1. piemērs.</w:t>
            </w:r>
          </w:p>
          <w:p w14:paraId="3B67B8CE"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b/>
                <w:bCs/>
                <w:noProof/>
                <w:sz w:val="24"/>
                <w:szCs w:val="24"/>
                <w:lang w:val="en-US"/>
              </w:rPr>
            </w:pPr>
          </w:p>
          <w:p w14:paraId="15299134"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rPr>
            </w:pPr>
            <w:r>
              <w:rPr>
                <w:rFonts w:ascii="Times New Roman" w:hAnsi="Times New Roman"/>
                <w:sz w:val="24"/>
              </w:rPr>
              <w:t>Kad pasažieru vilciens brauca garām signāla pamatnei, signāls rādīja zaļu signālu, lai arī posma pēdējo sliežu ķēdi tajā brīdī aizņēma kravas vilciens. Normālā situācijā tad, kad posmā ir aizņemta pēdējā sliežu ķēde, tiek rādīts sarkanais signāls (briesmas).</w:t>
            </w:r>
          </w:p>
          <w:p w14:paraId="76B42D9C"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lang w:val="en-US"/>
              </w:rPr>
            </w:pPr>
          </w:p>
          <w:p w14:paraId="7946C2F0"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u w:val="single"/>
              </w:rPr>
            </w:pPr>
            <w:r>
              <w:rPr>
                <w:rFonts w:ascii="Times New Roman" w:hAnsi="Times New Roman"/>
                <w:sz w:val="24"/>
                <w:u w:val="single"/>
              </w:rPr>
              <w:t>Šis negadījums nav jāizmeklē atbilstoši 20. panta 1. punktam.</w:t>
            </w:r>
          </w:p>
          <w:p w14:paraId="2AB16866"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u w:val="single"/>
                <w:lang w:val="en-US"/>
              </w:rPr>
            </w:pPr>
          </w:p>
          <w:p w14:paraId="72FEEA97"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rPr>
            </w:pPr>
            <w:r>
              <w:rPr>
                <w:rFonts w:ascii="Times New Roman" w:hAnsi="Times New Roman"/>
                <w:sz w:val="24"/>
              </w:rPr>
              <w:t>Tomēr jāpārbauda, vai izmeklēšana atbilstoši 20. panta 2. punktam var būt lietderīga tādēļ, ka pastāv augsts sadursmes un smaga negadījuma risks pasažieru vilciena vagonā.</w:t>
            </w:r>
          </w:p>
          <w:p w14:paraId="387AA562"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lang w:val="en-US"/>
              </w:rPr>
            </w:pPr>
          </w:p>
          <w:p w14:paraId="54276443"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rPr>
            </w:pPr>
            <w:r>
              <w:rPr>
                <w:rFonts w:ascii="Times New Roman" w:hAnsi="Times New Roman"/>
                <w:sz w:val="24"/>
              </w:rPr>
              <w:t>Tostarp var pārbaudīt signalizāciju un iespējamo ietekmi uz citu signālu drošību.</w:t>
            </w:r>
          </w:p>
          <w:p w14:paraId="063E3902"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noProof/>
                <w:sz w:val="24"/>
                <w:szCs w:val="24"/>
                <w:lang w:val="en-US"/>
              </w:rPr>
            </w:pPr>
          </w:p>
          <w:p w14:paraId="1C1DACF6" w14:textId="77777777" w:rsidR="00E62252" w:rsidRPr="00E62252" w:rsidRDefault="00E62252" w:rsidP="00F80365">
            <w:pPr>
              <w:pBdr>
                <w:top w:val="single" w:sz="4" w:space="1" w:color="auto"/>
                <w:left w:val="single" w:sz="4" w:space="4" w:color="auto"/>
                <w:bottom w:val="single" w:sz="4" w:space="1" w:color="auto"/>
                <w:right w:val="single" w:sz="4" w:space="4" w:color="auto"/>
              </w:pBdr>
              <w:shd w:val="clear" w:color="auto" w:fill="FFF7D8" w:themeFill="accent6" w:themeFillTint="33"/>
              <w:jc w:val="both"/>
              <w:rPr>
                <w:rFonts w:ascii="Times New Roman" w:hAnsi="Times New Roman" w:cs="Times New Roman"/>
                <w:b/>
                <w:bCs/>
                <w:noProof/>
                <w:color w:val="6E231E" w:themeColor="accent2" w:themeShade="80"/>
                <w:sz w:val="24"/>
                <w:szCs w:val="24"/>
              </w:rPr>
            </w:pPr>
            <w:r>
              <w:rPr>
                <w:rFonts w:ascii="Times New Roman" w:hAnsi="Times New Roman"/>
                <w:b/>
                <w:color w:val="6E231E" w:themeColor="accent2" w:themeShade="80"/>
                <w:sz w:val="24"/>
              </w:rPr>
              <w:t xml:space="preserve">Lēmumu par izmeklēšanas veikšanu vai neveikšanu pieņem </w:t>
            </w:r>
            <w:proofErr w:type="spellStart"/>
            <w:r>
              <w:rPr>
                <w:rFonts w:ascii="Times New Roman" w:hAnsi="Times New Roman"/>
                <w:b/>
                <w:i/>
                <w:iCs/>
                <w:color w:val="6E231E" w:themeColor="accent2" w:themeShade="80"/>
                <w:sz w:val="24"/>
              </w:rPr>
              <w:t>NIB</w:t>
            </w:r>
            <w:proofErr w:type="spellEnd"/>
            <w:r>
              <w:rPr>
                <w:rFonts w:ascii="Times New Roman" w:hAnsi="Times New Roman"/>
                <w:b/>
                <w:i/>
                <w:iCs/>
                <w:color w:val="6E231E" w:themeColor="accent2" w:themeShade="80"/>
                <w:sz w:val="24"/>
              </w:rPr>
              <w:t>.</w:t>
            </w:r>
          </w:p>
          <w:p w14:paraId="39812BCA" w14:textId="77777777" w:rsidR="00E62252" w:rsidRPr="00E62252" w:rsidRDefault="00E62252" w:rsidP="00F80365">
            <w:pPr>
              <w:jc w:val="both"/>
              <w:rPr>
                <w:rFonts w:ascii="Times New Roman" w:hAnsi="Times New Roman" w:cs="Times New Roman"/>
                <w:noProof/>
                <w:sz w:val="24"/>
                <w:szCs w:val="24"/>
                <w:lang w:val="en-US"/>
              </w:rPr>
            </w:pPr>
          </w:p>
        </w:tc>
      </w:tr>
      <w:tr w:rsidR="00E62252" w:rsidRPr="00E62252" w14:paraId="3F104934" w14:textId="77777777" w:rsidTr="00F80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shd w:val="clear" w:color="auto" w:fill="D0ECFF" w:themeFill="text1" w:themeFillTint="1A"/>
          </w:tcPr>
          <w:p w14:paraId="7763EF4F"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t>Lūdzam ņemt vērā turpmāko.</w:t>
            </w:r>
          </w:p>
          <w:p w14:paraId="4FE09F90" w14:textId="77777777" w:rsidR="00E62252" w:rsidRPr="00E62252" w:rsidRDefault="00E62252" w:rsidP="00F80365">
            <w:pPr>
              <w:jc w:val="both"/>
              <w:rPr>
                <w:rFonts w:ascii="Times New Roman" w:hAnsi="Times New Roman" w:cs="Times New Roman"/>
                <w:b/>
                <w:bCs/>
                <w:noProof/>
                <w:sz w:val="24"/>
                <w:szCs w:val="24"/>
                <w:u w:val="single"/>
                <w:lang w:val="en-US"/>
              </w:rPr>
            </w:pPr>
          </w:p>
          <w:p w14:paraId="77562682"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Šaubu gadījumā varētu būt lietderīgi sazināties ar citu </w:t>
            </w:r>
            <w:proofErr w:type="spellStart"/>
            <w:r>
              <w:rPr>
                <w:rFonts w:ascii="Times New Roman" w:hAnsi="Times New Roman"/>
                <w:i/>
                <w:iCs/>
                <w:sz w:val="24"/>
              </w:rPr>
              <w:t>NIB</w:t>
            </w:r>
            <w:proofErr w:type="spellEnd"/>
            <w:r>
              <w:rPr>
                <w:rFonts w:ascii="Times New Roman" w:hAnsi="Times New Roman"/>
                <w:sz w:val="24"/>
              </w:rPr>
              <w:t xml:space="preserve"> vai Aģentūru, lai apspriestu, vai gadījums ir vai nav jāizmeklē. Galīgais lēmums jāpieņem izmeklēšanas struktūrai.</w:t>
            </w:r>
          </w:p>
        </w:tc>
      </w:tr>
    </w:tbl>
    <w:p w14:paraId="6ED53305" w14:textId="77777777" w:rsidR="00E62252" w:rsidRPr="00E62252" w:rsidRDefault="00E62252" w:rsidP="00E62252">
      <w:pPr>
        <w:pStyle w:val="Heading1"/>
        <w:numPr>
          <w:ilvl w:val="0"/>
          <w:numId w:val="0"/>
        </w:numPr>
        <w:pBdr>
          <w:top w:val="single" w:sz="4" w:space="1" w:color="auto"/>
          <w:left w:val="single" w:sz="4" w:space="4" w:color="auto"/>
          <w:bottom w:val="single" w:sz="4" w:space="1" w:color="auto"/>
          <w:right w:val="single" w:sz="4" w:space="4" w:color="auto"/>
        </w:pBdr>
        <w:spacing w:before="0" w:after="0" w:line="240" w:lineRule="auto"/>
        <w:jc w:val="both"/>
        <w:rPr>
          <w:rFonts w:ascii="Times New Roman" w:hAnsi="Times New Roman" w:cs="Times New Roman"/>
          <w:noProof/>
          <w:sz w:val="24"/>
          <w:szCs w:val="24"/>
        </w:rPr>
      </w:pPr>
      <w:bookmarkStart w:id="262" w:name="_Toc61364286"/>
      <w:bookmarkStart w:id="263" w:name="_Toc61364535"/>
      <w:bookmarkStart w:id="264" w:name="_Ref63847099"/>
      <w:bookmarkStart w:id="265" w:name="_Ref63847104"/>
      <w:bookmarkStart w:id="266" w:name="_Toc102478571"/>
      <w:bookmarkStart w:id="267" w:name="_Toc58769282"/>
      <w:bookmarkStart w:id="268" w:name="_Toc134605601"/>
      <w:bookmarkStart w:id="269" w:name="_Toc61364287"/>
      <w:bookmarkStart w:id="270" w:name="_Toc61364536"/>
      <w:bookmarkStart w:id="271" w:name="_Ref63847097"/>
      <w:bookmarkStart w:id="272" w:name="_Toc102478572"/>
      <w:bookmarkEnd w:id="254"/>
      <w:r>
        <w:rPr>
          <w:rFonts w:ascii="Times New Roman" w:hAnsi="Times New Roman"/>
          <w:sz w:val="24"/>
        </w:rPr>
        <w:lastRenderedPageBreak/>
        <w:t>11. Pielikums</w:t>
      </w:r>
      <w:bookmarkEnd w:id="262"/>
      <w:bookmarkEnd w:id="263"/>
      <w:bookmarkEnd w:id="264"/>
      <w:bookmarkEnd w:id="265"/>
      <w:bookmarkEnd w:id="266"/>
      <w:bookmarkEnd w:id="267"/>
      <w:bookmarkEnd w:id="268"/>
    </w:p>
    <w:p w14:paraId="04132C93"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lang w:val="en-US"/>
        </w:rPr>
      </w:pPr>
    </w:p>
    <w:p w14:paraId="6EA1AA4A"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273" w:name="_Toc134605602"/>
      <w:r>
        <w:rPr>
          <w:rFonts w:ascii="Times New Roman" w:hAnsi="Times New Roman"/>
          <w:sz w:val="24"/>
        </w:rPr>
        <w:t>I pielikums. Definīcijas</w:t>
      </w:r>
      <w:bookmarkEnd w:id="269"/>
      <w:bookmarkEnd w:id="270"/>
      <w:bookmarkEnd w:id="271"/>
      <w:bookmarkEnd w:id="272"/>
      <w:bookmarkEnd w:id="273"/>
    </w:p>
    <w:p w14:paraId="4B0EBD23" w14:textId="77777777" w:rsidR="00E62252" w:rsidRPr="00E62252" w:rsidRDefault="00E62252" w:rsidP="00E62252">
      <w:pPr>
        <w:spacing w:after="0" w:line="240" w:lineRule="auto"/>
        <w:rPr>
          <w:noProof/>
          <w:lang w:val="en-US"/>
        </w:rPr>
      </w:pPr>
    </w:p>
    <w:p w14:paraId="0F7AC30E" w14:textId="77777777" w:rsidR="00E62252" w:rsidRPr="00E62252" w:rsidRDefault="00E62252" w:rsidP="00E62252">
      <w:pPr>
        <w:pStyle w:val="Title"/>
        <w:spacing w:before="0" w:after="0" w:line="240" w:lineRule="auto"/>
        <w:contextualSpacing w:val="0"/>
        <w:jc w:val="both"/>
        <w:rPr>
          <w:rFonts w:ascii="Times New Roman" w:hAnsi="Times New Roman" w:cs="Times New Roman"/>
          <w:iCs/>
          <w:noProof/>
          <w:spacing w:val="0"/>
          <w:kern w:val="0"/>
          <w:sz w:val="24"/>
          <w:szCs w:val="24"/>
        </w:rPr>
      </w:pPr>
      <w:r>
        <w:rPr>
          <w:rFonts w:ascii="Times New Roman" w:hAnsi="Times New Roman"/>
          <w:sz w:val="24"/>
        </w:rPr>
        <w:t xml:space="preserve">Prekursoru definīcijas atbilstoši </w:t>
      </w:r>
      <w:proofErr w:type="spellStart"/>
      <w:r>
        <w:rPr>
          <w:rFonts w:ascii="Times New Roman" w:hAnsi="Times New Roman"/>
          <w:i/>
          <w:iCs/>
          <w:sz w:val="24"/>
        </w:rPr>
        <w:t>CSI</w:t>
      </w:r>
      <w:proofErr w:type="spellEnd"/>
      <w:r>
        <w:rPr>
          <w:rFonts w:ascii="Times New Roman" w:hAnsi="Times New Roman"/>
          <w:sz w:val="24"/>
        </w:rPr>
        <w:t xml:space="preserve"> īstenošanas norādījumiem.</w:t>
      </w:r>
    </w:p>
    <w:p w14:paraId="7399B3AB" w14:textId="77777777" w:rsidR="00E62252" w:rsidRPr="00E62252" w:rsidRDefault="00E62252" w:rsidP="00E62252">
      <w:pPr>
        <w:spacing w:after="0" w:line="240" w:lineRule="auto"/>
        <w:rPr>
          <w:noProof/>
          <w:lang w:val="en-US"/>
        </w:rPr>
      </w:pPr>
    </w:p>
    <w:p w14:paraId="6A8EA12D" w14:textId="77777777" w:rsidR="00E62252" w:rsidRPr="00E62252" w:rsidRDefault="00E62252" w:rsidP="00E62252">
      <w:pPr>
        <w:pStyle w:val="Style4"/>
        <w:spacing w:line="240" w:lineRule="auto"/>
        <w:jc w:val="both"/>
        <w:rPr>
          <w:rFonts w:cs="Times New Roman"/>
          <w:noProof/>
          <w:sz w:val="22"/>
          <w:szCs w:val="22"/>
        </w:rPr>
      </w:pPr>
      <w:r>
        <w:rPr>
          <w:sz w:val="22"/>
        </w:rPr>
        <w:t>“Sliedes lūzums”</w:t>
      </w:r>
    </w:p>
    <w:p w14:paraId="7CCA3780" w14:textId="77777777" w:rsidR="00E62252" w:rsidRPr="00E62252" w:rsidRDefault="00E62252" w:rsidP="00E62252">
      <w:pPr>
        <w:pStyle w:val="Style4"/>
        <w:spacing w:line="240" w:lineRule="auto"/>
        <w:jc w:val="both"/>
        <w:rPr>
          <w:rFonts w:cs="Times New Roman"/>
          <w:noProof/>
          <w:sz w:val="22"/>
          <w:szCs w:val="22"/>
        </w:rPr>
      </w:pPr>
      <w:r>
        <w:rPr>
          <w:sz w:val="22"/>
        </w:rPr>
        <w:t xml:space="preserve">ir sliede, kas sadalījusies vismaz divos gabalos, vai sliede, no kuras atdalījies metāla gabals, kas velšanās virsmā radījis defektu vairāk nekā </w:t>
      </w:r>
      <w:r>
        <w:rPr>
          <w:sz w:val="22"/>
          <w:u w:val="single"/>
        </w:rPr>
        <w:t>50 mm</w:t>
      </w:r>
      <w:r>
        <w:rPr>
          <w:sz w:val="22"/>
        </w:rPr>
        <w:t xml:space="preserve"> garumā un </w:t>
      </w:r>
      <w:r>
        <w:rPr>
          <w:sz w:val="22"/>
          <w:u w:val="single"/>
        </w:rPr>
        <w:t>10 mm</w:t>
      </w:r>
      <w:r>
        <w:rPr>
          <w:sz w:val="22"/>
        </w:rPr>
        <w:t xml:space="preserve"> dziļumā.</w:t>
      </w:r>
    </w:p>
    <w:p w14:paraId="74C028E0"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0AED117D"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Tostarp tas ir sliedes plīsums, metinājuma defekts un uzliktņa bloka defekts.</w:t>
      </w:r>
    </w:p>
    <w:p w14:paraId="43C4A27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99A19C1"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Ietilpst sliežu ceļa sliedes, sliedes pārmiju paneļos (pārmijas asmeņi un atbalsta sliedes), sliedes slēguma paneļos, sliedes krustojuma paneļos un sliede izplešanās salaidumos.</w:t>
      </w:r>
    </w:p>
    <w:p w14:paraId="57DAEF7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52230E2"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Ietilpst arī defekti uzliktņos.</w:t>
      </w:r>
    </w:p>
    <w:p w14:paraId="0BB9F07F"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774BF9EC" w14:textId="77777777" w:rsidR="00E62252" w:rsidRPr="00E62252" w:rsidRDefault="00E62252" w:rsidP="00E62252">
      <w:pPr>
        <w:pStyle w:val="Style4"/>
        <w:spacing w:line="240" w:lineRule="auto"/>
        <w:jc w:val="both"/>
        <w:rPr>
          <w:rFonts w:cs="Times New Roman"/>
          <w:noProof/>
          <w:sz w:val="22"/>
          <w:szCs w:val="22"/>
        </w:rPr>
      </w:pPr>
      <w:r>
        <w:rPr>
          <w:sz w:val="22"/>
        </w:rPr>
        <w:t>“Sliežu izlocīšanās vai citāda sliežu nobīde”</w:t>
      </w:r>
    </w:p>
    <w:p w14:paraId="38BFBF02" w14:textId="77777777" w:rsidR="00E62252" w:rsidRPr="00E62252" w:rsidRDefault="00E62252" w:rsidP="00E62252">
      <w:pPr>
        <w:pStyle w:val="Style4"/>
        <w:spacing w:line="240" w:lineRule="auto"/>
        <w:jc w:val="both"/>
        <w:rPr>
          <w:rFonts w:cs="Times New Roman"/>
          <w:noProof/>
          <w:sz w:val="22"/>
          <w:szCs w:val="22"/>
        </w:rPr>
      </w:pPr>
      <w:r>
        <w:rPr>
          <w:sz w:val="22"/>
        </w:rPr>
        <w:t>ir defekts, kas saistīts ar sliežu ceļa nepārtrauktību un ģeometriju, kuru dēļ sliežu ceļš ir jāslēdz vai nekavējoties jāierobežo atļautais kustības ātrums.</w:t>
      </w:r>
    </w:p>
    <w:p w14:paraId="2F0F7556" w14:textId="77777777" w:rsidR="00E62252" w:rsidRPr="00E62252" w:rsidRDefault="00E62252" w:rsidP="00E62252">
      <w:pPr>
        <w:pStyle w:val="Style4"/>
        <w:spacing w:line="240" w:lineRule="auto"/>
        <w:jc w:val="both"/>
        <w:rPr>
          <w:rFonts w:cs="Times New Roman"/>
          <w:noProof/>
          <w:sz w:val="22"/>
          <w:szCs w:val="22"/>
          <w:lang w:val="en-US"/>
        </w:rPr>
      </w:pPr>
    </w:p>
    <w:p w14:paraId="7F153443" w14:textId="77777777" w:rsidR="00E62252" w:rsidRPr="00E62252" w:rsidRDefault="00E62252" w:rsidP="00E62252">
      <w:pPr>
        <w:pStyle w:val="Style4"/>
        <w:spacing w:line="240" w:lineRule="auto"/>
        <w:jc w:val="both"/>
        <w:rPr>
          <w:rFonts w:cs="Times New Roman"/>
          <w:noProof/>
          <w:sz w:val="22"/>
          <w:szCs w:val="22"/>
        </w:rPr>
      </w:pPr>
      <w:r>
        <w:rPr>
          <w:sz w:val="22"/>
        </w:rPr>
        <w:t>“Bīstama signalizācijas atteice”</w:t>
      </w:r>
    </w:p>
    <w:p w14:paraId="6B82EE3D" w14:textId="77777777" w:rsidR="00E62252" w:rsidRPr="00E62252" w:rsidRDefault="00E62252" w:rsidP="00E62252">
      <w:pPr>
        <w:pStyle w:val="Style4"/>
        <w:spacing w:line="240" w:lineRule="auto"/>
        <w:jc w:val="both"/>
        <w:rPr>
          <w:rFonts w:cs="Times New Roman"/>
          <w:noProof/>
          <w:color w:val="auto"/>
          <w:sz w:val="22"/>
          <w:szCs w:val="22"/>
        </w:rPr>
      </w:pPr>
      <w:r>
        <w:rPr>
          <w:sz w:val="22"/>
        </w:rPr>
        <w:t>ir signalizācijas sistēmas tehniska atteice (infrastruktūrai vai ritošajam sastāvam), kuras rezultātā signalizācijas informācija nav tik ierobežojoša, cik vajadzīgs.</w:t>
      </w:r>
    </w:p>
    <w:p w14:paraId="18FA9CC3"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615CAF64"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Bīstama signalizācijas atteice nozīmē signalizācijas sistēmas tehniskās kļūmes. Tā apraksta atteices stāvokli dzelzceļa signalizācijas iekārtā, kas rada nedrošu stāvokli.</w:t>
      </w:r>
    </w:p>
    <w:p w14:paraId="3BC18544"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0A2257CD"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Atbilstoši </w:t>
      </w:r>
      <w:proofErr w:type="spellStart"/>
      <w:r>
        <w:rPr>
          <w:rFonts w:ascii="Times New Roman" w:hAnsi="Times New Roman"/>
          <w:i/>
          <w:iCs/>
          <w:sz w:val="24"/>
        </w:rPr>
        <w:t>CSI</w:t>
      </w:r>
      <w:proofErr w:type="spellEnd"/>
      <w:r>
        <w:rPr>
          <w:rFonts w:ascii="Times New Roman" w:hAnsi="Times New Roman"/>
          <w:sz w:val="24"/>
        </w:rPr>
        <w:t xml:space="preserve"> īstenošanas norādījumiem šajā neizsmeļošajā sarakstā jāiekļauj šādi notikumi (ja tie ir saistīti ar signalizācijas sistēmas tehnisko kļūmi):</w:t>
      </w:r>
    </w:p>
    <w:p w14:paraId="628EFBA2"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2585D7B"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tiek parādīts zaļās gaismas aspekts tā vietā, lai parādītu briesmu signālu, signālu par ātruma samazināšanu, brīdinājuma signālu, kas informē par stopsignālu vai ātruma ierobežojuma signālu;</w:t>
      </w:r>
    </w:p>
    <w:p w14:paraId="3306F32E"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stopsignāla vietā tiek parādīts cits signāls, kas ir mazāk ierobežojošs nekā stopsignāls;</w:t>
      </w:r>
    </w:p>
    <w:p w14:paraId="2CABE7BB"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nav parādīts attāls signāls, kas informē par stopsignālu vai ātruma ierobežošanas signālu;</w:t>
      </w:r>
    </w:p>
    <w:p w14:paraId="59E5B75D"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nepareiza punktu noteikšana;</w:t>
      </w:r>
    </w:p>
    <w:p w14:paraId="5CB86118"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vadītāju kabīnei ar vilciena aizsardzības sistēmas starpniecību ir pārraidīta mazāk ierobežojoša informācija.</w:t>
      </w:r>
    </w:p>
    <w:p w14:paraId="2871CEA8"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3111BCF4"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rPr>
      </w:pPr>
      <w:r>
        <w:rPr>
          <w:rFonts w:ascii="Times New Roman" w:hAnsi="Times New Roman"/>
          <w:sz w:val="24"/>
        </w:rPr>
        <w:t>Jāizslēdz šādi notikumi:</w:t>
      </w:r>
    </w:p>
    <w:p w14:paraId="108A9FC8"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3120658B" w14:textId="77777777" w:rsidR="00E62252" w:rsidRPr="00E62252" w:rsidRDefault="00E62252" w:rsidP="00E62252">
      <w:pPr>
        <w:pStyle w:val="Style6"/>
        <w:spacing w:after="0" w:line="240" w:lineRule="auto"/>
        <w:ind w:left="534" w:hanging="283"/>
        <w:contextualSpacing w:val="0"/>
        <w:jc w:val="both"/>
        <w:rPr>
          <w:rFonts w:ascii="Times New Roman" w:hAnsi="Times New Roman" w:cs="Times New Roman"/>
          <w:noProof/>
          <w:sz w:val="24"/>
          <w:szCs w:val="24"/>
        </w:rPr>
      </w:pPr>
      <w:r>
        <w:rPr>
          <w:rFonts w:ascii="Times New Roman" w:hAnsi="Times New Roman"/>
          <w:sz w:val="24"/>
        </w:rPr>
        <w:t>bloķēšanas darbības traucējumi, kas rada informāciju, kura ir mazāk ierobežojoša par apstāšanos, piemēram, maršruta bloķēšanas automātiska atbrīvošana pirms vilciena izbraukšanas no attiecīgā posma;</w:t>
      </w:r>
    </w:p>
    <w:p w14:paraId="42E44D94" w14:textId="77777777" w:rsidR="00E62252" w:rsidRPr="00E62252" w:rsidRDefault="00E62252" w:rsidP="00E62252">
      <w:pPr>
        <w:pStyle w:val="Style6"/>
        <w:spacing w:after="0" w:line="240" w:lineRule="auto"/>
        <w:ind w:left="534" w:hanging="283"/>
        <w:contextualSpacing w:val="0"/>
        <w:jc w:val="both"/>
        <w:rPr>
          <w:rFonts w:ascii="Times New Roman" w:hAnsi="Times New Roman" w:cs="Times New Roman"/>
          <w:noProof/>
          <w:sz w:val="24"/>
          <w:szCs w:val="24"/>
        </w:rPr>
      </w:pPr>
      <w:r>
        <w:rPr>
          <w:rFonts w:ascii="Times New Roman" w:hAnsi="Times New Roman"/>
          <w:sz w:val="24"/>
        </w:rPr>
        <w:t>darbības traucējumi, kas saistīti ar nelabvēlīgas darbības režīmiem.</w:t>
      </w:r>
    </w:p>
    <w:p w14:paraId="4B80F690"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tbl>
      <w:tblPr>
        <w:tblStyle w:val="TableGrid"/>
        <w:tblpPr w:leftFromText="141" w:rightFromText="141" w:vertAnchor="text" w:horzAnchor="margin" w:tblpY="173"/>
        <w:tblW w:w="5000" w:type="pct"/>
        <w:tblCellMar>
          <w:top w:w="28" w:type="dxa"/>
          <w:left w:w="28" w:type="dxa"/>
          <w:bottom w:w="28" w:type="dxa"/>
          <w:right w:w="28" w:type="dxa"/>
        </w:tblCellMar>
        <w:tblLook w:val="04A0" w:firstRow="1" w:lastRow="0" w:firstColumn="1" w:lastColumn="0" w:noHBand="0" w:noVBand="1"/>
      </w:tblPr>
      <w:tblGrid>
        <w:gridCol w:w="9062"/>
      </w:tblGrid>
      <w:tr w:rsidR="00E62252" w:rsidRPr="00E62252" w14:paraId="1C936ECC" w14:textId="77777777" w:rsidTr="00F80365">
        <w:tc>
          <w:tcPr>
            <w:tcW w:w="5000" w:type="pct"/>
            <w:shd w:val="clear" w:color="auto" w:fill="D0ECFF" w:themeFill="text1" w:themeFillTint="1A"/>
          </w:tcPr>
          <w:p w14:paraId="2D7FDD50" w14:textId="77777777" w:rsidR="00E62252" w:rsidRPr="00E62252" w:rsidRDefault="00E62252" w:rsidP="00F80365">
            <w:pPr>
              <w:jc w:val="both"/>
              <w:rPr>
                <w:rFonts w:ascii="Times New Roman" w:hAnsi="Times New Roman" w:cs="Times New Roman"/>
                <w:b/>
                <w:bCs/>
                <w:noProof/>
                <w:sz w:val="24"/>
                <w:szCs w:val="24"/>
                <w:u w:val="single"/>
              </w:rPr>
            </w:pPr>
            <w:r>
              <w:rPr>
                <w:rFonts w:ascii="Times New Roman" w:hAnsi="Times New Roman"/>
                <w:b/>
                <w:sz w:val="24"/>
                <w:u w:val="single"/>
              </w:rPr>
              <w:lastRenderedPageBreak/>
              <w:t>Lūdzam ņemt vērā turpmāko.</w:t>
            </w:r>
          </w:p>
          <w:p w14:paraId="1D5A083A" w14:textId="77777777" w:rsidR="00E62252" w:rsidRPr="00E62252" w:rsidRDefault="00E62252" w:rsidP="00F80365">
            <w:pPr>
              <w:jc w:val="both"/>
              <w:rPr>
                <w:rFonts w:ascii="Times New Roman" w:hAnsi="Times New Roman" w:cs="Times New Roman"/>
                <w:b/>
                <w:bCs/>
                <w:noProof/>
                <w:sz w:val="24"/>
                <w:szCs w:val="24"/>
                <w:u w:val="single"/>
                <w:lang w:val="en-US"/>
              </w:rPr>
            </w:pPr>
          </w:p>
          <w:p w14:paraId="21FA5B75" w14:textId="77777777" w:rsidR="00E62252" w:rsidRPr="00E62252" w:rsidRDefault="00E62252" w:rsidP="00F80365">
            <w:pPr>
              <w:pStyle w:val="Style6"/>
              <w:numPr>
                <w:ilvl w:val="0"/>
                <w:numId w:val="0"/>
              </w:numPr>
              <w:contextualSpacing w:val="0"/>
              <w:jc w:val="both"/>
              <w:rPr>
                <w:rFonts w:ascii="Times New Roman" w:hAnsi="Times New Roman" w:cs="Times New Roman"/>
                <w:noProof/>
                <w:sz w:val="24"/>
                <w:szCs w:val="24"/>
              </w:rPr>
            </w:pPr>
            <w:bookmarkStart w:id="274" w:name="_Hlk102479328"/>
            <w:r>
              <w:rPr>
                <w:rFonts w:ascii="Times New Roman" w:hAnsi="Times New Roman"/>
                <w:sz w:val="24"/>
              </w:rPr>
              <w:t xml:space="preserve">Lēmumu par tādu notikumu izmeklēšanas veikšanu vai neveikšanu, kas izslēgti atbilstoši </w:t>
            </w:r>
            <w:proofErr w:type="spellStart"/>
            <w:r>
              <w:rPr>
                <w:rFonts w:ascii="Times New Roman" w:hAnsi="Times New Roman"/>
                <w:i/>
                <w:sz w:val="24"/>
              </w:rPr>
              <w:t>CSI</w:t>
            </w:r>
            <w:proofErr w:type="spellEnd"/>
            <w:r>
              <w:rPr>
                <w:rFonts w:ascii="Times New Roman" w:hAnsi="Times New Roman"/>
                <w:sz w:val="24"/>
              </w:rPr>
              <w:t xml:space="preserve"> īstenošanas norādījumiem, joprojām pieņem </w:t>
            </w:r>
            <w:proofErr w:type="spellStart"/>
            <w:r>
              <w:rPr>
                <w:rFonts w:ascii="Times New Roman" w:hAnsi="Times New Roman"/>
                <w:i/>
                <w:sz w:val="24"/>
              </w:rPr>
              <w:t>NIB</w:t>
            </w:r>
            <w:proofErr w:type="spellEnd"/>
            <w:r>
              <w:rPr>
                <w:rFonts w:ascii="Times New Roman" w:hAnsi="Times New Roman"/>
                <w:sz w:val="24"/>
              </w:rPr>
              <w:t>. Piemēram, sliežu ķēžu nedarbošanās var būt nopietns starpgadījums, jo tās dēļ vilcienam, kas tuvojas, var netikt parādīts stopsignāls laikā, kad bloku aizņem cits vilciens.</w:t>
            </w:r>
            <w:bookmarkEnd w:id="274"/>
          </w:p>
        </w:tc>
      </w:tr>
    </w:tbl>
    <w:p w14:paraId="5F0E5309"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439472AF" w14:textId="77777777" w:rsidR="00E62252" w:rsidRPr="00E62252" w:rsidRDefault="00E62252" w:rsidP="00E62252">
      <w:pPr>
        <w:pStyle w:val="Style4"/>
        <w:spacing w:line="240" w:lineRule="auto"/>
        <w:jc w:val="both"/>
        <w:rPr>
          <w:rFonts w:cs="Times New Roman"/>
          <w:b/>
          <w:bCs/>
          <w:noProof/>
          <w:sz w:val="22"/>
          <w:szCs w:val="22"/>
        </w:rPr>
      </w:pPr>
      <w:r>
        <w:rPr>
          <w:b/>
          <w:sz w:val="22"/>
        </w:rPr>
        <w:t>“Garāmbraukšana [Pabraukšana] garām] aizliedzošajam signālam”</w:t>
      </w:r>
    </w:p>
    <w:p w14:paraId="31008B6D" w14:textId="77777777" w:rsidR="00E62252" w:rsidRPr="00E62252" w:rsidRDefault="00E62252" w:rsidP="00E62252">
      <w:pPr>
        <w:pStyle w:val="Style4"/>
        <w:spacing w:line="240" w:lineRule="auto"/>
        <w:jc w:val="both"/>
        <w:rPr>
          <w:rFonts w:cs="Times New Roman"/>
          <w:noProof/>
          <w:sz w:val="22"/>
          <w:szCs w:val="22"/>
        </w:rPr>
      </w:pPr>
      <w:r>
        <w:rPr>
          <w:sz w:val="22"/>
        </w:rPr>
        <w:t>ir visi gadījumi, kad vilciena jebkura daļa veic neatļautu kustību un pabrauc garām bīstamai vietai.</w:t>
      </w:r>
    </w:p>
    <w:p w14:paraId="7CF1A4FE"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5D53A0A7"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u w:val="single"/>
        </w:rPr>
        <w:t>Bīstama vieta</w:t>
      </w:r>
      <w:r>
        <w:rPr>
          <w:rFonts w:ascii="Times New Roman" w:hAnsi="Times New Roman"/>
          <w:sz w:val="24"/>
        </w:rPr>
        <w:t xml:space="preserve"> ir vieta, kur vilcienam draudēs negadījums (sadursme, negadījums uz pārbrauktuves, negadījums ar personu, ko izraisījis kustībā esošs ritošais sastāvs, vai nobraukšana no sliedēm). Parasti tā ir noteikta vilcienu aizsardzības sistēmas specifikācijās.</w:t>
      </w:r>
    </w:p>
    <w:p w14:paraId="6C471496"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7DEDAA3C"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Vilciena neapstāšanās stacijā, kas noteikta kustības sarakstā, pati par sevi nav uzskatāma par pabraukšanu garām aizliedzošajam signālam, jo tā nav šķērslis atļautai vilciena kustībai.</w:t>
      </w:r>
    </w:p>
    <w:p w14:paraId="21A8C7CB"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6305844C"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Bookman Old Style" w:hAnsi="Bookman Old Style"/>
        </w:rPr>
        <w:t xml:space="preserve"> </w:t>
      </w:r>
      <w:r>
        <w:rPr>
          <w:rFonts w:ascii="Bookman Old Style" w:hAnsi="Bookman Old Style"/>
          <w:sz w:val="24"/>
        </w:rPr>
        <w:t xml:space="preserve">Iepriekš minētā frāze </w:t>
      </w:r>
      <w:r>
        <w:rPr>
          <w:rFonts w:ascii="Bookman Old Style" w:hAnsi="Bookman Old Style"/>
          <w:i/>
          <w:color w:val="3071C9" w:themeColor="accent5" w:themeShade="BF"/>
        </w:rPr>
        <w:t xml:space="preserve">“.. veic neatļautu kustību ..” </w:t>
      </w:r>
      <w:r>
        <w:rPr>
          <w:rFonts w:ascii="Times New Roman" w:hAnsi="Times New Roman"/>
          <w:sz w:val="24"/>
        </w:rPr>
        <w:t>nozīmē pabraukšanu garām:</w:t>
      </w:r>
    </w:p>
    <w:p w14:paraId="65B1315F"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59BFFA9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iedegtam aizliedzošam gaismas signālam vai semaforam, kas uzstādīts sliežu ceļa malā, vai rīkojuma apstāties (STOP) ignorēšanu gadījumos, kad nedarbojas vilciena aizsardzības sistēma (</w:t>
      </w:r>
      <w:proofErr w:type="spellStart"/>
      <w:r>
        <w:rPr>
          <w:rFonts w:ascii="Times New Roman" w:hAnsi="Times New Roman"/>
          <w:i/>
          <w:sz w:val="24"/>
        </w:rPr>
        <w:t>TPS</w:t>
      </w:r>
      <w:proofErr w:type="spellEnd"/>
      <w:r>
        <w:rPr>
          <w:rFonts w:ascii="Times New Roman" w:hAnsi="Times New Roman"/>
          <w:sz w:val="24"/>
        </w:rPr>
        <w:t>);</w:t>
      </w:r>
    </w:p>
    <w:p w14:paraId="34FCDD47"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vilciena aizsardzības sistēmā (</w:t>
      </w:r>
      <w:proofErr w:type="spellStart"/>
      <w:r>
        <w:rPr>
          <w:rFonts w:ascii="Times New Roman" w:hAnsi="Times New Roman"/>
          <w:i/>
          <w:sz w:val="24"/>
        </w:rPr>
        <w:t>TPS</w:t>
      </w:r>
      <w:proofErr w:type="spellEnd"/>
      <w:r>
        <w:rPr>
          <w:rFonts w:ascii="Times New Roman" w:hAnsi="Times New Roman"/>
          <w:sz w:val="24"/>
        </w:rPr>
        <w:t>) izdotas drošas kustības atļaujas beigām;</w:t>
      </w:r>
    </w:p>
    <w:p w14:paraId="63C1BAA4"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punktam, kas paziņots ar noteikumos paredzētu mutvārdu vai rakstveida atļauju;</w:t>
      </w:r>
    </w:p>
    <w:p w14:paraId="1A221B38"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apstāšanās zīmēm (izņemot strupceļa atbalstus) vai neautomātiski ieslēdzamiem signāliem.</w:t>
      </w:r>
    </w:p>
    <w:p w14:paraId="297AED91" w14:textId="77777777" w:rsidR="00E62252" w:rsidRPr="00E62252" w:rsidRDefault="00E62252" w:rsidP="00E62252">
      <w:pPr>
        <w:pStyle w:val="Style6"/>
        <w:numPr>
          <w:ilvl w:val="0"/>
          <w:numId w:val="0"/>
        </w:numPr>
        <w:spacing w:after="0" w:line="240" w:lineRule="auto"/>
        <w:ind w:left="567"/>
        <w:contextualSpacing w:val="0"/>
        <w:jc w:val="both"/>
        <w:rPr>
          <w:rFonts w:ascii="Times New Roman" w:hAnsi="Times New Roman" w:cs="Times New Roman"/>
          <w:noProof/>
          <w:sz w:val="24"/>
          <w:szCs w:val="24"/>
          <w:lang w:val="en-US"/>
        </w:rPr>
      </w:pPr>
    </w:p>
    <w:p w14:paraId="6BF88C52"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Par bīstamas pabraukšanas garām gadījumiem neuzskata gadījumus, kad signālam pabrauc garām </w:t>
      </w:r>
      <w:proofErr w:type="spellStart"/>
      <w:r>
        <w:rPr>
          <w:rFonts w:ascii="Times New Roman" w:hAnsi="Times New Roman"/>
          <w:sz w:val="24"/>
        </w:rPr>
        <w:t>riteklis</w:t>
      </w:r>
      <w:proofErr w:type="spellEnd"/>
      <w:r>
        <w:rPr>
          <w:rFonts w:ascii="Times New Roman" w:hAnsi="Times New Roman"/>
          <w:sz w:val="24"/>
        </w:rPr>
        <w:t>, kas nav piekabināts vilcējam, vai vilciens, kas ripo bez vadītāja. Par tādiem neuzskata arī gadījumus, kad dažādu iemeslu dēļ aizliedzošais signāls nav ieslēgts pietiekami savlaicīgi, lai vadītājs spētu apturēt vilcienu pirms signāla.</w:t>
      </w:r>
    </w:p>
    <w:p w14:paraId="392C0BEB"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Apstāšanās marķieri norāda tikai to, kur apstāties atļautās kustības robežās; parasti tie tiek ieviesti pasažieru ērtībām un nav uzskatāmi par apstāšanās zīmēm.</w:t>
      </w:r>
    </w:p>
    <w:p w14:paraId="69D20006"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3857D539" w14:textId="77777777" w:rsidR="00E62252" w:rsidRPr="00E62252" w:rsidRDefault="00E62252" w:rsidP="00E62252">
      <w:pPr>
        <w:pStyle w:val="Style4"/>
        <w:spacing w:line="240" w:lineRule="auto"/>
        <w:jc w:val="both"/>
        <w:rPr>
          <w:rFonts w:cs="Times New Roman"/>
          <w:b/>
          <w:bCs/>
          <w:noProof/>
          <w:sz w:val="22"/>
          <w:szCs w:val="22"/>
        </w:rPr>
      </w:pPr>
      <w:r>
        <w:rPr>
          <w:sz w:val="22"/>
        </w:rPr>
        <w:t>“</w:t>
      </w:r>
      <w:r>
        <w:rPr>
          <w:b/>
          <w:bCs/>
          <w:sz w:val="22"/>
        </w:rPr>
        <w:t>Riteņa lūzums ekspluatācijā esošā ritošajā sastāvā</w:t>
      </w:r>
      <w:r>
        <w:rPr>
          <w:sz w:val="22"/>
        </w:rPr>
        <w:t>”</w:t>
      </w:r>
    </w:p>
    <w:p w14:paraId="1C9BCCE4" w14:textId="77777777" w:rsidR="00E62252" w:rsidRPr="00E62252" w:rsidRDefault="00E62252" w:rsidP="00E62252">
      <w:pPr>
        <w:pStyle w:val="Style4"/>
        <w:spacing w:line="240" w:lineRule="auto"/>
        <w:jc w:val="both"/>
        <w:rPr>
          <w:rFonts w:cs="Times New Roman"/>
          <w:noProof/>
          <w:sz w:val="22"/>
          <w:szCs w:val="22"/>
        </w:rPr>
      </w:pPr>
      <w:r>
        <w:rPr>
          <w:sz w:val="22"/>
        </w:rPr>
        <w:t>ir lūzums, kas ietekmē riteni un rada negadījuma risku (nobraukšanu no sliedēm vai sadursmi).</w:t>
      </w:r>
    </w:p>
    <w:p w14:paraId="201010DC"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3638D15" w14:textId="77777777" w:rsidR="00E62252" w:rsidRPr="00E62252" w:rsidRDefault="00E62252" w:rsidP="00E62252">
      <w:pPr>
        <w:pStyle w:val="NormalTextTable"/>
        <w:spacing w:line="240" w:lineRule="auto"/>
        <w:jc w:val="both"/>
        <w:rPr>
          <w:rFonts w:ascii="Times New Roman" w:hAnsi="Times New Roman" w:cs="Times New Roman"/>
          <w:noProof/>
          <w:sz w:val="24"/>
          <w:szCs w:val="24"/>
        </w:rPr>
      </w:pPr>
      <w:r>
        <w:rPr>
          <w:rFonts w:ascii="Times New Roman" w:hAnsi="Times New Roman"/>
          <w:sz w:val="24"/>
        </w:rPr>
        <w:t>Par “riteņu lūzumu” jāuzskata:</w:t>
      </w:r>
    </w:p>
    <w:p w14:paraId="3D282B35" w14:textId="77777777" w:rsidR="00E62252" w:rsidRPr="00E62252" w:rsidRDefault="00E62252" w:rsidP="00E62252">
      <w:pPr>
        <w:pStyle w:val="NormalTextTable"/>
        <w:spacing w:line="240" w:lineRule="auto"/>
        <w:jc w:val="both"/>
        <w:rPr>
          <w:rFonts w:ascii="Times New Roman" w:hAnsi="Times New Roman" w:cs="Times New Roman"/>
          <w:noProof/>
          <w:sz w:val="24"/>
          <w:szCs w:val="24"/>
          <w:lang w:val="en-US"/>
        </w:rPr>
      </w:pPr>
    </w:p>
    <w:p w14:paraId="490E5C28"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defekti – plīsumi (materiāla pilnīga atdalīšanās), kas ir izraisījuši negadījumu;</w:t>
      </w:r>
    </w:p>
    <w:p w14:paraId="46F24472"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defekti – plīsumi vai plaisas, kas ir konstatētas pārbaudēs pirms izbraukšanas vai ekspluatācijas laikā un kas ir tik lielas, ka ritošā sastāva kustība nav iespējama.</w:t>
      </w:r>
    </w:p>
    <w:p w14:paraId="5738A20E" w14:textId="77777777" w:rsidR="00E62252" w:rsidRPr="00E62252" w:rsidRDefault="00E62252" w:rsidP="00E62252">
      <w:pPr>
        <w:pStyle w:val="Style6"/>
        <w:numPr>
          <w:ilvl w:val="0"/>
          <w:numId w:val="0"/>
        </w:numPr>
        <w:spacing w:after="0" w:line="240" w:lineRule="auto"/>
        <w:ind w:left="567"/>
        <w:contextualSpacing w:val="0"/>
        <w:jc w:val="both"/>
        <w:rPr>
          <w:rFonts w:ascii="Times New Roman" w:hAnsi="Times New Roman" w:cs="Times New Roman"/>
          <w:noProof/>
          <w:sz w:val="24"/>
          <w:szCs w:val="24"/>
          <w:lang w:val="en-US"/>
        </w:rPr>
      </w:pPr>
    </w:p>
    <w:p w14:paraId="32ADC85B"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Defekti – jāizslēdz plīsumi vai plaisas, kas konstatētas darbnīcās plānotu tehniskās apkopes pasākumu laikā.</w:t>
      </w:r>
    </w:p>
    <w:p w14:paraId="4FEC19A8" w14:textId="77777777" w:rsidR="00E62252" w:rsidRPr="00E62252" w:rsidRDefault="00E62252" w:rsidP="00E62252">
      <w:pPr>
        <w:pStyle w:val="Style4"/>
        <w:spacing w:line="240" w:lineRule="auto"/>
        <w:jc w:val="both"/>
        <w:rPr>
          <w:rFonts w:ascii="Times New Roman" w:hAnsi="Times New Roman" w:cs="Times New Roman"/>
          <w:noProof/>
          <w:sz w:val="24"/>
          <w:szCs w:val="24"/>
          <w:lang w:val="en-US"/>
        </w:rPr>
      </w:pPr>
    </w:p>
    <w:p w14:paraId="2FA130A0" w14:textId="77777777" w:rsidR="00E62252" w:rsidRPr="00E62252" w:rsidRDefault="00E62252" w:rsidP="00BC662B">
      <w:pPr>
        <w:pStyle w:val="Style4"/>
        <w:keepNext/>
        <w:keepLines/>
        <w:spacing w:line="240" w:lineRule="auto"/>
        <w:jc w:val="both"/>
        <w:rPr>
          <w:rFonts w:cs="Times New Roman"/>
          <w:b/>
          <w:bCs/>
          <w:noProof/>
          <w:sz w:val="22"/>
          <w:szCs w:val="22"/>
        </w:rPr>
      </w:pPr>
      <w:r>
        <w:rPr>
          <w:b/>
          <w:sz w:val="22"/>
        </w:rPr>
        <w:lastRenderedPageBreak/>
        <w:t>“Riteņa ass lūzums ekspluatācijā esošā ritošajā sastāvā”</w:t>
      </w:r>
    </w:p>
    <w:p w14:paraId="55D347DC" w14:textId="77777777" w:rsidR="00E62252" w:rsidRPr="00E62252" w:rsidRDefault="00E62252" w:rsidP="00BC662B">
      <w:pPr>
        <w:pStyle w:val="Style4"/>
        <w:keepNext/>
        <w:keepLines/>
        <w:spacing w:line="240" w:lineRule="auto"/>
        <w:jc w:val="both"/>
        <w:rPr>
          <w:rFonts w:cs="Times New Roman"/>
          <w:noProof/>
          <w:sz w:val="22"/>
          <w:szCs w:val="22"/>
        </w:rPr>
      </w:pPr>
      <w:r>
        <w:rPr>
          <w:sz w:val="22"/>
        </w:rPr>
        <w:t>ir lūzums, kas ietekmē asi un rada negadījuma risku (nobraukšanu no sliedēm vai sadursmi).</w:t>
      </w:r>
    </w:p>
    <w:p w14:paraId="2578A5AE" w14:textId="77777777" w:rsidR="00E62252" w:rsidRPr="00E62252" w:rsidRDefault="00E62252" w:rsidP="00E62252">
      <w:pPr>
        <w:pStyle w:val="Style4"/>
        <w:spacing w:line="240" w:lineRule="auto"/>
        <w:jc w:val="both"/>
        <w:rPr>
          <w:rFonts w:cs="Times New Roman"/>
          <w:noProof/>
          <w:sz w:val="22"/>
          <w:szCs w:val="22"/>
          <w:lang w:val="en-US"/>
        </w:rPr>
      </w:pPr>
    </w:p>
    <w:p w14:paraId="2078C720"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Par “ass lūzumu” jāuzskata:</w:t>
      </w:r>
    </w:p>
    <w:p w14:paraId="547BD1F8"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D32EB8A"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defekti – plīsumi (materiāla pilnīga atdalīšanās), kas ir izraisījuši negadījumu;</w:t>
      </w:r>
    </w:p>
    <w:p w14:paraId="1582DBCF" w14:textId="77777777" w:rsidR="00E62252" w:rsidRPr="00E62252" w:rsidRDefault="00E62252" w:rsidP="00E62252">
      <w:pPr>
        <w:pStyle w:val="Style6"/>
        <w:spacing w:after="0" w:line="240" w:lineRule="auto"/>
        <w:ind w:left="567" w:hanging="283"/>
        <w:contextualSpacing w:val="0"/>
        <w:jc w:val="both"/>
        <w:rPr>
          <w:rFonts w:ascii="Times New Roman" w:hAnsi="Times New Roman" w:cs="Times New Roman"/>
          <w:noProof/>
          <w:sz w:val="24"/>
          <w:szCs w:val="24"/>
        </w:rPr>
      </w:pPr>
      <w:r>
        <w:rPr>
          <w:rFonts w:ascii="Times New Roman" w:hAnsi="Times New Roman"/>
          <w:sz w:val="24"/>
        </w:rPr>
        <w:t>defekti – plīsumi vai plaisas, kas ir konstatētas pārbaudēs pirms izbraukšanas vai ekspluatācijas laikā un kas ir tik lielas, ka ritošā sastāva kustība nav iespējama.</w:t>
      </w:r>
    </w:p>
    <w:p w14:paraId="58376366"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lang w:val="en-US"/>
        </w:rPr>
      </w:pPr>
    </w:p>
    <w:p w14:paraId="5FED19AB" w14:textId="77777777" w:rsidR="00E62252" w:rsidRPr="00E62252" w:rsidRDefault="00E62252" w:rsidP="00E62252">
      <w:pPr>
        <w:pStyle w:val="Style6"/>
        <w:numPr>
          <w:ilvl w:val="0"/>
          <w:numId w:val="0"/>
        </w:numPr>
        <w:spacing w:after="0" w:line="240" w:lineRule="auto"/>
        <w:contextualSpacing w:val="0"/>
        <w:jc w:val="both"/>
        <w:rPr>
          <w:rFonts w:ascii="Times New Roman" w:hAnsi="Times New Roman" w:cs="Times New Roman"/>
          <w:noProof/>
          <w:sz w:val="24"/>
          <w:szCs w:val="24"/>
        </w:rPr>
      </w:pPr>
      <w:r>
        <w:rPr>
          <w:rFonts w:ascii="Times New Roman" w:hAnsi="Times New Roman"/>
          <w:sz w:val="24"/>
        </w:rPr>
        <w:t>Defekti – jāizslēdz plīsumi vai plaisas, kas konstatētas darbnīcās plānotu tehniskās apkopes pasākumu laikā.</w:t>
      </w:r>
      <w:bookmarkEnd w:id="255"/>
      <w:bookmarkEnd w:id="256"/>
    </w:p>
    <w:p w14:paraId="25FE9841"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3323B501"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275" w:name="_Toc58769285"/>
      <w:bookmarkStart w:id="276" w:name="_Ref58771994"/>
      <w:bookmarkStart w:id="277" w:name="_Ref58772026"/>
      <w:bookmarkStart w:id="278" w:name="_Toc61364288"/>
      <w:bookmarkStart w:id="279" w:name="_Toc61364537"/>
      <w:bookmarkStart w:id="280" w:name="_Toc102478573"/>
      <w:bookmarkStart w:id="281" w:name="_Toc134605603"/>
      <w:r>
        <w:rPr>
          <w:rFonts w:ascii="Times New Roman" w:hAnsi="Times New Roman"/>
          <w:sz w:val="24"/>
        </w:rPr>
        <w:lastRenderedPageBreak/>
        <w:t>II </w:t>
      </w:r>
      <w:proofErr w:type="spellStart"/>
      <w:r>
        <w:rPr>
          <w:rFonts w:ascii="Times New Roman" w:hAnsi="Times New Roman"/>
          <w:sz w:val="24"/>
        </w:rPr>
        <w:t>pielikums.</w:t>
      </w:r>
      <w:bookmarkEnd w:id="275"/>
      <w:bookmarkEnd w:id="276"/>
      <w:bookmarkEnd w:id="277"/>
      <w:r>
        <w:rPr>
          <w:rFonts w:ascii="Times New Roman" w:hAnsi="Times New Roman"/>
          <w:sz w:val="24"/>
        </w:rPr>
        <w:t>Aprēķināšana</w:t>
      </w:r>
      <w:bookmarkEnd w:id="278"/>
      <w:bookmarkEnd w:id="279"/>
      <w:bookmarkEnd w:id="280"/>
      <w:bookmarkEnd w:id="281"/>
      <w:proofErr w:type="spellEnd"/>
    </w:p>
    <w:p w14:paraId="7BE3B476" w14:textId="77777777" w:rsidR="00E62252" w:rsidRPr="00E62252" w:rsidRDefault="00E62252" w:rsidP="00E62252">
      <w:pPr>
        <w:spacing w:after="0" w:line="240" w:lineRule="auto"/>
        <w:rPr>
          <w:noProof/>
          <w:lang w:val="en-US"/>
        </w:rPr>
      </w:pPr>
    </w:p>
    <w:p w14:paraId="698F0F8C"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sz w:val="24"/>
        </w:rPr>
        <w:t xml:space="preserve">Aprēķini ir sniegti, lai palīdzētu izmeklētājam aptuveni novērtēt kaitējumu; tos veic, pamatojoties uz tehnisko sistēmu </w:t>
      </w:r>
      <w:proofErr w:type="spellStart"/>
      <w:r>
        <w:rPr>
          <w:rFonts w:ascii="Times New Roman" w:hAnsi="Times New Roman"/>
          <w:sz w:val="24"/>
        </w:rPr>
        <w:t>aizstājējvērtību</w:t>
      </w:r>
      <w:proofErr w:type="spellEnd"/>
      <w:r>
        <w:rPr>
          <w:rFonts w:ascii="Times New Roman" w:hAnsi="Times New Roman"/>
          <w:sz w:val="24"/>
        </w:rPr>
        <w:t>. Aprēķinot izmaksas, izmeklētājam jāņem vērā bojātā materiāla vecums un stāvoklis.</w:t>
      </w:r>
    </w:p>
    <w:p w14:paraId="3054514A"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4356"/>
        <w:gridCol w:w="1754"/>
        <w:gridCol w:w="2952"/>
      </w:tblGrid>
      <w:tr w:rsidR="00E62252" w:rsidRPr="00E62252" w14:paraId="66478C10" w14:textId="77777777" w:rsidTr="00D23067">
        <w:trPr>
          <w:trHeight w:val="510"/>
        </w:trPr>
        <w:tc>
          <w:tcPr>
            <w:tcW w:w="2403" w:type="pct"/>
            <w:shd w:val="clear" w:color="auto" w:fill="D9D9D9" w:themeFill="background1" w:themeFillShade="D9"/>
            <w:vAlign w:val="center"/>
          </w:tcPr>
          <w:p w14:paraId="2DBF5F26"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lang w:val="en-US"/>
              </w:rPr>
            </w:pPr>
          </w:p>
        </w:tc>
        <w:tc>
          <w:tcPr>
            <w:tcW w:w="968" w:type="pct"/>
            <w:shd w:val="clear" w:color="auto" w:fill="D9D9D9" w:themeFill="background1" w:themeFillShade="D9"/>
            <w:vAlign w:val="center"/>
          </w:tcPr>
          <w:p w14:paraId="21B1F16D"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Mērvienība</w:t>
            </w:r>
          </w:p>
        </w:tc>
        <w:tc>
          <w:tcPr>
            <w:tcW w:w="1629" w:type="pct"/>
            <w:shd w:val="clear" w:color="auto" w:fill="D9D9D9" w:themeFill="background1" w:themeFillShade="D9"/>
            <w:vAlign w:val="center"/>
          </w:tcPr>
          <w:p w14:paraId="4287940D"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proofErr w:type="spellStart"/>
            <w:r>
              <w:rPr>
                <w:rFonts w:ascii="Times New Roman" w:hAnsi="Times New Roman"/>
                <w:sz w:val="24"/>
              </w:rPr>
              <w:t>Aizstājējvērtība</w:t>
            </w:r>
            <w:proofErr w:type="spellEnd"/>
            <w:r>
              <w:rPr>
                <w:rFonts w:ascii="Times New Roman" w:hAnsi="Times New Roman"/>
                <w:sz w:val="24"/>
              </w:rPr>
              <w:t xml:space="preserve"> €</w:t>
            </w:r>
          </w:p>
        </w:tc>
      </w:tr>
      <w:tr w:rsidR="00E62252" w:rsidRPr="00E62252" w14:paraId="3838CA1F" w14:textId="77777777" w:rsidTr="00D23067">
        <w:trPr>
          <w:trHeight w:val="510"/>
        </w:trPr>
        <w:tc>
          <w:tcPr>
            <w:tcW w:w="2403" w:type="pct"/>
            <w:shd w:val="clear" w:color="auto" w:fill="D9D9D9" w:themeFill="background1" w:themeFillShade="D9"/>
            <w:vAlign w:val="center"/>
          </w:tcPr>
          <w:p w14:paraId="61D53DBE"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kravas vilciena / pasažieru vilciena lokomotīve</w:t>
            </w:r>
          </w:p>
        </w:tc>
        <w:tc>
          <w:tcPr>
            <w:tcW w:w="968" w:type="pct"/>
            <w:shd w:val="clear" w:color="auto" w:fill="D9D9D9" w:themeFill="background1" w:themeFillShade="D9"/>
            <w:vAlign w:val="center"/>
          </w:tcPr>
          <w:p w14:paraId="4CAE8C7F"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5F50C23F"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4 miljoni</w:t>
            </w:r>
          </w:p>
        </w:tc>
      </w:tr>
      <w:tr w:rsidR="00E62252" w:rsidRPr="00E62252" w14:paraId="1F5332FD" w14:textId="77777777" w:rsidTr="00D23067">
        <w:trPr>
          <w:trHeight w:val="510"/>
        </w:trPr>
        <w:tc>
          <w:tcPr>
            <w:tcW w:w="2403" w:type="pct"/>
            <w:shd w:val="clear" w:color="auto" w:fill="D9D9D9" w:themeFill="background1" w:themeFillShade="D9"/>
            <w:vAlign w:val="center"/>
          </w:tcPr>
          <w:p w14:paraId="75AEDBEE"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manevru lokomotīve</w:t>
            </w:r>
          </w:p>
        </w:tc>
        <w:tc>
          <w:tcPr>
            <w:tcW w:w="968" w:type="pct"/>
            <w:shd w:val="clear" w:color="auto" w:fill="D9D9D9" w:themeFill="background1" w:themeFillShade="D9"/>
            <w:vAlign w:val="center"/>
          </w:tcPr>
          <w:p w14:paraId="50381D0A"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13BEF1E9"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2 miljoni</w:t>
            </w:r>
          </w:p>
        </w:tc>
      </w:tr>
      <w:tr w:rsidR="00E62252" w:rsidRPr="00E62252" w14:paraId="3CEC51C0" w14:textId="77777777" w:rsidTr="00D23067">
        <w:trPr>
          <w:trHeight w:val="510"/>
        </w:trPr>
        <w:tc>
          <w:tcPr>
            <w:tcW w:w="2403" w:type="pct"/>
            <w:shd w:val="clear" w:color="auto" w:fill="D9D9D9" w:themeFill="background1" w:themeFillShade="D9"/>
            <w:vAlign w:val="center"/>
          </w:tcPr>
          <w:p w14:paraId="55D7E85A"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ātrgaitas vilciena lokomotīve / dzinēja sekcija</w:t>
            </w:r>
          </w:p>
        </w:tc>
        <w:tc>
          <w:tcPr>
            <w:tcW w:w="968" w:type="pct"/>
            <w:shd w:val="clear" w:color="auto" w:fill="D9D9D9" w:themeFill="background1" w:themeFillShade="D9"/>
            <w:vAlign w:val="center"/>
          </w:tcPr>
          <w:p w14:paraId="56F9B9BB"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4557307F"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8 miljoni</w:t>
            </w:r>
          </w:p>
        </w:tc>
      </w:tr>
      <w:tr w:rsidR="00E62252" w:rsidRPr="00E62252" w14:paraId="0A9C4BB2" w14:textId="77777777" w:rsidTr="00D23067">
        <w:trPr>
          <w:trHeight w:val="510"/>
        </w:trPr>
        <w:tc>
          <w:tcPr>
            <w:tcW w:w="2403" w:type="pct"/>
            <w:shd w:val="clear" w:color="auto" w:fill="D9D9D9" w:themeFill="background1" w:themeFillShade="D9"/>
            <w:vAlign w:val="center"/>
          </w:tcPr>
          <w:p w14:paraId="510915E1"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pasažieru vagons</w:t>
            </w:r>
          </w:p>
        </w:tc>
        <w:tc>
          <w:tcPr>
            <w:tcW w:w="968" w:type="pct"/>
            <w:shd w:val="clear" w:color="auto" w:fill="D9D9D9" w:themeFill="background1" w:themeFillShade="D9"/>
            <w:vAlign w:val="center"/>
          </w:tcPr>
          <w:p w14:paraId="64993E7D"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65FF34DF"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2 miljoni</w:t>
            </w:r>
          </w:p>
        </w:tc>
      </w:tr>
      <w:tr w:rsidR="00E62252" w:rsidRPr="00E62252" w14:paraId="20A89156" w14:textId="77777777" w:rsidTr="00D23067">
        <w:trPr>
          <w:trHeight w:val="510"/>
        </w:trPr>
        <w:tc>
          <w:tcPr>
            <w:tcW w:w="2403" w:type="pct"/>
            <w:shd w:val="clear" w:color="auto" w:fill="D9D9D9" w:themeFill="background1" w:themeFillShade="D9"/>
            <w:vAlign w:val="center"/>
          </w:tcPr>
          <w:p w14:paraId="2910A8BB"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ātrgaitas vilciena vagons</w:t>
            </w:r>
          </w:p>
        </w:tc>
        <w:tc>
          <w:tcPr>
            <w:tcW w:w="968" w:type="pct"/>
            <w:shd w:val="clear" w:color="auto" w:fill="D9D9D9" w:themeFill="background1" w:themeFillShade="D9"/>
            <w:vAlign w:val="center"/>
          </w:tcPr>
          <w:p w14:paraId="7F25E931"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6C700624"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3 miljoni</w:t>
            </w:r>
          </w:p>
        </w:tc>
      </w:tr>
      <w:tr w:rsidR="00E62252" w:rsidRPr="00E62252" w14:paraId="412CF517" w14:textId="77777777" w:rsidTr="00D23067">
        <w:trPr>
          <w:trHeight w:val="510"/>
        </w:trPr>
        <w:tc>
          <w:tcPr>
            <w:tcW w:w="2403" w:type="pct"/>
            <w:shd w:val="clear" w:color="auto" w:fill="D9D9D9" w:themeFill="background1" w:themeFillShade="D9"/>
            <w:vAlign w:val="center"/>
          </w:tcPr>
          <w:p w14:paraId="7DDC4643"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kravas vagons</w:t>
            </w:r>
          </w:p>
        </w:tc>
        <w:tc>
          <w:tcPr>
            <w:tcW w:w="968" w:type="pct"/>
            <w:shd w:val="clear" w:color="auto" w:fill="D9D9D9" w:themeFill="background1" w:themeFillShade="D9"/>
            <w:vAlign w:val="center"/>
          </w:tcPr>
          <w:p w14:paraId="0680771F"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0966A0A1"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20 000–200 000</w:t>
            </w:r>
          </w:p>
        </w:tc>
      </w:tr>
      <w:tr w:rsidR="00E62252" w:rsidRPr="00E62252" w14:paraId="71FC7AE2" w14:textId="77777777" w:rsidTr="00D23067">
        <w:trPr>
          <w:trHeight w:val="510"/>
        </w:trPr>
        <w:tc>
          <w:tcPr>
            <w:tcW w:w="2403" w:type="pct"/>
            <w:shd w:val="clear" w:color="auto" w:fill="D9D9D9" w:themeFill="background1" w:themeFillShade="D9"/>
            <w:vAlign w:val="center"/>
          </w:tcPr>
          <w:p w14:paraId="74C33A76"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sliežu ceļa atjaunošana</w:t>
            </w:r>
          </w:p>
        </w:tc>
        <w:tc>
          <w:tcPr>
            <w:tcW w:w="968" w:type="pct"/>
            <w:shd w:val="clear" w:color="auto" w:fill="D9D9D9" w:themeFill="background1" w:themeFillShade="D9"/>
            <w:vAlign w:val="center"/>
          </w:tcPr>
          <w:p w14:paraId="00A6A92C"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metrs</w:t>
            </w:r>
          </w:p>
        </w:tc>
        <w:tc>
          <w:tcPr>
            <w:tcW w:w="1629" w:type="pct"/>
            <w:shd w:val="clear" w:color="auto" w:fill="D9D9D9" w:themeFill="background1" w:themeFillShade="D9"/>
            <w:vAlign w:val="center"/>
          </w:tcPr>
          <w:p w14:paraId="14B4AA78"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1000</w:t>
            </w:r>
          </w:p>
        </w:tc>
      </w:tr>
      <w:tr w:rsidR="00E62252" w:rsidRPr="00E62252" w14:paraId="6027A790" w14:textId="77777777" w:rsidTr="00D23067">
        <w:trPr>
          <w:trHeight w:val="510"/>
        </w:trPr>
        <w:tc>
          <w:tcPr>
            <w:tcW w:w="2403" w:type="pct"/>
            <w:shd w:val="clear" w:color="auto" w:fill="D9D9D9" w:themeFill="background1" w:themeFillShade="D9"/>
            <w:vAlign w:val="center"/>
          </w:tcPr>
          <w:p w14:paraId="7E032BC4"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kontakttīklu atjaunošana</w:t>
            </w:r>
          </w:p>
        </w:tc>
        <w:tc>
          <w:tcPr>
            <w:tcW w:w="968" w:type="pct"/>
            <w:shd w:val="clear" w:color="auto" w:fill="D9D9D9" w:themeFill="background1" w:themeFillShade="D9"/>
            <w:vAlign w:val="center"/>
          </w:tcPr>
          <w:p w14:paraId="5AB309F1"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metrs</w:t>
            </w:r>
          </w:p>
        </w:tc>
        <w:tc>
          <w:tcPr>
            <w:tcW w:w="1629" w:type="pct"/>
            <w:shd w:val="clear" w:color="auto" w:fill="D9D9D9" w:themeFill="background1" w:themeFillShade="D9"/>
            <w:vAlign w:val="center"/>
          </w:tcPr>
          <w:p w14:paraId="2191599D"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1000</w:t>
            </w:r>
          </w:p>
        </w:tc>
      </w:tr>
      <w:tr w:rsidR="00E62252" w:rsidRPr="00E62252" w14:paraId="54F1FAE9" w14:textId="77777777" w:rsidTr="00D23067">
        <w:trPr>
          <w:trHeight w:val="510"/>
        </w:trPr>
        <w:tc>
          <w:tcPr>
            <w:tcW w:w="2403" w:type="pct"/>
            <w:shd w:val="clear" w:color="auto" w:fill="D9D9D9" w:themeFill="background1" w:themeFillShade="D9"/>
            <w:vAlign w:val="center"/>
          </w:tcPr>
          <w:p w14:paraId="6C541CBF"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 xml:space="preserve">pārmija, neliela (r = 190 m ≤ 300 m) </w:t>
            </w:r>
          </w:p>
        </w:tc>
        <w:tc>
          <w:tcPr>
            <w:tcW w:w="968" w:type="pct"/>
            <w:shd w:val="clear" w:color="auto" w:fill="D9D9D9" w:themeFill="background1" w:themeFillShade="D9"/>
            <w:vAlign w:val="center"/>
          </w:tcPr>
          <w:p w14:paraId="71DFB8A1" w14:textId="77777777" w:rsidR="00E62252" w:rsidRPr="00E62252" w:rsidDel="00B12664"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2EBAF266"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150 000</w:t>
            </w:r>
          </w:p>
        </w:tc>
      </w:tr>
      <w:tr w:rsidR="00E62252" w:rsidRPr="00E62252" w14:paraId="2D771019" w14:textId="77777777" w:rsidTr="00D23067">
        <w:trPr>
          <w:trHeight w:val="510"/>
        </w:trPr>
        <w:tc>
          <w:tcPr>
            <w:tcW w:w="2403" w:type="pct"/>
            <w:shd w:val="clear" w:color="auto" w:fill="D9D9D9" w:themeFill="background1" w:themeFillShade="D9"/>
            <w:vAlign w:val="center"/>
          </w:tcPr>
          <w:p w14:paraId="62339DE6"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pārmija, vidēja (r = 500 m ≤ 760 m)</w:t>
            </w:r>
          </w:p>
        </w:tc>
        <w:tc>
          <w:tcPr>
            <w:tcW w:w="968" w:type="pct"/>
            <w:shd w:val="clear" w:color="auto" w:fill="D9D9D9" w:themeFill="background1" w:themeFillShade="D9"/>
            <w:vAlign w:val="center"/>
          </w:tcPr>
          <w:p w14:paraId="713D77EA"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5E2E3368"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200 000</w:t>
            </w:r>
          </w:p>
        </w:tc>
      </w:tr>
      <w:tr w:rsidR="00E62252" w:rsidRPr="00E62252" w14:paraId="74ABA8F6" w14:textId="77777777" w:rsidTr="00D23067">
        <w:trPr>
          <w:trHeight w:val="510"/>
        </w:trPr>
        <w:tc>
          <w:tcPr>
            <w:tcW w:w="2403" w:type="pct"/>
            <w:shd w:val="clear" w:color="auto" w:fill="D9D9D9" w:themeFill="background1" w:themeFillShade="D9"/>
            <w:vAlign w:val="center"/>
          </w:tcPr>
          <w:p w14:paraId="4BB15776"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pārmija, liela (r ≥ 1200 m)</w:t>
            </w:r>
          </w:p>
        </w:tc>
        <w:tc>
          <w:tcPr>
            <w:tcW w:w="968" w:type="pct"/>
            <w:shd w:val="clear" w:color="auto" w:fill="D9D9D9" w:themeFill="background1" w:themeFillShade="D9"/>
            <w:vAlign w:val="center"/>
          </w:tcPr>
          <w:p w14:paraId="6D753589"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4493C9A5"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400 000</w:t>
            </w:r>
          </w:p>
        </w:tc>
      </w:tr>
      <w:tr w:rsidR="00E62252" w:rsidRPr="00E62252" w14:paraId="1C29ED56" w14:textId="77777777" w:rsidTr="00D23067">
        <w:trPr>
          <w:trHeight w:val="510"/>
        </w:trPr>
        <w:tc>
          <w:tcPr>
            <w:tcW w:w="2403" w:type="pct"/>
            <w:shd w:val="clear" w:color="auto" w:fill="D9D9D9" w:themeFill="background1" w:themeFillShade="D9"/>
            <w:vAlign w:val="center"/>
          </w:tcPr>
          <w:p w14:paraId="787DE664"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signāls, neliels</w:t>
            </w:r>
          </w:p>
        </w:tc>
        <w:tc>
          <w:tcPr>
            <w:tcW w:w="968" w:type="pct"/>
            <w:shd w:val="clear" w:color="auto" w:fill="D9D9D9" w:themeFill="background1" w:themeFillShade="D9"/>
            <w:vAlign w:val="center"/>
          </w:tcPr>
          <w:p w14:paraId="10FC8271"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4224E31F"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50 000</w:t>
            </w:r>
          </w:p>
        </w:tc>
      </w:tr>
      <w:tr w:rsidR="00E62252" w:rsidRPr="00E62252" w14:paraId="395841C1" w14:textId="77777777" w:rsidTr="00D23067">
        <w:trPr>
          <w:trHeight w:val="510"/>
        </w:trPr>
        <w:tc>
          <w:tcPr>
            <w:tcW w:w="2403" w:type="pct"/>
            <w:shd w:val="clear" w:color="auto" w:fill="D9D9D9" w:themeFill="background1" w:themeFillShade="D9"/>
            <w:vAlign w:val="center"/>
          </w:tcPr>
          <w:p w14:paraId="0F82C440"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signāls, liels</w:t>
            </w:r>
          </w:p>
        </w:tc>
        <w:tc>
          <w:tcPr>
            <w:tcW w:w="968" w:type="pct"/>
            <w:shd w:val="clear" w:color="auto" w:fill="D9D9D9" w:themeFill="background1" w:themeFillShade="D9"/>
            <w:vAlign w:val="center"/>
          </w:tcPr>
          <w:p w14:paraId="26AF9415"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1</w:t>
            </w:r>
          </w:p>
        </w:tc>
        <w:tc>
          <w:tcPr>
            <w:tcW w:w="1629" w:type="pct"/>
            <w:shd w:val="clear" w:color="auto" w:fill="D9D9D9" w:themeFill="background1" w:themeFillShade="D9"/>
            <w:vAlign w:val="center"/>
          </w:tcPr>
          <w:p w14:paraId="38D0B263" w14:textId="77777777" w:rsidR="00E62252" w:rsidRPr="00E62252" w:rsidRDefault="00E62252" w:rsidP="00F80365">
            <w:pPr>
              <w:pStyle w:val="BodyText"/>
              <w:spacing w:before="0" w:beforeAutospacing="0" w:afterAutospacing="0" w:line="240" w:lineRule="auto"/>
              <w:ind w:left="0" w:firstLine="0"/>
              <w:jc w:val="both"/>
              <w:rPr>
                <w:rFonts w:ascii="Times New Roman" w:hAnsi="Times New Roman" w:cs="Times New Roman"/>
                <w:noProof/>
                <w:kern w:val="0"/>
                <w:sz w:val="24"/>
                <w:szCs w:val="24"/>
              </w:rPr>
            </w:pPr>
            <w:r>
              <w:rPr>
                <w:rFonts w:ascii="Times New Roman" w:hAnsi="Times New Roman"/>
                <w:sz w:val="24"/>
              </w:rPr>
              <w:t xml:space="preserve">200 000 </w:t>
            </w:r>
          </w:p>
        </w:tc>
      </w:tr>
    </w:tbl>
    <w:p w14:paraId="09DF4F06" w14:textId="77777777" w:rsidR="00E62252" w:rsidRPr="00E62252" w:rsidRDefault="00E62252" w:rsidP="00E62252">
      <w:pPr>
        <w:pStyle w:val="Caption"/>
        <w:spacing w:after="0" w:line="240" w:lineRule="auto"/>
        <w:jc w:val="both"/>
        <w:rPr>
          <w:rFonts w:ascii="Times New Roman" w:hAnsi="Times New Roman" w:cs="Times New Roman"/>
          <w:noProof/>
          <w:sz w:val="24"/>
          <w:szCs w:val="24"/>
        </w:rPr>
      </w:pPr>
      <w:bookmarkStart w:id="282" w:name="_Toc267038270"/>
      <w:bookmarkStart w:id="283" w:name="_Toc269806162"/>
      <w:r>
        <w:rPr>
          <w:rFonts w:ascii="Times New Roman" w:hAnsi="Times New Roman"/>
          <w:sz w:val="24"/>
        </w:rPr>
        <w:t>Izmaksu aprēķināšanas tabula</w:t>
      </w:r>
      <w:bookmarkEnd w:id="282"/>
      <w:bookmarkEnd w:id="283"/>
    </w:p>
    <w:p w14:paraId="56E75EB6"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05295B8A"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284" w:name="_Toc102478574"/>
      <w:bookmarkStart w:id="285" w:name="_Toc134605604"/>
      <w:r>
        <w:rPr>
          <w:rFonts w:ascii="Times New Roman" w:hAnsi="Times New Roman"/>
          <w:sz w:val="24"/>
        </w:rPr>
        <w:lastRenderedPageBreak/>
        <w:t>III pielikums. Lēmumu pieņemšanas vadlīniju paraugi</w:t>
      </w:r>
      <w:bookmarkEnd w:id="284"/>
      <w:bookmarkEnd w:id="285"/>
    </w:p>
    <w:p w14:paraId="1EA9746F" w14:textId="77777777" w:rsidR="00E62252" w:rsidRPr="00E62252" w:rsidRDefault="00E62252" w:rsidP="00E62252">
      <w:pPr>
        <w:spacing w:after="0" w:line="240" w:lineRule="auto"/>
        <w:rPr>
          <w:noProof/>
          <w:lang w:val="en-US"/>
        </w:rPr>
      </w:pPr>
    </w:p>
    <w:p w14:paraId="65E47BBF" w14:textId="77777777" w:rsidR="00E62252" w:rsidRPr="00E62252" w:rsidRDefault="00E62252" w:rsidP="00E62252">
      <w:pPr>
        <w:pStyle w:val="Style9"/>
        <w:spacing w:before="0" w:beforeAutospacing="0" w:after="0" w:afterAutospacing="0" w:line="240" w:lineRule="auto"/>
        <w:ind w:right="0"/>
        <w:jc w:val="both"/>
        <w:rPr>
          <w:rFonts w:ascii="Times New Roman" w:hAnsi="Times New Roman"/>
          <w:noProof/>
          <w:kern w:val="0"/>
          <w:sz w:val="24"/>
          <w:szCs w:val="24"/>
        </w:rPr>
      </w:pPr>
      <w:r>
        <w:rPr>
          <w:rFonts w:ascii="Times New Roman" w:hAnsi="Times New Roman"/>
          <w:sz w:val="24"/>
        </w:rPr>
        <w:t>Laba prakse. Ungārijas lēmumu pieņemšanas vadlīnijas</w:t>
      </w:r>
    </w:p>
    <w:p w14:paraId="096C3BC9" w14:textId="77777777" w:rsidR="00E62252" w:rsidRPr="00E62252" w:rsidRDefault="00E62252" w:rsidP="00E62252">
      <w:pPr>
        <w:pStyle w:val="Style9"/>
        <w:spacing w:before="0" w:beforeAutospacing="0" w:after="0" w:afterAutospacing="0" w:line="240" w:lineRule="auto"/>
        <w:ind w:right="0"/>
        <w:jc w:val="both"/>
        <w:rPr>
          <w:rFonts w:ascii="Times New Roman" w:hAnsi="Times New Roman"/>
          <w:noProof/>
          <w:kern w:val="0"/>
          <w:sz w:val="24"/>
          <w:szCs w:val="24"/>
          <w:lang w:val="en-US"/>
        </w:rPr>
      </w:pPr>
    </w:p>
    <w:p w14:paraId="183E48FE" w14:textId="77777777" w:rsidR="00E62252" w:rsidRPr="00E62252" w:rsidRDefault="00E62252" w:rsidP="00E62252">
      <w:pPr>
        <w:spacing w:after="0" w:line="240" w:lineRule="auto"/>
        <w:jc w:val="both"/>
        <w:rPr>
          <w:rFonts w:ascii="Times New Roman" w:hAnsi="Times New Roman" w:cs="Times New Roman"/>
          <w:noProof/>
          <w:sz w:val="24"/>
          <w:szCs w:val="24"/>
        </w:rPr>
      </w:pPr>
      <w:r>
        <w:rPr>
          <w:rFonts w:ascii="Times New Roman" w:hAnsi="Times New Roman"/>
          <w:noProof/>
          <w:sz w:val="24"/>
        </w:rPr>
        <w:drawing>
          <wp:inline distT="0" distB="0" distL="0" distR="0" wp14:anchorId="7FCDF577" wp14:editId="1B4EC67A">
            <wp:extent cx="5954328" cy="6164580"/>
            <wp:effectExtent l="0" t="0" r="8890" b="7620"/>
            <wp:docPr id="2" name="Image 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picture containing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3947" cy="6174539"/>
                    </a:xfrm>
                    <a:prstGeom prst="rect">
                      <a:avLst/>
                    </a:prstGeom>
                    <a:noFill/>
                    <a:ln>
                      <a:noFill/>
                    </a:ln>
                  </pic:spPr>
                </pic:pic>
              </a:graphicData>
            </a:graphic>
          </wp:inline>
        </w:drawing>
      </w:r>
    </w:p>
    <w:p w14:paraId="2882E9E1"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415319A8" w14:textId="77777777" w:rsidR="00E62252" w:rsidRPr="00E62252" w:rsidRDefault="00E62252" w:rsidP="00E62252">
      <w:pPr>
        <w:pStyle w:val="Style9"/>
        <w:spacing w:before="0" w:beforeAutospacing="0" w:after="0" w:afterAutospacing="0" w:line="240" w:lineRule="auto"/>
        <w:ind w:right="0"/>
        <w:jc w:val="both"/>
        <w:rPr>
          <w:rFonts w:ascii="Times New Roman" w:hAnsi="Times New Roman"/>
          <w:noProof/>
          <w:kern w:val="0"/>
          <w:sz w:val="24"/>
          <w:szCs w:val="24"/>
        </w:rPr>
      </w:pPr>
      <w:r>
        <w:rPr>
          <w:rFonts w:ascii="Times New Roman" w:hAnsi="Times New Roman"/>
          <w:sz w:val="24"/>
        </w:rPr>
        <w:lastRenderedPageBreak/>
        <w:t>Laba prakse. Beļģijas lēmumu pieņemšanas vadlīnijas</w:t>
      </w:r>
    </w:p>
    <w:p w14:paraId="2C0C0F5C" w14:textId="602E139A" w:rsidR="00E62252" w:rsidRPr="00E62252" w:rsidRDefault="009E2AB7" w:rsidP="00BD6C3C">
      <w:pPr>
        <w:spacing w:after="0" w:line="240" w:lineRule="auto"/>
        <w:jc w:val="center"/>
        <w:rPr>
          <w:rFonts w:ascii="Times New Roman" w:hAnsi="Times New Roman" w:cs="Times New Roman"/>
          <w:noProof/>
          <w:sz w:val="24"/>
          <w:szCs w:val="24"/>
        </w:rPr>
      </w:pPr>
      <w:r>
        <w:rPr>
          <w:rFonts w:ascii="Times New Roman" w:hAnsi="Times New Roman"/>
          <w:noProof/>
          <w:sz w:val="24"/>
        </w:rPr>
        <w:drawing>
          <wp:inline distT="0" distB="0" distL="0" distR="0" wp14:anchorId="2A7E4521" wp14:editId="73B137A4">
            <wp:extent cx="4601974" cy="2659380"/>
            <wp:effectExtent l="0" t="0" r="8255" b="7620"/>
            <wp:docPr id="1372468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1408" b="2809"/>
                    <a:stretch/>
                  </pic:blipFill>
                  <pic:spPr bwMode="auto">
                    <a:xfrm>
                      <a:off x="0" y="0"/>
                      <a:ext cx="4623462" cy="2671797"/>
                    </a:xfrm>
                    <a:prstGeom prst="rect">
                      <a:avLst/>
                    </a:prstGeom>
                    <a:noFill/>
                    <a:ln>
                      <a:noFill/>
                    </a:ln>
                    <a:extLst>
                      <a:ext uri="{53640926-AAD7-44D8-BBD7-CCE9431645EC}">
                        <a14:shadowObscured xmlns:a14="http://schemas.microsoft.com/office/drawing/2010/main"/>
                      </a:ext>
                    </a:extLst>
                  </pic:spPr>
                </pic:pic>
              </a:graphicData>
            </a:graphic>
          </wp:inline>
        </w:drawing>
      </w:r>
      <w:r w:rsidR="00B361B7">
        <w:rPr>
          <w:rFonts w:ascii="Times New Roman" w:hAnsi="Times New Roman" w:cs="Times New Roman"/>
          <w:noProof/>
          <w:sz w:val="24"/>
          <w:szCs w:val="24"/>
        </w:rPr>
        <w:drawing>
          <wp:inline distT="0" distB="0" distL="0" distR="0" wp14:anchorId="46CC5E11" wp14:editId="775766FB">
            <wp:extent cx="4594860" cy="2999208"/>
            <wp:effectExtent l="0" t="0" r="0" b="0"/>
            <wp:docPr id="12" name="Picture 12"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screenshot, diagram, fon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1806" cy="3016797"/>
                    </a:xfrm>
                    <a:prstGeom prst="rect">
                      <a:avLst/>
                    </a:prstGeom>
                    <a:noFill/>
                    <a:ln>
                      <a:noFill/>
                    </a:ln>
                  </pic:spPr>
                </pic:pic>
              </a:graphicData>
            </a:graphic>
          </wp:inline>
        </w:drawing>
      </w:r>
      <w:r w:rsidR="00BD6C3C">
        <w:rPr>
          <w:rFonts w:ascii="Times New Roman" w:hAnsi="Times New Roman" w:cs="Times New Roman"/>
          <w:noProof/>
          <w:sz w:val="24"/>
          <w:szCs w:val="24"/>
        </w:rPr>
        <w:drawing>
          <wp:inline distT="0" distB="0" distL="0" distR="0" wp14:anchorId="62B2E172" wp14:editId="43C0BA79">
            <wp:extent cx="4655479" cy="2644140"/>
            <wp:effectExtent l="0" t="0" r="0" b="3810"/>
            <wp:docPr id="13" name="Picture 13" descr="A picture containing text, screenshot, diagram,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creenshot, diagram, pla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5610" cy="2649894"/>
                    </a:xfrm>
                    <a:prstGeom prst="rect">
                      <a:avLst/>
                    </a:prstGeom>
                    <a:noFill/>
                    <a:ln>
                      <a:noFill/>
                    </a:ln>
                  </pic:spPr>
                </pic:pic>
              </a:graphicData>
            </a:graphic>
          </wp:inline>
        </w:drawing>
      </w:r>
    </w:p>
    <w:p w14:paraId="3CA8E7FD"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36D89A85" w14:textId="77777777" w:rsidR="00E62252" w:rsidRPr="00E62252" w:rsidRDefault="00E62252" w:rsidP="00E62252">
      <w:pPr>
        <w:pStyle w:val="Heading2"/>
        <w:numPr>
          <w:ilvl w:val="0"/>
          <w:numId w:val="0"/>
        </w:numPr>
        <w:spacing w:before="0" w:after="0" w:line="240" w:lineRule="auto"/>
        <w:jc w:val="both"/>
        <w:rPr>
          <w:rFonts w:ascii="Times New Roman" w:hAnsi="Times New Roman" w:cs="Times New Roman"/>
          <w:noProof/>
          <w:sz w:val="24"/>
          <w:szCs w:val="24"/>
        </w:rPr>
      </w:pPr>
      <w:bookmarkStart w:id="286" w:name="_Toc102478575"/>
      <w:bookmarkStart w:id="287" w:name="_Toc134605605"/>
      <w:r>
        <w:rPr>
          <w:rFonts w:ascii="Times New Roman" w:hAnsi="Times New Roman"/>
          <w:sz w:val="24"/>
        </w:rPr>
        <w:lastRenderedPageBreak/>
        <w:t>IV pielikums. Portugāles risku tabulas paraugs</w:t>
      </w:r>
      <w:bookmarkEnd w:id="286"/>
      <w:bookmarkEnd w:id="287"/>
    </w:p>
    <w:p w14:paraId="2EACB057" w14:textId="77777777" w:rsidR="00E62252" w:rsidRPr="00E62252" w:rsidRDefault="00E62252" w:rsidP="00E62252">
      <w:pPr>
        <w:spacing w:after="0" w:line="240" w:lineRule="auto"/>
        <w:rPr>
          <w:noProof/>
          <w:lang w:val="en-US"/>
        </w:rPr>
      </w:pPr>
    </w:p>
    <w:p w14:paraId="31F5D325" w14:textId="77777777" w:rsidR="00E62252" w:rsidRPr="00E62252" w:rsidRDefault="00E62252" w:rsidP="00E62252">
      <w:pPr>
        <w:spacing w:after="0" w:line="240" w:lineRule="auto"/>
        <w:jc w:val="both"/>
        <w:rPr>
          <w:rFonts w:ascii="Times New Roman" w:hAnsi="Times New Roman" w:cs="Times New Roman"/>
          <w:smallCaps/>
          <w:noProof/>
          <w:sz w:val="24"/>
          <w:szCs w:val="24"/>
        </w:rPr>
      </w:pPr>
      <w:r>
        <w:rPr>
          <w:rFonts w:ascii="Times New Roman" w:hAnsi="Times New Roman"/>
          <w:smallCaps/>
          <w:sz w:val="24"/>
        </w:rPr>
        <w:t>Notikuma kritiskuma pakāpes novērtēšana</w:t>
      </w:r>
    </w:p>
    <w:tbl>
      <w:tblPr>
        <w:tblStyle w:val="TableGrid"/>
        <w:tblW w:w="5000" w:type="pct"/>
        <w:jc w:val="center"/>
        <w:tblCellMar>
          <w:top w:w="28" w:type="dxa"/>
          <w:left w:w="28" w:type="dxa"/>
          <w:bottom w:w="28" w:type="dxa"/>
          <w:right w:w="28" w:type="dxa"/>
        </w:tblCellMar>
        <w:tblLook w:val="04A0" w:firstRow="1" w:lastRow="0" w:firstColumn="1" w:lastColumn="0" w:noHBand="0" w:noVBand="1"/>
      </w:tblPr>
      <w:tblGrid>
        <w:gridCol w:w="346"/>
        <w:gridCol w:w="3499"/>
        <w:gridCol w:w="1002"/>
        <w:gridCol w:w="1002"/>
        <w:gridCol w:w="1170"/>
        <w:gridCol w:w="1050"/>
        <w:gridCol w:w="998"/>
      </w:tblGrid>
      <w:tr w:rsidR="00E62252" w:rsidRPr="00E62252" w14:paraId="2D1B61FF" w14:textId="77777777" w:rsidTr="00F80365">
        <w:trPr>
          <w:jc w:val="center"/>
        </w:trPr>
        <w:tc>
          <w:tcPr>
            <w:tcW w:w="191" w:type="pct"/>
            <w:vMerge w:val="restart"/>
            <w:tcBorders>
              <w:top w:val="single" w:sz="4" w:space="0" w:color="auto"/>
              <w:left w:val="single" w:sz="4" w:space="0" w:color="auto"/>
              <w:right w:val="single" w:sz="4" w:space="0" w:color="auto"/>
            </w:tcBorders>
            <w:textDirection w:val="btLr"/>
            <w:vAlign w:val="center"/>
          </w:tcPr>
          <w:p w14:paraId="3EB20E9B" w14:textId="77777777" w:rsidR="00E62252" w:rsidRPr="00E62252" w:rsidRDefault="00E62252" w:rsidP="00F80365">
            <w:pPr>
              <w:jc w:val="center"/>
              <w:rPr>
                <w:rFonts w:ascii="Times New Roman" w:hAnsi="Times New Roman" w:cs="Times New Roman"/>
                <w:b/>
                <w:bCs/>
                <w:noProof/>
                <w:sz w:val="24"/>
                <w:szCs w:val="24"/>
              </w:rPr>
            </w:pPr>
            <w:r>
              <w:rPr>
                <w:rFonts w:ascii="Times New Roman" w:hAnsi="Times New Roman"/>
                <w:b/>
                <w:sz w:val="24"/>
              </w:rPr>
              <w:t>Smaguma pakāpe</w:t>
            </w:r>
          </w:p>
        </w:tc>
        <w:tc>
          <w:tcPr>
            <w:tcW w:w="1934" w:type="pct"/>
            <w:tcBorders>
              <w:top w:val="single" w:sz="4" w:space="0" w:color="auto"/>
              <w:left w:val="single" w:sz="4" w:space="0" w:color="auto"/>
            </w:tcBorders>
            <w:vAlign w:val="center"/>
          </w:tcPr>
          <w:p w14:paraId="4FE713D1" w14:textId="77777777" w:rsidR="00E62252" w:rsidRPr="00E62252" w:rsidRDefault="00E62252" w:rsidP="00F80365">
            <w:pPr>
              <w:rPr>
                <w:rFonts w:ascii="Times New Roman" w:hAnsi="Times New Roman" w:cs="Times New Roman"/>
                <w:b/>
                <w:i/>
                <w:iCs/>
                <w:noProof/>
                <w:sz w:val="24"/>
                <w:szCs w:val="24"/>
              </w:rPr>
            </w:pPr>
            <w:r>
              <w:rPr>
                <w:rFonts w:ascii="Times New Roman" w:hAnsi="Times New Roman"/>
                <w:b/>
                <w:i/>
                <w:sz w:val="24"/>
              </w:rPr>
              <w:t xml:space="preserve">Ja noticis </w:t>
            </w:r>
            <w:r>
              <w:rPr>
                <w:rFonts w:ascii="Times New Roman" w:hAnsi="Times New Roman"/>
                <w:b/>
                <w:i/>
                <w:sz w:val="24"/>
                <w:u w:val="single"/>
              </w:rPr>
              <w:t>starpgadījums</w:t>
            </w:r>
            <w:r>
              <w:rPr>
                <w:rFonts w:ascii="Times New Roman" w:hAnsi="Times New Roman"/>
                <w:b/>
                <w:i/>
                <w:sz w:val="24"/>
              </w:rPr>
              <w:t>:</w:t>
            </w:r>
          </w:p>
          <w:p w14:paraId="6EF02C03" w14:textId="77777777" w:rsidR="00E62252" w:rsidRPr="00E62252" w:rsidRDefault="00E62252" w:rsidP="00F80365">
            <w:pPr>
              <w:rPr>
                <w:rFonts w:ascii="Times New Roman" w:hAnsi="Times New Roman" w:cs="Times New Roman"/>
                <w:b/>
                <w:noProof/>
                <w:color w:val="000000"/>
                <w:sz w:val="24"/>
                <w:szCs w:val="24"/>
              </w:rPr>
            </w:pPr>
            <w:r>
              <w:rPr>
                <w:rFonts w:ascii="Times New Roman" w:hAnsi="Times New Roman"/>
                <w:i/>
                <w:sz w:val="24"/>
              </w:rPr>
              <w:t xml:space="preserve">klasificē, apsverot sekas, kam ir </w:t>
            </w:r>
            <w:r>
              <w:rPr>
                <w:rFonts w:ascii="Times New Roman" w:hAnsi="Times New Roman"/>
                <w:b/>
                <w:bCs/>
                <w:i/>
                <w:sz w:val="24"/>
                <w:u w:val="single"/>
              </w:rPr>
              <w:t>visaugstākā īstenošanās varbūtība</w:t>
            </w:r>
            <w:r>
              <w:rPr>
                <w:rFonts w:ascii="Times New Roman" w:hAnsi="Times New Roman"/>
                <w:i/>
                <w:sz w:val="24"/>
              </w:rPr>
              <w:t>, ja notikums ir pāraudzis negadījumā.</w:t>
            </w:r>
          </w:p>
        </w:tc>
        <w:tc>
          <w:tcPr>
            <w:tcW w:w="2875" w:type="pct"/>
            <w:gridSpan w:val="5"/>
            <w:tcBorders>
              <w:top w:val="nil"/>
              <w:bottom w:val="single" w:sz="4" w:space="0" w:color="auto"/>
              <w:right w:val="nil"/>
            </w:tcBorders>
            <w:shd w:val="clear" w:color="auto" w:fill="FFFFFF" w:themeFill="background1"/>
            <w:vAlign w:val="center"/>
          </w:tcPr>
          <w:p w14:paraId="0ED56F4C" w14:textId="77777777" w:rsidR="00E62252" w:rsidRPr="00E62252" w:rsidRDefault="00E62252" w:rsidP="00F80365">
            <w:pPr>
              <w:jc w:val="both"/>
              <w:rPr>
                <w:rFonts w:ascii="Times New Roman" w:hAnsi="Times New Roman" w:cs="Times New Roman"/>
                <w:i/>
                <w:iCs/>
                <w:noProof/>
                <w:sz w:val="24"/>
                <w:szCs w:val="24"/>
                <w:lang w:val="en-US"/>
              </w:rPr>
            </w:pPr>
          </w:p>
        </w:tc>
      </w:tr>
      <w:tr w:rsidR="00E62252" w:rsidRPr="00E62252" w14:paraId="0FFB2333" w14:textId="77777777" w:rsidTr="00F80365">
        <w:trPr>
          <w:jc w:val="center"/>
        </w:trPr>
        <w:tc>
          <w:tcPr>
            <w:tcW w:w="191" w:type="pct"/>
            <w:vMerge/>
            <w:tcBorders>
              <w:left w:val="single" w:sz="4" w:space="0" w:color="auto"/>
              <w:right w:val="single" w:sz="4" w:space="0" w:color="auto"/>
            </w:tcBorders>
            <w:textDirection w:val="btLr"/>
            <w:vAlign w:val="center"/>
          </w:tcPr>
          <w:p w14:paraId="0E8B2DA2" w14:textId="77777777" w:rsidR="00E62252" w:rsidRPr="00E62252" w:rsidRDefault="00E62252" w:rsidP="00F80365">
            <w:pPr>
              <w:jc w:val="both"/>
              <w:rPr>
                <w:rFonts w:ascii="Times New Roman" w:hAnsi="Times New Roman" w:cs="Times New Roman"/>
                <w:b/>
                <w:bCs/>
                <w:noProof/>
                <w:sz w:val="24"/>
                <w:szCs w:val="24"/>
                <w:lang w:val="en-US"/>
              </w:rPr>
            </w:pPr>
          </w:p>
        </w:tc>
        <w:tc>
          <w:tcPr>
            <w:tcW w:w="1934" w:type="pct"/>
            <w:tcBorders>
              <w:left w:val="single" w:sz="4" w:space="0" w:color="auto"/>
            </w:tcBorders>
            <w:vAlign w:val="center"/>
          </w:tcPr>
          <w:p w14:paraId="0C6269F6" w14:textId="77777777" w:rsidR="00E62252" w:rsidRPr="00E62252" w:rsidRDefault="00E62252" w:rsidP="00F80365">
            <w:pPr>
              <w:pStyle w:val="Default"/>
              <w:jc w:val="center"/>
              <w:rPr>
                <w:b/>
                <w:noProof/>
              </w:rPr>
            </w:pPr>
            <w:r>
              <w:rPr>
                <w:b/>
              </w:rPr>
              <w:t>Izšķirīgi svarīgais [faktors]</w:t>
            </w:r>
          </w:p>
          <w:p w14:paraId="3687A822"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Negadījums</w:t>
            </w:r>
          </w:p>
          <w:p w14:paraId="0D49E8D0" w14:textId="77777777" w:rsidR="00E62252" w:rsidRPr="00E62252" w:rsidRDefault="00E62252" w:rsidP="00F80365">
            <w:pPr>
              <w:jc w:val="center"/>
              <w:rPr>
                <w:rFonts w:ascii="Times New Roman" w:hAnsi="Times New Roman" w:cs="Times New Roman"/>
                <w:noProof/>
                <w:sz w:val="24"/>
                <w:szCs w:val="24"/>
              </w:rPr>
            </w:pPr>
            <w:r>
              <w:rPr>
                <w:rFonts w:ascii="Times New Roman" w:hAnsi="Times New Roman"/>
                <w:i/>
                <w:sz w:val="24"/>
              </w:rPr>
              <w:t xml:space="preserve">(ja tas radītu sekas, kas </w:t>
            </w:r>
            <w:r>
              <w:rPr>
                <w:rFonts w:ascii="Times New Roman" w:hAnsi="Times New Roman"/>
                <w:b/>
                <w:bCs/>
                <w:i/>
                <w:sz w:val="24"/>
              </w:rPr>
              <w:t>ar augstu varbūtību</w:t>
            </w:r>
            <w:r>
              <w:rPr>
                <w:rFonts w:ascii="Times New Roman" w:hAnsi="Times New Roman"/>
                <w:i/>
                <w:sz w:val="24"/>
              </w:rPr>
              <w:t xml:space="preserve"> pāraugtu smagā negadījumā)</w:t>
            </w:r>
          </w:p>
        </w:tc>
        <w:tc>
          <w:tcPr>
            <w:tcW w:w="557" w:type="pct"/>
            <w:tcBorders>
              <w:bottom w:val="single" w:sz="4" w:space="0" w:color="auto"/>
            </w:tcBorders>
            <w:shd w:val="clear" w:color="auto" w:fill="FFFF00"/>
            <w:vAlign w:val="center"/>
          </w:tcPr>
          <w:p w14:paraId="67751979" w14:textId="77777777" w:rsidR="00E62252" w:rsidRPr="00E62252" w:rsidRDefault="00E62252" w:rsidP="00F80365">
            <w:pPr>
              <w:jc w:val="center"/>
              <w:rPr>
                <w:rFonts w:ascii="Times New Roman" w:hAnsi="Times New Roman" w:cs="Times New Roman"/>
                <w:b/>
                <w:noProof/>
                <w:sz w:val="24"/>
                <w:szCs w:val="24"/>
                <w:lang w:val="en-US"/>
              </w:rPr>
            </w:pPr>
          </w:p>
        </w:tc>
        <w:tc>
          <w:tcPr>
            <w:tcW w:w="557" w:type="pct"/>
            <w:tcBorders>
              <w:bottom w:val="single" w:sz="4" w:space="0" w:color="auto"/>
            </w:tcBorders>
            <w:shd w:val="clear" w:color="auto" w:fill="FF0000"/>
            <w:vAlign w:val="center"/>
          </w:tcPr>
          <w:p w14:paraId="125F33B7" w14:textId="77777777" w:rsidR="00E62252" w:rsidRPr="00E62252" w:rsidRDefault="00E62252" w:rsidP="00F80365">
            <w:pPr>
              <w:jc w:val="center"/>
              <w:rPr>
                <w:rFonts w:ascii="Times New Roman" w:hAnsi="Times New Roman" w:cs="Times New Roman"/>
                <w:b/>
                <w:noProof/>
                <w:sz w:val="24"/>
                <w:szCs w:val="24"/>
                <w:lang w:val="en-US"/>
              </w:rPr>
            </w:pPr>
          </w:p>
        </w:tc>
        <w:tc>
          <w:tcPr>
            <w:tcW w:w="649" w:type="pct"/>
            <w:tcBorders>
              <w:bottom w:val="single" w:sz="4" w:space="0" w:color="auto"/>
            </w:tcBorders>
            <w:shd w:val="clear" w:color="auto" w:fill="FF0000"/>
            <w:vAlign w:val="center"/>
          </w:tcPr>
          <w:p w14:paraId="694FB783" w14:textId="77777777" w:rsidR="00E62252" w:rsidRPr="00E62252" w:rsidRDefault="00E62252" w:rsidP="00F80365">
            <w:pPr>
              <w:jc w:val="center"/>
              <w:rPr>
                <w:rFonts w:ascii="Times New Roman" w:hAnsi="Times New Roman" w:cs="Times New Roman"/>
                <w:b/>
                <w:noProof/>
                <w:sz w:val="24"/>
                <w:szCs w:val="24"/>
                <w:lang w:val="en-US"/>
              </w:rPr>
            </w:pPr>
          </w:p>
        </w:tc>
        <w:tc>
          <w:tcPr>
            <w:tcW w:w="558" w:type="pct"/>
            <w:tcBorders>
              <w:bottom w:val="single" w:sz="4" w:space="0" w:color="auto"/>
            </w:tcBorders>
            <w:shd w:val="clear" w:color="auto" w:fill="FF0000"/>
            <w:vAlign w:val="center"/>
          </w:tcPr>
          <w:p w14:paraId="32401A19" w14:textId="77777777" w:rsidR="00E62252" w:rsidRPr="00E62252" w:rsidRDefault="00E62252" w:rsidP="00F80365">
            <w:pPr>
              <w:jc w:val="center"/>
              <w:rPr>
                <w:rFonts w:ascii="Times New Roman" w:hAnsi="Times New Roman" w:cs="Times New Roman"/>
                <w:b/>
                <w:noProof/>
                <w:sz w:val="24"/>
                <w:szCs w:val="24"/>
                <w:lang w:val="en-US"/>
              </w:rPr>
            </w:pPr>
          </w:p>
        </w:tc>
        <w:tc>
          <w:tcPr>
            <w:tcW w:w="555" w:type="pct"/>
            <w:tcBorders>
              <w:bottom w:val="single" w:sz="4" w:space="0" w:color="auto"/>
            </w:tcBorders>
            <w:shd w:val="clear" w:color="auto" w:fill="FF0000"/>
            <w:vAlign w:val="center"/>
          </w:tcPr>
          <w:p w14:paraId="6035EE12" w14:textId="77777777" w:rsidR="00E62252" w:rsidRPr="00E62252" w:rsidRDefault="00E62252" w:rsidP="00F80365">
            <w:pPr>
              <w:jc w:val="center"/>
              <w:rPr>
                <w:rFonts w:ascii="Times New Roman" w:hAnsi="Times New Roman" w:cs="Times New Roman"/>
                <w:b/>
                <w:noProof/>
                <w:sz w:val="24"/>
                <w:szCs w:val="24"/>
                <w:lang w:val="en-US"/>
              </w:rPr>
            </w:pPr>
          </w:p>
        </w:tc>
      </w:tr>
      <w:tr w:rsidR="00E62252" w:rsidRPr="00E62252" w14:paraId="004BA051" w14:textId="77777777" w:rsidTr="00F80365">
        <w:trPr>
          <w:jc w:val="center"/>
        </w:trPr>
        <w:tc>
          <w:tcPr>
            <w:tcW w:w="191" w:type="pct"/>
            <w:vMerge/>
            <w:tcBorders>
              <w:left w:val="single" w:sz="4" w:space="0" w:color="auto"/>
              <w:right w:val="single" w:sz="4" w:space="0" w:color="auto"/>
            </w:tcBorders>
          </w:tcPr>
          <w:p w14:paraId="30821C44" w14:textId="77777777" w:rsidR="00E62252" w:rsidRPr="00E62252" w:rsidRDefault="00E62252" w:rsidP="00F80365">
            <w:pPr>
              <w:jc w:val="both"/>
              <w:rPr>
                <w:rFonts w:ascii="Times New Roman" w:hAnsi="Times New Roman" w:cs="Times New Roman"/>
                <w:noProof/>
                <w:sz w:val="24"/>
                <w:szCs w:val="24"/>
                <w:lang w:val="en-US"/>
              </w:rPr>
            </w:pPr>
          </w:p>
        </w:tc>
        <w:tc>
          <w:tcPr>
            <w:tcW w:w="1934" w:type="pct"/>
            <w:tcBorders>
              <w:left w:val="single" w:sz="4" w:space="0" w:color="auto"/>
            </w:tcBorders>
            <w:vAlign w:val="center"/>
          </w:tcPr>
          <w:p w14:paraId="0A833426" w14:textId="77777777" w:rsidR="00E62252" w:rsidRPr="00E62252" w:rsidRDefault="00E62252" w:rsidP="00F80365">
            <w:pPr>
              <w:pStyle w:val="Default"/>
              <w:jc w:val="center"/>
              <w:rPr>
                <w:b/>
                <w:noProof/>
              </w:rPr>
            </w:pPr>
            <w:r>
              <w:rPr>
                <w:b/>
              </w:rPr>
              <w:t>Bīstams</w:t>
            </w:r>
          </w:p>
          <w:p w14:paraId="6674484E"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negadījums/starpgadījums</w:t>
            </w:r>
          </w:p>
          <w:p w14:paraId="1606C283" w14:textId="77777777" w:rsidR="00E62252" w:rsidRPr="00E62252" w:rsidRDefault="00E62252" w:rsidP="00F80365">
            <w:pPr>
              <w:jc w:val="center"/>
              <w:rPr>
                <w:rFonts w:ascii="Times New Roman" w:hAnsi="Times New Roman" w:cs="Times New Roman"/>
                <w:noProof/>
                <w:color w:val="000000"/>
                <w:sz w:val="24"/>
                <w:szCs w:val="24"/>
              </w:rPr>
            </w:pPr>
            <w:r>
              <w:rPr>
                <w:rFonts w:ascii="Times New Roman" w:hAnsi="Times New Roman"/>
                <w:i/>
                <w:sz w:val="24"/>
              </w:rPr>
              <w:t xml:space="preserve">(ja tā sekas </w:t>
            </w:r>
            <w:r>
              <w:rPr>
                <w:rFonts w:ascii="Times New Roman" w:hAnsi="Times New Roman"/>
                <w:b/>
                <w:bCs/>
                <w:i/>
                <w:sz w:val="24"/>
              </w:rPr>
              <w:t>var pāraugt</w:t>
            </w:r>
            <w:r>
              <w:rPr>
                <w:rFonts w:ascii="Times New Roman" w:hAnsi="Times New Roman"/>
                <w:i/>
                <w:sz w:val="24"/>
              </w:rPr>
              <w:t xml:space="preserve"> smagā negadījumā)</w:t>
            </w:r>
          </w:p>
        </w:tc>
        <w:tc>
          <w:tcPr>
            <w:tcW w:w="557" w:type="pct"/>
            <w:tcBorders>
              <w:bottom w:val="single" w:sz="4" w:space="0" w:color="auto"/>
            </w:tcBorders>
            <w:shd w:val="clear" w:color="auto" w:fill="FFFF00"/>
            <w:vAlign w:val="center"/>
          </w:tcPr>
          <w:p w14:paraId="1C60DDD4" w14:textId="77777777" w:rsidR="00E62252" w:rsidRPr="00E62252" w:rsidRDefault="00E62252" w:rsidP="00F80365">
            <w:pPr>
              <w:jc w:val="center"/>
              <w:rPr>
                <w:rFonts w:ascii="Times New Roman" w:hAnsi="Times New Roman" w:cs="Times New Roman"/>
                <w:b/>
                <w:noProof/>
                <w:sz w:val="24"/>
                <w:szCs w:val="24"/>
                <w:lang w:val="en-US"/>
              </w:rPr>
            </w:pPr>
          </w:p>
        </w:tc>
        <w:tc>
          <w:tcPr>
            <w:tcW w:w="557" w:type="pct"/>
            <w:tcBorders>
              <w:bottom w:val="single" w:sz="4" w:space="0" w:color="auto"/>
            </w:tcBorders>
            <w:shd w:val="clear" w:color="auto" w:fill="FFFF00"/>
            <w:vAlign w:val="center"/>
          </w:tcPr>
          <w:p w14:paraId="4B2AD75F" w14:textId="77777777" w:rsidR="00E62252" w:rsidRPr="00E62252" w:rsidRDefault="00E62252" w:rsidP="00F80365">
            <w:pPr>
              <w:jc w:val="center"/>
              <w:rPr>
                <w:rFonts w:ascii="Times New Roman" w:hAnsi="Times New Roman" w:cs="Times New Roman"/>
                <w:b/>
                <w:noProof/>
                <w:sz w:val="24"/>
                <w:szCs w:val="24"/>
                <w:lang w:val="en-US"/>
              </w:rPr>
            </w:pPr>
          </w:p>
        </w:tc>
        <w:tc>
          <w:tcPr>
            <w:tcW w:w="649" w:type="pct"/>
            <w:tcBorders>
              <w:bottom w:val="single" w:sz="4" w:space="0" w:color="auto"/>
            </w:tcBorders>
            <w:shd w:val="clear" w:color="auto" w:fill="FFFF00"/>
            <w:vAlign w:val="center"/>
          </w:tcPr>
          <w:p w14:paraId="45952AAF" w14:textId="77777777" w:rsidR="00E62252" w:rsidRPr="00E62252" w:rsidRDefault="00E62252" w:rsidP="00F80365">
            <w:pPr>
              <w:jc w:val="center"/>
              <w:rPr>
                <w:rFonts w:ascii="Times New Roman" w:hAnsi="Times New Roman" w:cs="Times New Roman"/>
                <w:b/>
                <w:noProof/>
                <w:sz w:val="24"/>
                <w:szCs w:val="24"/>
                <w:lang w:val="en-US"/>
              </w:rPr>
            </w:pPr>
          </w:p>
        </w:tc>
        <w:tc>
          <w:tcPr>
            <w:tcW w:w="558" w:type="pct"/>
            <w:tcBorders>
              <w:bottom w:val="single" w:sz="4" w:space="0" w:color="auto"/>
            </w:tcBorders>
            <w:shd w:val="clear" w:color="auto" w:fill="FF0000"/>
            <w:vAlign w:val="center"/>
          </w:tcPr>
          <w:p w14:paraId="069346E2" w14:textId="77777777" w:rsidR="00E62252" w:rsidRPr="00E62252" w:rsidRDefault="00E62252" w:rsidP="00F80365">
            <w:pPr>
              <w:jc w:val="center"/>
              <w:rPr>
                <w:rFonts w:ascii="Times New Roman" w:hAnsi="Times New Roman" w:cs="Times New Roman"/>
                <w:b/>
                <w:noProof/>
                <w:sz w:val="24"/>
                <w:szCs w:val="24"/>
                <w:lang w:val="en-US"/>
              </w:rPr>
            </w:pPr>
          </w:p>
        </w:tc>
        <w:tc>
          <w:tcPr>
            <w:tcW w:w="555" w:type="pct"/>
            <w:tcBorders>
              <w:bottom w:val="single" w:sz="4" w:space="0" w:color="auto"/>
            </w:tcBorders>
            <w:shd w:val="clear" w:color="auto" w:fill="FF0000"/>
            <w:vAlign w:val="center"/>
          </w:tcPr>
          <w:p w14:paraId="5B12EE44" w14:textId="77777777" w:rsidR="00E62252" w:rsidRPr="00E62252" w:rsidRDefault="00E62252" w:rsidP="00F80365">
            <w:pPr>
              <w:jc w:val="center"/>
              <w:rPr>
                <w:rFonts w:ascii="Times New Roman" w:hAnsi="Times New Roman" w:cs="Times New Roman"/>
                <w:b/>
                <w:noProof/>
                <w:sz w:val="24"/>
                <w:szCs w:val="24"/>
                <w:lang w:val="en-US"/>
              </w:rPr>
            </w:pPr>
          </w:p>
        </w:tc>
      </w:tr>
      <w:tr w:rsidR="00E62252" w:rsidRPr="00E62252" w14:paraId="484A2780" w14:textId="77777777" w:rsidTr="00F80365">
        <w:trPr>
          <w:jc w:val="center"/>
        </w:trPr>
        <w:tc>
          <w:tcPr>
            <w:tcW w:w="191" w:type="pct"/>
            <w:vMerge/>
            <w:tcBorders>
              <w:left w:val="single" w:sz="4" w:space="0" w:color="auto"/>
              <w:right w:val="single" w:sz="4" w:space="0" w:color="auto"/>
            </w:tcBorders>
          </w:tcPr>
          <w:p w14:paraId="7051EF55" w14:textId="77777777" w:rsidR="00E62252" w:rsidRPr="00E62252" w:rsidRDefault="00E62252" w:rsidP="00F80365">
            <w:pPr>
              <w:jc w:val="both"/>
              <w:rPr>
                <w:rFonts w:ascii="Times New Roman" w:hAnsi="Times New Roman" w:cs="Times New Roman"/>
                <w:noProof/>
                <w:sz w:val="24"/>
                <w:szCs w:val="24"/>
                <w:lang w:val="en-US"/>
              </w:rPr>
            </w:pPr>
          </w:p>
        </w:tc>
        <w:tc>
          <w:tcPr>
            <w:tcW w:w="1934" w:type="pct"/>
            <w:tcBorders>
              <w:left w:val="single" w:sz="4" w:space="0" w:color="auto"/>
            </w:tcBorders>
            <w:vAlign w:val="center"/>
          </w:tcPr>
          <w:p w14:paraId="12577AA8" w14:textId="77777777" w:rsidR="00E62252" w:rsidRPr="00E62252" w:rsidRDefault="00E62252" w:rsidP="00F80365">
            <w:pPr>
              <w:pStyle w:val="Default"/>
              <w:jc w:val="center"/>
              <w:rPr>
                <w:b/>
                <w:noProof/>
              </w:rPr>
            </w:pPr>
            <w:r>
              <w:rPr>
                <w:b/>
              </w:rPr>
              <w:t>Mērens</w:t>
            </w:r>
          </w:p>
          <w:p w14:paraId="41093AC0"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negadījums/starpgadījums</w:t>
            </w:r>
          </w:p>
          <w:p w14:paraId="1A1FA8AD"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Nav bojāgājušo, bet ir ievainotas personas un/vai materiāli zaudējumi</w:t>
            </w:r>
          </w:p>
        </w:tc>
        <w:tc>
          <w:tcPr>
            <w:tcW w:w="557" w:type="pct"/>
            <w:tcBorders>
              <w:bottom w:val="single" w:sz="4" w:space="0" w:color="auto"/>
            </w:tcBorders>
            <w:shd w:val="clear" w:color="auto" w:fill="92D050"/>
            <w:vAlign w:val="center"/>
          </w:tcPr>
          <w:p w14:paraId="4B96AEEB" w14:textId="77777777" w:rsidR="00E62252" w:rsidRPr="00E62252" w:rsidRDefault="00E62252" w:rsidP="00F80365">
            <w:pPr>
              <w:jc w:val="center"/>
              <w:rPr>
                <w:rFonts w:ascii="Times New Roman" w:hAnsi="Times New Roman" w:cs="Times New Roman"/>
                <w:b/>
                <w:noProof/>
                <w:sz w:val="24"/>
                <w:szCs w:val="24"/>
                <w:lang w:val="en-US"/>
              </w:rPr>
            </w:pPr>
          </w:p>
        </w:tc>
        <w:tc>
          <w:tcPr>
            <w:tcW w:w="557" w:type="pct"/>
            <w:tcBorders>
              <w:bottom w:val="single" w:sz="4" w:space="0" w:color="auto"/>
            </w:tcBorders>
            <w:shd w:val="clear" w:color="auto" w:fill="92D050"/>
            <w:vAlign w:val="center"/>
          </w:tcPr>
          <w:p w14:paraId="6EC13E71" w14:textId="77777777" w:rsidR="00E62252" w:rsidRPr="00E62252" w:rsidRDefault="00E62252" w:rsidP="00F80365">
            <w:pPr>
              <w:jc w:val="center"/>
              <w:rPr>
                <w:rFonts w:ascii="Times New Roman" w:hAnsi="Times New Roman" w:cs="Times New Roman"/>
                <w:b/>
                <w:noProof/>
                <w:sz w:val="24"/>
                <w:szCs w:val="24"/>
                <w:lang w:val="en-US"/>
              </w:rPr>
            </w:pPr>
          </w:p>
        </w:tc>
        <w:tc>
          <w:tcPr>
            <w:tcW w:w="649" w:type="pct"/>
            <w:tcBorders>
              <w:bottom w:val="single" w:sz="4" w:space="0" w:color="auto"/>
            </w:tcBorders>
            <w:shd w:val="clear" w:color="auto" w:fill="FFFF00"/>
            <w:vAlign w:val="center"/>
          </w:tcPr>
          <w:p w14:paraId="0685636D" w14:textId="77777777" w:rsidR="00E62252" w:rsidRPr="00E62252" w:rsidRDefault="00E62252" w:rsidP="00F80365">
            <w:pPr>
              <w:jc w:val="center"/>
              <w:rPr>
                <w:rFonts w:ascii="Times New Roman" w:hAnsi="Times New Roman" w:cs="Times New Roman"/>
                <w:b/>
                <w:noProof/>
                <w:sz w:val="24"/>
                <w:szCs w:val="24"/>
                <w:lang w:val="en-US"/>
              </w:rPr>
            </w:pPr>
          </w:p>
        </w:tc>
        <w:tc>
          <w:tcPr>
            <w:tcW w:w="558" w:type="pct"/>
            <w:tcBorders>
              <w:bottom w:val="single" w:sz="4" w:space="0" w:color="auto"/>
            </w:tcBorders>
            <w:shd w:val="clear" w:color="auto" w:fill="FFFF00"/>
            <w:vAlign w:val="center"/>
          </w:tcPr>
          <w:p w14:paraId="4643EF24" w14:textId="77777777" w:rsidR="00E62252" w:rsidRPr="00E62252" w:rsidRDefault="00E62252" w:rsidP="00F80365">
            <w:pPr>
              <w:jc w:val="center"/>
              <w:rPr>
                <w:rFonts w:ascii="Times New Roman" w:hAnsi="Times New Roman" w:cs="Times New Roman"/>
                <w:b/>
                <w:noProof/>
                <w:sz w:val="24"/>
                <w:szCs w:val="24"/>
                <w:lang w:val="en-US"/>
              </w:rPr>
            </w:pPr>
          </w:p>
        </w:tc>
        <w:tc>
          <w:tcPr>
            <w:tcW w:w="555" w:type="pct"/>
            <w:tcBorders>
              <w:bottom w:val="single" w:sz="4" w:space="0" w:color="auto"/>
            </w:tcBorders>
            <w:shd w:val="clear" w:color="auto" w:fill="FF0000"/>
            <w:vAlign w:val="center"/>
          </w:tcPr>
          <w:p w14:paraId="373A07CD" w14:textId="77777777" w:rsidR="00E62252" w:rsidRPr="00E62252" w:rsidRDefault="00E62252" w:rsidP="00F80365">
            <w:pPr>
              <w:jc w:val="center"/>
              <w:rPr>
                <w:rFonts w:ascii="Times New Roman" w:hAnsi="Times New Roman" w:cs="Times New Roman"/>
                <w:b/>
                <w:noProof/>
                <w:sz w:val="24"/>
                <w:szCs w:val="24"/>
                <w:lang w:val="en-US"/>
              </w:rPr>
            </w:pPr>
          </w:p>
        </w:tc>
      </w:tr>
      <w:tr w:rsidR="00E62252" w:rsidRPr="00E62252" w14:paraId="56249CF4" w14:textId="77777777" w:rsidTr="00F80365">
        <w:trPr>
          <w:jc w:val="center"/>
        </w:trPr>
        <w:tc>
          <w:tcPr>
            <w:tcW w:w="191" w:type="pct"/>
            <w:vMerge/>
            <w:tcBorders>
              <w:left w:val="single" w:sz="4" w:space="0" w:color="auto"/>
              <w:right w:val="single" w:sz="4" w:space="0" w:color="auto"/>
            </w:tcBorders>
          </w:tcPr>
          <w:p w14:paraId="5FDA4625" w14:textId="77777777" w:rsidR="00E62252" w:rsidRPr="00E62252" w:rsidRDefault="00E62252" w:rsidP="00F80365">
            <w:pPr>
              <w:jc w:val="both"/>
              <w:rPr>
                <w:rFonts w:ascii="Times New Roman" w:hAnsi="Times New Roman" w:cs="Times New Roman"/>
                <w:noProof/>
                <w:sz w:val="24"/>
                <w:szCs w:val="24"/>
                <w:lang w:val="en-US"/>
              </w:rPr>
            </w:pPr>
          </w:p>
        </w:tc>
        <w:tc>
          <w:tcPr>
            <w:tcW w:w="1934" w:type="pct"/>
            <w:tcBorders>
              <w:left w:val="single" w:sz="4" w:space="0" w:color="auto"/>
            </w:tcBorders>
            <w:vAlign w:val="center"/>
          </w:tcPr>
          <w:p w14:paraId="53C1E1D1" w14:textId="77777777" w:rsidR="00E62252" w:rsidRPr="00E62252" w:rsidRDefault="00E62252" w:rsidP="00F80365">
            <w:pPr>
              <w:pStyle w:val="Default"/>
              <w:jc w:val="center"/>
              <w:rPr>
                <w:b/>
                <w:noProof/>
              </w:rPr>
            </w:pPr>
            <w:r>
              <w:rPr>
                <w:b/>
              </w:rPr>
              <w:t>Neliels</w:t>
            </w:r>
          </w:p>
          <w:p w14:paraId="5000E9BD"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negadījums/starpgadījums</w:t>
            </w:r>
          </w:p>
          <w:p w14:paraId="4E13D731" w14:textId="77777777" w:rsidR="00E62252" w:rsidRPr="00E62252" w:rsidRDefault="00E62252" w:rsidP="00F80365">
            <w:pPr>
              <w:pStyle w:val="ListParagraph"/>
              <w:ind w:left="0"/>
              <w:contextualSpacing w:val="0"/>
              <w:jc w:val="center"/>
              <w:rPr>
                <w:rFonts w:ascii="Times New Roman" w:hAnsi="Times New Roman" w:cs="Times New Roman"/>
                <w:iCs/>
                <w:noProof/>
                <w:sz w:val="24"/>
                <w:szCs w:val="24"/>
              </w:rPr>
            </w:pPr>
            <w:r>
              <w:rPr>
                <w:rFonts w:ascii="Times New Roman" w:hAnsi="Times New Roman"/>
                <w:sz w:val="24"/>
              </w:rPr>
              <w:t>a) Nav ne cietušo, ne būtiska kaitējuma</w:t>
            </w:r>
          </w:p>
          <w:p w14:paraId="6A336357" w14:textId="77777777" w:rsidR="00E62252" w:rsidRPr="00E62252" w:rsidRDefault="00E62252" w:rsidP="00F80365">
            <w:pPr>
              <w:pStyle w:val="ListParagraph"/>
              <w:ind w:left="0"/>
              <w:contextualSpacing w:val="0"/>
              <w:jc w:val="center"/>
              <w:rPr>
                <w:rFonts w:ascii="Times New Roman" w:hAnsi="Times New Roman" w:cs="Times New Roman"/>
                <w:iCs/>
                <w:noProof/>
                <w:sz w:val="24"/>
                <w:szCs w:val="24"/>
              </w:rPr>
            </w:pPr>
            <w:r>
              <w:rPr>
                <w:rFonts w:ascii="Times New Roman" w:hAnsi="Times New Roman"/>
                <w:sz w:val="24"/>
              </w:rPr>
              <w:t>b) Nāves iestāšanos vai miesas bojājumus ir apzināti izraisījusi skartā persona vai citas personas</w:t>
            </w:r>
          </w:p>
        </w:tc>
        <w:tc>
          <w:tcPr>
            <w:tcW w:w="557" w:type="pct"/>
            <w:tcBorders>
              <w:bottom w:val="single" w:sz="4" w:space="0" w:color="auto"/>
            </w:tcBorders>
            <w:shd w:val="clear" w:color="auto" w:fill="92D050"/>
            <w:vAlign w:val="center"/>
          </w:tcPr>
          <w:p w14:paraId="5076FA10" w14:textId="77777777" w:rsidR="00E62252" w:rsidRPr="00E62252" w:rsidRDefault="00E62252" w:rsidP="00F80365">
            <w:pPr>
              <w:jc w:val="center"/>
              <w:rPr>
                <w:rFonts w:ascii="Times New Roman" w:hAnsi="Times New Roman" w:cs="Times New Roman"/>
                <w:b/>
                <w:noProof/>
                <w:sz w:val="24"/>
                <w:szCs w:val="24"/>
                <w:lang w:val="en-US"/>
              </w:rPr>
            </w:pPr>
          </w:p>
        </w:tc>
        <w:tc>
          <w:tcPr>
            <w:tcW w:w="557" w:type="pct"/>
            <w:tcBorders>
              <w:bottom w:val="single" w:sz="4" w:space="0" w:color="auto"/>
            </w:tcBorders>
            <w:shd w:val="clear" w:color="auto" w:fill="92D050"/>
            <w:vAlign w:val="center"/>
          </w:tcPr>
          <w:p w14:paraId="7F642282" w14:textId="77777777" w:rsidR="00E62252" w:rsidRPr="00E62252" w:rsidRDefault="00E62252" w:rsidP="00F80365">
            <w:pPr>
              <w:jc w:val="center"/>
              <w:rPr>
                <w:rFonts w:ascii="Times New Roman" w:hAnsi="Times New Roman" w:cs="Times New Roman"/>
                <w:b/>
                <w:noProof/>
                <w:sz w:val="24"/>
                <w:szCs w:val="24"/>
                <w:lang w:val="en-US"/>
              </w:rPr>
            </w:pPr>
          </w:p>
        </w:tc>
        <w:tc>
          <w:tcPr>
            <w:tcW w:w="649" w:type="pct"/>
            <w:tcBorders>
              <w:bottom w:val="single" w:sz="4" w:space="0" w:color="auto"/>
            </w:tcBorders>
            <w:shd w:val="clear" w:color="auto" w:fill="92D050"/>
            <w:vAlign w:val="center"/>
          </w:tcPr>
          <w:p w14:paraId="3F8CC83E" w14:textId="77777777" w:rsidR="00E62252" w:rsidRPr="00E62252" w:rsidRDefault="00E62252" w:rsidP="00F80365">
            <w:pPr>
              <w:jc w:val="center"/>
              <w:rPr>
                <w:rFonts w:ascii="Times New Roman" w:hAnsi="Times New Roman" w:cs="Times New Roman"/>
                <w:b/>
                <w:noProof/>
                <w:sz w:val="24"/>
                <w:szCs w:val="24"/>
                <w:lang w:val="en-US"/>
              </w:rPr>
            </w:pPr>
          </w:p>
        </w:tc>
        <w:tc>
          <w:tcPr>
            <w:tcW w:w="558" w:type="pct"/>
            <w:tcBorders>
              <w:bottom w:val="single" w:sz="4" w:space="0" w:color="auto"/>
            </w:tcBorders>
            <w:shd w:val="clear" w:color="auto" w:fill="FFFF00"/>
            <w:vAlign w:val="center"/>
          </w:tcPr>
          <w:p w14:paraId="16EAC579" w14:textId="77777777" w:rsidR="00E62252" w:rsidRPr="00E62252" w:rsidRDefault="00E62252" w:rsidP="00F80365">
            <w:pPr>
              <w:jc w:val="center"/>
              <w:rPr>
                <w:rFonts w:ascii="Times New Roman" w:hAnsi="Times New Roman" w:cs="Times New Roman"/>
                <w:b/>
                <w:noProof/>
                <w:sz w:val="24"/>
                <w:szCs w:val="24"/>
                <w:lang w:val="en-US"/>
              </w:rPr>
            </w:pPr>
          </w:p>
        </w:tc>
        <w:tc>
          <w:tcPr>
            <w:tcW w:w="555" w:type="pct"/>
            <w:tcBorders>
              <w:bottom w:val="single" w:sz="4" w:space="0" w:color="auto"/>
            </w:tcBorders>
            <w:shd w:val="clear" w:color="auto" w:fill="FFFF00"/>
            <w:vAlign w:val="center"/>
          </w:tcPr>
          <w:p w14:paraId="47A6695B" w14:textId="77777777" w:rsidR="00E62252" w:rsidRPr="00E62252" w:rsidRDefault="00E62252" w:rsidP="00F80365">
            <w:pPr>
              <w:jc w:val="center"/>
              <w:rPr>
                <w:rFonts w:ascii="Times New Roman" w:hAnsi="Times New Roman" w:cs="Times New Roman"/>
                <w:b/>
                <w:noProof/>
                <w:sz w:val="24"/>
                <w:szCs w:val="24"/>
                <w:lang w:val="en-US"/>
              </w:rPr>
            </w:pPr>
          </w:p>
        </w:tc>
      </w:tr>
      <w:tr w:rsidR="00E62252" w:rsidRPr="00E62252" w14:paraId="5CFED058" w14:textId="77777777" w:rsidTr="00F80365">
        <w:trPr>
          <w:jc w:val="center"/>
        </w:trPr>
        <w:tc>
          <w:tcPr>
            <w:tcW w:w="191" w:type="pct"/>
            <w:vMerge/>
            <w:tcBorders>
              <w:left w:val="single" w:sz="4" w:space="0" w:color="auto"/>
              <w:bottom w:val="single" w:sz="4" w:space="0" w:color="auto"/>
              <w:right w:val="single" w:sz="4" w:space="0" w:color="auto"/>
            </w:tcBorders>
          </w:tcPr>
          <w:p w14:paraId="55A60EC3" w14:textId="77777777" w:rsidR="00E62252" w:rsidRPr="00E62252" w:rsidRDefault="00E62252" w:rsidP="00F80365">
            <w:pPr>
              <w:jc w:val="both"/>
              <w:rPr>
                <w:rFonts w:ascii="Times New Roman" w:hAnsi="Times New Roman" w:cs="Times New Roman"/>
                <w:noProof/>
                <w:sz w:val="24"/>
                <w:szCs w:val="24"/>
                <w:lang w:val="en-US"/>
              </w:rPr>
            </w:pPr>
          </w:p>
        </w:tc>
        <w:tc>
          <w:tcPr>
            <w:tcW w:w="1934" w:type="pct"/>
            <w:tcBorders>
              <w:left w:val="single" w:sz="4" w:space="0" w:color="auto"/>
              <w:bottom w:val="single" w:sz="4" w:space="0" w:color="auto"/>
            </w:tcBorders>
            <w:vAlign w:val="center"/>
          </w:tcPr>
          <w:p w14:paraId="5E912BAD" w14:textId="77777777" w:rsidR="00E62252" w:rsidRPr="00E62252" w:rsidRDefault="00E62252" w:rsidP="00F80365">
            <w:pPr>
              <w:pStyle w:val="Default"/>
              <w:jc w:val="center"/>
              <w:rPr>
                <w:b/>
                <w:noProof/>
              </w:rPr>
            </w:pPr>
            <w:r>
              <w:rPr>
                <w:b/>
              </w:rPr>
              <w:t>Maznozīmīgs</w:t>
            </w:r>
          </w:p>
          <w:p w14:paraId="024567B7"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Starpgadījums</w:t>
            </w:r>
          </w:p>
          <w:p w14:paraId="3BA87F1E"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Nav ne cietušo, ne kaitējuma</w:t>
            </w:r>
          </w:p>
        </w:tc>
        <w:tc>
          <w:tcPr>
            <w:tcW w:w="557" w:type="pct"/>
            <w:shd w:val="clear" w:color="auto" w:fill="92D050"/>
            <w:vAlign w:val="center"/>
          </w:tcPr>
          <w:p w14:paraId="4A217F1C" w14:textId="77777777" w:rsidR="00E62252" w:rsidRPr="00E62252" w:rsidRDefault="00E62252" w:rsidP="00F80365">
            <w:pPr>
              <w:jc w:val="center"/>
              <w:rPr>
                <w:rFonts w:ascii="Times New Roman" w:hAnsi="Times New Roman" w:cs="Times New Roman"/>
                <w:b/>
                <w:noProof/>
                <w:sz w:val="24"/>
                <w:szCs w:val="24"/>
                <w:lang w:val="en-US"/>
              </w:rPr>
            </w:pPr>
          </w:p>
        </w:tc>
        <w:tc>
          <w:tcPr>
            <w:tcW w:w="557" w:type="pct"/>
            <w:shd w:val="clear" w:color="auto" w:fill="92D050"/>
            <w:vAlign w:val="center"/>
          </w:tcPr>
          <w:p w14:paraId="02164485" w14:textId="77777777" w:rsidR="00E62252" w:rsidRPr="00E62252" w:rsidRDefault="00E62252" w:rsidP="00F80365">
            <w:pPr>
              <w:jc w:val="center"/>
              <w:rPr>
                <w:rFonts w:ascii="Times New Roman" w:hAnsi="Times New Roman" w:cs="Times New Roman"/>
                <w:b/>
                <w:noProof/>
                <w:sz w:val="24"/>
                <w:szCs w:val="24"/>
                <w:lang w:val="en-US"/>
              </w:rPr>
            </w:pPr>
          </w:p>
        </w:tc>
        <w:tc>
          <w:tcPr>
            <w:tcW w:w="649" w:type="pct"/>
            <w:shd w:val="clear" w:color="auto" w:fill="92D050"/>
            <w:vAlign w:val="center"/>
          </w:tcPr>
          <w:p w14:paraId="2B4F52A6" w14:textId="77777777" w:rsidR="00E62252" w:rsidRPr="00E62252" w:rsidRDefault="00E62252" w:rsidP="00F80365">
            <w:pPr>
              <w:jc w:val="center"/>
              <w:rPr>
                <w:rFonts w:ascii="Times New Roman" w:hAnsi="Times New Roman" w:cs="Times New Roman"/>
                <w:b/>
                <w:noProof/>
                <w:sz w:val="24"/>
                <w:szCs w:val="24"/>
                <w:lang w:val="en-US"/>
              </w:rPr>
            </w:pPr>
          </w:p>
        </w:tc>
        <w:tc>
          <w:tcPr>
            <w:tcW w:w="558" w:type="pct"/>
            <w:shd w:val="clear" w:color="auto" w:fill="92D050"/>
            <w:vAlign w:val="center"/>
          </w:tcPr>
          <w:p w14:paraId="1D2263DB" w14:textId="77777777" w:rsidR="00E62252" w:rsidRPr="00E62252" w:rsidRDefault="00E62252" w:rsidP="00F80365">
            <w:pPr>
              <w:jc w:val="center"/>
              <w:rPr>
                <w:rFonts w:ascii="Times New Roman" w:hAnsi="Times New Roman" w:cs="Times New Roman"/>
                <w:b/>
                <w:noProof/>
                <w:sz w:val="24"/>
                <w:szCs w:val="24"/>
                <w:lang w:val="en-US"/>
              </w:rPr>
            </w:pPr>
          </w:p>
        </w:tc>
        <w:tc>
          <w:tcPr>
            <w:tcW w:w="555" w:type="pct"/>
            <w:shd w:val="clear" w:color="auto" w:fill="92D050"/>
            <w:vAlign w:val="center"/>
          </w:tcPr>
          <w:p w14:paraId="4B5D7FDB" w14:textId="77777777" w:rsidR="00E62252" w:rsidRPr="00E62252" w:rsidRDefault="00E62252" w:rsidP="00F80365">
            <w:pPr>
              <w:jc w:val="center"/>
              <w:rPr>
                <w:rFonts w:ascii="Times New Roman" w:hAnsi="Times New Roman" w:cs="Times New Roman"/>
                <w:b/>
                <w:noProof/>
                <w:sz w:val="24"/>
                <w:szCs w:val="24"/>
                <w:lang w:val="en-US"/>
              </w:rPr>
            </w:pPr>
          </w:p>
        </w:tc>
      </w:tr>
      <w:tr w:rsidR="00E62252" w:rsidRPr="00E62252" w14:paraId="6B12FC15" w14:textId="77777777" w:rsidTr="00F80365">
        <w:trPr>
          <w:jc w:val="center"/>
        </w:trPr>
        <w:tc>
          <w:tcPr>
            <w:tcW w:w="2125" w:type="pct"/>
            <w:gridSpan w:val="2"/>
            <w:vMerge w:val="restart"/>
            <w:tcBorders>
              <w:left w:val="single" w:sz="4" w:space="0" w:color="auto"/>
            </w:tcBorders>
            <w:vAlign w:val="center"/>
          </w:tcPr>
          <w:p w14:paraId="368BAD5D" w14:textId="77777777" w:rsidR="00E62252" w:rsidRPr="00E62252" w:rsidRDefault="00E62252" w:rsidP="00F80365">
            <w:pPr>
              <w:jc w:val="both"/>
              <w:rPr>
                <w:rFonts w:ascii="Times New Roman" w:hAnsi="Times New Roman" w:cs="Times New Roman"/>
                <w:i/>
                <w:noProof/>
                <w:color w:val="FF0000"/>
                <w:sz w:val="24"/>
                <w:szCs w:val="24"/>
              </w:rPr>
            </w:pPr>
            <w:r>
              <w:rPr>
                <w:rFonts w:ascii="Times New Roman" w:hAnsi="Times New Roman"/>
                <w:i/>
                <w:color w:val="FF0000"/>
                <w:sz w:val="24"/>
              </w:rPr>
              <w:t>Klasificējiet notikumu pēc tā smaguma pakāpes un biežuma</w:t>
            </w:r>
          </w:p>
        </w:tc>
        <w:tc>
          <w:tcPr>
            <w:tcW w:w="557" w:type="pct"/>
            <w:vAlign w:val="center"/>
          </w:tcPr>
          <w:p w14:paraId="2786AA1E" w14:textId="77777777" w:rsidR="00E62252" w:rsidRPr="00E62252" w:rsidRDefault="00E62252" w:rsidP="00F80365">
            <w:pPr>
              <w:pStyle w:val="Default"/>
              <w:jc w:val="center"/>
              <w:rPr>
                <w:b/>
                <w:noProof/>
              </w:rPr>
            </w:pPr>
            <w:r>
              <w:rPr>
                <w:b/>
              </w:rPr>
              <w:t>Ļoti reti</w:t>
            </w:r>
          </w:p>
          <w:p w14:paraId="743918DD"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Vismaz vienu reizi 10 gados</w:t>
            </w:r>
          </w:p>
        </w:tc>
        <w:tc>
          <w:tcPr>
            <w:tcW w:w="557" w:type="pct"/>
            <w:vAlign w:val="center"/>
          </w:tcPr>
          <w:p w14:paraId="4D7BB991" w14:textId="77777777" w:rsidR="00E62252" w:rsidRPr="00E62252" w:rsidRDefault="00E62252" w:rsidP="00F80365">
            <w:pPr>
              <w:pStyle w:val="Default"/>
              <w:jc w:val="center"/>
              <w:rPr>
                <w:b/>
                <w:noProof/>
              </w:rPr>
            </w:pPr>
            <w:r>
              <w:rPr>
                <w:b/>
              </w:rPr>
              <w:t>Reti</w:t>
            </w:r>
          </w:p>
          <w:p w14:paraId="1E8ABD14"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Vismaz vienu reizi 5 gados</w:t>
            </w:r>
          </w:p>
        </w:tc>
        <w:tc>
          <w:tcPr>
            <w:tcW w:w="649" w:type="pct"/>
            <w:vAlign w:val="center"/>
          </w:tcPr>
          <w:p w14:paraId="4B847418" w14:textId="77777777" w:rsidR="00E62252" w:rsidRPr="00E62252" w:rsidRDefault="00E62252" w:rsidP="00F80365">
            <w:pPr>
              <w:pStyle w:val="Default"/>
              <w:jc w:val="center"/>
              <w:rPr>
                <w:b/>
                <w:noProof/>
              </w:rPr>
            </w:pPr>
            <w:r>
              <w:rPr>
                <w:b/>
              </w:rPr>
              <w:t>Dažkārt</w:t>
            </w:r>
          </w:p>
          <w:p w14:paraId="33668FAA"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Vismaz vienu reizi gadā</w:t>
            </w:r>
          </w:p>
        </w:tc>
        <w:tc>
          <w:tcPr>
            <w:tcW w:w="558" w:type="pct"/>
            <w:vAlign w:val="center"/>
          </w:tcPr>
          <w:p w14:paraId="00A24986" w14:textId="77777777" w:rsidR="00E62252" w:rsidRPr="00E62252" w:rsidRDefault="00E62252" w:rsidP="00F80365">
            <w:pPr>
              <w:pStyle w:val="Default"/>
              <w:jc w:val="center"/>
              <w:rPr>
                <w:b/>
                <w:noProof/>
              </w:rPr>
            </w:pPr>
            <w:r>
              <w:rPr>
                <w:b/>
              </w:rPr>
              <w:t>Bieži</w:t>
            </w:r>
          </w:p>
          <w:p w14:paraId="6CEB4835"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Vismaz vienu reizi 6 mēnešos</w:t>
            </w:r>
          </w:p>
        </w:tc>
        <w:tc>
          <w:tcPr>
            <w:tcW w:w="555" w:type="pct"/>
            <w:vAlign w:val="center"/>
          </w:tcPr>
          <w:p w14:paraId="193E11BE" w14:textId="77777777" w:rsidR="00E62252" w:rsidRPr="00E62252" w:rsidRDefault="00E62252" w:rsidP="00F80365">
            <w:pPr>
              <w:pStyle w:val="Default"/>
              <w:jc w:val="center"/>
              <w:rPr>
                <w:b/>
                <w:noProof/>
              </w:rPr>
            </w:pPr>
            <w:r>
              <w:rPr>
                <w:b/>
              </w:rPr>
              <w:t>Ļoti bieži</w:t>
            </w:r>
          </w:p>
          <w:p w14:paraId="7D3B6808" w14:textId="77777777" w:rsidR="00E62252" w:rsidRPr="00E62252" w:rsidRDefault="00E62252" w:rsidP="00F80365">
            <w:pPr>
              <w:jc w:val="center"/>
              <w:rPr>
                <w:rFonts w:ascii="Times New Roman" w:hAnsi="Times New Roman" w:cs="Times New Roman"/>
                <w:i/>
                <w:iCs/>
                <w:noProof/>
                <w:sz w:val="24"/>
                <w:szCs w:val="24"/>
              </w:rPr>
            </w:pPr>
            <w:r>
              <w:rPr>
                <w:rFonts w:ascii="Times New Roman" w:hAnsi="Times New Roman"/>
                <w:i/>
                <w:sz w:val="24"/>
              </w:rPr>
              <w:t>Vairākas reizes mēnesī</w:t>
            </w:r>
          </w:p>
        </w:tc>
      </w:tr>
      <w:tr w:rsidR="00E62252" w:rsidRPr="00E62252" w14:paraId="34B0F5A8" w14:textId="77777777" w:rsidTr="00F80365">
        <w:trPr>
          <w:jc w:val="center"/>
        </w:trPr>
        <w:tc>
          <w:tcPr>
            <w:tcW w:w="2125" w:type="pct"/>
            <w:gridSpan w:val="2"/>
            <w:vMerge/>
            <w:tcBorders>
              <w:left w:val="single" w:sz="4" w:space="0" w:color="auto"/>
              <w:bottom w:val="double" w:sz="4" w:space="0" w:color="auto"/>
            </w:tcBorders>
          </w:tcPr>
          <w:p w14:paraId="525D9129" w14:textId="77777777" w:rsidR="00E62252" w:rsidRPr="00E62252" w:rsidRDefault="00E62252" w:rsidP="00F80365">
            <w:pPr>
              <w:jc w:val="both"/>
              <w:rPr>
                <w:rFonts w:ascii="Times New Roman" w:hAnsi="Times New Roman" w:cs="Times New Roman"/>
                <w:noProof/>
                <w:sz w:val="24"/>
                <w:szCs w:val="24"/>
                <w:lang w:val="en-US"/>
              </w:rPr>
            </w:pPr>
          </w:p>
        </w:tc>
        <w:tc>
          <w:tcPr>
            <w:tcW w:w="2875" w:type="pct"/>
            <w:gridSpan w:val="5"/>
            <w:tcBorders>
              <w:bottom w:val="double" w:sz="4" w:space="0" w:color="auto"/>
            </w:tcBorders>
            <w:vAlign w:val="center"/>
          </w:tcPr>
          <w:p w14:paraId="6A96C282" w14:textId="77777777" w:rsidR="00E62252" w:rsidRPr="00E62252" w:rsidRDefault="00E62252" w:rsidP="00F80365">
            <w:pPr>
              <w:jc w:val="center"/>
              <w:rPr>
                <w:rFonts w:ascii="Times New Roman" w:hAnsi="Times New Roman" w:cs="Times New Roman"/>
                <w:b/>
                <w:bCs/>
                <w:noProof/>
                <w:sz w:val="24"/>
                <w:szCs w:val="24"/>
              </w:rPr>
            </w:pPr>
            <w:r>
              <w:rPr>
                <w:rFonts w:ascii="Times New Roman" w:hAnsi="Times New Roman"/>
                <w:b/>
                <w:sz w:val="24"/>
              </w:rPr>
              <w:t>Biežums</w:t>
            </w:r>
          </w:p>
        </w:tc>
      </w:tr>
      <w:tr w:rsidR="00E62252" w:rsidRPr="00E62252" w14:paraId="18EEE75C" w14:textId="77777777" w:rsidTr="00F80365">
        <w:trPr>
          <w:jc w:val="center"/>
        </w:trPr>
        <w:tc>
          <w:tcPr>
            <w:tcW w:w="2125" w:type="pct"/>
            <w:gridSpan w:val="2"/>
            <w:tcBorders>
              <w:top w:val="double" w:sz="4" w:space="0" w:color="auto"/>
            </w:tcBorders>
            <w:vAlign w:val="center"/>
          </w:tcPr>
          <w:p w14:paraId="03CCEE40" w14:textId="77777777" w:rsidR="00E62252" w:rsidRPr="00E62252" w:rsidRDefault="00E62252" w:rsidP="00F80365">
            <w:pPr>
              <w:jc w:val="center"/>
              <w:rPr>
                <w:rFonts w:ascii="Times New Roman" w:hAnsi="Times New Roman" w:cs="Times New Roman"/>
                <w:noProof/>
                <w:sz w:val="24"/>
                <w:szCs w:val="24"/>
              </w:rPr>
            </w:pPr>
            <w:r>
              <w:rPr>
                <w:rFonts w:ascii="Times New Roman" w:hAnsi="Times New Roman"/>
                <w:sz w:val="24"/>
              </w:rPr>
              <w:t>Smaguma pakāpes klasifikācijas pamatojums:</w:t>
            </w:r>
          </w:p>
        </w:tc>
        <w:tc>
          <w:tcPr>
            <w:tcW w:w="2875" w:type="pct"/>
            <w:gridSpan w:val="5"/>
            <w:tcBorders>
              <w:top w:val="double" w:sz="4" w:space="0" w:color="auto"/>
            </w:tcBorders>
          </w:tcPr>
          <w:p w14:paraId="67DCB3E9" w14:textId="77777777" w:rsidR="00E62252" w:rsidRPr="00E62252" w:rsidRDefault="00E62252" w:rsidP="00F80365">
            <w:pPr>
              <w:jc w:val="both"/>
              <w:rPr>
                <w:rFonts w:ascii="Times New Roman" w:hAnsi="Times New Roman" w:cs="Times New Roman"/>
                <w:noProof/>
                <w:sz w:val="24"/>
                <w:szCs w:val="24"/>
                <w:lang w:val="en-US"/>
              </w:rPr>
            </w:pPr>
          </w:p>
        </w:tc>
      </w:tr>
      <w:tr w:rsidR="00E62252" w:rsidRPr="00E62252" w14:paraId="7E604832" w14:textId="77777777" w:rsidTr="00F80365">
        <w:trPr>
          <w:jc w:val="center"/>
        </w:trPr>
        <w:tc>
          <w:tcPr>
            <w:tcW w:w="2125" w:type="pct"/>
            <w:gridSpan w:val="2"/>
            <w:tcBorders>
              <w:bottom w:val="double" w:sz="4" w:space="0" w:color="auto"/>
            </w:tcBorders>
            <w:vAlign w:val="center"/>
          </w:tcPr>
          <w:p w14:paraId="202E759D" w14:textId="77777777" w:rsidR="00E62252" w:rsidRPr="00E62252" w:rsidRDefault="00E62252" w:rsidP="00F80365">
            <w:pPr>
              <w:rPr>
                <w:rFonts w:ascii="Times New Roman" w:hAnsi="Times New Roman" w:cs="Times New Roman"/>
                <w:noProof/>
                <w:sz w:val="24"/>
                <w:szCs w:val="24"/>
              </w:rPr>
            </w:pPr>
            <w:r>
              <w:rPr>
                <w:rFonts w:ascii="Times New Roman" w:hAnsi="Times New Roman"/>
                <w:sz w:val="24"/>
              </w:rPr>
              <w:t>Biežuma klasifikācijas pamatojums:</w:t>
            </w:r>
          </w:p>
          <w:p w14:paraId="3162BC90" w14:textId="77777777" w:rsidR="00E62252" w:rsidRPr="00E62252" w:rsidRDefault="00E62252" w:rsidP="00F80365">
            <w:pPr>
              <w:rPr>
                <w:rFonts w:ascii="Times New Roman" w:hAnsi="Times New Roman" w:cs="Times New Roman"/>
                <w:i/>
                <w:noProof/>
                <w:sz w:val="24"/>
                <w:szCs w:val="24"/>
              </w:rPr>
            </w:pPr>
            <w:r>
              <w:rPr>
                <w:rFonts w:ascii="Times New Roman" w:hAnsi="Times New Roman"/>
                <w:i/>
                <w:sz w:val="24"/>
              </w:rPr>
              <w:t>(norādiet, ja ņemat vērā vidējo vietējā līmeņa rādītāju vai valsts tīkla vidējo rādītāju)</w:t>
            </w:r>
          </w:p>
        </w:tc>
        <w:tc>
          <w:tcPr>
            <w:tcW w:w="2875" w:type="pct"/>
            <w:gridSpan w:val="5"/>
            <w:tcBorders>
              <w:bottom w:val="double" w:sz="4" w:space="0" w:color="auto"/>
            </w:tcBorders>
          </w:tcPr>
          <w:p w14:paraId="33E8A074" w14:textId="77777777" w:rsidR="00E62252" w:rsidRPr="00E62252" w:rsidRDefault="00E62252" w:rsidP="00F80365">
            <w:pPr>
              <w:jc w:val="both"/>
              <w:rPr>
                <w:rFonts w:ascii="Times New Roman" w:hAnsi="Times New Roman" w:cs="Times New Roman"/>
                <w:noProof/>
                <w:sz w:val="24"/>
                <w:szCs w:val="24"/>
                <w:lang w:val="en-US"/>
              </w:rPr>
            </w:pPr>
          </w:p>
        </w:tc>
      </w:tr>
    </w:tbl>
    <w:tbl>
      <w:tblPr>
        <w:tblW w:w="5000" w:type="pct"/>
        <w:tblBorders>
          <w:top w:val="nil"/>
          <w:left w:val="nil"/>
          <w:bottom w:val="nil"/>
          <w:right w:val="nil"/>
        </w:tblBorders>
        <w:tblCellMar>
          <w:top w:w="28" w:type="dxa"/>
          <w:left w:w="28" w:type="dxa"/>
          <w:bottom w:w="28" w:type="dxa"/>
          <w:right w:w="28" w:type="dxa"/>
        </w:tblCellMar>
        <w:tblLook w:val="0000" w:firstRow="0" w:lastRow="0" w:firstColumn="0" w:lastColumn="0" w:noHBand="0" w:noVBand="0"/>
      </w:tblPr>
      <w:tblGrid>
        <w:gridCol w:w="526"/>
        <w:gridCol w:w="4859"/>
        <w:gridCol w:w="3677"/>
      </w:tblGrid>
      <w:tr w:rsidR="00E62252" w:rsidRPr="00E62252" w14:paraId="020CE0F8" w14:textId="77777777" w:rsidTr="00F80365">
        <w:trPr>
          <w:trHeight w:val="253"/>
        </w:trPr>
        <w:tc>
          <w:tcPr>
            <w:tcW w:w="5000" w:type="pct"/>
            <w:gridSpan w:val="3"/>
            <w:tcBorders>
              <w:top w:val="double" w:sz="4" w:space="0" w:color="auto"/>
              <w:left w:val="single" w:sz="4" w:space="0" w:color="auto"/>
              <w:bottom w:val="single" w:sz="4" w:space="0" w:color="auto"/>
              <w:right w:val="single" w:sz="4" w:space="0" w:color="auto"/>
            </w:tcBorders>
          </w:tcPr>
          <w:p w14:paraId="4EBE9FFF" w14:textId="77777777" w:rsidR="00E62252" w:rsidRPr="00E62252" w:rsidRDefault="00E62252" w:rsidP="00F80365">
            <w:pPr>
              <w:pStyle w:val="Default"/>
              <w:jc w:val="both"/>
              <w:rPr>
                <w:b/>
                <w:noProof/>
              </w:rPr>
            </w:pPr>
            <w:r>
              <w:rPr>
                <w:b/>
              </w:rPr>
              <w:t>Iespējamā smaguma pakāpes paaugstināšana vai samazināšana</w:t>
            </w:r>
          </w:p>
        </w:tc>
      </w:tr>
      <w:tr w:rsidR="00E62252" w:rsidRPr="00E62252" w14:paraId="1D901DFD" w14:textId="77777777" w:rsidTr="00F80365">
        <w:trPr>
          <w:trHeight w:val="253"/>
        </w:trPr>
        <w:tc>
          <w:tcPr>
            <w:tcW w:w="5000" w:type="pct"/>
            <w:gridSpan w:val="3"/>
            <w:tcBorders>
              <w:top w:val="single" w:sz="4" w:space="0" w:color="auto"/>
              <w:left w:val="single" w:sz="4" w:space="0" w:color="auto"/>
              <w:bottom w:val="single" w:sz="4" w:space="0" w:color="auto"/>
              <w:right w:val="single" w:sz="4" w:space="0" w:color="auto"/>
            </w:tcBorders>
          </w:tcPr>
          <w:p w14:paraId="431F29B7" w14:textId="77777777" w:rsidR="00E62252" w:rsidRPr="00E62252" w:rsidRDefault="00E62252" w:rsidP="00F80365">
            <w:pPr>
              <w:pStyle w:val="Default"/>
              <w:jc w:val="both"/>
              <w:rPr>
                <w:b/>
                <w:i/>
                <w:noProof/>
              </w:rPr>
            </w:pPr>
            <w:r>
              <w:rPr>
                <w:b/>
                <w:i/>
              </w:rPr>
              <w:t xml:space="preserve">Vai bija atlikušas kādas drošības barjeras, kas novērsa negadījuma/starpgadījuma pāraugšanu smagā negadījumā? </w:t>
            </w:r>
          </w:p>
        </w:tc>
      </w:tr>
      <w:tr w:rsidR="00E62252" w:rsidRPr="00E62252" w14:paraId="60641936" w14:textId="77777777" w:rsidTr="00F80365">
        <w:trPr>
          <w:trHeight w:val="254"/>
        </w:trPr>
        <w:tc>
          <w:tcPr>
            <w:tcW w:w="290" w:type="pct"/>
            <w:tcBorders>
              <w:top w:val="single" w:sz="4" w:space="0" w:color="auto"/>
              <w:left w:val="single" w:sz="4" w:space="0" w:color="auto"/>
              <w:bottom w:val="single" w:sz="4" w:space="0" w:color="auto"/>
              <w:right w:val="single" w:sz="4" w:space="0" w:color="auto"/>
            </w:tcBorders>
            <w:vAlign w:val="center"/>
          </w:tcPr>
          <w:p w14:paraId="3CDB287C" w14:textId="77777777" w:rsidR="00E62252" w:rsidRPr="00E62252" w:rsidRDefault="00E62252" w:rsidP="00F80365">
            <w:pPr>
              <w:pStyle w:val="Default"/>
              <w:jc w:val="both"/>
              <w:rPr>
                <w:b/>
                <w:noProof/>
                <w:lang w:val="en-US"/>
              </w:rPr>
            </w:pPr>
          </w:p>
        </w:tc>
        <w:tc>
          <w:tcPr>
            <w:tcW w:w="2681" w:type="pct"/>
            <w:tcBorders>
              <w:top w:val="single" w:sz="4" w:space="0" w:color="auto"/>
              <w:left w:val="single" w:sz="4" w:space="0" w:color="auto"/>
              <w:bottom w:val="single" w:sz="4" w:space="0" w:color="auto"/>
              <w:right w:val="single" w:sz="4" w:space="0" w:color="auto"/>
            </w:tcBorders>
            <w:vAlign w:val="center"/>
          </w:tcPr>
          <w:p w14:paraId="3EACF204" w14:textId="77777777" w:rsidR="00E62252" w:rsidRPr="00E62252" w:rsidRDefault="00E62252" w:rsidP="00F80365">
            <w:pPr>
              <w:pStyle w:val="Default"/>
              <w:jc w:val="both"/>
              <w:rPr>
                <w:noProof/>
              </w:rPr>
            </w:pPr>
            <w:r>
              <w:t>Nebija atlikusi neviena drošības barjera.</w:t>
            </w:r>
          </w:p>
        </w:tc>
        <w:tc>
          <w:tcPr>
            <w:tcW w:w="2029" w:type="pct"/>
            <w:tcBorders>
              <w:top w:val="single" w:sz="4" w:space="0" w:color="auto"/>
              <w:left w:val="single" w:sz="4" w:space="0" w:color="auto"/>
              <w:bottom w:val="single" w:sz="4" w:space="0" w:color="auto"/>
              <w:right w:val="single" w:sz="4" w:space="0" w:color="auto"/>
            </w:tcBorders>
            <w:vAlign w:val="center"/>
          </w:tcPr>
          <w:p w14:paraId="0BCD5C8C" w14:textId="77777777" w:rsidR="00E62252" w:rsidRPr="00E62252" w:rsidRDefault="00E62252" w:rsidP="00F80365">
            <w:pPr>
              <w:pStyle w:val="Default"/>
              <w:jc w:val="both"/>
              <w:rPr>
                <w:noProof/>
              </w:rPr>
            </w:pPr>
            <w:r>
              <w:rPr>
                <w:rStyle w:val="shorttext"/>
                <w:b/>
                <w:bCs/>
                <w:u w:val="single"/>
              </w:rPr>
              <w:t>Paaugstiniet</w:t>
            </w:r>
            <w:r>
              <w:rPr>
                <w:rStyle w:val="shorttext"/>
              </w:rPr>
              <w:t xml:space="preserve"> smaguma pakāpi par vienu līmeni.</w:t>
            </w:r>
          </w:p>
        </w:tc>
      </w:tr>
      <w:tr w:rsidR="00E62252" w:rsidRPr="00E62252" w14:paraId="3AFF8A1E" w14:textId="77777777" w:rsidTr="00F80365">
        <w:trPr>
          <w:trHeight w:val="370"/>
        </w:trPr>
        <w:tc>
          <w:tcPr>
            <w:tcW w:w="290" w:type="pct"/>
            <w:tcBorders>
              <w:top w:val="single" w:sz="4" w:space="0" w:color="auto"/>
              <w:left w:val="single" w:sz="4" w:space="0" w:color="auto"/>
              <w:bottom w:val="single" w:sz="4" w:space="0" w:color="auto"/>
              <w:right w:val="single" w:sz="4" w:space="0" w:color="auto"/>
            </w:tcBorders>
            <w:vAlign w:val="center"/>
          </w:tcPr>
          <w:p w14:paraId="7B2808DA" w14:textId="77777777" w:rsidR="00E62252" w:rsidRPr="00E62252" w:rsidRDefault="00E62252" w:rsidP="00F80365">
            <w:pPr>
              <w:pStyle w:val="Default"/>
              <w:jc w:val="both"/>
              <w:rPr>
                <w:b/>
                <w:noProof/>
                <w:lang w:val="en-US"/>
              </w:rPr>
            </w:pPr>
          </w:p>
        </w:tc>
        <w:tc>
          <w:tcPr>
            <w:tcW w:w="2681" w:type="pct"/>
            <w:tcBorders>
              <w:top w:val="single" w:sz="4" w:space="0" w:color="auto"/>
              <w:left w:val="single" w:sz="4" w:space="0" w:color="auto"/>
              <w:bottom w:val="single" w:sz="4" w:space="0" w:color="auto"/>
              <w:right w:val="single" w:sz="4" w:space="0" w:color="auto"/>
            </w:tcBorders>
            <w:vAlign w:val="center"/>
          </w:tcPr>
          <w:p w14:paraId="49E88409" w14:textId="77777777" w:rsidR="00E62252" w:rsidRPr="00E62252" w:rsidRDefault="00E62252" w:rsidP="00F80365">
            <w:pPr>
              <w:pStyle w:val="Default"/>
              <w:jc w:val="both"/>
              <w:rPr>
                <w:noProof/>
              </w:rPr>
            </w:pPr>
            <w:r>
              <w:t>Tas nekļuva par smagu negadījumu tikai sagadīšanās vai ārēju apstākļu (laikapstākļu, ārkārtējas vai neapmācītu cilvēku darbības vai rīcības...) dēļ.</w:t>
            </w:r>
          </w:p>
        </w:tc>
        <w:tc>
          <w:tcPr>
            <w:tcW w:w="2029" w:type="pct"/>
            <w:tcBorders>
              <w:top w:val="single" w:sz="4" w:space="0" w:color="auto"/>
              <w:left w:val="single" w:sz="4" w:space="0" w:color="auto"/>
              <w:bottom w:val="single" w:sz="4" w:space="0" w:color="auto"/>
              <w:right w:val="single" w:sz="4" w:space="0" w:color="auto"/>
            </w:tcBorders>
            <w:vAlign w:val="center"/>
          </w:tcPr>
          <w:p w14:paraId="781E3C63" w14:textId="77777777" w:rsidR="00E62252" w:rsidRPr="00E62252" w:rsidRDefault="00E62252" w:rsidP="00F80365">
            <w:pPr>
              <w:pStyle w:val="Default"/>
              <w:jc w:val="both"/>
              <w:rPr>
                <w:noProof/>
              </w:rPr>
            </w:pPr>
            <w:r>
              <w:rPr>
                <w:rStyle w:val="shorttext"/>
                <w:b/>
                <w:bCs/>
                <w:u w:val="single"/>
              </w:rPr>
              <w:t>Saglabājiet</w:t>
            </w:r>
            <w:r>
              <w:rPr>
                <w:rStyle w:val="shorttext"/>
              </w:rPr>
              <w:t xml:space="preserve"> noteikto smaguma pakāpi.</w:t>
            </w:r>
          </w:p>
        </w:tc>
      </w:tr>
      <w:tr w:rsidR="00E62252" w:rsidRPr="00E62252" w14:paraId="3F175394" w14:textId="77777777" w:rsidTr="00F80365">
        <w:trPr>
          <w:trHeight w:val="740"/>
        </w:trPr>
        <w:tc>
          <w:tcPr>
            <w:tcW w:w="290" w:type="pct"/>
            <w:tcBorders>
              <w:top w:val="single" w:sz="4" w:space="0" w:color="auto"/>
              <w:left w:val="single" w:sz="4" w:space="0" w:color="auto"/>
              <w:bottom w:val="single" w:sz="4" w:space="0" w:color="auto"/>
              <w:right w:val="single" w:sz="4" w:space="0" w:color="auto"/>
            </w:tcBorders>
            <w:vAlign w:val="center"/>
          </w:tcPr>
          <w:p w14:paraId="786266F4" w14:textId="77777777" w:rsidR="00E62252" w:rsidRPr="00E62252" w:rsidRDefault="00E62252" w:rsidP="00F80365">
            <w:pPr>
              <w:pStyle w:val="Default"/>
              <w:jc w:val="both"/>
              <w:rPr>
                <w:b/>
                <w:noProof/>
                <w:lang w:val="en-US"/>
              </w:rPr>
            </w:pPr>
          </w:p>
        </w:tc>
        <w:tc>
          <w:tcPr>
            <w:tcW w:w="2681" w:type="pct"/>
            <w:tcBorders>
              <w:top w:val="single" w:sz="4" w:space="0" w:color="auto"/>
              <w:left w:val="single" w:sz="4" w:space="0" w:color="auto"/>
              <w:bottom w:val="single" w:sz="4" w:space="0" w:color="auto"/>
              <w:right w:val="single" w:sz="4" w:space="0" w:color="auto"/>
            </w:tcBorders>
            <w:vAlign w:val="center"/>
          </w:tcPr>
          <w:p w14:paraId="72149879" w14:textId="77777777" w:rsidR="00E62252" w:rsidRPr="00E62252" w:rsidRDefault="00E62252" w:rsidP="00F80365">
            <w:pPr>
              <w:pStyle w:val="Default"/>
              <w:jc w:val="both"/>
              <w:rPr>
                <w:noProof/>
              </w:rPr>
            </w:pPr>
            <w:r>
              <w:t>Atlikusi tikai viena vai divas drošības barjeras, taču tās bija atkarīgas no atbilstošas cilvēka darbības vai rīcības (“mīkstā” barjera, piemēram, noteikumi vai procedūras...).</w:t>
            </w:r>
          </w:p>
        </w:tc>
        <w:tc>
          <w:tcPr>
            <w:tcW w:w="2029" w:type="pct"/>
            <w:tcBorders>
              <w:top w:val="single" w:sz="4" w:space="0" w:color="auto"/>
              <w:left w:val="single" w:sz="4" w:space="0" w:color="auto"/>
              <w:bottom w:val="single" w:sz="4" w:space="0" w:color="auto"/>
              <w:right w:val="single" w:sz="4" w:space="0" w:color="auto"/>
            </w:tcBorders>
            <w:vAlign w:val="center"/>
          </w:tcPr>
          <w:p w14:paraId="1B2A4149" w14:textId="77777777" w:rsidR="00E62252" w:rsidRPr="00E62252" w:rsidRDefault="00E62252" w:rsidP="00F80365">
            <w:pPr>
              <w:pStyle w:val="Default"/>
              <w:jc w:val="both"/>
              <w:rPr>
                <w:noProof/>
              </w:rPr>
            </w:pPr>
            <w:r>
              <w:rPr>
                <w:rStyle w:val="shorttext"/>
                <w:b/>
                <w:bCs/>
                <w:u w:val="single"/>
              </w:rPr>
              <w:t>Pazeminiet</w:t>
            </w:r>
            <w:r>
              <w:rPr>
                <w:rStyle w:val="shorttext"/>
              </w:rPr>
              <w:t xml:space="preserve"> smaguma pakāpi par vienu līmeni.</w:t>
            </w:r>
          </w:p>
        </w:tc>
      </w:tr>
      <w:tr w:rsidR="00E62252" w:rsidRPr="00E62252" w14:paraId="70AA7B43" w14:textId="77777777" w:rsidTr="00F80365">
        <w:trPr>
          <w:trHeight w:val="498"/>
        </w:trPr>
        <w:tc>
          <w:tcPr>
            <w:tcW w:w="290" w:type="pct"/>
            <w:tcBorders>
              <w:top w:val="single" w:sz="4" w:space="0" w:color="auto"/>
              <w:left w:val="single" w:sz="4" w:space="0" w:color="auto"/>
              <w:bottom w:val="nil"/>
              <w:right w:val="single" w:sz="4" w:space="0" w:color="auto"/>
            </w:tcBorders>
            <w:vAlign w:val="center"/>
          </w:tcPr>
          <w:p w14:paraId="7CEE283B" w14:textId="77777777" w:rsidR="00E62252" w:rsidRPr="00E62252" w:rsidRDefault="00E62252" w:rsidP="00F80365">
            <w:pPr>
              <w:pStyle w:val="Default"/>
              <w:jc w:val="both"/>
              <w:rPr>
                <w:b/>
                <w:noProof/>
                <w:lang w:val="en-US"/>
              </w:rPr>
            </w:pPr>
          </w:p>
        </w:tc>
        <w:tc>
          <w:tcPr>
            <w:tcW w:w="2681" w:type="pct"/>
            <w:tcBorders>
              <w:top w:val="single" w:sz="4" w:space="0" w:color="auto"/>
              <w:left w:val="single" w:sz="4" w:space="0" w:color="auto"/>
              <w:bottom w:val="nil"/>
              <w:right w:val="single" w:sz="4" w:space="0" w:color="auto"/>
            </w:tcBorders>
            <w:vAlign w:val="center"/>
          </w:tcPr>
          <w:p w14:paraId="578A6CF9" w14:textId="77777777" w:rsidR="00E62252" w:rsidRPr="00E62252" w:rsidRDefault="00E62252" w:rsidP="00F80365">
            <w:pPr>
              <w:pStyle w:val="Default"/>
              <w:jc w:val="both"/>
              <w:rPr>
                <w:noProof/>
              </w:rPr>
            </w:pPr>
            <w:r>
              <w:t xml:space="preserve">Bija vismaz viena tehniskās drošības barjera (“aktīva” barjera, piemēram, </w:t>
            </w:r>
            <w:proofErr w:type="spellStart"/>
            <w:r>
              <w:rPr>
                <w:i/>
                <w:iCs/>
              </w:rPr>
              <w:t>ATP</w:t>
            </w:r>
            <w:proofErr w:type="spellEnd"/>
            <w:r>
              <w:t>, fiziska barjera...).</w:t>
            </w:r>
          </w:p>
        </w:tc>
        <w:tc>
          <w:tcPr>
            <w:tcW w:w="2029" w:type="pct"/>
            <w:tcBorders>
              <w:top w:val="single" w:sz="4" w:space="0" w:color="auto"/>
              <w:left w:val="single" w:sz="4" w:space="0" w:color="auto"/>
              <w:bottom w:val="nil"/>
              <w:right w:val="single" w:sz="4" w:space="0" w:color="auto"/>
            </w:tcBorders>
            <w:vAlign w:val="center"/>
          </w:tcPr>
          <w:p w14:paraId="74836AF0" w14:textId="77777777" w:rsidR="00E62252" w:rsidRPr="00E62252" w:rsidRDefault="00E62252" w:rsidP="00F80365">
            <w:pPr>
              <w:pStyle w:val="Default"/>
              <w:jc w:val="both"/>
              <w:rPr>
                <w:noProof/>
              </w:rPr>
            </w:pPr>
            <w:r>
              <w:rPr>
                <w:rStyle w:val="shorttext"/>
                <w:b/>
                <w:bCs/>
                <w:u w:val="single"/>
              </w:rPr>
              <w:t>Pazeminiet</w:t>
            </w:r>
            <w:r>
              <w:rPr>
                <w:rStyle w:val="shorttext"/>
              </w:rPr>
              <w:t xml:space="preserve"> smaguma pakāpi par diviem līmeņiem.</w:t>
            </w:r>
          </w:p>
        </w:tc>
      </w:tr>
    </w:tbl>
    <w:tbl>
      <w:tblPr>
        <w:tblStyle w:val="TableGrid"/>
        <w:tblW w:w="5000" w:type="pct"/>
        <w:tblBorders>
          <w:top w:val="double" w:sz="4"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28"/>
        <w:gridCol w:w="7034"/>
      </w:tblGrid>
      <w:tr w:rsidR="00E62252" w:rsidRPr="00E62252" w14:paraId="04D4179C" w14:textId="77777777" w:rsidTr="00F80365">
        <w:trPr>
          <w:trHeight w:val="1017"/>
        </w:trPr>
        <w:tc>
          <w:tcPr>
            <w:tcW w:w="1119" w:type="pct"/>
          </w:tcPr>
          <w:p w14:paraId="57479FC4" w14:textId="77777777" w:rsidR="00E62252" w:rsidRPr="00E62252" w:rsidRDefault="00E62252" w:rsidP="00F80365">
            <w:pPr>
              <w:jc w:val="both"/>
              <w:rPr>
                <w:rFonts w:ascii="Times New Roman" w:hAnsi="Times New Roman" w:cs="Times New Roman"/>
                <w:noProof/>
                <w:sz w:val="24"/>
                <w:szCs w:val="24"/>
                <w:u w:val="single"/>
              </w:rPr>
            </w:pPr>
            <w:r>
              <w:rPr>
                <w:rFonts w:ascii="Times New Roman" w:hAnsi="Times New Roman"/>
                <w:sz w:val="24"/>
                <w:u w:val="single"/>
              </w:rPr>
              <w:t>Piezīmes:</w:t>
            </w:r>
          </w:p>
        </w:tc>
        <w:tc>
          <w:tcPr>
            <w:tcW w:w="3881" w:type="pct"/>
          </w:tcPr>
          <w:p w14:paraId="71C907BA" w14:textId="77777777" w:rsidR="00E62252" w:rsidRPr="00E62252" w:rsidRDefault="00E62252" w:rsidP="00F80365">
            <w:pPr>
              <w:jc w:val="both"/>
              <w:rPr>
                <w:rStyle w:val="shorttext"/>
                <w:rFonts w:ascii="Times New Roman" w:hAnsi="Times New Roman" w:cs="Times New Roman"/>
                <w:noProof/>
                <w:sz w:val="24"/>
                <w:szCs w:val="24"/>
                <w:lang w:val="en-US"/>
              </w:rPr>
            </w:pPr>
          </w:p>
          <w:p w14:paraId="483A6F7E" w14:textId="77777777" w:rsidR="00E62252" w:rsidRPr="00E62252" w:rsidRDefault="00E62252" w:rsidP="00F80365">
            <w:pPr>
              <w:jc w:val="both"/>
              <w:rPr>
                <w:rFonts w:ascii="Times New Roman" w:hAnsi="Times New Roman" w:cs="Times New Roman"/>
                <w:noProof/>
                <w:sz w:val="24"/>
                <w:szCs w:val="24"/>
                <w:lang w:val="en-US"/>
              </w:rPr>
            </w:pPr>
          </w:p>
        </w:tc>
      </w:tr>
    </w:tbl>
    <w:p w14:paraId="579A5F30" w14:textId="77777777" w:rsidR="00E62252" w:rsidRPr="00E62252" w:rsidRDefault="00E62252" w:rsidP="00E62252">
      <w:pPr>
        <w:spacing w:after="0" w:line="240" w:lineRule="auto"/>
        <w:jc w:val="both"/>
        <w:rPr>
          <w:rFonts w:ascii="Times New Roman" w:hAnsi="Times New Roman" w:cs="Times New Roman"/>
          <w:smallCaps/>
          <w:noProof/>
          <w:sz w:val="24"/>
          <w:szCs w:val="24"/>
        </w:rPr>
      </w:pPr>
      <w:r>
        <w:rPr>
          <w:rFonts w:ascii="Times New Roman" w:hAnsi="Times New Roman"/>
          <w:smallCaps/>
          <w:sz w:val="24"/>
        </w:rPr>
        <w:t>Notikuma kritiskuma pakāpes novērtēšana</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525"/>
        <w:gridCol w:w="1048"/>
        <w:gridCol w:w="7489"/>
      </w:tblGrid>
      <w:tr w:rsidR="00E62252" w:rsidRPr="00E62252" w14:paraId="4C0E2520" w14:textId="77777777" w:rsidTr="00F80365">
        <w:trPr>
          <w:trHeight w:val="477"/>
        </w:trPr>
        <w:tc>
          <w:tcPr>
            <w:tcW w:w="290" w:type="pct"/>
            <w:tcBorders>
              <w:bottom w:val="single" w:sz="4" w:space="0" w:color="auto"/>
            </w:tcBorders>
            <w:shd w:val="clear" w:color="auto" w:fill="FFFFFF" w:themeFill="background1"/>
            <w:vAlign w:val="center"/>
          </w:tcPr>
          <w:p w14:paraId="58429206" w14:textId="77777777" w:rsidR="00E62252" w:rsidRPr="00E62252" w:rsidRDefault="00E62252" w:rsidP="00F80365">
            <w:pPr>
              <w:jc w:val="both"/>
              <w:rPr>
                <w:rFonts w:ascii="Times New Roman" w:hAnsi="Times New Roman" w:cs="Times New Roman"/>
                <w:b/>
                <w:noProof/>
                <w:sz w:val="24"/>
                <w:szCs w:val="24"/>
                <w:lang w:val="en-US"/>
              </w:rPr>
            </w:pPr>
          </w:p>
        </w:tc>
        <w:tc>
          <w:tcPr>
            <w:tcW w:w="578" w:type="pct"/>
            <w:tcBorders>
              <w:bottom w:val="single" w:sz="4" w:space="0" w:color="auto"/>
            </w:tcBorders>
            <w:shd w:val="clear" w:color="auto" w:fill="FF0000"/>
            <w:vAlign w:val="center"/>
          </w:tcPr>
          <w:p w14:paraId="0CE8C501" w14:textId="77777777" w:rsidR="00E62252" w:rsidRPr="00E62252" w:rsidRDefault="00E62252" w:rsidP="00F80365">
            <w:pPr>
              <w:jc w:val="both"/>
              <w:rPr>
                <w:rFonts w:ascii="Times New Roman" w:hAnsi="Times New Roman" w:cs="Times New Roman"/>
                <w:smallCaps/>
                <w:noProof/>
                <w:sz w:val="24"/>
                <w:szCs w:val="24"/>
              </w:rPr>
            </w:pPr>
            <w:r>
              <w:rPr>
                <w:rFonts w:ascii="Times New Roman" w:hAnsi="Times New Roman"/>
                <w:smallCaps/>
                <w:sz w:val="24"/>
              </w:rPr>
              <w:t>Augsta</w:t>
            </w:r>
          </w:p>
        </w:tc>
        <w:tc>
          <w:tcPr>
            <w:tcW w:w="4133" w:type="pct"/>
            <w:vAlign w:val="center"/>
          </w:tcPr>
          <w:p w14:paraId="58DA5C27"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Formāla izmeklēšana</w:t>
            </w:r>
          </w:p>
        </w:tc>
      </w:tr>
      <w:tr w:rsidR="00E62252" w:rsidRPr="00E62252" w14:paraId="4CDD8862" w14:textId="77777777" w:rsidTr="00F80365">
        <w:tc>
          <w:tcPr>
            <w:tcW w:w="290" w:type="pct"/>
            <w:tcBorders>
              <w:bottom w:val="single" w:sz="4" w:space="0" w:color="auto"/>
            </w:tcBorders>
            <w:shd w:val="clear" w:color="auto" w:fill="FFFFFF" w:themeFill="background1"/>
            <w:vAlign w:val="center"/>
          </w:tcPr>
          <w:p w14:paraId="55B3181D" w14:textId="77777777" w:rsidR="00E62252" w:rsidRPr="00E62252" w:rsidRDefault="00E62252" w:rsidP="00F80365">
            <w:pPr>
              <w:jc w:val="both"/>
              <w:rPr>
                <w:rFonts w:ascii="Times New Roman" w:hAnsi="Times New Roman" w:cs="Times New Roman"/>
                <w:b/>
                <w:noProof/>
                <w:sz w:val="24"/>
                <w:szCs w:val="24"/>
                <w:lang w:val="en-US"/>
              </w:rPr>
            </w:pPr>
          </w:p>
        </w:tc>
        <w:tc>
          <w:tcPr>
            <w:tcW w:w="578" w:type="pct"/>
            <w:tcBorders>
              <w:bottom w:val="single" w:sz="4" w:space="0" w:color="auto"/>
            </w:tcBorders>
            <w:shd w:val="clear" w:color="auto" w:fill="FFFF00"/>
            <w:vAlign w:val="center"/>
          </w:tcPr>
          <w:p w14:paraId="52B0E20E" w14:textId="77777777" w:rsidR="00E62252" w:rsidRPr="00E62252" w:rsidRDefault="00E62252" w:rsidP="00F80365">
            <w:pPr>
              <w:jc w:val="both"/>
              <w:rPr>
                <w:rFonts w:ascii="Times New Roman" w:hAnsi="Times New Roman" w:cs="Times New Roman"/>
                <w:smallCaps/>
                <w:noProof/>
                <w:sz w:val="24"/>
                <w:szCs w:val="24"/>
              </w:rPr>
            </w:pPr>
            <w:r>
              <w:rPr>
                <w:rFonts w:ascii="Times New Roman" w:hAnsi="Times New Roman"/>
                <w:smallCaps/>
                <w:sz w:val="24"/>
              </w:rPr>
              <w:t>Vidēja</w:t>
            </w:r>
          </w:p>
        </w:tc>
        <w:tc>
          <w:tcPr>
            <w:tcW w:w="4133" w:type="pct"/>
            <w:vAlign w:val="center"/>
          </w:tcPr>
          <w:p w14:paraId="66DD24E6"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 xml:space="preserve">Novērtējiet kopsavilkuma izmeklēšanu / formālu izmeklēšanu / drošības pētījumu, apsverot paredzamās priekšrocības un </w:t>
            </w:r>
            <w:proofErr w:type="spellStart"/>
            <w:r>
              <w:rPr>
                <w:rFonts w:ascii="Times New Roman" w:hAnsi="Times New Roman"/>
                <w:i/>
                <w:iCs/>
                <w:sz w:val="24"/>
              </w:rPr>
              <w:t>NIB</w:t>
            </w:r>
            <w:proofErr w:type="spellEnd"/>
            <w:r>
              <w:rPr>
                <w:rFonts w:ascii="Times New Roman" w:hAnsi="Times New Roman"/>
                <w:sz w:val="24"/>
              </w:rPr>
              <w:t xml:space="preserve"> resursu pieejamību.</w:t>
            </w:r>
          </w:p>
        </w:tc>
      </w:tr>
      <w:tr w:rsidR="00E62252" w:rsidRPr="00E62252" w14:paraId="63689A8D" w14:textId="77777777" w:rsidTr="00F80365">
        <w:trPr>
          <w:trHeight w:val="490"/>
        </w:trPr>
        <w:tc>
          <w:tcPr>
            <w:tcW w:w="290" w:type="pct"/>
            <w:shd w:val="clear" w:color="auto" w:fill="FFFFFF" w:themeFill="background1"/>
            <w:vAlign w:val="center"/>
          </w:tcPr>
          <w:p w14:paraId="69C608F7" w14:textId="77777777" w:rsidR="00E62252" w:rsidRPr="00E62252" w:rsidRDefault="00E62252" w:rsidP="00F80365">
            <w:pPr>
              <w:jc w:val="both"/>
              <w:rPr>
                <w:rFonts w:ascii="Times New Roman" w:hAnsi="Times New Roman" w:cs="Times New Roman"/>
                <w:b/>
                <w:noProof/>
                <w:sz w:val="24"/>
                <w:szCs w:val="24"/>
                <w:lang w:val="en-US"/>
              </w:rPr>
            </w:pPr>
          </w:p>
        </w:tc>
        <w:tc>
          <w:tcPr>
            <w:tcW w:w="578" w:type="pct"/>
            <w:shd w:val="clear" w:color="auto" w:fill="92D050"/>
            <w:vAlign w:val="center"/>
          </w:tcPr>
          <w:p w14:paraId="6D52E51D" w14:textId="77777777" w:rsidR="00E62252" w:rsidRPr="00E62252" w:rsidRDefault="00E62252" w:rsidP="00F80365">
            <w:pPr>
              <w:jc w:val="both"/>
              <w:rPr>
                <w:rFonts w:ascii="Times New Roman" w:hAnsi="Times New Roman" w:cs="Times New Roman"/>
                <w:smallCaps/>
                <w:noProof/>
                <w:sz w:val="24"/>
                <w:szCs w:val="24"/>
              </w:rPr>
            </w:pPr>
            <w:r>
              <w:rPr>
                <w:rFonts w:ascii="Times New Roman" w:hAnsi="Times New Roman"/>
                <w:smallCaps/>
                <w:sz w:val="24"/>
              </w:rPr>
              <w:t>Zema</w:t>
            </w:r>
          </w:p>
        </w:tc>
        <w:tc>
          <w:tcPr>
            <w:tcW w:w="4133" w:type="pct"/>
            <w:vAlign w:val="center"/>
          </w:tcPr>
          <w:p w14:paraId="202C6D44" w14:textId="77777777" w:rsidR="00E62252" w:rsidRPr="00E62252" w:rsidRDefault="00E62252" w:rsidP="00F80365">
            <w:pPr>
              <w:jc w:val="both"/>
              <w:rPr>
                <w:rFonts w:ascii="Times New Roman" w:hAnsi="Times New Roman" w:cs="Times New Roman"/>
                <w:noProof/>
                <w:sz w:val="24"/>
                <w:szCs w:val="24"/>
              </w:rPr>
            </w:pPr>
            <w:r>
              <w:rPr>
                <w:rFonts w:ascii="Times New Roman" w:hAnsi="Times New Roman"/>
                <w:sz w:val="24"/>
              </w:rPr>
              <w:t>Arhīvs – reģistrē datubāzē</w:t>
            </w:r>
          </w:p>
        </w:tc>
      </w:tr>
    </w:tbl>
    <w:p w14:paraId="3EFDECB0" w14:textId="77777777" w:rsidR="00E62252" w:rsidRPr="00E62252" w:rsidRDefault="00E62252" w:rsidP="00E62252">
      <w:pPr>
        <w:spacing w:after="0" w:line="240" w:lineRule="auto"/>
        <w:jc w:val="both"/>
        <w:rPr>
          <w:rFonts w:ascii="Times New Roman" w:hAnsi="Times New Roman" w:cs="Times New Roman"/>
          <w:noProof/>
          <w:sz w:val="24"/>
          <w:szCs w:val="24"/>
          <w:lang w:val="en-US"/>
        </w:rPr>
      </w:pPr>
    </w:p>
    <w:p w14:paraId="2E6DF122" w14:textId="77777777" w:rsidR="00E62252" w:rsidRPr="00E62252" w:rsidRDefault="00E62252" w:rsidP="00E62252">
      <w:pPr>
        <w:spacing w:after="0" w:line="240" w:lineRule="auto"/>
        <w:jc w:val="both"/>
        <w:rPr>
          <w:rFonts w:ascii="Times New Roman" w:hAnsi="Times New Roman" w:cs="Times New Roman"/>
          <w:noProof/>
          <w:sz w:val="24"/>
          <w:szCs w:val="24"/>
        </w:rPr>
      </w:pPr>
      <w:r>
        <w:br w:type="page"/>
      </w:r>
    </w:p>
    <w:p w14:paraId="4AC86CFC" w14:textId="77777777" w:rsidR="00E62252" w:rsidRPr="00E62252" w:rsidRDefault="00E62252" w:rsidP="00E62252">
      <w:pPr>
        <w:pStyle w:val="Heading1"/>
        <w:numPr>
          <w:ilvl w:val="0"/>
          <w:numId w:val="0"/>
        </w:numPr>
        <w:spacing w:before="0" w:after="0" w:line="240" w:lineRule="auto"/>
        <w:jc w:val="both"/>
        <w:rPr>
          <w:rFonts w:ascii="Times New Roman" w:hAnsi="Times New Roman" w:cs="Times New Roman"/>
          <w:noProof/>
          <w:sz w:val="24"/>
          <w:szCs w:val="24"/>
        </w:rPr>
      </w:pPr>
      <w:bookmarkStart w:id="288" w:name="_Toc61364285"/>
      <w:bookmarkStart w:id="289" w:name="_Toc61364534"/>
      <w:bookmarkStart w:id="290" w:name="_Toc102478570"/>
      <w:bookmarkStart w:id="291" w:name="_Toc102575228"/>
      <w:bookmarkStart w:id="292" w:name="_Toc134605606"/>
      <w:r>
        <w:rPr>
          <w:rFonts w:ascii="Times New Roman" w:hAnsi="Times New Roman"/>
          <w:sz w:val="24"/>
        </w:rPr>
        <w:lastRenderedPageBreak/>
        <w:t>12. Atsauces</w:t>
      </w:r>
      <w:bookmarkEnd w:id="288"/>
      <w:bookmarkEnd w:id="289"/>
      <w:bookmarkEnd w:id="290"/>
      <w:bookmarkEnd w:id="291"/>
      <w:bookmarkEnd w:id="292"/>
    </w:p>
    <w:p w14:paraId="0609CBE7" w14:textId="77777777" w:rsidR="00E62252" w:rsidRPr="00E62252" w:rsidRDefault="00E62252" w:rsidP="00E62252">
      <w:pPr>
        <w:spacing w:after="0" w:line="240" w:lineRule="auto"/>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09"/>
        <w:gridCol w:w="4225"/>
        <w:gridCol w:w="2203"/>
        <w:gridCol w:w="1925"/>
      </w:tblGrid>
      <w:tr w:rsidR="00E62252" w:rsidRPr="00E62252" w14:paraId="2C81DE80" w14:textId="77777777" w:rsidTr="00F80365">
        <w:tc>
          <w:tcPr>
            <w:tcW w:w="448" w:type="pct"/>
            <w:shd w:val="clear" w:color="auto" w:fill="auto"/>
          </w:tcPr>
          <w:p w14:paraId="40E013EA" w14:textId="77777777" w:rsidR="00E62252" w:rsidRPr="00E62252" w:rsidRDefault="00E62252" w:rsidP="00F80365">
            <w:pPr>
              <w:pStyle w:val="Textcenterbold"/>
              <w:spacing w:before="0" w:after="0" w:line="240" w:lineRule="auto"/>
              <w:jc w:val="both"/>
              <w:rPr>
                <w:noProof/>
                <w:sz w:val="24"/>
                <w:szCs w:val="24"/>
              </w:rPr>
            </w:pPr>
            <w:r>
              <w:rPr>
                <w:sz w:val="24"/>
              </w:rPr>
              <w:t>Nr.</w:t>
            </w:r>
          </w:p>
        </w:tc>
        <w:tc>
          <w:tcPr>
            <w:tcW w:w="2388" w:type="pct"/>
          </w:tcPr>
          <w:p w14:paraId="6F68DE48" w14:textId="77777777" w:rsidR="00E62252" w:rsidRPr="00E62252" w:rsidRDefault="00E62252" w:rsidP="00F80365">
            <w:pPr>
              <w:pStyle w:val="Textcenterbold"/>
              <w:spacing w:before="0" w:after="0" w:line="240" w:lineRule="auto"/>
              <w:jc w:val="both"/>
              <w:rPr>
                <w:noProof/>
                <w:sz w:val="24"/>
                <w:szCs w:val="24"/>
              </w:rPr>
            </w:pPr>
            <w:r>
              <w:rPr>
                <w:sz w:val="24"/>
              </w:rPr>
              <w:t>Apraksts</w:t>
            </w:r>
          </w:p>
        </w:tc>
        <w:tc>
          <w:tcPr>
            <w:tcW w:w="1045" w:type="pct"/>
          </w:tcPr>
          <w:p w14:paraId="25246E0A" w14:textId="77777777" w:rsidR="00E62252" w:rsidRPr="00E62252" w:rsidRDefault="00E62252" w:rsidP="00F80365">
            <w:pPr>
              <w:pStyle w:val="Textcenterbold"/>
              <w:spacing w:before="0" w:after="0" w:line="240" w:lineRule="auto"/>
              <w:jc w:val="both"/>
              <w:rPr>
                <w:noProof/>
                <w:sz w:val="24"/>
                <w:szCs w:val="24"/>
              </w:rPr>
            </w:pPr>
            <w:r>
              <w:rPr>
                <w:sz w:val="24"/>
              </w:rPr>
              <w:t>Atsauce</w:t>
            </w:r>
          </w:p>
        </w:tc>
        <w:tc>
          <w:tcPr>
            <w:tcW w:w="1119" w:type="pct"/>
          </w:tcPr>
          <w:p w14:paraId="019E2F1B" w14:textId="77777777" w:rsidR="00E62252" w:rsidRPr="00E62252" w:rsidRDefault="00E62252" w:rsidP="00F80365">
            <w:pPr>
              <w:pStyle w:val="Textcenterbold"/>
              <w:spacing w:before="0" w:after="0" w:line="240" w:lineRule="auto"/>
              <w:jc w:val="both"/>
              <w:rPr>
                <w:noProof/>
                <w:sz w:val="24"/>
                <w:szCs w:val="24"/>
              </w:rPr>
            </w:pPr>
            <w:r>
              <w:rPr>
                <w:sz w:val="24"/>
              </w:rPr>
              <w:t>Redakcija</w:t>
            </w:r>
          </w:p>
        </w:tc>
      </w:tr>
      <w:tr w:rsidR="00E62252" w:rsidRPr="00E62252" w14:paraId="5F62F48A" w14:textId="77777777" w:rsidTr="00F80365">
        <w:tc>
          <w:tcPr>
            <w:tcW w:w="448" w:type="pct"/>
            <w:shd w:val="clear" w:color="auto" w:fill="auto"/>
          </w:tcPr>
          <w:p w14:paraId="0D41971E" w14:textId="77777777" w:rsidR="00E62252" w:rsidRPr="00E62252" w:rsidRDefault="00E62252" w:rsidP="00F80365">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sz w:val="24"/>
              </w:rPr>
              <w:t>/1./</w:t>
            </w:r>
          </w:p>
        </w:tc>
        <w:tc>
          <w:tcPr>
            <w:tcW w:w="2388" w:type="pct"/>
          </w:tcPr>
          <w:p w14:paraId="284F04DF"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Eiropas Parlamenta un Padomes Direktīva 2004/49/EK par drošību Kopienas dzelzceļos un par Padomes Direktīvas 95/18/EK par dzelzceļa pārvadājumu uzņēmumu licencēšanu un Direktīvas 2001/14/EK par dzelzceļa infrastruktūras jaudas sadali un maksas iekasēšanu par dzelzceļa infrastruktūras izmantošanu un drošības sertifikāciju grozījumiem (Dzelzceļu drošības direktīva)</w:t>
            </w:r>
          </w:p>
        </w:tc>
        <w:tc>
          <w:tcPr>
            <w:tcW w:w="1045" w:type="pct"/>
          </w:tcPr>
          <w:p w14:paraId="7A7AAC39"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Direktīva 2004/49</w:t>
            </w:r>
          </w:p>
          <w:p w14:paraId="4F2DFAA8"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tc>
        <w:tc>
          <w:tcPr>
            <w:tcW w:w="1119" w:type="pct"/>
          </w:tcPr>
          <w:p w14:paraId="31F5EF80"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Kļūdu labojums,</w:t>
            </w:r>
          </w:p>
          <w:p w14:paraId="42F1CDA1"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p w14:paraId="516A61F1"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kurā grozījumi izdarīti ar</w:t>
            </w:r>
          </w:p>
          <w:p w14:paraId="793C4D30"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p w14:paraId="196A2732"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Direktīvu 2008/57/EK,</w:t>
            </w:r>
          </w:p>
          <w:p w14:paraId="186E6D47"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Direktīvu 2008/110/EK, Direktīvu 2009/149/EK.</w:t>
            </w:r>
          </w:p>
        </w:tc>
      </w:tr>
      <w:tr w:rsidR="00E62252" w:rsidRPr="00E62252" w14:paraId="23A1AA48" w14:textId="77777777" w:rsidTr="00F80365">
        <w:tc>
          <w:tcPr>
            <w:tcW w:w="448" w:type="pct"/>
            <w:shd w:val="clear" w:color="auto" w:fill="auto"/>
          </w:tcPr>
          <w:p w14:paraId="724C315D" w14:textId="77777777" w:rsidR="00E62252" w:rsidRPr="00E62252" w:rsidRDefault="00E62252" w:rsidP="00F80365">
            <w:pPr>
              <w:spacing w:after="0" w:line="240" w:lineRule="auto"/>
              <w:jc w:val="both"/>
              <w:rPr>
                <w:rFonts w:ascii="Times New Roman" w:hAnsi="Times New Roman" w:cs="Times New Roman"/>
                <w:i/>
                <w:iCs/>
                <w:noProof/>
                <w:color w:val="0C4DA2"/>
                <w:sz w:val="24"/>
                <w:szCs w:val="24"/>
              </w:rPr>
            </w:pPr>
            <w:r>
              <w:rPr>
                <w:rFonts w:ascii="Times New Roman" w:hAnsi="Times New Roman"/>
                <w:i/>
                <w:color w:val="0C4DA2"/>
                <w:sz w:val="24"/>
              </w:rPr>
              <w:t>/2./</w:t>
            </w:r>
          </w:p>
        </w:tc>
        <w:tc>
          <w:tcPr>
            <w:tcW w:w="2388" w:type="pct"/>
          </w:tcPr>
          <w:p w14:paraId="700EB7D1"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Eiropas Parlamenta un Padomes 2016. gada 11. maija Regula (ES) 2016/796 par Eiropas Savienības Dzelzceļu aģentūru un ar ko atceļ Regulu (EK) Nr. 881/2004</w:t>
            </w:r>
          </w:p>
        </w:tc>
        <w:tc>
          <w:tcPr>
            <w:tcW w:w="1045" w:type="pct"/>
          </w:tcPr>
          <w:p w14:paraId="7FAEB0A7" w14:textId="77777777" w:rsidR="00E62252" w:rsidRPr="00E62252" w:rsidRDefault="00E62252" w:rsidP="00F80365">
            <w:pPr>
              <w:spacing w:after="0" w:line="240" w:lineRule="auto"/>
              <w:rPr>
                <w:rFonts w:ascii="Times New Roman" w:hAnsi="Times New Roman" w:cs="Times New Roman"/>
                <w:noProof/>
                <w:sz w:val="24"/>
                <w:szCs w:val="24"/>
              </w:rPr>
            </w:pPr>
            <w:r>
              <w:rPr>
                <w:rFonts w:ascii="Times New Roman" w:hAnsi="Times New Roman"/>
                <w:sz w:val="24"/>
              </w:rPr>
              <w:t>Regula (ES) 2016/798</w:t>
            </w:r>
          </w:p>
        </w:tc>
        <w:tc>
          <w:tcPr>
            <w:tcW w:w="1119" w:type="pct"/>
          </w:tcPr>
          <w:p w14:paraId="6BBBEDE0"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tc>
      </w:tr>
      <w:tr w:rsidR="00E62252" w:rsidRPr="00E62252" w14:paraId="7CEB5BC3" w14:textId="77777777" w:rsidTr="00F80365">
        <w:tc>
          <w:tcPr>
            <w:tcW w:w="448" w:type="pct"/>
            <w:shd w:val="clear" w:color="auto" w:fill="auto"/>
          </w:tcPr>
          <w:p w14:paraId="0C0E4208" w14:textId="77777777" w:rsidR="00E62252" w:rsidRPr="00E62252" w:rsidRDefault="00E62252" w:rsidP="00F80365">
            <w:pPr>
              <w:spacing w:after="0" w:line="240" w:lineRule="auto"/>
              <w:jc w:val="both"/>
              <w:rPr>
                <w:rFonts w:ascii="Times New Roman" w:hAnsi="Times New Roman" w:cs="Times New Roman"/>
                <w:i/>
                <w:iCs/>
                <w:noProof/>
                <w:color w:val="0C4DA2"/>
                <w:sz w:val="24"/>
                <w:szCs w:val="24"/>
              </w:rPr>
            </w:pPr>
            <w:r>
              <w:rPr>
                <w:rFonts w:ascii="Times New Roman" w:hAnsi="Times New Roman"/>
                <w:i/>
                <w:color w:val="0C4DA2"/>
                <w:sz w:val="24"/>
              </w:rPr>
              <w:t>/3./</w:t>
            </w:r>
          </w:p>
        </w:tc>
        <w:tc>
          <w:tcPr>
            <w:tcW w:w="2388" w:type="pct"/>
          </w:tcPr>
          <w:p w14:paraId="1A07F763"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Eiropas Parlamenta un Padomes 2016. gada 11. maija Direktīva (ES) 2016/798 par dzelzceļa drošību</w:t>
            </w:r>
          </w:p>
        </w:tc>
        <w:tc>
          <w:tcPr>
            <w:tcW w:w="1045" w:type="pct"/>
          </w:tcPr>
          <w:p w14:paraId="3EAA5992" w14:textId="77777777" w:rsidR="00E62252" w:rsidRPr="00E62252" w:rsidRDefault="00E62252" w:rsidP="00F80365">
            <w:pPr>
              <w:spacing w:after="0" w:line="240" w:lineRule="auto"/>
              <w:rPr>
                <w:rFonts w:ascii="Times New Roman" w:hAnsi="Times New Roman" w:cs="Times New Roman"/>
                <w:noProof/>
                <w:sz w:val="24"/>
                <w:szCs w:val="24"/>
              </w:rPr>
            </w:pPr>
            <w:r>
              <w:rPr>
                <w:rFonts w:ascii="Times New Roman" w:hAnsi="Times New Roman"/>
                <w:sz w:val="24"/>
              </w:rPr>
              <w:t>Direktīva 2016/798</w:t>
            </w:r>
          </w:p>
        </w:tc>
        <w:tc>
          <w:tcPr>
            <w:tcW w:w="1119" w:type="pct"/>
          </w:tcPr>
          <w:p w14:paraId="283B1041"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tc>
      </w:tr>
      <w:tr w:rsidR="00E62252" w:rsidRPr="00E62252" w14:paraId="7EAD1027" w14:textId="77777777" w:rsidTr="00F80365">
        <w:tc>
          <w:tcPr>
            <w:tcW w:w="448" w:type="pct"/>
            <w:shd w:val="clear" w:color="auto" w:fill="auto"/>
          </w:tcPr>
          <w:p w14:paraId="6C2C32FC" w14:textId="77777777" w:rsidR="00E62252" w:rsidRPr="00E62252" w:rsidRDefault="00E62252" w:rsidP="00F80365">
            <w:pPr>
              <w:spacing w:after="0" w:line="240" w:lineRule="auto"/>
              <w:jc w:val="both"/>
              <w:rPr>
                <w:rFonts w:ascii="Times New Roman" w:hAnsi="Times New Roman" w:cs="Times New Roman"/>
                <w:i/>
                <w:iCs/>
                <w:noProof/>
                <w:color w:val="0C4DA2"/>
                <w:sz w:val="24"/>
                <w:szCs w:val="24"/>
              </w:rPr>
            </w:pPr>
            <w:r>
              <w:rPr>
                <w:rFonts w:ascii="Times New Roman" w:hAnsi="Times New Roman"/>
                <w:i/>
                <w:color w:val="0C4DA2"/>
                <w:sz w:val="24"/>
              </w:rPr>
              <w:t>/4./</w:t>
            </w:r>
          </w:p>
        </w:tc>
        <w:tc>
          <w:tcPr>
            <w:tcW w:w="2388" w:type="pct"/>
          </w:tcPr>
          <w:p w14:paraId="76ACE428"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 xml:space="preserve">Eiropas Parlamenta un Padomes 2016. gada 11. maija Direktīva (ES) 2016/797 par dzelzceļa sistēmas savstarpēju </w:t>
            </w:r>
            <w:proofErr w:type="spellStart"/>
            <w:r>
              <w:rPr>
                <w:rFonts w:ascii="Times New Roman" w:hAnsi="Times New Roman"/>
                <w:sz w:val="24"/>
              </w:rPr>
              <w:t>izmantojamību</w:t>
            </w:r>
            <w:proofErr w:type="spellEnd"/>
            <w:r>
              <w:rPr>
                <w:rFonts w:ascii="Times New Roman" w:hAnsi="Times New Roman"/>
                <w:sz w:val="24"/>
              </w:rPr>
              <w:t xml:space="preserve"> Eiropas Savienībā</w:t>
            </w:r>
          </w:p>
        </w:tc>
        <w:tc>
          <w:tcPr>
            <w:tcW w:w="1045" w:type="pct"/>
          </w:tcPr>
          <w:p w14:paraId="61B9C10C" w14:textId="77777777" w:rsidR="00E62252" w:rsidRPr="00E62252" w:rsidRDefault="00E62252" w:rsidP="00F80365">
            <w:pPr>
              <w:spacing w:after="0" w:line="240" w:lineRule="auto"/>
              <w:rPr>
                <w:rFonts w:ascii="Times New Roman" w:hAnsi="Times New Roman" w:cs="Times New Roman"/>
                <w:noProof/>
                <w:sz w:val="24"/>
                <w:szCs w:val="24"/>
              </w:rPr>
            </w:pPr>
            <w:r>
              <w:rPr>
                <w:rFonts w:ascii="Times New Roman" w:hAnsi="Times New Roman"/>
                <w:sz w:val="24"/>
              </w:rPr>
              <w:t>Direktīva 2016/797</w:t>
            </w:r>
          </w:p>
        </w:tc>
        <w:tc>
          <w:tcPr>
            <w:tcW w:w="1119" w:type="pct"/>
          </w:tcPr>
          <w:p w14:paraId="2E2FE691"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tc>
      </w:tr>
      <w:tr w:rsidR="00E62252" w:rsidRPr="00E62252" w14:paraId="7C242154" w14:textId="77777777" w:rsidTr="00F80365">
        <w:tc>
          <w:tcPr>
            <w:tcW w:w="448" w:type="pct"/>
            <w:shd w:val="clear" w:color="auto" w:fill="auto"/>
          </w:tcPr>
          <w:p w14:paraId="5051B34F" w14:textId="77777777" w:rsidR="00E62252" w:rsidRPr="00E62252" w:rsidRDefault="00E62252" w:rsidP="00F80365">
            <w:pPr>
              <w:spacing w:after="0" w:line="240" w:lineRule="auto"/>
              <w:jc w:val="both"/>
              <w:rPr>
                <w:rFonts w:ascii="Times New Roman" w:hAnsi="Times New Roman" w:cs="Times New Roman"/>
                <w:i/>
                <w:iCs/>
                <w:noProof/>
                <w:color w:val="0C4DA2"/>
                <w:sz w:val="24"/>
                <w:szCs w:val="24"/>
              </w:rPr>
            </w:pPr>
            <w:r>
              <w:rPr>
                <w:rFonts w:ascii="Times New Roman" w:hAnsi="Times New Roman"/>
                <w:i/>
                <w:color w:val="0C4DA2"/>
                <w:sz w:val="24"/>
              </w:rPr>
              <w:t>/5./</w:t>
            </w:r>
          </w:p>
        </w:tc>
        <w:tc>
          <w:tcPr>
            <w:tcW w:w="2388" w:type="pct"/>
          </w:tcPr>
          <w:p w14:paraId="6958C360" w14:textId="77777777" w:rsidR="00E62252" w:rsidRPr="00E62252" w:rsidRDefault="00E62252" w:rsidP="00F80365">
            <w:pPr>
              <w:spacing w:after="0" w:line="240" w:lineRule="auto"/>
              <w:jc w:val="both"/>
              <w:rPr>
                <w:rFonts w:ascii="Times New Roman" w:hAnsi="Times New Roman" w:cs="Times New Roman"/>
                <w:noProof/>
                <w:sz w:val="24"/>
                <w:szCs w:val="24"/>
              </w:rPr>
            </w:pPr>
            <w:r>
              <w:rPr>
                <w:rFonts w:ascii="Times New Roman" w:hAnsi="Times New Roman"/>
                <w:sz w:val="24"/>
              </w:rPr>
              <w:t xml:space="preserve">Komisijas Īstenošanas 2020. gada 24. aprīļa regula (ES) 2020/572 par ziņojuma struktūru, kas jāievēro dzelzceļa negadījumu un starpgadījumu izmeklēšanas ziņojumos </w:t>
            </w:r>
          </w:p>
        </w:tc>
        <w:tc>
          <w:tcPr>
            <w:tcW w:w="1045" w:type="pct"/>
          </w:tcPr>
          <w:p w14:paraId="0D4C2660" w14:textId="77777777" w:rsidR="00E62252" w:rsidRPr="00E62252" w:rsidRDefault="00E62252" w:rsidP="00F80365">
            <w:pPr>
              <w:spacing w:after="0" w:line="240" w:lineRule="auto"/>
              <w:rPr>
                <w:rFonts w:ascii="Times New Roman" w:hAnsi="Times New Roman" w:cs="Times New Roman"/>
                <w:noProof/>
                <w:sz w:val="24"/>
                <w:szCs w:val="24"/>
              </w:rPr>
            </w:pPr>
            <w:r>
              <w:rPr>
                <w:rFonts w:ascii="Times New Roman" w:hAnsi="Times New Roman"/>
                <w:sz w:val="24"/>
              </w:rPr>
              <w:t>Regula 2020/572</w:t>
            </w:r>
          </w:p>
        </w:tc>
        <w:tc>
          <w:tcPr>
            <w:tcW w:w="1119" w:type="pct"/>
          </w:tcPr>
          <w:p w14:paraId="3D68E4F3" w14:textId="77777777" w:rsidR="00E62252" w:rsidRPr="00E62252" w:rsidRDefault="00E62252" w:rsidP="00F80365">
            <w:pPr>
              <w:spacing w:after="0" w:line="240" w:lineRule="auto"/>
              <w:jc w:val="both"/>
              <w:rPr>
                <w:rFonts w:ascii="Times New Roman" w:hAnsi="Times New Roman" w:cs="Times New Roman"/>
                <w:noProof/>
                <w:sz w:val="24"/>
                <w:szCs w:val="24"/>
                <w:lang w:val="en-US"/>
              </w:rPr>
            </w:pPr>
          </w:p>
        </w:tc>
      </w:tr>
    </w:tbl>
    <w:p w14:paraId="111F98AB" w14:textId="77777777" w:rsidR="00E62252" w:rsidRPr="00E62252" w:rsidRDefault="00E62252" w:rsidP="00E62252">
      <w:pPr>
        <w:spacing w:after="0" w:line="240" w:lineRule="auto"/>
        <w:jc w:val="both"/>
        <w:rPr>
          <w:rFonts w:ascii="Times New Roman" w:hAnsi="Times New Roman" w:cs="Times New Roman"/>
          <w:noProof/>
          <w:sz w:val="24"/>
          <w:szCs w:val="24"/>
          <w:lang w:val="en-US" w:eastAsia="en-GB"/>
        </w:rPr>
      </w:pPr>
    </w:p>
    <w:sectPr w:rsidR="00E62252" w:rsidRPr="00E62252" w:rsidSect="00BA553C">
      <w:headerReference w:type="default" r:id="rId16"/>
      <w:footerReference w:type="default" r:id="rId17"/>
      <w:headerReference w:type="first" r:id="rId18"/>
      <w:footerReference w:type="first" r:id="rId19"/>
      <w:type w:val="continuous"/>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9C85" w14:textId="77777777" w:rsidR="00AE0A29" w:rsidRPr="00E62252" w:rsidRDefault="00AE0A29" w:rsidP="00DD7C4E">
      <w:pPr>
        <w:rPr>
          <w:noProof/>
          <w:lang w:val="en-US"/>
        </w:rPr>
      </w:pPr>
      <w:r w:rsidRPr="00E62252">
        <w:rPr>
          <w:noProof/>
          <w:lang w:val="en-US"/>
        </w:rPr>
        <w:separator/>
      </w:r>
    </w:p>
    <w:p w14:paraId="03104DCC" w14:textId="77777777" w:rsidR="00AE0A29" w:rsidRPr="00E62252" w:rsidRDefault="00AE0A29" w:rsidP="00DD7C4E">
      <w:pPr>
        <w:rPr>
          <w:noProof/>
          <w:lang w:val="en-US"/>
        </w:rPr>
      </w:pPr>
    </w:p>
    <w:p w14:paraId="2385366C" w14:textId="77777777" w:rsidR="00AE0A29" w:rsidRPr="00E62252" w:rsidRDefault="00AE0A29">
      <w:pPr>
        <w:rPr>
          <w:noProof/>
          <w:lang w:val="en-US"/>
        </w:rPr>
      </w:pPr>
    </w:p>
  </w:endnote>
  <w:endnote w:type="continuationSeparator" w:id="0">
    <w:p w14:paraId="44966F91" w14:textId="77777777" w:rsidR="00AE0A29" w:rsidRPr="00E62252" w:rsidRDefault="00AE0A29" w:rsidP="00DD7C4E">
      <w:pPr>
        <w:rPr>
          <w:noProof/>
          <w:lang w:val="en-US"/>
        </w:rPr>
      </w:pPr>
      <w:r w:rsidRPr="00E62252">
        <w:rPr>
          <w:noProof/>
          <w:lang w:val="en-US"/>
        </w:rPr>
        <w:continuationSeparator/>
      </w:r>
    </w:p>
    <w:p w14:paraId="5A42F6B9" w14:textId="77777777" w:rsidR="00AE0A29" w:rsidRPr="00E62252" w:rsidRDefault="00AE0A29" w:rsidP="00DD7C4E">
      <w:pPr>
        <w:rPr>
          <w:noProof/>
          <w:lang w:val="en-US"/>
        </w:rPr>
      </w:pPr>
    </w:p>
    <w:p w14:paraId="56000A5F" w14:textId="77777777" w:rsidR="00AE0A29" w:rsidRPr="00E62252" w:rsidRDefault="00AE0A29">
      <w:pPr>
        <w:rPr>
          <w:noProof/>
          <w:lang w:val="en-US"/>
        </w:rPr>
      </w:pPr>
    </w:p>
  </w:endnote>
  <w:endnote w:type="continuationNotice" w:id="1">
    <w:p w14:paraId="7DAA7A56" w14:textId="77777777" w:rsidR="00AE0A29" w:rsidRPr="00E62252" w:rsidRDefault="00AE0A29" w:rsidP="00DD7C4E">
      <w:pPr>
        <w:rPr>
          <w:noProof/>
          <w:lang w:val="en-US"/>
        </w:rPr>
      </w:pPr>
    </w:p>
    <w:p w14:paraId="1024355F" w14:textId="77777777" w:rsidR="00AE0A29" w:rsidRPr="00E62252" w:rsidRDefault="00AE0A29" w:rsidP="00DD7C4E">
      <w:pPr>
        <w:rPr>
          <w:noProof/>
          <w:lang w:val="en-US"/>
        </w:rPr>
      </w:pPr>
    </w:p>
    <w:p w14:paraId="5820485D" w14:textId="77777777" w:rsidR="00AE0A29" w:rsidRPr="00E62252" w:rsidRDefault="00AE0A29">
      <w:pPr>
        <w:rPr>
          <w:noProof/>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5B32" w14:textId="77777777" w:rsidR="00026613" w:rsidRPr="00026613" w:rsidRDefault="00026613" w:rsidP="00026613">
    <w:pPr>
      <w:pStyle w:val="Header"/>
      <w:tabs>
        <w:tab w:val="left" w:pos="9072"/>
      </w:tabs>
      <w:jc w:val="both"/>
      <w:rPr>
        <w:rStyle w:val="PageNumber"/>
        <w:rFonts w:ascii="Times New Roman" w:hAnsi="Times New Roman" w:cs="Times New Roman"/>
        <w:noProof/>
        <w:color w:val="auto"/>
        <w:sz w:val="20"/>
        <w:szCs w:val="20"/>
        <w:lang w:val="en-US"/>
      </w:rPr>
    </w:pPr>
  </w:p>
  <w:p w14:paraId="15F54EBB" w14:textId="77777777" w:rsidR="00026613" w:rsidRPr="00026613" w:rsidRDefault="00026613" w:rsidP="00026613">
    <w:pPr>
      <w:pStyle w:val="Header"/>
      <w:tabs>
        <w:tab w:val="right" w:leader="underscore" w:pos="9072"/>
      </w:tabs>
      <w:jc w:val="both"/>
      <w:rPr>
        <w:rFonts w:ascii="Times New Roman" w:hAnsi="Times New Roman" w:cs="Times New Roman"/>
        <w:noProof/>
        <w:color w:val="auto"/>
        <w:sz w:val="20"/>
        <w:szCs w:val="20"/>
        <w:lang w:val="en-US"/>
      </w:rPr>
    </w:pPr>
    <w:r w:rsidRPr="00026613">
      <w:rPr>
        <w:rFonts w:ascii="Times New Roman" w:hAnsi="Times New Roman" w:cs="Times New Roman"/>
        <w:noProof/>
        <w:color w:val="auto"/>
        <w:sz w:val="20"/>
        <w:szCs w:val="20"/>
        <w:lang w:val="en-US"/>
      </w:rPr>
      <w:tab/>
    </w:r>
  </w:p>
  <w:p w14:paraId="7EDA0CEF" w14:textId="77777777" w:rsidR="00026613" w:rsidRPr="00026613" w:rsidRDefault="00026613" w:rsidP="00026613">
    <w:pPr>
      <w:pStyle w:val="Header"/>
      <w:tabs>
        <w:tab w:val="left" w:pos="3796"/>
      </w:tabs>
      <w:jc w:val="both"/>
      <w:rPr>
        <w:rStyle w:val="PageNumber"/>
        <w:rFonts w:ascii="Times New Roman" w:hAnsi="Times New Roman" w:cs="Times New Roman"/>
        <w:noProof/>
        <w:color w:val="auto"/>
        <w:sz w:val="20"/>
        <w:szCs w:val="20"/>
        <w:lang w:val="en-US"/>
      </w:rPr>
    </w:pPr>
    <w:r w:rsidRPr="00026613">
      <w:rPr>
        <w:rStyle w:val="PageNumber"/>
        <w:rFonts w:ascii="Times New Roman" w:hAnsi="Times New Roman" w:cs="Times New Roman"/>
        <w:noProof/>
        <w:color w:val="auto"/>
        <w:sz w:val="20"/>
        <w:szCs w:val="20"/>
        <w:lang w:val="en-US"/>
      </w:rPr>
      <w:tab/>
    </w:r>
  </w:p>
  <w:p w14:paraId="57BC1DAF" w14:textId="105C0479" w:rsidR="00E62252" w:rsidRPr="00026613" w:rsidRDefault="00026613" w:rsidP="00026613">
    <w:pPr>
      <w:pStyle w:val="Footer"/>
      <w:tabs>
        <w:tab w:val="clear" w:pos="4680"/>
        <w:tab w:val="center" w:pos="9072"/>
      </w:tabs>
      <w:jc w:val="both"/>
      <w:rPr>
        <w:rFonts w:ascii="Times New Roman" w:hAnsi="Times New Roman" w:cs="Times New Roman"/>
        <w:noProof/>
        <w:sz w:val="20"/>
        <w:szCs w:val="20"/>
        <w:lang w:val="en-US"/>
      </w:rPr>
    </w:pPr>
    <w:r w:rsidRPr="00026613">
      <w:rPr>
        <w:rFonts w:ascii="Times New Roman" w:hAnsi="Times New Roman" w:cs="Times New Roman"/>
        <w:noProof/>
        <w:sz w:val="20"/>
        <w:szCs w:val="20"/>
        <w:lang w:val="en-US"/>
      </w:rPr>
      <w:t xml:space="preserve">Tulkojums </w:t>
    </w:r>
    <w:r w:rsidRPr="00026613">
      <w:rPr>
        <w:rFonts w:ascii="Times New Roman" w:hAnsi="Times New Roman" w:cs="Times New Roman"/>
        <w:noProof/>
        <w:sz w:val="20"/>
        <w:szCs w:val="20"/>
        <w:lang w:val="en-US"/>
      </w:rPr>
      <w:fldChar w:fldCharType="begin"/>
    </w:r>
    <w:r w:rsidRPr="00026613">
      <w:rPr>
        <w:rFonts w:ascii="Times New Roman" w:hAnsi="Times New Roman" w:cs="Times New Roman"/>
        <w:noProof/>
        <w:sz w:val="20"/>
        <w:szCs w:val="20"/>
        <w:lang w:val="en-US"/>
      </w:rPr>
      <w:instrText>symbol 211 \f "Symbol" \s 9</w:instrText>
    </w:r>
    <w:r w:rsidRPr="00026613">
      <w:rPr>
        <w:rFonts w:ascii="Times New Roman" w:hAnsi="Times New Roman" w:cs="Times New Roman"/>
        <w:noProof/>
        <w:sz w:val="20"/>
        <w:szCs w:val="20"/>
        <w:lang w:val="en-US"/>
      </w:rPr>
      <w:fldChar w:fldCharType="separate"/>
    </w:r>
    <w:r w:rsidRPr="00026613">
      <w:rPr>
        <w:rFonts w:ascii="Times New Roman" w:hAnsi="Times New Roman" w:cs="Times New Roman"/>
        <w:noProof/>
        <w:sz w:val="20"/>
        <w:szCs w:val="20"/>
        <w:lang w:val="en-US"/>
      </w:rPr>
      <w:t>Ó</w:t>
    </w:r>
    <w:r w:rsidRPr="00026613">
      <w:rPr>
        <w:rFonts w:ascii="Times New Roman" w:hAnsi="Times New Roman" w:cs="Times New Roman"/>
        <w:noProof/>
        <w:sz w:val="20"/>
        <w:szCs w:val="20"/>
        <w:lang w:val="en-US"/>
      </w:rPr>
      <w:fldChar w:fldCharType="end"/>
    </w:r>
    <w:r w:rsidRPr="00026613">
      <w:rPr>
        <w:rFonts w:ascii="Times New Roman" w:hAnsi="Times New Roman" w:cs="Times New Roman"/>
        <w:noProof/>
        <w:sz w:val="20"/>
        <w:szCs w:val="20"/>
        <w:lang w:val="en-US"/>
      </w:rPr>
      <w:t xml:space="preserve"> Valsts valodas centrs, 2023</w:t>
    </w:r>
    <w:r w:rsidRPr="00026613">
      <w:rPr>
        <w:rFonts w:ascii="Times New Roman" w:hAnsi="Times New Roman" w:cs="Times New Roman"/>
        <w:noProof/>
        <w:sz w:val="20"/>
        <w:szCs w:val="20"/>
        <w:lang w:val="en-US"/>
      </w:rPr>
      <w:tab/>
    </w:r>
    <w:r w:rsidRPr="00026613">
      <w:rPr>
        <w:rStyle w:val="PageNumber"/>
        <w:rFonts w:ascii="Times New Roman" w:hAnsi="Times New Roman" w:cs="Times New Roman"/>
        <w:noProof/>
        <w:sz w:val="20"/>
        <w:szCs w:val="20"/>
        <w:lang w:val="en-US"/>
      </w:rPr>
      <w:fldChar w:fldCharType="begin"/>
    </w:r>
    <w:r w:rsidRPr="00026613">
      <w:rPr>
        <w:rStyle w:val="PageNumber"/>
        <w:rFonts w:ascii="Times New Roman" w:hAnsi="Times New Roman" w:cs="Times New Roman"/>
        <w:noProof/>
        <w:sz w:val="20"/>
        <w:szCs w:val="20"/>
        <w:lang w:val="en-US"/>
      </w:rPr>
      <w:instrText xml:space="preserve">page </w:instrText>
    </w:r>
    <w:r w:rsidRPr="00026613">
      <w:rPr>
        <w:rStyle w:val="PageNumber"/>
        <w:rFonts w:ascii="Times New Roman" w:hAnsi="Times New Roman" w:cs="Times New Roman"/>
        <w:noProof/>
        <w:sz w:val="20"/>
        <w:szCs w:val="20"/>
        <w:lang w:val="en-US"/>
      </w:rPr>
      <w:fldChar w:fldCharType="separate"/>
    </w:r>
    <w:r w:rsidRPr="00026613">
      <w:rPr>
        <w:rStyle w:val="PageNumber"/>
        <w:rFonts w:ascii="Times New Roman" w:hAnsi="Times New Roman" w:cs="Times New Roman"/>
        <w:noProof/>
        <w:sz w:val="20"/>
        <w:szCs w:val="20"/>
        <w:lang w:val="en-US"/>
      </w:rPr>
      <w:t>2</w:t>
    </w:r>
    <w:r w:rsidRPr="00026613">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DD44" w14:textId="77777777" w:rsidR="0042642F" w:rsidRPr="00D62FA2" w:rsidRDefault="0042642F" w:rsidP="0042642F">
    <w:pPr>
      <w:pStyle w:val="Header"/>
      <w:tabs>
        <w:tab w:val="left" w:pos="9072"/>
      </w:tabs>
      <w:spacing w:line="240" w:lineRule="auto"/>
      <w:jc w:val="both"/>
      <w:rPr>
        <w:rStyle w:val="PageNumber"/>
        <w:rFonts w:ascii="Times New Roman" w:hAnsi="Times New Roman" w:cs="Times New Roman"/>
        <w:noProof/>
        <w:color w:val="auto"/>
        <w:sz w:val="20"/>
        <w:szCs w:val="18"/>
        <w:lang w:val="en-US"/>
      </w:rPr>
    </w:pPr>
    <w:bookmarkStart w:id="307" w:name="_Hlk496261764"/>
    <w:bookmarkStart w:id="308" w:name="_Hlk496261765"/>
    <w:bookmarkStart w:id="309" w:name="_Hlk496261766"/>
    <w:bookmarkStart w:id="310" w:name="_Hlk30491075"/>
    <w:bookmarkStart w:id="311" w:name="_Hlk30491076"/>
  </w:p>
  <w:p w14:paraId="1D9F4C34" w14:textId="77777777" w:rsidR="0042642F" w:rsidRPr="00D62FA2" w:rsidRDefault="0042642F" w:rsidP="0042642F">
    <w:pPr>
      <w:pStyle w:val="Header"/>
      <w:tabs>
        <w:tab w:val="left" w:leader="underscore" w:pos="9072"/>
      </w:tabs>
      <w:spacing w:line="240" w:lineRule="auto"/>
      <w:jc w:val="both"/>
      <w:rPr>
        <w:rFonts w:ascii="Times New Roman" w:hAnsi="Times New Roman" w:cs="Times New Roman"/>
        <w:noProof/>
        <w:color w:val="auto"/>
        <w:sz w:val="20"/>
        <w:szCs w:val="18"/>
        <w:lang w:val="en-US"/>
      </w:rPr>
    </w:pPr>
    <w:r w:rsidRPr="00D62FA2">
      <w:rPr>
        <w:rFonts w:ascii="Times New Roman" w:hAnsi="Times New Roman" w:cs="Times New Roman"/>
        <w:noProof/>
        <w:color w:val="auto"/>
        <w:sz w:val="20"/>
        <w:szCs w:val="18"/>
        <w:lang w:val="en-US"/>
      </w:rPr>
      <w:tab/>
    </w:r>
  </w:p>
  <w:p w14:paraId="033B19D9" w14:textId="77777777" w:rsidR="0042642F" w:rsidRPr="00D62FA2" w:rsidRDefault="0042642F" w:rsidP="0042642F">
    <w:pPr>
      <w:pStyle w:val="Header"/>
      <w:tabs>
        <w:tab w:val="left" w:pos="9072"/>
      </w:tabs>
      <w:spacing w:line="240" w:lineRule="auto"/>
      <w:jc w:val="both"/>
      <w:rPr>
        <w:rStyle w:val="PageNumber"/>
        <w:rFonts w:ascii="Times New Roman" w:hAnsi="Times New Roman" w:cs="Times New Roman"/>
        <w:noProof/>
        <w:color w:val="auto"/>
        <w:sz w:val="20"/>
        <w:szCs w:val="18"/>
        <w:lang w:val="en-US"/>
      </w:rPr>
    </w:pPr>
  </w:p>
  <w:p w14:paraId="7520A370" w14:textId="39438AEF" w:rsidR="00E62252" w:rsidRPr="00D62FA2" w:rsidRDefault="0042642F" w:rsidP="0042642F">
    <w:pPr>
      <w:pStyle w:val="Footer"/>
      <w:spacing w:line="240" w:lineRule="auto"/>
      <w:jc w:val="both"/>
      <w:rPr>
        <w:rFonts w:ascii="Times New Roman" w:hAnsi="Times New Roman" w:cs="Times New Roman"/>
        <w:noProof/>
        <w:sz w:val="20"/>
        <w:szCs w:val="18"/>
        <w:lang w:val="en-US"/>
      </w:rPr>
    </w:pPr>
    <w:r w:rsidRPr="00D62FA2">
      <w:rPr>
        <w:rFonts w:ascii="Times New Roman" w:hAnsi="Times New Roman" w:cs="Times New Roman"/>
        <w:noProof/>
        <w:sz w:val="20"/>
        <w:szCs w:val="18"/>
        <w:lang w:val="en-US"/>
      </w:rPr>
      <w:t xml:space="preserve">Tulkojums </w:t>
    </w:r>
    <w:r w:rsidRPr="00D62FA2">
      <w:rPr>
        <w:rFonts w:ascii="Times New Roman" w:hAnsi="Times New Roman" w:cs="Times New Roman"/>
        <w:noProof/>
        <w:sz w:val="20"/>
        <w:szCs w:val="18"/>
        <w:lang w:val="en-US"/>
      </w:rPr>
      <w:fldChar w:fldCharType="begin"/>
    </w:r>
    <w:r w:rsidRPr="00D62FA2">
      <w:rPr>
        <w:rFonts w:ascii="Times New Roman" w:hAnsi="Times New Roman" w:cs="Times New Roman"/>
        <w:noProof/>
        <w:sz w:val="20"/>
        <w:szCs w:val="18"/>
        <w:lang w:val="en-US"/>
      </w:rPr>
      <w:instrText>symbol 211 \f "Symbol" \s 9</w:instrText>
    </w:r>
    <w:r w:rsidRPr="00D62FA2">
      <w:rPr>
        <w:rFonts w:ascii="Times New Roman" w:hAnsi="Times New Roman" w:cs="Times New Roman"/>
        <w:noProof/>
        <w:sz w:val="20"/>
        <w:szCs w:val="18"/>
        <w:lang w:val="en-US"/>
      </w:rPr>
      <w:fldChar w:fldCharType="separate"/>
    </w:r>
    <w:r w:rsidRPr="00D62FA2">
      <w:rPr>
        <w:rFonts w:ascii="Times New Roman" w:hAnsi="Times New Roman" w:cs="Times New Roman"/>
        <w:noProof/>
        <w:sz w:val="20"/>
        <w:szCs w:val="18"/>
        <w:lang w:val="en-US"/>
      </w:rPr>
      <w:t>Ó</w:t>
    </w:r>
    <w:r w:rsidRPr="00D62FA2">
      <w:rPr>
        <w:rFonts w:ascii="Times New Roman" w:hAnsi="Times New Roman" w:cs="Times New Roman"/>
        <w:noProof/>
        <w:sz w:val="20"/>
        <w:szCs w:val="18"/>
        <w:lang w:val="en-US"/>
      </w:rPr>
      <w:fldChar w:fldCharType="end"/>
    </w:r>
    <w:r w:rsidRPr="00D62FA2">
      <w:rPr>
        <w:rFonts w:ascii="Times New Roman" w:hAnsi="Times New Roman" w:cs="Times New Roman"/>
        <w:noProof/>
        <w:sz w:val="20"/>
        <w:szCs w:val="18"/>
        <w:lang w:val="en-US"/>
      </w:rPr>
      <w:t xml:space="preserve"> Valsts valodas centrs, 20</w:t>
    </w:r>
    <w:bookmarkEnd w:id="307"/>
    <w:bookmarkEnd w:id="308"/>
    <w:bookmarkEnd w:id="309"/>
    <w:r w:rsidRPr="00D62FA2">
      <w:rPr>
        <w:rFonts w:ascii="Times New Roman" w:hAnsi="Times New Roman" w:cs="Times New Roman"/>
        <w:noProof/>
        <w:sz w:val="20"/>
        <w:szCs w:val="18"/>
        <w:lang w:val="en-US"/>
      </w:rPr>
      <w:t>2</w:t>
    </w:r>
    <w:bookmarkEnd w:id="310"/>
    <w:bookmarkEnd w:id="311"/>
    <w:r w:rsidRPr="00D62FA2">
      <w:rPr>
        <w:rFonts w:ascii="Times New Roman" w:hAnsi="Times New Roman" w:cs="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38ED" w14:textId="77777777" w:rsidR="00AE0A29" w:rsidRPr="00E62252" w:rsidRDefault="00AE0A29" w:rsidP="00DD7C4E">
      <w:pPr>
        <w:rPr>
          <w:noProof/>
          <w:lang w:val="en-US"/>
        </w:rPr>
      </w:pPr>
      <w:r w:rsidRPr="00E62252">
        <w:rPr>
          <w:noProof/>
          <w:lang w:val="en-US"/>
        </w:rPr>
        <w:separator/>
      </w:r>
    </w:p>
    <w:p w14:paraId="373BD841" w14:textId="77777777" w:rsidR="00AE0A29" w:rsidRPr="00E62252" w:rsidRDefault="00AE0A29" w:rsidP="00DD7C4E">
      <w:pPr>
        <w:rPr>
          <w:noProof/>
          <w:lang w:val="en-US"/>
        </w:rPr>
      </w:pPr>
    </w:p>
    <w:p w14:paraId="0DE40EB5" w14:textId="77777777" w:rsidR="00AE0A29" w:rsidRPr="00E62252" w:rsidRDefault="00AE0A29">
      <w:pPr>
        <w:rPr>
          <w:noProof/>
          <w:lang w:val="en-US"/>
        </w:rPr>
      </w:pPr>
    </w:p>
  </w:footnote>
  <w:footnote w:type="continuationSeparator" w:id="0">
    <w:p w14:paraId="1A19300C" w14:textId="77777777" w:rsidR="00AE0A29" w:rsidRPr="00E62252" w:rsidRDefault="00AE0A29" w:rsidP="00DD7C4E">
      <w:pPr>
        <w:rPr>
          <w:noProof/>
          <w:lang w:val="en-US"/>
        </w:rPr>
      </w:pPr>
      <w:r w:rsidRPr="00E62252">
        <w:rPr>
          <w:noProof/>
          <w:lang w:val="en-US"/>
        </w:rPr>
        <w:continuationSeparator/>
      </w:r>
    </w:p>
    <w:p w14:paraId="535506D7" w14:textId="77777777" w:rsidR="00AE0A29" w:rsidRPr="00E62252" w:rsidRDefault="00AE0A29" w:rsidP="00DD7C4E">
      <w:pPr>
        <w:rPr>
          <w:noProof/>
          <w:lang w:val="en-US"/>
        </w:rPr>
      </w:pPr>
    </w:p>
    <w:p w14:paraId="7FF43A35" w14:textId="77777777" w:rsidR="00AE0A29" w:rsidRPr="00E62252" w:rsidRDefault="00AE0A29">
      <w:pPr>
        <w:rPr>
          <w:noProof/>
          <w:lang w:val="en-US"/>
        </w:rPr>
      </w:pPr>
    </w:p>
  </w:footnote>
  <w:footnote w:type="continuationNotice" w:id="1">
    <w:p w14:paraId="1B55372F" w14:textId="77777777" w:rsidR="00AE0A29" w:rsidRPr="00E62252" w:rsidRDefault="00AE0A29" w:rsidP="00DD7C4E">
      <w:pPr>
        <w:rPr>
          <w:noProof/>
          <w:lang w:val="en-US"/>
        </w:rPr>
      </w:pPr>
    </w:p>
    <w:p w14:paraId="2F32C8C3" w14:textId="77777777" w:rsidR="00AE0A29" w:rsidRPr="00E62252" w:rsidRDefault="00AE0A29" w:rsidP="00DD7C4E">
      <w:pPr>
        <w:rPr>
          <w:noProof/>
          <w:lang w:val="en-US"/>
        </w:rPr>
      </w:pPr>
    </w:p>
    <w:p w14:paraId="4A4CADA4" w14:textId="77777777" w:rsidR="00AE0A29" w:rsidRPr="00E62252" w:rsidRDefault="00AE0A29">
      <w:pPr>
        <w:rPr>
          <w:noProof/>
          <w:lang w:val="en-US"/>
        </w:rPr>
      </w:pPr>
    </w:p>
  </w:footnote>
  <w:footnote w:id="2">
    <w:p w14:paraId="6C32A532" w14:textId="77777777" w:rsidR="00E62252" w:rsidRPr="00E62252" w:rsidRDefault="00E62252" w:rsidP="00E62252">
      <w:pPr>
        <w:pStyle w:val="FootnoteText"/>
        <w:jc w:val="both"/>
        <w:rPr>
          <w:rFonts w:ascii="Times New Roman" w:hAnsi="Times New Roman" w:cs="Times New Roman"/>
          <w:noProof/>
          <w:szCs w:val="22"/>
        </w:rPr>
      </w:pPr>
      <w:r>
        <w:rPr>
          <w:rStyle w:val="FootnoteReference"/>
          <w:rFonts w:ascii="Times New Roman" w:hAnsi="Times New Roman" w:cs="Times New Roman"/>
          <w:noProof/>
          <w:sz w:val="20"/>
        </w:rPr>
        <w:footnoteRef/>
      </w:r>
      <w:r>
        <w:rPr>
          <w:rFonts w:ascii="Times New Roman" w:hAnsi="Times New Roman"/>
          <w:sz w:val="20"/>
        </w:rPr>
        <w:t xml:space="preserve"> </w:t>
      </w:r>
      <w:r>
        <w:rPr>
          <w:rFonts w:ascii="Times New Roman" w:hAnsi="Times New Roman"/>
          <w:i/>
          <w:sz w:val="20"/>
          <w:shd w:val="clear" w:color="auto" w:fill="FFFFFF"/>
        </w:rPr>
        <w:t xml:space="preserve">Definīcijas no </w:t>
      </w:r>
      <w:proofErr w:type="spellStart"/>
      <w:r>
        <w:rPr>
          <w:rFonts w:ascii="Times New Roman" w:hAnsi="Times New Roman"/>
          <w:i/>
          <w:sz w:val="20"/>
          <w:shd w:val="clear" w:color="auto" w:fill="FFFFFF"/>
        </w:rPr>
        <w:t>RSD</w:t>
      </w:r>
      <w:proofErr w:type="spellEnd"/>
      <w:r>
        <w:rPr>
          <w:rFonts w:ascii="Times New Roman" w:hAnsi="Times New Roman"/>
          <w:i/>
          <w:sz w:val="20"/>
          <w:shd w:val="clear" w:color="auto" w:fill="FFFFFF"/>
        </w:rPr>
        <w:t xml:space="preserve"> 1. pielikuma papildinājuma par </w:t>
      </w:r>
      <w:proofErr w:type="spellStart"/>
      <w:r>
        <w:rPr>
          <w:rFonts w:ascii="Times New Roman" w:hAnsi="Times New Roman"/>
          <w:i/>
          <w:sz w:val="20"/>
          <w:shd w:val="clear" w:color="auto" w:fill="FFFFFF"/>
        </w:rPr>
        <w:t>CSI</w:t>
      </w:r>
      <w:proofErr w:type="spellEnd"/>
      <w:r>
        <w:rPr>
          <w:rFonts w:ascii="Times New Roman" w:hAnsi="Times New Roman"/>
          <w:i/>
          <w:sz w:val="20"/>
          <w:shd w:val="clear" w:color="auto" w:fill="FFFFFF"/>
        </w:rPr>
        <w:t>.</w:t>
      </w:r>
    </w:p>
  </w:footnote>
  <w:footnote w:id="3">
    <w:p w14:paraId="6DF86F24" w14:textId="77777777" w:rsidR="00E62252" w:rsidRPr="00E62252" w:rsidRDefault="00E62252" w:rsidP="00E62252">
      <w:pPr>
        <w:pStyle w:val="FootnoteText"/>
        <w:rPr>
          <w:rFonts w:ascii="Times New Roman" w:hAnsi="Times New Roman" w:cs="Times New Roman"/>
          <w:noProof/>
          <w:sz w:val="20"/>
        </w:rPr>
      </w:pPr>
      <w:r>
        <w:rPr>
          <w:rStyle w:val="FootnoteReference"/>
          <w:rFonts w:ascii="Times New Roman" w:hAnsi="Times New Roman" w:cs="Times New Roman"/>
          <w:noProof/>
          <w:sz w:val="20"/>
        </w:rPr>
        <w:footnoteRef/>
      </w:r>
      <w:r>
        <w:rPr>
          <w:rFonts w:ascii="Times New Roman" w:hAnsi="Times New Roman"/>
          <w:sz w:val="20"/>
        </w:rPr>
        <w:t xml:space="preserve"> </w:t>
      </w:r>
      <w:r>
        <w:rPr>
          <w:rFonts w:ascii="Times New Roman" w:hAnsi="Times New Roman"/>
          <w:i/>
          <w:sz w:val="20"/>
          <w:shd w:val="clear" w:color="auto" w:fill="FFFFFF"/>
        </w:rPr>
        <w:t>Skat. 2.2. nodaļu “Definīcijas”.</w:t>
      </w:r>
    </w:p>
  </w:footnote>
  <w:footnote w:id="4">
    <w:p w14:paraId="6ECC9B35" w14:textId="77777777" w:rsidR="00E62252" w:rsidRPr="00E62252" w:rsidRDefault="00E62252" w:rsidP="00E62252">
      <w:pPr>
        <w:pStyle w:val="Quote"/>
        <w:rPr>
          <w:rFonts w:ascii="Times New Roman" w:hAnsi="Times New Roman" w:cs="Times New Roman"/>
          <w:i w:val="0"/>
          <w:iCs w:val="0"/>
          <w:noProof/>
          <w:sz w:val="20"/>
          <w:szCs w:val="28"/>
        </w:rPr>
      </w:pPr>
      <w:r>
        <w:rPr>
          <w:rStyle w:val="FootnoteReference"/>
          <w:rFonts w:ascii="Times New Roman" w:hAnsi="Times New Roman" w:cs="Times New Roman"/>
          <w:i w:val="0"/>
          <w:iCs w:val="0"/>
          <w:noProof/>
          <w:sz w:val="20"/>
          <w:szCs w:val="28"/>
        </w:rPr>
        <w:footnoteRef/>
      </w:r>
      <w:r>
        <w:rPr>
          <w:rFonts w:ascii="Times New Roman" w:hAnsi="Times New Roman"/>
          <w:i w:val="0"/>
          <w:sz w:val="20"/>
        </w:rPr>
        <w:t xml:space="preserve"> </w:t>
      </w:r>
      <w:r>
        <w:rPr>
          <w:rStyle w:val="QuoteChar"/>
          <w:rFonts w:ascii="Times New Roman" w:hAnsi="Times New Roman"/>
          <w:i/>
          <w:color w:val="auto"/>
          <w:sz w:val="20"/>
        </w:rPr>
        <w:t xml:space="preserve">Šī sākotnējā pārbaude ne vienmēr ir jāveic </w:t>
      </w:r>
      <w:proofErr w:type="spellStart"/>
      <w:r>
        <w:rPr>
          <w:rStyle w:val="QuoteChar"/>
          <w:rFonts w:ascii="Times New Roman" w:hAnsi="Times New Roman"/>
          <w:i/>
          <w:color w:val="auto"/>
          <w:sz w:val="20"/>
        </w:rPr>
        <w:t>NIB</w:t>
      </w:r>
      <w:proofErr w:type="spellEnd"/>
      <w:r>
        <w:rPr>
          <w:rStyle w:val="QuoteChar"/>
          <w:rFonts w:ascii="Times New Roman" w:hAnsi="Times New Roman"/>
          <w:i/>
          <w:color w:val="auto"/>
          <w:sz w:val="20"/>
        </w:rPr>
        <w:t>.</w:t>
      </w:r>
    </w:p>
  </w:footnote>
  <w:footnote w:id="5">
    <w:p w14:paraId="3A6B2615" w14:textId="77777777" w:rsidR="00E62252" w:rsidRPr="00E62252" w:rsidRDefault="00E62252" w:rsidP="00E62252">
      <w:pPr>
        <w:pStyle w:val="FootnoteText"/>
        <w:rPr>
          <w:rFonts w:ascii="Times New Roman" w:hAnsi="Times New Roman" w:cs="Times New Roman"/>
          <w:noProof/>
          <w:sz w:val="20"/>
        </w:rPr>
      </w:pPr>
      <w:r>
        <w:rPr>
          <w:rStyle w:val="FootnoteReference"/>
          <w:rFonts w:ascii="Times New Roman" w:hAnsi="Times New Roman" w:cs="Times New Roman"/>
          <w:noProof/>
          <w:sz w:val="20"/>
        </w:rPr>
        <w:footnoteRef/>
      </w:r>
      <w:r>
        <w:rPr>
          <w:rFonts w:ascii="Times New Roman" w:hAnsi="Times New Roman"/>
          <w:sz w:val="20"/>
        </w:rPr>
        <w:t xml:space="preserve"> </w:t>
      </w:r>
      <w:r>
        <w:rPr>
          <w:rFonts w:ascii="Times New Roman" w:hAnsi="Times New Roman"/>
          <w:i/>
          <w:sz w:val="20"/>
          <w:shd w:val="clear" w:color="auto" w:fill="FFFFFF"/>
        </w:rPr>
        <w:t xml:space="preserve">Skat. arī 8. nodaļu. Neobligāti – </w:t>
      </w:r>
      <w:proofErr w:type="spellStart"/>
      <w:r>
        <w:rPr>
          <w:rFonts w:ascii="Times New Roman" w:hAnsi="Times New Roman"/>
          <w:i/>
          <w:iCs/>
          <w:sz w:val="20"/>
          <w:shd w:val="clear" w:color="auto" w:fill="FFFFFF"/>
        </w:rPr>
        <w:t>NIB</w:t>
      </w:r>
      <w:proofErr w:type="spellEnd"/>
      <w:r>
        <w:rPr>
          <w:rFonts w:ascii="Times New Roman" w:hAnsi="Times New Roman"/>
          <w:i/>
          <w:sz w:val="20"/>
          <w:shd w:val="clear" w:color="auto" w:fill="FFFFFF"/>
        </w:rPr>
        <w:t xml:space="preserve"> var pieņemt lēmumu par izmeklēšanas veikšanu vai neveikšanu.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BFD2" w14:textId="77777777" w:rsidR="005965F9" w:rsidRPr="00D62FA2" w:rsidRDefault="005965F9" w:rsidP="005965F9">
    <w:pPr>
      <w:pStyle w:val="Header"/>
      <w:tabs>
        <w:tab w:val="right" w:leader="underscore" w:pos="9072"/>
      </w:tabs>
      <w:rPr>
        <w:rFonts w:ascii="Times New Roman" w:hAnsi="Times New Roman" w:cs="Times New Roman"/>
        <w:noProof/>
        <w:color w:val="auto"/>
        <w:sz w:val="20"/>
        <w:szCs w:val="20"/>
        <w:lang w:val="en-US"/>
      </w:rPr>
    </w:pPr>
    <w:bookmarkStart w:id="293" w:name="_Hlk496261784"/>
    <w:bookmarkStart w:id="294" w:name="_Hlk496261785"/>
    <w:bookmarkStart w:id="295" w:name="_Hlk496261786"/>
    <w:bookmarkStart w:id="296" w:name="_Hlk502757728"/>
    <w:bookmarkStart w:id="297" w:name="_Hlk502757729"/>
    <w:bookmarkStart w:id="298" w:name="_Hlk502757738"/>
    <w:bookmarkStart w:id="299" w:name="_Hlk502757739"/>
    <w:bookmarkStart w:id="300" w:name="_Hlk30491084"/>
    <w:bookmarkStart w:id="301" w:name="_Hlk30491085"/>
    <w:r w:rsidRPr="005965F9">
      <w:rPr>
        <w:rFonts w:ascii="Times New Roman" w:hAnsi="Times New Roman" w:cs="Times New Roman"/>
        <w:noProof/>
        <w:color w:val="auto"/>
        <w:sz w:val="24"/>
        <w:szCs w:val="24"/>
        <w:lang w:val="en-US"/>
      </w:rPr>
      <w:tab/>
    </w:r>
  </w:p>
  <w:bookmarkEnd w:id="293"/>
  <w:bookmarkEnd w:id="294"/>
  <w:bookmarkEnd w:id="295"/>
  <w:bookmarkEnd w:id="296"/>
  <w:bookmarkEnd w:id="297"/>
  <w:bookmarkEnd w:id="298"/>
  <w:bookmarkEnd w:id="299"/>
  <w:bookmarkEnd w:id="300"/>
  <w:bookmarkEnd w:id="301"/>
  <w:p w14:paraId="149662BD" w14:textId="77777777" w:rsidR="00E62252" w:rsidRPr="00D62FA2" w:rsidRDefault="00E62252">
    <w:pPr>
      <w:pStyle w:val="Heade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6E6E" w14:textId="77777777" w:rsidR="00585D7A" w:rsidRPr="00D62FA2" w:rsidRDefault="00585D7A" w:rsidP="00585D7A">
    <w:pPr>
      <w:pBdr>
        <w:bottom w:val="single" w:sz="12" w:space="5" w:color="auto"/>
      </w:pBdr>
      <w:spacing w:after="0" w:line="240" w:lineRule="auto"/>
      <w:rPr>
        <w:rFonts w:ascii="Times New Roman" w:hAnsi="Times New Roman" w:cs="Times New Roman"/>
        <w:noProof/>
        <w:sz w:val="20"/>
        <w:szCs w:val="20"/>
        <w:lang w:val="en-US"/>
      </w:rPr>
    </w:pPr>
    <w:bookmarkStart w:id="302" w:name="_Hlk496261745"/>
    <w:bookmarkStart w:id="303" w:name="_Hlk496261746"/>
    <w:bookmarkStart w:id="304" w:name="_Hlk496261747"/>
    <w:bookmarkStart w:id="305" w:name="_Hlk30491063"/>
    <w:bookmarkStart w:id="306" w:name="_Hlk30491064"/>
  </w:p>
  <w:bookmarkEnd w:id="302"/>
  <w:bookmarkEnd w:id="303"/>
  <w:bookmarkEnd w:id="304"/>
  <w:bookmarkEnd w:id="305"/>
  <w:bookmarkEnd w:id="306"/>
  <w:p w14:paraId="2E8C858A" w14:textId="77777777" w:rsidR="00E62252" w:rsidRPr="00D62FA2" w:rsidRDefault="00E62252" w:rsidP="00585D7A">
    <w:pPr>
      <w:pStyle w:val="Header"/>
      <w:spacing w:line="240" w:lineRule="auto"/>
      <w:rPr>
        <w:rFonts w:ascii="Times New Roman"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7CA"/>
    <w:multiLevelType w:val="hybridMultilevel"/>
    <w:tmpl w:val="ABB4A534"/>
    <w:lvl w:ilvl="0" w:tplc="D8BAF7AA">
      <w:start w:val="1"/>
      <w:numFmt w:val="bullet"/>
      <w:lvlText w:val="›"/>
      <w:lvlJc w:val="left"/>
      <w:pPr>
        <w:ind w:left="927" w:hanging="360"/>
      </w:pPr>
      <w:rPr>
        <w:rFonts w:ascii="Calibri" w:hAnsi="Calibri"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ACE1F89"/>
    <w:multiLevelType w:val="hybridMultilevel"/>
    <w:tmpl w:val="3B06E992"/>
    <w:lvl w:ilvl="0" w:tplc="2B3E3928">
      <w:start w:val="1"/>
      <w:numFmt w:val="lowerLetter"/>
      <w:lvlText w:val="(%1)"/>
      <w:lvlJc w:val="left"/>
      <w:pPr>
        <w:ind w:left="1380" w:hanging="10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FE50F8"/>
    <w:multiLevelType w:val="hybridMultilevel"/>
    <w:tmpl w:val="A8E628BA"/>
    <w:lvl w:ilvl="0" w:tplc="FC4CB09A">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1A3EC8"/>
    <w:multiLevelType w:val="hybridMultilevel"/>
    <w:tmpl w:val="49DE1EDE"/>
    <w:lvl w:ilvl="0" w:tplc="336652FE">
      <w:start w:val="1"/>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002C18"/>
    <w:multiLevelType w:val="hybridMultilevel"/>
    <w:tmpl w:val="FC1C6B02"/>
    <w:lvl w:ilvl="0" w:tplc="2B6C29D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47C59D4"/>
    <w:multiLevelType w:val="hybridMultilevel"/>
    <w:tmpl w:val="68840CA6"/>
    <w:lvl w:ilvl="0" w:tplc="04090001">
      <w:start w:val="1"/>
      <w:numFmt w:val="lowerLetter"/>
      <w:pStyle w:val="Textabc"/>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 w15:restartNumberingAfterBreak="0">
    <w:nsid w:val="27716336"/>
    <w:multiLevelType w:val="hybridMultilevel"/>
    <w:tmpl w:val="B19C3132"/>
    <w:lvl w:ilvl="0" w:tplc="D8BAF7AA">
      <w:start w:val="1"/>
      <w:numFmt w:val="bullet"/>
      <w:pStyle w:val="Style6"/>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1F199E"/>
    <w:multiLevelType w:val="hybridMultilevel"/>
    <w:tmpl w:val="D45457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26058C"/>
    <w:multiLevelType w:val="hybridMultilevel"/>
    <w:tmpl w:val="047EA324"/>
    <w:lvl w:ilvl="0" w:tplc="6AEC4280">
      <w:start w:val="1"/>
      <w:numFmt w:val="bullet"/>
      <w:pStyle w:val="Text3"/>
      <w:lvlText w:val="-"/>
      <w:lvlJc w:val="left"/>
      <w:pPr>
        <w:ind w:left="513" w:hanging="360"/>
      </w:pPr>
      <w:rPr>
        <w:rFonts w:ascii="Times New Roman" w:hAnsi="Times New Roman" w:cs="Times New Roman" w:hint="default"/>
      </w:rPr>
    </w:lvl>
    <w:lvl w:ilvl="1" w:tplc="885A6A12" w:tentative="1">
      <w:start w:val="1"/>
      <w:numFmt w:val="bullet"/>
      <w:lvlText w:val="o"/>
      <w:lvlJc w:val="left"/>
      <w:pPr>
        <w:ind w:left="1233" w:hanging="360"/>
      </w:pPr>
      <w:rPr>
        <w:rFonts w:ascii="Courier New" w:hAnsi="Courier New" w:cs="Courier New" w:hint="default"/>
      </w:rPr>
    </w:lvl>
    <w:lvl w:ilvl="2" w:tplc="BFD4DC76" w:tentative="1">
      <w:start w:val="1"/>
      <w:numFmt w:val="bullet"/>
      <w:lvlText w:val=""/>
      <w:lvlJc w:val="left"/>
      <w:pPr>
        <w:ind w:left="1953" w:hanging="360"/>
      </w:pPr>
      <w:rPr>
        <w:rFonts w:ascii="Wingdings" w:hAnsi="Wingdings" w:hint="default"/>
      </w:rPr>
    </w:lvl>
    <w:lvl w:ilvl="3" w:tplc="32381176" w:tentative="1">
      <w:start w:val="1"/>
      <w:numFmt w:val="bullet"/>
      <w:lvlText w:val=""/>
      <w:lvlJc w:val="left"/>
      <w:pPr>
        <w:ind w:left="2673" w:hanging="360"/>
      </w:pPr>
      <w:rPr>
        <w:rFonts w:ascii="Symbol" w:hAnsi="Symbol" w:hint="default"/>
      </w:rPr>
    </w:lvl>
    <w:lvl w:ilvl="4" w:tplc="209EA3D4" w:tentative="1">
      <w:start w:val="1"/>
      <w:numFmt w:val="bullet"/>
      <w:lvlText w:val="o"/>
      <w:lvlJc w:val="left"/>
      <w:pPr>
        <w:ind w:left="3393" w:hanging="360"/>
      </w:pPr>
      <w:rPr>
        <w:rFonts w:ascii="Courier New" w:hAnsi="Courier New" w:cs="Courier New" w:hint="default"/>
      </w:rPr>
    </w:lvl>
    <w:lvl w:ilvl="5" w:tplc="937ECBDE" w:tentative="1">
      <w:start w:val="1"/>
      <w:numFmt w:val="bullet"/>
      <w:lvlText w:val=""/>
      <w:lvlJc w:val="left"/>
      <w:pPr>
        <w:ind w:left="4113" w:hanging="360"/>
      </w:pPr>
      <w:rPr>
        <w:rFonts w:ascii="Wingdings" w:hAnsi="Wingdings" w:hint="default"/>
      </w:rPr>
    </w:lvl>
    <w:lvl w:ilvl="6" w:tplc="A900E22A" w:tentative="1">
      <w:start w:val="1"/>
      <w:numFmt w:val="bullet"/>
      <w:lvlText w:val=""/>
      <w:lvlJc w:val="left"/>
      <w:pPr>
        <w:ind w:left="4833" w:hanging="360"/>
      </w:pPr>
      <w:rPr>
        <w:rFonts w:ascii="Symbol" w:hAnsi="Symbol" w:hint="default"/>
      </w:rPr>
    </w:lvl>
    <w:lvl w:ilvl="7" w:tplc="E5743F96" w:tentative="1">
      <w:start w:val="1"/>
      <w:numFmt w:val="bullet"/>
      <w:lvlText w:val="o"/>
      <w:lvlJc w:val="left"/>
      <w:pPr>
        <w:ind w:left="5553" w:hanging="360"/>
      </w:pPr>
      <w:rPr>
        <w:rFonts w:ascii="Courier New" w:hAnsi="Courier New" w:cs="Courier New" w:hint="default"/>
      </w:rPr>
    </w:lvl>
    <w:lvl w:ilvl="8" w:tplc="B8E00AAE" w:tentative="1">
      <w:start w:val="1"/>
      <w:numFmt w:val="bullet"/>
      <w:lvlText w:val=""/>
      <w:lvlJc w:val="left"/>
      <w:pPr>
        <w:ind w:left="6273" w:hanging="360"/>
      </w:pPr>
      <w:rPr>
        <w:rFonts w:ascii="Wingdings" w:hAnsi="Wingdings" w:hint="default"/>
      </w:rPr>
    </w:lvl>
  </w:abstractNum>
  <w:abstractNum w:abstractNumId="9" w15:restartNumberingAfterBreak="0">
    <w:nsid w:val="2CAF69E7"/>
    <w:multiLevelType w:val="multilevel"/>
    <w:tmpl w:val="58E01E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DAA1939"/>
    <w:multiLevelType w:val="hybridMultilevel"/>
    <w:tmpl w:val="BDA60E4A"/>
    <w:lvl w:ilvl="0" w:tplc="D8BAF7AA">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C025F1"/>
    <w:multiLevelType w:val="hybridMultilevel"/>
    <w:tmpl w:val="58981B78"/>
    <w:lvl w:ilvl="0" w:tplc="4DEE0446">
      <w:start w:val="1"/>
      <w:numFmt w:val="decimal"/>
      <w:pStyle w:val="Textboldnumb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1F1DDC"/>
    <w:multiLevelType w:val="hybridMultilevel"/>
    <w:tmpl w:val="9EFEED6C"/>
    <w:lvl w:ilvl="0" w:tplc="B570FF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C1441"/>
    <w:multiLevelType w:val="hybridMultilevel"/>
    <w:tmpl w:val="7F184126"/>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39831549"/>
    <w:multiLevelType w:val="hybridMultilevel"/>
    <w:tmpl w:val="738E82EE"/>
    <w:lvl w:ilvl="0" w:tplc="C9DA5F60">
      <w:start w:val="1"/>
      <w:numFmt w:val="lowerLetter"/>
      <w:lvlText w:val="(%1)"/>
      <w:lvlJc w:val="left"/>
      <w:pPr>
        <w:ind w:left="360" w:hanging="360"/>
      </w:pPr>
      <w:rPr>
        <w:rFonts w:ascii="Calibri" w:hAnsi="Calibri" w:cs="Times New Roman" w:hint="default"/>
        <w:b w:val="0"/>
        <w:bCs w:val="0"/>
        <w:i w:val="0"/>
        <w:iCs w:val="0"/>
        <w:caps w:val="0"/>
        <w:strike w:val="0"/>
        <w:dstrike w:val="0"/>
        <w:vanish w:val="0"/>
        <w:color w:val="000000"/>
        <w:spacing w:val="0"/>
        <w:kern w:val="0"/>
        <w:position w:val="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801EDD"/>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EC1BF1"/>
    <w:multiLevelType w:val="hybridMultilevel"/>
    <w:tmpl w:val="4AC86C5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0DE4C5F"/>
    <w:multiLevelType w:val="hybridMultilevel"/>
    <w:tmpl w:val="36CCB6FC"/>
    <w:lvl w:ilvl="0" w:tplc="A68E3588">
      <w:start w:val="1"/>
      <w:numFmt w:val="bullet"/>
      <w:pStyle w:val="TERM-number"/>
      <w:lvlText w:val=""/>
      <w:lvlJc w:val="left"/>
      <w:pPr>
        <w:tabs>
          <w:tab w:val="num" w:pos="717"/>
        </w:tabs>
        <w:ind w:left="714" w:hanging="357"/>
      </w:pPr>
      <w:rPr>
        <w:rFonts w:ascii="Symbol" w:hAnsi="Symbol" w:hint="default"/>
        <w:color w:val="auto"/>
      </w:rPr>
    </w:lvl>
    <w:lvl w:ilvl="1" w:tplc="212853B2">
      <w:start w:val="1"/>
      <w:numFmt w:val="bullet"/>
      <w:lvlText w:val="o"/>
      <w:lvlJc w:val="left"/>
      <w:pPr>
        <w:tabs>
          <w:tab w:val="num" w:pos="1440"/>
        </w:tabs>
        <w:ind w:left="1440" w:hanging="360"/>
      </w:pPr>
      <w:rPr>
        <w:rFonts w:ascii="Courier New" w:hAnsi="Courier New" w:hint="default"/>
      </w:rPr>
    </w:lvl>
    <w:lvl w:ilvl="2" w:tplc="3EC807A8" w:tentative="1">
      <w:start w:val="1"/>
      <w:numFmt w:val="bullet"/>
      <w:lvlText w:val=""/>
      <w:lvlJc w:val="left"/>
      <w:pPr>
        <w:tabs>
          <w:tab w:val="num" w:pos="2160"/>
        </w:tabs>
        <w:ind w:left="2160" w:hanging="360"/>
      </w:pPr>
      <w:rPr>
        <w:rFonts w:ascii="Wingdings" w:hAnsi="Wingdings" w:hint="default"/>
      </w:rPr>
    </w:lvl>
    <w:lvl w:ilvl="3" w:tplc="291C739E" w:tentative="1">
      <w:start w:val="1"/>
      <w:numFmt w:val="bullet"/>
      <w:lvlText w:val=""/>
      <w:lvlJc w:val="left"/>
      <w:pPr>
        <w:tabs>
          <w:tab w:val="num" w:pos="2880"/>
        </w:tabs>
        <w:ind w:left="2880" w:hanging="360"/>
      </w:pPr>
      <w:rPr>
        <w:rFonts w:ascii="Symbol" w:hAnsi="Symbol" w:hint="default"/>
      </w:rPr>
    </w:lvl>
    <w:lvl w:ilvl="4" w:tplc="D780C5D4" w:tentative="1">
      <w:start w:val="1"/>
      <w:numFmt w:val="bullet"/>
      <w:lvlText w:val="o"/>
      <w:lvlJc w:val="left"/>
      <w:pPr>
        <w:tabs>
          <w:tab w:val="num" w:pos="3600"/>
        </w:tabs>
        <w:ind w:left="3600" w:hanging="360"/>
      </w:pPr>
      <w:rPr>
        <w:rFonts w:ascii="Courier New" w:hAnsi="Courier New" w:hint="default"/>
      </w:rPr>
    </w:lvl>
    <w:lvl w:ilvl="5" w:tplc="F96E94EE" w:tentative="1">
      <w:start w:val="1"/>
      <w:numFmt w:val="bullet"/>
      <w:lvlText w:val=""/>
      <w:lvlJc w:val="left"/>
      <w:pPr>
        <w:tabs>
          <w:tab w:val="num" w:pos="4320"/>
        </w:tabs>
        <w:ind w:left="4320" w:hanging="360"/>
      </w:pPr>
      <w:rPr>
        <w:rFonts w:ascii="Wingdings" w:hAnsi="Wingdings" w:hint="default"/>
      </w:rPr>
    </w:lvl>
    <w:lvl w:ilvl="6" w:tplc="DF3C834A" w:tentative="1">
      <w:start w:val="1"/>
      <w:numFmt w:val="bullet"/>
      <w:lvlText w:val=""/>
      <w:lvlJc w:val="left"/>
      <w:pPr>
        <w:tabs>
          <w:tab w:val="num" w:pos="5040"/>
        </w:tabs>
        <w:ind w:left="5040" w:hanging="360"/>
      </w:pPr>
      <w:rPr>
        <w:rFonts w:ascii="Symbol" w:hAnsi="Symbol" w:hint="default"/>
      </w:rPr>
    </w:lvl>
    <w:lvl w:ilvl="7" w:tplc="3DB4A072" w:tentative="1">
      <w:start w:val="1"/>
      <w:numFmt w:val="bullet"/>
      <w:lvlText w:val="o"/>
      <w:lvlJc w:val="left"/>
      <w:pPr>
        <w:tabs>
          <w:tab w:val="num" w:pos="5760"/>
        </w:tabs>
        <w:ind w:left="5760" w:hanging="360"/>
      </w:pPr>
      <w:rPr>
        <w:rFonts w:ascii="Courier New" w:hAnsi="Courier New" w:hint="default"/>
      </w:rPr>
    </w:lvl>
    <w:lvl w:ilvl="8" w:tplc="9E7432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D0CF1"/>
    <w:multiLevelType w:val="multilevel"/>
    <w:tmpl w:val="6FD6C694"/>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9" w15:restartNumberingAfterBreak="0">
    <w:nsid w:val="493D5C6D"/>
    <w:multiLevelType w:val="hybridMultilevel"/>
    <w:tmpl w:val="3F0075CE"/>
    <w:lvl w:ilvl="0" w:tplc="04090001">
      <w:start w:val="1"/>
      <w:numFmt w:val="upperRoman"/>
      <w:pStyle w:val="Annex"/>
      <w:lvlText w:val="Annex %1."/>
      <w:lvlJc w:val="left"/>
      <w:pPr>
        <w:ind w:left="720" w:hanging="360"/>
      </w:pPr>
      <w:rPr>
        <w:rFonts w:ascii="Times New Roman" w:hAnsi="Times New Roman" w:hint="default"/>
        <w:b/>
        <w:i w:val="0"/>
        <w:sz w:val="32"/>
      </w:rPr>
    </w:lvl>
    <w:lvl w:ilvl="1" w:tplc="32463356"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4993504B"/>
    <w:multiLevelType w:val="hybridMultilevel"/>
    <w:tmpl w:val="45683940"/>
    <w:lvl w:ilvl="0" w:tplc="B570FF02">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8D4DB2"/>
    <w:multiLevelType w:val="hybridMultilevel"/>
    <w:tmpl w:val="2AF8F552"/>
    <w:lvl w:ilvl="0" w:tplc="FC4CB09A">
      <w:start w:val="1"/>
      <w:numFmt w:val="bullet"/>
      <w:lvlText w:val="-"/>
      <w:lvlJc w:val="left"/>
      <w:pPr>
        <w:ind w:left="768" w:hanging="360"/>
      </w:pPr>
      <w:rPr>
        <w:rFonts w:ascii="Calibri" w:eastAsiaTheme="minorHAnsi" w:hAnsi="Calibri" w:cstheme="minorBidi"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22" w15:restartNumberingAfterBreak="0">
    <w:nsid w:val="4BCE657B"/>
    <w:multiLevelType w:val="hybridMultilevel"/>
    <w:tmpl w:val="813E8E96"/>
    <w:lvl w:ilvl="0" w:tplc="93AA55C8">
      <w:start w:val="1"/>
      <w:numFmt w:val="bullet"/>
      <w:lvlText w:val="›"/>
      <w:lvlJc w:val="left"/>
      <w:pPr>
        <w:ind w:left="360" w:hanging="360"/>
      </w:pPr>
      <w:rPr>
        <w:rFonts w:ascii="Calibri" w:hAnsi="Calibri" w:hint="default"/>
        <w:color w:val="094595" w:themeColor="text2"/>
      </w:rPr>
    </w:lvl>
    <w:lvl w:ilvl="1" w:tplc="08130019">
      <w:start w:val="1"/>
      <w:numFmt w:val="lowerLetter"/>
      <w:lvlText w:val="%2."/>
      <w:lvlJc w:val="left"/>
      <w:pPr>
        <w:ind w:left="-3663" w:hanging="360"/>
      </w:pPr>
    </w:lvl>
    <w:lvl w:ilvl="2" w:tplc="0813001B" w:tentative="1">
      <w:start w:val="1"/>
      <w:numFmt w:val="lowerRoman"/>
      <w:lvlText w:val="%3."/>
      <w:lvlJc w:val="right"/>
      <w:pPr>
        <w:ind w:left="-2943" w:hanging="180"/>
      </w:pPr>
    </w:lvl>
    <w:lvl w:ilvl="3" w:tplc="0813000F" w:tentative="1">
      <w:start w:val="1"/>
      <w:numFmt w:val="decimal"/>
      <w:lvlText w:val="%4."/>
      <w:lvlJc w:val="left"/>
      <w:pPr>
        <w:ind w:left="-2223" w:hanging="360"/>
      </w:pPr>
    </w:lvl>
    <w:lvl w:ilvl="4" w:tplc="08130019" w:tentative="1">
      <w:start w:val="1"/>
      <w:numFmt w:val="lowerLetter"/>
      <w:lvlText w:val="%5."/>
      <w:lvlJc w:val="left"/>
      <w:pPr>
        <w:ind w:left="-1503" w:hanging="360"/>
      </w:pPr>
    </w:lvl>
    <w:lvl w:ilvl="5" w:tplc="0813001B" w:tentative="1">
      <w:start w:val="1"/>
      <w:numFmt w:val="lowerRoman"/>
      <w:lvlText w:val="%6."/>
      <w:lvlJc w:val="right"/>
      <w:pPr>
        <w:ind w:left="-783" w:hanging="180"/>
      </w:pPr>
    </w:lvl>
    <w:lvl w:ilvl="6" w:tplc="0813000F" w:tentative="1">
      <w:start w:val="1"/>
      <w:numFmt w:val="decimal"/>
      <w:lvlText w:val="%7."/>
      <w:lvlJc w:val="left"/>
      <w:pPr>
        <w:ind w:left="-63" w:hanging="360"/>
      </w:pPr>
    </w:lvl>
    <w:lvl w:ilvl="7" w:tplc="08130019" w:tentative="1">
      <w:start w:val="1"/>
      <w:numFmt w:val="lowerLetter"/>
      <w:lvlText w:val="%8."/>
      <w:lvlJc w:val="left"/>
      <w:pPr>
        <w:ind w:left="657" w:hanging="360"/>
      </w:pPr>
    </w:lvl>
    <w:lvl w:ilvl="8" w:tplc="0813001B" w:tentative="1">
      <w:start w:val="1"/>
      <w:numFmt w:val="lowerRoman"/>
      <w:lvlText w:val="%9."/>
      <w:lvlJc w:val="right"/>
      <w:pPr>
        <w:ind w:left="1377" w:hanging="180"/>
      </w:pPr>
    </w:lvl>
  </w:abstractNum>
  <w:abstractNum w:abstractNumId="23" w15:restartNumberingAfterBreak="0">
    <w:nsid w:val="4DBD192C"/>
    <w:multiLevelType w:val="hybridMultilevel"/>
    <w:tmpl w:val="DE32C954"/>
    <w:lvl w:ilvl="0" w:tplc="D8BAF7AA">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E054C74"/>
    <w:multiLevelType w:val="hybridMultilevel"/>
    <w:tmpl w:val="139ED452"/>
    <w:lvl w:ilvl="0" w:tplc="3AA8AEE2">
      <w:start w:val="1"/>
      <w:numFmt w:val="lowerLetter"/>
      <w:lvlText w:val="%1)"/>
      <w:lvlJc w:val="left"/>
      <w:pPr>
        <w:ind w:left="360" w:hanging="360"/>
      </w:pPr>
      <w:rPr>
        <w:rFonts w:cs="Times New Roman" w:hint="default"/>
        <w:sz w:val="22"/>
      </w:rPr>
    </w:lvl>
    <w:lvl w:ilvl="1" w:tplc="04140011">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3520B6"/>
    <w:multiLevelType w:val="hybridMultilevel"/>
    <w:tmpl w:val="60921600"/>
    <w:lvl w:ilvl="0" w:tplc="D8BAF7AA">
      <w:start w:val="1"/>
      <w:numFmt w:val="bullet"/>
      <w:lvlText w:val="›"/>
      <w:lvlJc w:val="left"/>
      <w:pPr>
        <w:ind w:left="742" w:hanging="360"/>
      </w:pPr>
      <w:rPr>
        <w:rFonts w:ascii="Calibri" w:hAnsi="Calibri"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6" w15:restartNumberingAfterBreak="0">
    <w:nsid w:val="52ED1FA9"/>
    <w:multiLevelType w:val="hybridMultilevel"/>
    <w:tmpl w:val="56BAA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04D71"/>
    <w:multiLevelType w:val="hybridMultilevel"/>
    <w:tmpl w:val="4DEA79F2"/>
    <w:lvl w:ilvl="0" w:tplc="992A75F8">
      <w:start w:val="1"/>
      <w:numFmt w:val="bullet"/>
      <w:pStyle w:val="ERAbulletpoint"/>
      <w:lvlText w:val="›"/>
      <w:lvlJc w:val="left"/>
      <w:pPr>
        <w:ind w:left="360" w:hanging="360"/>
      </w:pPr>
      <w:rPr>
        <w:rFonts w:ascii="Calibri" w:hAnsi="Calibri" w:hint="default"/>
        <w:color w:val="094595" w:themeColor="text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035F84"/>
    <w:multiLevelType w:val="hybridMultilevel"/>
    <w:tmpl w:val="50F08E14"/>
    <w:lvl w:ilvl="0" w:tplc="08130001">
      <w:start w:val="1"/>
      <w:numFmt w:val="bullet"/>
      <w:lvlText w:val=""/>
      <w:lvlJc w:val="left"/>
      <w:pPr>
        <w:ind w:left="754" w:hanging="360"/>
      </w:pPr>
      <w:rPr>
        <w:rFonts w:ascii="Symbol" w:hAnsi="Symbol" w:hint="default"/>
      </w:rPr>
    </w:lvl>
    <w:lvl w:ilvl="1" w:tplc="08130003" w:tentative="1">
      <w:start w:val="1"/>
      <w:numFmt w:val="bullet"/>
      <w:lvlText w:val="o"/>
      <w:lvlJc w:val="left"/>
      <w:pPr>
        <w:ind w:left="1474" w:hanging="360"/>
      </w:pPr>
      <w:rPr>
        <w:rFonts w:ascii="Courier New" w:hAnsi="Courier New" w:cs="Courier New" w:hint="default"/>
      </w:rPr>
    </w:lvl>
    <w:lvl w:ilvl="2" w:tplc="08130005" w:tentative="1">
      <w:start w:val="1"/>
      <w:numFmt w:val="bullet"/>
      <w:lvlText w:val=""/>
      <w:lvlJc w:val="left"/>
      <w:pPr>
        <w:ind w:left="2194" w:hanging="360"/>
      </w:pPr>
      <w:rPr>
        <w:rFonts w:ascii="Wingdings" w:hAnsi="Wingdings" w:hint="default"/>
      </w:rPr>
    </w:lvl>
    <w:lvl w:ilvl="3" w:tplc="08130001" w:tentative="1">
      <w:start w:val="1"/>
      <w:numFmt w:val="bullet"/>
      <w:lvlText w:val=""/>
      <w:lvlJc w:val="left"/>
      <w:pPr>
        <w:ind w:left="2914" w:hanging="360"/>
      </w:pPr>
      <w:rPr>
        <w:rFonts w:ascii="Symbol" w:hAnsi="Symbol" w:hint="default"/>
      </w:rPr>
    </w:lvl>
    <w:lvl w:ilvl="4" w:tplc="08130003" w:tentative="1">
      <w:start w:val="1"/>
      <w:numFmt w:val="bullet"/>
      <w:lvlText w:val="o"/>
      <w:lvlJc w:val="left"/>
      <w:pPr>
        <w:ind w:left="3634" w:hanging="360"/>
      </w:pPr>
      <w:rPr>
        <w:rFonts w:ascii="Courier New" w:hAnsi="Courier New" w:cs="Courier New" w:hint="default"/>
      </w:rPr>
    </w:lvl>
    <w:lvl w:ilvl="5" w:tplc="08130005" w:tentative="1">
      <w:start w:val="1"/>
      <w:numFmt w:val="bullet"/>
      <w:lvlText w:val=""/>
      <w:lvlJc w:val="left"/>
      <w:pPr>
        <w:ind w:left="4354" w:hanging="360"/>
      </w:pPr>
      <w:rPr>
        <w:rFonts w:ascii="Wingdings" w:hAnsi="Wingdings" w:hint="default"/>
      </w:rPr>
    </w:lvl>
    <w:lvl w:ilvl="6" w:tplc="08130001" w:tentative="1">
      <w:start w:val="1"/>
      <w:numFmt w:val="bullet"/>
      <w:lvlText w:val=""/>
      <w:lvlJc w:val="left"/>
      <w:pPr>
        <w:ind w:left="5074" w:hanging="360"/>
      </w:pPr>
      <w:rPr>
        <w:rFonts w:ascii="Symbol" w:hAnsi="Symbol" w:hint="default"/>
      </w:rPr>
    </w:lvl>
    <w:lvl w:ilvl="7" w:tplc="08130003" w:tentative="1">
      <w:start w:val="1"/>
      <w:numFmt w:val="bullet"/>
      <w:lvlText w:val="o"/>
      <w:lvlJc w:val="left"/>
      <w:pPr>
        <w:ind w:left="5794" w:hanging="360"/>
      </w:pPr>
      <w:rPr>
        <w:rFonts w:ascii="Courier New" w:hAnsi="Courier New" w:cs="Courier New" w:hint="default"/>
      </w:rPr>
    </w:lvl>
    <w:lvl w:ilvl="8" w:tplc="08130005" w:tentative="1">
      <w:start w:val="1"/>
      <w:numFmt w:val="bullet"/>
      <w:lvlText w:val=""/>
      <w:lvlJc w:val="left"/>
      <w:pPr>
        <w:ind w:left="6514" w:hanging="360"/>
      </w:pPr>
      <w:rPr>
        <w:rFonts w:ascii="Wingdings" w:hAnsi="Wingdings" w:hint="default"/>
      </w:rPr>
    </w:lvl>
  </w:abstractNum>
  <w:abstractNum w:abstractNumId="29" w15:restartNumberingAfterBreak="0">
    <w:nsid w:val="5D3F0F7A"/>
    <w:multiLevelType w:val="multilevel"/>
    <w:tmpl w:val="DFB01BB6"/>
    <w:styleLink w:val="Style3"/>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isLgl/>
      <w:lvlText w:val="%1.%2"/>
      <w:lvlJc w:val="left"/>
      <w:pPr>
        <w:tabs>
          <w:tab w:val="num" w:pos="1134"/>
        </w:tabs>
        <w:ind w:left="1134" w:hanging="1134"/>
      </w:pPr>
      <w:rPr>
        <w:rFonts w:ascii="Times New Roman" w:hAnsi="Times New Roman" w:hint="default"/>
        <w:b/>
        <w:i w:val="0"/>
        <w:w w:val="110"/>
        <w:sz w:val="28"/>
        <w:szCs w:val="28"/>
      </w:rPr>
    </w:lvl>
    <w:lvl w:ilvl="2">
      <w:start w:val="1"/>
      <w:numFmt w:val="decimal"/>
      <w:isLgl/>
      <w:lvlText w:val="%1.%2.%3"/>
      <w:lvlJc w:val="left"/>
      <w:pPr>
        <w:tabs>
          <w:tab w:val="num" w:pos="1134"/>
        </w:tabs>
        <w:ind w:left="1134" w:hanging="1134"/>
      </w:pPr>
      <w:rPr>
        <w:rFonts w:ascii="Times New Roman" w:hAnsi="Times New Roman" w:hint="default"/>
        <w:b/>
        <w:i w:val="0"/>
        <w:w w:val="110"/>
        <w:sz w:val="24"/>
        <w:szCs w:val="24"/>
      </w:rPr>
    </w:lvl>
    <w:lvl w:ilvl="3">
      <w:start w:val="1"/>
      <w:numFmt w:val="decimal"/>
      <w:isLgl/>
      <w:lvlText w:val="%1.%2.%3.%4"/>
      <w:lvlJc w:val="left"/>
      <w:pPr>
        <w:tabs>
          <w:tab w:val="num" w:pos="1314"/>
        </w:tabs>
        <w:ind w:left="1314" w:hanging="1134"/>
      </w:pPr>
      <w:rPr>
        <w:rFonts w:hint="default"/>
        <w:b w:val="0"/>
        <w:i w:val="0"/>
        <w:w w:val="110"/>
        <w:sz w:val="24"/>
        <w:szCs w:val="24"/>
      </w:rPr>
    </w:lvl>
    <w:lvl w:ilvl="4">
      <w:start w:val="1"/>
      <w:numFmt w:val="decimal"/>
      <w:isLgl/>
      <w:lvlText w:val="%1.%2.%3.%4.%5"/>
      <w:lvlJc w:val="left"/>
      <w:pPr>
        <w:tabs>
          <w:tab w:val="num" w:pos="4320"/>
        </w:tabs>
        <w:ind w:left="4320" w:hanging="1440"/>
      </w:pPr>
      <w:rPr>
        <w:rFonts w:hint="default"/>
        <w:b/>
        <w:i/>
        <w:w w:val="110"/>
        <w:sz w:val="20"/>
      </w:rPr>
    </w:lvl>
    <w:lvl w:ilvl="5">
      <w:start w:val="1"/>
      <w:numFmt w:val="decimal"/>
      <w:isLgl/>
      <w:lvlText w:val="%1.%2.%3.%4.%5.%6"/>
      <w:lvlJc w:val="left"/>
      <w:pPr>
        <w:tabs>
          <w:tab w:val="num" w:pos="5400"/>
        </w:tabs>
        <w:ind w:left="5400" w:hanging="1800"/>
      </w:pPr>
      <w:rPr>
        <w:rFonts w:hint="default"/>
        <w:b/>
        <w:i/>
        <w:w w:val="110"/>
        <w:sz w:val="20"/>
      </w:rPr>
    </w:lvl>
    <w:lvl w:ilvl="6">
      <w:start w:val="1"/>
      <w:numFmt w:val="decimal"/>
      <w:isLgl/>
      <w:lvlText w:val="%1.%2.%3.%4.%5.%6.%7"/>
      <w:lvlJc w:val="left"/>
      <w:pPr>
        <w:tabs>
          <w:tab w:val="num" w:pos="6480"/>
        </w:tabs>
        <w:ind w:left="6480" w:hanging="2160"/>
      </w:pPr>
      <w:rPr>
        <w:rFonts w:hint="default"/>
        <w:b/>
        <w:i/>
        <w:w w:val="110"/>
        <w:sz w:val="20"/>
      </w:rPr>
    </w:lvl>
    <w:lvl w:ilvl="7">
      <w:start w:val="1"/>
      <w:numFmt w:val="decimal"/>
      <w:isLgl/>
      <w:lvlText w:val="%1.%2.%3.%4.%5.%6.%7.%8"/>
      <w:lvlJc w:val="left"/>
      <w:pPr>
        <w:tabs>
          <w:tab w:val="num" w:pos="7200"/>
        </w:tabs>
        <w:ind w:left="7200" w:hanging="2160"/>
      </w:pPr>
      <w:rPr>
        <w:rFonts w:hint="default"/>
        <w:b/>
        <w:i/>
        <w:w w:val="110"/>
        <w:sz w:val="20"/>
      </w:rPr>
    </w:lvl>
    <w:lvl w:ilvl="8">
      <w:start w:val="1"/>
      <w:numFmt w:val="decimal"/>
      <w:isLgl/>
      <w:lvlText w:val="%1.%2.%3.%4.%5.%6.%7.%8.%9"/>
      <w:lvlJc w:val="left"/>
      <w:pPr>
        <w:tabs>
          <w:tab w:val="num" w:pos="8280"/>
        </w:tabs>
        <w:ind w:left="8280" w:hanging="2520"/>
      </w:pPr>
      <w:rPr>
        <w:rFonts w:hint="default"/>
        <w:b/>
        <w:i/>
        <w:w w:val="110"/>
        <w:sz w:val="20"/>
      </w:rPr>
    </w:lvl>
  </w:abstractNum>
  <w:abstractNum w:abstractNumId="30" w15:restartNumberingAfterBreak="0">
    <w:nsid w:val="5D6A7082"/>
    <w:multiLevelType w:val="hybridMultilevel"/>
    <w:tmpl w:val="D90C2846"/>
    <w:lvl w:ilvl="0" w:tplc="1C368F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E15D3B"/>
    <w:multiLevelType w:val="hybridMultilevel"/>
    <w:tmpl w:val="2FE26116"/>
    <w:lvl w:ilvl="0" w:tplc="5DF03F64">
      <w:start w:val="1"/>
      <w:numFmt w:val="lowerLetter"/>
      <w:lvlText w:val="(%1)"/>
      <w:lvlJc w:val="left"/>
      <w:pPr>
        <w:ind w:left="1440" w:hanging="7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6AF86E50"/>
    <w:multiLevelType w:val="hybridMultilevel"/>
    <w:tmpl w:val="C4FED836"/>
    <w:lvl w:ilvl="0" w:tplc="FC4CB09A">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903906"/>
    <w:multiLevelType w:val="multilevel"/>
    <w:tmpl w:val="58E01EFA"/>
    <w:styleLink w:val="Style8"/>
    <w:lvl w:ilvl="0">
      <w:start w:val="1"/>
      <w:numFmt w:val="decimal"/>
      <w:lvlText w:val="%1"/>
      <w:lvlJc w:val="left"/>
      <w:pPr>
        <w:ind w:left="115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7EE384B"/>
    <w:multiLevelType w:val="hybridMultilevel"/>
    <w:tmpl w:val="8A2C26EA"/>
    <w:lvl w:ilvl="0" w:tplc="04140011">
      <w:start w:val="1"/>
      <w:numFmt w:val="decimal"/>
      <w:lvlText w:val="%1)"/>
      <w:lvlJc w:val="left"/>
      <w:pPr>
        <w:ind w:left="1800" w:hanging="360"/>
      </w:pPr>
      <w:rPr>
        <w:rFonts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7F12158"/>
    <w:multiLevelType w:val="multilevel"/>
    <w:tmpl w:val="E1785B92"/>
    <w:lvl w:ilvl="0">
      <w:start w:val="1"/>
      <w:numFmt w:val="lowerLetter"/>
      <w:lvlRestart w:val="0"/>
      <w:pStyle w:val="abcList"/>
      <w:lvlText w:val="(%1)"/>
      <w:lvlJc w:val="left"/>
      <w:pPr>
        <w:tabs>
          <w:tab w:val="num" w:pos="2128"/>
        </w:tabs>
        <w:ind w:left="2128" w:hanging="426"/>
      </w:pPr>
      <w:rPr>
        <w:rFonts w:hint="default"/>
        <w:i w:val="0"/>
        <w:iCs/>
      </w:rPr>
    </w:lvl>
    <w:lvl w:ilvl="1">
      <w:start w:val="1"/>
      <w:numFmt w:val="decimal"/>
      <w:lvlText w:val="(%2)"/>
      <w:lvlJc w:val="left"/>
      <w:pPr>
        <w:tabs>
          <w:tab w:val="num" w:pos="2268"/>
        </w:tabs>
        <w:ind w:left="2268" w:hanging="425"/>
      </w:pPr>
      <w:rPr>
        <w:rFonts w:hint="default"/>
      </w:rPr>
    </w:lvl>
    <w:lvl w:ilvl="2">
      <w:start w:val="1"/>
      <w:numFmt w:val="lowerRoman"/>
      <w:lvlText w:val="(%3)"/>
      <w:lvlJc w:val="left"/>
      <w:pPr>
        <w:tabs>
          <w:tab w:val="num" w:pos="2693"/>
        </w:tabs>
        <w:ind w:left="2693" w:hanging="425"/>
      </w:pPr>
      <w:rPr>
        <w:rFonts w:hint="default"/>
      </w:rPr>
    </w:lvl>
    <w:lvl w:ilvl="3">
      <w:start w:val="1"/>
      <w:numFmt w:val="bullet"/>
      <w:lvlText w:val=""/>
      <w:lvlJc w:val="left"/>
      <w:pPr>
        <w:tabs>
          <w:tab w:val="num" w:pos="3118"/>
        </w:tabs>
        <w:ind w:left="3118" w:hanging="425"/>
      </w:pPr>
      <w:rPr>
        <w:rFonts w:ascii="Wingdings" w:hAnsi="Wingdings" w:hint="default"/>
        <w:color w:val="auto"/>
      </w:rPr>
    </w:lvl>
    <w:lvl w:ilvl="4">
      <w:start w:val="1"/>
      <w:numFmt w:val="bullet"/>
      <w:lvlText w:val=""/>
      <w:lvlJc w:val="left"/>
      <w:pPr>
        <w:tabs>
          <w:tab w:val="num" w:pos="3543"/>
        </w:tabs>
        <w:ind w:left="3543" w:hanging="425"/>
      </w:pPr>
      <w:rPr>
        <w:rFonts w:ascii="Wingdings" w:hAnsi="Wingdings" w:hint="default"/>
        <w:color w:val="auto"/>
      </w:rPr>
    </w:lvl>
    <w:lvl w:ilvl="5">
      <w:start w:val="1"/>
      <w:numFmt w:val="bullet"/>
      <w:lvlText w:val=""/>
      <w:lvlJc w:val="left"/>
      <w:pPr>
        <w:tabs>
          <w:tab w:val="num" w:pos="3969"/>
        </w:tabs>
        <w:ind w:left="3969" w:hanging="426"/>
      </w:pPr>
      <w:rPr>
        <w:rFonts w:ascii="Wingdings" w:hAnsi="Wingdings" w:hint="default"/>
        <w:color w:val="auto"/>
      </w:rPr>
    </w:lvl>
    <w:lvl w:ilvl="6">
      <w:start w:val="1"/>
      <w:numFmt w:val="bullet"/>
      <w:lvlText w:val=""/>
      <w:lvlJc w:val="left"/>
      <w:pPr>
        <w:tabs>
          <w:tab w:val="num" w:pos="4394"/>
        </w:tabs>
        <w:ind w:left="4394" w:hanging="425"/>
      </w:pPr>
      <w:rPr>
        <w:rFonts w:ascii="Wingdings" w:hAnsi="Wingdings" w:hint="default"/>
        <w:color w:val="auto"/>
      </w:rPr>
    </w:lvl>
    <w:lvl w:ilvl="7">
      <w:start w:val="1"/>
      <w:numFmt w:val="bullet"/>
      <w:lvlText w:val=""/>
      <w:lvlJc w:val="left"/>
      <w:pPr>
        <w:tabs>
          <w:tab w:val="num" w:pos="4819"/>
        </w:tabs>
        <w:ind w:left="4819" w:hanging="425"/>
      </w:pPr>
      <w:rPr>
        <w:rFonts w:ascii="Wingdings" w:hAnsi="Wingdings" w:hint="default"/>
        <w:color w:val="auto"/>
      </w:rPr>
    </w:lvl>
    <w:lvl w:ilvl="8">
      <w:start w:val="1"/>
      <w:numFmt w:val="bullet"/>
      <w:lvlText w:val=""/>
      <w:lvlJc w:val="left"/>
      <w:pPr>
        <w:tabs>
          <w:tab w:val="num" w:pos="5244"/>
        </w:tabs>
        <w:ind w:left="5244" w:hanging="425"/>
      </w:pPr>
      <w:rPr>
        <w:rFonts w:ascii="Wingdings" w:hAnsi="Wingdings" w:hint="default"/>
        <w:color w:val="auto"/>
      </w:rPr>
    </w:lvl>
  </w:abstractNum>
  <w:abstractNum w:abstractNumId="36" w15:restartNumberingAfterBreak="0">
    <w:nsid w:val="7EF66686"/>
    <w:multiLevelType w:val="singleLevel"/>
    <w:tmpl w:val="C7C08E98"/>
    <w:lvl w:ilvl="0">
      <w:start w:val="1"/>
      <w:numFmt w:val="decimal"/>
      <w:pStyle w:val="ReferenceDocument"/>
      <w:lvlText w:val="{Ref. %1}"/>
      <w:lvlJc w:val="left"/>
      <w:pPr>
        <w:tabs>
          <w:tab w:val="num" w:pos="1440"/>
        </w:tabs>
        <w:ind w:left="360" w:hanging="360"/>
      </w:pPr>
      <w:rPr>
        <w:rFonts w:cs="Times New Roman" w:hint="default"/>
        <w:color w:val="460046"/>
      </w:rPr>
    </w:lvl>
  </w:abstractNum>
  <w:abstractNum w:abstractNumId="37" w15:restartNumberingAfterBreak="0">
    <w:nsid w:val="7F9A0D45"/>
    <w:multiLevelType w:val="hybridMultilevel"/>
    <w:tmpl w:val="EC8C7172"/>
    <w:lvl w:ilvl="0" w:tplc="9B802912">
      <w:start w:val="1"/>
      <w:numFmt w:val="lowerLetter"/>
      <w:lvlText w:val="%1)"/>
      <w:lvlJc w:val="left"/>
      <w:pPr>
        <w:ind w:left="394" w:hanging="360"/>
      </w:pPr>
      <w:rPr>
        <w:rFonts w:hint="default"/>
      </w:rPr>
    </w:lvl>
    <w:lvl w:ilvl="1" w:tplc="08160019" w:tentative="1">
      <w:start w:val="1"/>
      <w:numFmt w:val="lowerLetter"/>
      <w:lvlText w:val="%2."/>
      <w:lvlJc w:val="left"/>
      <w:pPr>
        <w:ind w:left="1114" w:hanging="360"/>
      </w:pPr>
    </w:lvl>
    <w:lvl w:ilvl="2" w:tplc="0816001B" w:tentative="1">
      <w:start w:val="1"/>
      <w:numFmt w:val="lowerRoman"/>
      <w:lvlText w:val="%3."/>
      <w:lvlJc w:val="right"/>
      <w:pPr>
        <w:ind w:left="1834" w:hanging="180"/>
      </w:pPr>
    </w:lvl>
    <w:lvl w:ilvl="3" w:tplc="0816000F" w:tentative="1">
      <w:start w:val="1"/>
      <w:numFmt w:val="decimal"/>
      <w:lvlText w:val="%4."/>
      <w:lvlJc w:val="left"/>
      <w:pPr>
        <w:ind w:left="2554" w:hanging="360"/>
      </w:pPr>
    </w:lvl>
    <w:lvl w:ilvl="4" w:tplc="08160019" w:tentative="1">
      <w:start w:val="1"/>
      <w:numFmt w:val="lowerLetter"/>
      <w:lvlText w:val="%5."/>
      <w:lvlJc w:val="left"/>
      <w:pPr>
        <w:ind w:left="3274" w:hanging="360"/>
      </w:pPr>
    </w:lvl>
    <w:lvl w:ilvl="5" w:tplc="0816001B" w:tentative="1">
      <w:start w:val="1"/>
      <w:numFmt w:val="lowerRoman"/>
      <w:lvlText w:val="%6."/>
      <w:lvlJc w:val="right"/>
      <w:pPr>
        <w:ind w:left="3994" w:hanging="180"/>
      </w:pPr>
    </w:lvl>
    <w:lvl w:ilvl="6" w:tplc="0816000F" w:tentative="1">
      <w:start w:val="1"/>
      <w:numFmt w:val="decimal"/>
      <w:lvlText w:val="%7."/>
      <w:lvlJc w:val="left"/>
      <w:pPr>
        <w:ind w:left="4714" w:hanging="360"/>
      </w:pPr>
    </w:lvl>
    <w:lvl w:ilvl="7" w:tplc="08160019" w:tentative="1">
      <w:start w:val="1"/>
      <w:numFmt w:val="lowerLetter"/>
      <w:lvlText w:val="%8."/>
      <w:lvlJc w:val="left"/>
      <w:pPr>
        <w:ind w:left="5434" w:hanging="360"/>
      </w:pPr>
    </w:lvl>
    <w:lvl w:ilvl="8" w:tplc="0816001B" w:tentative="1">
      <w:start w:val="1"/>
      <w:numFmt w:val="lowerRoman"/>
      <w:lvlText w:val="%9."/>
      <w:lvlJc w:val="right"/>
      <w:pPr>
        <w:ind w:left="6154" w:hanging="180"/>
      </w:pPr>
    </w:lvl>
  </w:abstractNum>
  <w:num w:numId="1" w16cid:durableId="883785573">
    <w:abstractNumId w:val="36"/>
  </w:num>
  <w:num w:numId="2" w16cid:durableId="13773510">
    <w:abstractNumId w:val="27"/>
  </w:num>
  <w:num w:numId="3" w16cid:durableId="1988507605">
    <w:abstractNumId w:val="15"/>
  </w:num>
  <w:num w:numId="4" w16cid:durableId="1470323023">
    <w:abstractNumId w:val="29"/>
  </w:num>
  <w:num w:numId="5" w16cid:durableId="1603416264">
    <w:abstractNumId w:val="8"/>
  </w:num>
  <w:num w:numId="6" w16cid:durableId="1152983100">
    <w:abstractNumId w:val="5"/>
  </w:num>
  <w:num w:numId="7" w16cid:durableId="364645044">
    <w:abstractNumId w:val="19"/>
  </w:num>
  <w:num w:numId="8" w16cid:durableId="1882983684">
    <w:abstractNumId w:val="11"/>
  </w:num>
  <w:num w:numId="9" w16cid:durableId="741948235">
    <w:abstractNumId w:val="17"/>
  </w:num>
  <w:num w:numId="10" w16cid:durableId="905262489">
    <w:abstractNumId w:val="35"/>
  </w:num>
  <w:num w:numId="11" w16cid:durableId="1708097366">
    <w:abstractNumId w:val="30"/>
  </w:num>
  <w:num w:numId="12" w16cid:durableId="1734161492">
    <w:abstractNumId w:val="0"/>
  </w:num>
  <w:num w:numId="13" w16cid:durableId="1023433787">
    <w:abstractNumId w:val="14"/>
  </w:num>
  <w:num w:numId="14" w16cid:durableId="1513837140">
    <w:abstractNumId w:val="26"/>
  </w:num>
  <w:num w:numId="15" w16cid:durableId="1354258815">
    <w:abstractNumId w:val="24"/>
  </w:num>
  <w:num w:numId="16" w16cid:durableId="2111002651">
    <w:abstractNumId w:val="34"/>
  </w:num>
  <w:num w:numId="17" w16cid:durableId="930163307">
    <w:abstractNumId w:val="12"/>
  </w:num>
  <w:num w:numId="18" w16cid:durableId="1274676644">
    <w:abstractNumId w:val="6"/>
  </w:num>
  <w:num w:numId="19" w16cid:durableId="1987926406">
    <w:abstractNumId w:val="31"/>
  </w:num>
  <w:num w:numId="20" w16cid:durableId="110632861">
    <w:abstractNumId w:val="16"/>
  </w:num>
  <w:num w:numId="21" w16cid:durableId="655182075">
    <w:abstractNumId w:val="9"/>
  </w:num>
  <w:num w:numId="22" w16cid:durableId="1905947128">
    <w:abstractNumId w:val="25"/>
  </w:num>
  <w:num w:numId="23" w16cid:durableId="2117212204">
    <w:abstractNumId w:val="10"/>
  </w:num>
  <w:num w:numId="24" w16cid:durableId="1653948690">
    <w:abstractNumId w:val="23"/>
  </w:num>
  <w:num w:numId="25" w16cid:durableId="1114204500">
    <w:abstractNumId w:val="33"/>
  </w:num>
  <w:num w:numId="26" w16cid:durableId="1713307658">
    <w:abstractNumId w:val="22"/>
  </w:num>
  <w:num w:numId="27" w16cid:durableId="543717162">
    <w:abstractNumId w:val="18"/>
  </w:num>
  <w:num w:numId="28" w16cid:durableId="473061754">
    <w:abstractNumId w:val="4"/>
  </w:num>
  <w:num w:numId="29" w16cid:durableId="1945074588">
    <w:abstractNumId w:val="2"/>
  </w:num>
  <w:num w:numId="30" w16cid:durableId="969480733">
    <w:abstractNumId w:val="32"/>
  </w:num>
  <w:num w:numId="31" w16cid:durableId="1740521981">
    <w:abstractNumId w:val="28"/>
  </w:num>
  <w:num w:numId="32" w16cid:durableId="615452930">
    <w:abstractNumId w:val="21"/>
  </w:num>
  <w:num w:numId="33" w16cid:durableId="326058866">
    <w:abstractNumId w:val="13"/>
  </w:num>
  <w:num w:numId="34" w16cid:durableId="187112409">
    <w:abstractNumId w:val="37"/>
  </w:num>
  <w:num w:numId="35" w16cid:durableId="1918130961">
    <w:abstractNumId w:val="6"/>
  </w:num>
  <w:num w:numId="36" w16cid:durableId="1196427949">
    <w:abstractNumId w:val="6"/>
  </w:num>
  <w:num w:numId="37" w16cid:durableId="1583637111">
    <w:abstractNumId w:val="9"/>
  </w:num>
  <w:num w:numId="38" w16cid:durableId="1813937038">
    <w:abstractNumId w:val="20"/>
  </w:num>
  <w:num w:numId="39" w16cid:durableId="225536494">
    <w:abstractNumId w:val="7"/>
  </w:num>
  <w:num w:numId="40" w16cid:durableId="1272712379">
    <w:abstractNumId w:val="1"/>
  </w:num>
  <w:num w:numId="41" w16cid:durableId="401555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Formatting/>
  <w:defaultTabStop w:val="1021"/>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D6A"/>
    <w:rsid w:val="000017A1"/>
    <w:rsid w:val="00004CAF"/>
    <w:rsid w:val="000064A9"/>
    <w:rsid w:val="00010C11"/>
    <w:rsid w:val="00011829"/>
    <w:rsid w:val="0001294E"/>
    <w:rsid w:val="000146C8"/>
    <w:rsid w:val="00015EA9"/>
    <w:rsid w:val="00017FDA"/>
    <w:rsid w:val="00017FF6"/>
    <w:rsid w:val="00020D77"/>
    <w:rsid w:val="00024B52"/>
    <w:rsid w:val="00025118"/>
    <w:rsid w:val="0002527B"/>
    <w:rsid w:val="00025472"/>
    <w:rsid w:val="00026613"/>
    <w:rsid w:val="00027092"/>
    <w:rsid w:val="00030F54"/>
    <w:rsid w:val="000315D8"/>
    <w:rsid w:val="0003191F"/>
    <w:rsid w:val="00032020"/>
    <w:rsid w:val="000326FB"/>
    <w:rsid w:val="000328C7"/>
    <w:rsid w:val="00035A31"/>
    <w:rsid w:val="000375DB"/>
    <w:rsid w:val="00040375"/>
    <w:rsid w:val="00042A51"/>
    <w:rsid w:val="00043E4B"/>
    <w:rsid w:val="00045889"/>
    <w:rsid w:val="00046BEF"/>
    <w:rsid w:val="00047BAB"/>
    <w:rsid w:val="00052E37"/>
    <w:rsid w:val="000532FF"/>
    <w:rsid w:val="0005367F"/>
    <w:rsid w:val="000539A4"/>
    <w:rsid w:val="00054CDA"/>
    <w:rsid w:val="00055084"/>
    <w:rsid w:val="0005641F"/>
    <w:rsid w:val="00062D9B"/>
    <w:rsid w:val="0006356B"/>
    <w:rsid w:val="000665EE"/>
    <w:rsid w:val="00067E9F"/>
    <w:rsid w:val="0007198A"/>
    <w:rsid w:val="00075EC4"/>
    <w:rsid w:val="00077F53"/>
    <w:rsid w:val="000838B3"/>
    <w:rsid w:val="00084178"/>
    <w:rsid w:val="000847EF"/>
    <w:rsid w:val="00086AA9"/>
    <w:rsid w:val="000871A6"/>
    <w:rsid w:val="00087E78"/>
    <w:rsid w:val="0009379C"/>
    <w:rsid w:val="00093C0F"/>
    <w:rsid w:val="00093DC0"/>
    <w:rsid w:val="00094174"/>
    <w:rsid w:val="00094AC0"/>
    <w:rsid w:val="000A083F"/>
    <w:rsid w:val="000A234F"/>
    <w:rsid w:val="000A2438"/>
    <w:rsid w:val="000A441B"/>
    <w:rsid w:val="000A76FC"/>
    <w:rsid w:val="000B0B4E"/>
    <w:rsid w:val="000B147C"/>
    <w:rsid w:val="000B1D37"/>
    <w:rsid w:val="000B2361"/>
    <w:rsid w:val="000C1F92"/>
    <w:rsid w:val="000C2E2C"/>
    <w:rsid w:val="000C4A77"/>
    <w:rsid w:val="000C6F03"/>
    <w:rsid w:val="000D05CA"/>
    <w:rsid w:val="000D20A4"/>
    <w:rsid w:val="000D316E"/>
    <w:rsid w:val="000D6A15"/>
    <w:rsid w:val="000D7CA7"/>
    <w:rsid w:val="000D7ED6"/>
    <w:rsid w:val="000E116D"/>
    <w:rsid w:val="000E22B3"/>
    <w:rsid w:val="000E6D20"/>
    <w:rsid w:val="000E6FF6"/>
    <w:rsid w:val="000F1520"/>
    <w:rsid w:val="000F2448"/>
    <w:rsid w:val="000F2477"/>
    <w:rsid w:val="000F321E"/>
    <w:rsid w:val="000F3985"/>
    <w:rsid w:val="000F487F"/>
    <w:rsid w:val="000F6093"/>
    <w:rsid w:val="000F63DE"/>
    <w:rsid w:val="000F75FE"/>
    <w:rsid w:val="00100500"/>
    <w:rsid w:val="001115EC"/>
    <w:rsid w:val="00113333"/>
    <w:rsid w:val="00116B37"/>
    <w:rsid w:val="00116B60"/>
    <w:rsid w:val="00120407"/>
    <w:rsid w:val="001208A3"/>
    <w:rsid w:val="001225ED"/>
    <w:rsid w:val="001233FE"/>
    <w:rsid w:val="00125108"/>
    <w:rsid w:val="001251E2"/>
    <w:rsid w:val="00126CAF"/>
    <w:rsid w:val="0012717C"/>
    <w:rsid w:val="00127B7E"/>
    <w:rsid w:val="00130497"/>
    <w:rsid w:val="00130A96"/>
    <w:rsid w:val="00131DA6"/>
    <w:rsid w:val="00133509"/>
    <w:rsid w:val="00134831"/>
    <w:rsid w:val="001355AC"/>
    <w:rsid w:val="00135889"/>
    <w:rsid w:val="00141906"/>
    <w:rsid w:val="00142013"/>
    <w:rsid w:val="0014473F"/>
    <w:rsid w:val="00145948"/>
    <w:rsid w:val="00145FDA"/>
    <w:rsid w:val="0014711A"/>
    <w:rsid w:val="00150723"/>
    <w:rsid w:val="00153B57"/>
    <w:rsid w:val="00154325"/>
    <w:rsid w:val="00162160"/>
    <w:rsid w:val="00162F09"/>
    <w:rsid w:val="00164562"/>
    <w:rsid w:val="001651E9"/>
    <w:rsid w:val="001656BB"/>
    <w:rsid w:val="00165D0A"/>
    <w:rsid w:val="001663C0"/>
    <w:rsid w:val="0016729C"/>
    <w:rsid w:val="00167641"/>
    <w:rsid w:val="00167B4F"/>
    <w:rsid w:val="00171125"/>
    <w:rsid w:val="00176F0D"/>
    <w:rsid w:val="00180229"/>
    <w:rsid w:val="001835B6"/>
    <w:rsid w:val="00184373"/>
    <w:rsid w:val="00186B54"/>
    <w:rsid w:val="001878FD"/>
    <w:rsid w:val="0019060C"/>
    <w:rsid w:val="001912EE"/>
    <w:rsid w:val="001930D5"/>
    <w:rsid w:val="00193D57"/>
    <w:rsid w:val="00194D03"/>
    <w:rsid w:val="00194EB4"/>
    <w:rsid w:val="00197FA6"/>
    <w:rsid w:val="001A0D3B"/>
    <w:rsid w:val="001A43B1"/>
    <w:rsid w:val="001B306C"/>
    <w:rsid w:val="001B546B"/>
    <w:rsid w:val="001B5ABC"/>
    <w:rsid w:val="001C1ABA"/>
    <w:rsid w:val="001C2143"/>
    <w:rsid w:val="001C2CAD"/>
    <w:rsid w:val="001C2CF3"/>
    <w:rsid w:val="001C415A"/>
    <w:rsid w:val="001C44BB"/>
    <w:rsid w:val="001C6A29"/>
    <w:rsid w:val="001C752E"/>
    <w:rsid w:val="001D1C4A"/>
    <w:rsid w:val="001D3877"/>
    <w:rsid w:val="001D3B69"/>
    <w:rsid w:val="001D3BD4"/>
    <w:rsid w:val="001D3DC2"/>
    <w:rsid w:val="001D4886"/>
    <w:rsid w:val="001D4E8A"/>
    <w:rsid w:val="001D638B"/>
    <w:rsid w:val="001D6B2C"/>
    <w:rsid w:val="001E565B"/>
    <w:rsid w:val="001F23A6"/>
    <w:rsid w:val="001F347B"/>
    <w:rsid w:val="001F5ACB"/>
    <w:rsid w:val="001F5D54"/>
    <w:rsid w:val="001F616B"/>
    <w:rsid w:val="001F7B70"/>
    <w:rsid w:val="002002C9"/>
    <w:rsid w:val="002009F5"/>
    <w:rsid w:val="002013C7"/>
    <w:rsid w:val="002014AA"/>
    <w:rsid w:val="00202832"/>
    <w:rsid w:val="00202A66"/>
    <w:rsid w:val="00202E79"/>
    <w:rsid w:val="00203177"/>
    <w:rsid w:val="002068B9"/>
    <w:rsid w:val="002106E3"/>
    <w:rsid w:val="002107B2"/>
    <w:rsid w:val="00213057"/>
    <w:rsid w:val="00213801"/>
    <w:rsid w:val="0021400B"/>
    <w:rsid w:val="00217365"/>
    <w:rsid w:val="002177D8"/>
    <w:rsid w:val="00221D70"/>
    <w:rsid w:val="00222E9F"/>
    <w:rsid w:val="0022502F"/>
    <w:rsid w:val="00225DA6"/>
    <w:rsid w:val="00226F08"/>
    <w:rsid w:val="002272D6"/>
    <w:rsid w:val="00230419"/>
    <w:rsid w:val="002304DE"/>
    <w:rsid w:val="0023057B"/>
    <w:rsid w:val="00232351"/>
    <w:rsid w:val="00233BF5"/>
    <w:rsid w:val="0023441A"/>
    <w:rsid w:val="002345D8"/>
    <w:rsid w:val="00234B46"/>
    <w:rsid w:val="00237207"/>
    <w:rsid w:val="00237567"/>
    <w:rsid w:val="00241F68"/>
    <w:rsid w:val="002420D8"/>
    <w:rsid w:val="00243E06"/>
    <w:rsid w:val="00245163"/>
    <w:rsid w:val="00245620"/>
    <w:rsid w:val="002477BA"/>
    <w:rsid w:val="0024797B"/>
    <w:rsid w:val="00255882"/>
    <w:rsid w:val="00257A08"/>
    <w:rsid w:val="002610A9"/>
    <w:rsid w:val="0026263B"/>
    <w:rsid w:val="00263DEF"/>
    <w:rsid w:val="00264245"/>
    <w:rsid w:val="00265F72"/>
    <w:rsid w:val="0026655C"/>
    <w:rsid w:val="00270C63"/>
    <w:rsid w:val="00271221"/>
    <w:rsid w:val="002713C1"/>
    <w:rsid w:val="00271588"/>
    <w:rsid w:val="00272473"/>
    <w:rsid w:val="00272DF3"/>
    <w:rsid w:val="00273918"/>
    <w:rsid w:val="0027485F"/>
    <w:rsid w:val="00283683"/>
    <w:rsid w:val="00283AA5"/>
    <w:rsid w:val="00284F57"/>
    <w:rsid w:val="00284F68"/>
    <w:rsid w:val="00286A18"/>
    <w:rsid w:val="00286BE5"/>
    <w:rsid w:val="002929F2"/>
    <w:rsid w:val="002932E7"/>
    <w:rsid w:val="00293E6B"/>
    <w:rsid w:val="002950B5"/>
    <w:rsid w:val="00296567"/>
    <w:rsid w:val="002A3936"/>
    <w:rsid w:val="002A4886"/>
    <w:rsid w:val="002B2A21"/>
    <w:rsid w:val="002B2E75"/>
    <w:rsid w:val="002B4162"/>
    <w:rsid w:val="002B4F8A"/>
    <w:rsid w:val="002C0B54"/>
    <w:rsid w:val="002C0FF2"/>
    <w:rsid w:val="002C1DD3"/>
    <w:rsid w:val="002C2724"/>
    <w:rsid w:val="002C2856"/>
    <w:rsid w:val="002C41EA"/>
    <w:rsid w:val="002C55B5"/>
    <w:rsid w:val="002C5688"/>
    <w:rsid w:val="002C6141"/>
    <w:rsid w:val="002D193A"/>
    <w:rsid w:val="002D4F24"/>
    <w:rsid w:val="002D50B0"/>
    <w:rsid w:val="002D536C"/>
    <w:rsid w:val="002D6BF5"/>
    <w:rsid w:val="002E3CF7"/>
    <w:rsid w:val="002E474E"/>
    <w:rsid w:val="002E756E"/>
    <w:rsid w:val="002F00A3"/>
    <w:rsid w:val="002F2615"/>
    <w:rsid w:val="002F42D6"/>
    <w:rsid w:val="002F4E00"/>
    <w:rsid w:val="002F6736"/>
    <w:rsid w:val="002F6AE6"/>
    <w:rsid w:val="002F7376"/>
    <w:rsid w:val="0030072F"/>
    <w:rsid w:val="0030164D"/>
    <w:rsid w:val="003024F4"/>
    <w:rsid w:val="00306AAF"/>
    <w:rsid w:val="0031025F"/>
    <w:rsid w:val="00312BEC"/>
    <w:rsid w:val="00313910"/>
    <w:rsid w:val="00313A65"/>
    <w:rsid w:val="00315A6E"/>
    <w:rsid w:val="003166A3"/>
    <w:rsid w:val="00322E41"/>
    <w:rsid w:val="00325D50"/>
    <w:rsid w:val="00327265"/>
    <w:rsid w:val="003301DD"/>
    <w:rsid w:val="00332C8A"/>
    <w:rsid w:val="00332ECD"/>
    <w:rsid w:val="003366FD"/>
    <w:rsid w:val="00336980"/>
    <w:rsid w:val="003407C7"/>
    <w:rsid w:val="00340C2A"/>
    <w:rsid w:val="00346788"/>
    <w:rsid w:val="003501E5"/>
    <w:rsid w:val="00350B9B"/>
    <w:rsid w:val="003516B2"/>
    <w:rsid w:val="00351972"/>
    <w:rsid w:val="003535BE"/>
    <w:rsid w:val="003562F0"/>
    <w:rsid w:val="00360726"/>
    <w:rsid w:val="0036163A"/>
    <w:rsid w:val="00364B65"/>
    <w:rsid w:val="00366BC6"/>
    <w:rsid w:val="00367733"/>
    <w:rsid w:val="00370476"/>
    <w:rsid w:val="00370E6F"/>
    <w:rsid w:val="003710A7"/>
    <w:rsid w:val="00371F4D"/>
    <w:rsid w:val="00380423"/>
    <w:rsid w:val="00381370"/>
    <w:rsid w:val="00382634"/>
    <w:rsid w:val="00386A13"/>
    <w:rsid w:val="00390B69"/>
    <w:rsid w:val="00391FF2"/>
    <w:rsid w:val="00397045"/>
    <w:rsid w:val="003978CD"/>
    <w:rsid w:val="00397988"/>
    <w:rsid w:val="00397A40"/>
    <w:rsid w:val="003A1709"/>
    <w:rsid w:val="003A25DE"/>
    <w:rsid w:val="003A3C24"/>
    <w:rsid w:val="003A5218"/>
    <w:rsid w:val="003A5595"/>
    <w:rsid w:val="003A6BB2"/>
    <w:rsid w:val="003A7E2B"/>
    <w:rsid w:val="003A7F58"/>
    <w:rsid w:val="003B0B95"/>
    <w:rsid w:val="003B37E8"/>
    <w:rsid w:val="003B4BBE"/>
    <w:rsid w:val="003B5738"/>
    <w:rsid w:val="003B5FEE"/>
    <w:rsid w:val="003B6157"/>
    <w:rsid w:val="003B78E2"/>
    <w:rsid w:val="003C1B56"/>
    <w:rsid w:val="003C26B1"/>
    <w:rsid w:val="003C2ADD"/>
    <w:rsid w:val="003C2C5A"/>
    <w:rsid w:val="003C518F"/>
    <w:rsid w:val="003C5CB2"/>
    <w:rsid w:val="003C7860"/>
    <w:rsid w:val="003D020C"/>
    <w:rsid w:val="003D146B"/>
    <w:rsid w:val="003D2AFC"/>
    <w:rsid w:val="003D3AAC"/>
    <w:rsid w:val="003D47C9"/>
    <w:rsid w:val="003D4FE2"/>
    <w:rsid w:val="003D505B"/>
    <w:rsid w:val="003D59BA"/>
    <w:rsid w:val="003D75D9"/>
    <w:rsid w:val="003E4A52"/>
    <w:rsid w:val="003E575B"/>
    <w:rsid w:val="003E7F16"/>
    <w:rsid w:val="003F07EF"/>
    <w:rsid w:val="003F1547"/>
    <w:rsid w:val="003F1FAB"/>
    <w:rsid w:val="003F232E"/>
    <w:rsid w:val="003F434F"/>
    <w:rsid w:val="003F52A1"/>
    <w:rsid w:val="003F5B1C"/>
    <w:rsid w:val="003F5D8A"/>
    <w:rsid w:val="003F6572"/>
    <w:rsid w:val="003F76D1"/>
    <w:rsid w:val="004001C3"/>
    <w:rsid w:val="00400D34"/>
    <w:rsid w:val="004037E8"/>
    <w:rsid w:val="00404321"/>
    <w:rsid w:val="004108ED"/>
    <w:rsid w:val="00411416"/>
    <w:rsid w:val="0041167C"/>
    <w:rsid w:val="00411AEF"/>
    <w:rsid w:val="0041328F"/>
    <w:rsid w:val="00414A97"/>
    <w:rsid w:val="0041545D"/>
    <w:rsid w:val="0041554C"/>
    <w:rsid w:val="00416761"/>
    <w:rsid w:val="004225C6"/>
    <w:rsid w:val="00422889"/>
    <w:rsid w:val="004228D6"/>
    <w:rsid w:val="0042297E"/>
    <w:rsid w:val="004237B9"/>
    <w:rsid w:val="00423DA2"/>
    <w:rsid w:val="0042512B"/>
    <w:rsid w:val="0042642F"/>
    <w:rsid w:val="00427F9C"/>
    <w:rsid w:val="00434830"/>
    <w:rsid w:val="00440249"/>
    <w:rsid w:val="00442753"/>
    <w:rsid w:val="0044295F"/>
    <w:rsid w:val="0044303A"/>
    <w:rsid w:val="00443A09"/>
    <w:rsid w:val="004466E0"/>
    <w:rsid w:val="00450C8F"/>
    <w:rsid w:val="00451C60"/>
    <w:rsid w:val="004525C3"/>
    <w:rsid w:val="004558A2"/>
    <w:rsid w:val="004560C3"/>
    <w:rsid w:val="0045706A"/>
    <w:rsid w:val="004603C5"/>
    <w:rsid w:val="0046041B"/>
    <w:rsid w:val="00461D80"/>
    <w:rsid w:val="00462AD3"/>
    <w:rsid w:val="00462F3F"/>
    <w:rsid w:val="00463042"/>
    <w:rsid w:val="00465A26"/>
    <w:rsid w:val="00467F59"/>
    <w:rsid w:val="00471019"/>
    <w:rsid w:val="004721FC"/>
    <w:rsid w:val="00473247"/>
    <w:rsid w:val="00474261"/>
    <w:rsid w:val="00474AB6"/>
    <w:rsid w:val="00480E99"/>
    <w:rsid w:val="004827BF"/>
    <w:rsid w:val="00482A3B"/>
    <w:rsid w:val="00482AD2"/>
    <w:rsid w:val="00487D7E"/>
    <w:rsid w:val="004926A6"/>
    <w:rsid w:val="00493604"/>
    <w:rsid w:val="00496F20"/>
    <w:rsid w:val="004A1D1F"/>
    <w:rsid w:val="004A3535"/>
    <w:rsid w:val="004A40AD"/>
    <w:rsid w:val="004A478A"/>
    <w:rsid w:val="004A65B1"/>
    <w:rsid w:val="004A760A"/>
    <w:rsid w:val="004A7943"/>
    <w:rsid w:val="004B0C85"/>
    <w:rsid w:val="004B148D"/>
    <w:rsid w:val="004B419C"/>
    <w:rsid w:val="004B5682"/>
    <w:rsid w:val="004B5F77"/>
    <w:rsid w:val="004C01A2"/>
    <w:rsid w:val="004C01EB"/>
    <w:rsid w:val="004C0730"/>
    <w:rsid w:val="004C25FA"/>
    <w:rsid w:val="004C2C73"/>
    <w:rsid w:val="004C4825"/>
    <w:rsid w:val="004C5B5F"/>
    <w:rsid w:val="004D0D38"/>
    <w:rsid w:val="004D68F2"/>
    <w:rsid w:val="004D7EBA"/>
    <w:rsid w:val="004E0FA9"/>
    <w:rsid w:val="004E2F82"/>
    <w:rsid w:val="004E53A3"/>
    <w:rsid w:val="004E5B9E"/>
    <w:rsid w:val="004E6974"/>
    <w:rsid w:val="004E7350"/>
    <w:rsid w:val="004F059D"/>
    <w:rsid w:val="004F1C65"/>
    <w:rsid w:val="004F2BBA"/>
    <w:rsid w:val="004F2FA9"/>
    <w:rsid w:val="004F55CC"/>
    <w:rsid w:val="004F61C3"/>
    <w:rsid w:val="004F6558"/>
    <w:rsid w:val="004F754A"/>
    <w:rsid w:val="004F77F0"/>
    <w:rsid w:val="005003C2"/>
    <w:rsid w:val="00500874"/>
    <w:rsid w:val="00501002"/>
    <w:rsid w:val="005018B4"/>
    <w:rsid w:val="0050243A"/>
    <w:rsid w:val="00502A51"/>
    <w:rsid w:val="00505115"/>
    <w:rsid w:val="00505655"/>
    <w:rsid w:val="005060E4"/>
    <w:rsid w:val="0050663C"/>
    <w:rsid w:val="00506910"/>
    <w:rsid w:val="00506ECB"/>
    <w:rsid w:val="0050775A"/>
    <w:rsid w:val="005102CF"/>
    <w:rsid w:val="00511ED7"/>
    <w:rsid w:val="0051285A"/>
    <w:rsid w:val="0051320C"/>
    <w:rsid w:val="00514A17"/>
    <w:rsid w:val="00514E97"/>
    <w:rsid w:val="005166B5"/>
    <w:rsid w:val="00516D37"/>
    <w:rsid w:val="00522062"/>
    <w:rsid w:val="00522ABA"/>
    <w:rsid w:val="00525700"/>
    <w:rsid w:val="005257B9"/>
    <w:rsid w:val="00526537"/>
    <w:rsid w:val="005269F4"/>
    <w:rsid w:val="00527192"/>
    <w:rsid w:val="005322FF"/>
    <w:rsid w:val="00532B6C"/>
    <w:rsid w:val="00533E48"/>
    <w:rsid w:val="005342C1"/>
    <w:rsid w:val="00536E09"/>
    <w:rsid w:val="00537411"/>
    <w:rsid w:val="005416AF"/>
    <w:rsid w:val="00543878"/>
    <w:rsid w:val="00543A9C"/>
    <w:rsid w:val="005471F3"/>
    <w:rsid w:val="00550778"/>
    <w:rsid w:val="005508D8"/>
    <w:rsid w:val="00550E6B"/>
    <w:rsid w:val="00552A7B"/>
    <w:rsid w:val="00553502"/>
    <w:rsid w:val="00554A57"/>
    <w:rsid w:val="00556310"/>
    <w:rsid w:val="00556862"/>
    <w:rsid w:val="00557CB8"/>
    <w:rsid w:val="0056147B"/>
    <w:rsid w:val="0056196B"/>
    <w:rsid w:val="00561E94"/>
    <w:rsid w:val="0056511F"/>
    <w:rsid w:val="005679ED"/>
    <w:rsid w:val="0057038D"/>
    <w:rsid w:val="00570ACE"/>
    <w:rsid w:val="00571433"/>
    <w:rsid w:val="005737A6"/>
    <w:rsid w:val="00574660"/>
    <w:rsid w:val="005766A1"/>
    <w:rsid w:val="0057796E"/>
    <w:rsid w:val="00581288"/>
    <w:rsid w:val="0058150E"/>
    <w:rsid w:val="00582A96"/>
    <w:rsid w:val="005849A0"/>
    <w:rsid w:val="00584D5E"/>
    <w:rsid w:val="00585D7A"/>
    <w:rsid w:val="00586259"/>
    <w:rsid w:val="00591477"/>
    <w:rsid w:val="00591A14"/>
    <w:rsid w:val="00592473"/>
    <w:rsid w:val="00593876"/>
    <w:rsid w:val="0059486F"/>
    <w:rsid w:val="005965F9"/>
    <w:rsid w:val="0059749C"/>
    <w:rsid w:val="005A4978"/>
    <w:rsid w:val="005A4BB8"/>
    <w:rsid w:val="005A6CF1"/>
    <w:rsid w:val="005A7732"/>
    <w:rsid w:val="005B264D"/>
    <w:rsid w:val="005B4FE0"/>
    <w:rsid w:val="005C0D6F"/>
    <w:rsid w:val="005C2952"/>
    <w:rsid w:val="005C3CBC"/>
    <w:rsid w:val="005C5BED"/>
    <w:rsid w:val="005C7BEA"/>
    <w:rsid w:val="005D104A"/>
    <w:rsid w:val="005D2480"/>
    <w:rsid w:val="005D5ACA"/>
    <w:rsid w:val="005D6EB8"/>
    <w:rsid w:val="005E0BE2"/>
    <w:rsid w:val="005E0C57"/>
    <w:rsid w:val="005E33F1"/>
    <w:rsid w:val="005E41B1"/>
    <w:rsid w:val="005E49AE"/>
    <w:rsid w:val="005F5068"/>
    <w:rsid w:val="005F68CC"/>
    <w:rsid w:val="005F7880"/>
    <w:rsid w:val="005F7D97"/>
    <w:rsid w:val="00600D36"/>
    <w:rsid w:val="006031C8"/>
    <w:rsid w:val="006033A5"/>
    <w:rsid w:val="00604A74"/>
    <w:rsid w:val="00615326"/>
    <w:rsid w:val="00615564"/>
    <w:rsid w:val="0061610B"/>
    <w:rsid w:val="0061768C"/>
    <w:rsid w:val="00617DB0"/>
    <w:rsid w:val="00622487"/>
    <w:rsid w:val="00622E72"/>
    <w:rsid w:val="00623F03"/>
    <w:rsid w:val="00626BE4"/>
    <w:rsid w:val="00627080"/>
    <w:rsid w:val="00630B64"/>
    <w:rsid w:val="00633AF3"/>
    <w:rsid w:val="00633C63"/>
    <w:rsid w:val="00633C7F"/>
    <w:rsid w:val="0063425B"/>
    <w:rsid w:val="00641FA8"/>
    <w:rsid w:val="00645B7E"/>
    <w:rsid w:val="006477EA"/>
    <w:rsid w:val="00647D6C"/>
    <w:rsid w:val="00650BAB"/>
    <w:rsid w:val="0065231B"/>
    <w:rsid w:val="00653333"/>
    <w:rsid w:val="00653B04"/>
    <w:rsid w:val="00653B96"/>
    <w:rsid w:val="00656B6D"/>
    <w:rsid w:val="00661B9F"/>
    <w:rsid w:val="0066294F"/>
    <w:rsid w:val="006630F3"/>
    <w:rsid w:val="0067174D"/>
    <w:rsid w:val="00672BF5"/>
    <w:rsid w:val="00673D4E"/>
    <w:rsid w:val="00675FC9"/>
    <w:rsid w:val="00676176"/>
    <w:rsid w:val="0067689B"/>
    <w:rsid w:val="006824DD"/>
    <w:rsid w:val="00684633"/>
    <w:rsid w:val="00686EBE"/>
    <w:rsid w:val="00687D94"/>
    <w:rsid w:val="0069010F"/>
    <w:rsid w:val="00690951"/>
    <w:rsid w:val="00696C88"/>
    <w:rsid w:val="00697F28"/>
    <w:rsid w:val="006A2FDD"/>
    <w:rsid w:val="006A44D2"/>
    <w:rsid w:val="006A5E71"/>
    <w:rsid w:val="006A64E1"/>
    <w:rsid w:val="006A64F3"/>
    <w:rsid w:val="006A6FE7"/>
    <w:rsid w:val="006B2147"/>
    <w:rsid w:val="006B3DF3"/>
    <w:rsid w:val="006B4A9F"/>
    <w:rsid w:val="006B5B14"/>
    <w:rsid w:val="006B628C"/>
    <w:rsid w:val="006B6F79"/>
    <w:rsid w:val="006B77E3"/>
    <w:rsid w:val="006C16B2"/>
    <w:rsid w:val="006C74BD"/>
    <w:rsid w:val="006D1702"/>
    <w:rsid w:val="006D6869"/>
    <w:rsid w:val="006D6CCA"/>
    <w:rsid w:val="006D70F9"/>
    <w:rsid w:val="006D7694"/>
    <w:rsid w:val="006E0AD1"/>
    <w:rsid w:val="006E195D"/>
    <w:rsid w:val="006E2D5B"/>
    <w:rsid w:val="006E4795"/>
    <w:rsid w:val="006E6E8E"/>
    <w:rsid w:val="006E7075"/>
    <w:rsid w:val="006F0169"/>
    <w:rsid w:val="006F23FB"/>
    <w:rsid w:val="006F28A8"/>
    <w:rsid w:val="006F4E30"/>
    <w:rsid w:val="006F72B8"/>
    <w:rsid w:val="007004E9"/>
    <w:rsid w:val="00701159"/>
    <w:rsid w:val="00706F2C"/>
    <w:rsid w:val="00711495"/>
    <w:rsid w:val="00715BE5"/>
    <w:rsid w:val="00717442"/>
    <w:rsid w:val="007176E4"/>
    <w:rsid w:val="00717DA6"/>
    <w:rsid w:val="0072091C"/>
    <w:rsid w:val="00721603"/>
    <w:rsid w:val="00723EAA"/>
    <w:rsid w:val="007246AC"/>
    <w:rsid w:val="0073268F"/>
    <w:rsid w:val="00732D7C"/>
    <w:rsid w:val="00734CAE"/>
    <w:rsid w:val="007360F4"/>
    <w:rsid w:val="007362F3"/>
    <w:rsid w:val="00740342"/>
    <w:rsid w:val="00743353"/>
    <w:rsid w:val="00744D86"/>
    <w:rsid w:val="007452D3"/>
    <w:rsid w:val="00745760"/>
    <w:rsid w:val="007478AB"/>
    <w:rsid w:val="00752922"/>
    <w:rsid w:val="007553DA"/>
    <w:rsid w:val="00755B64"/>
    <w:rsid w:val="007574D1"/>
    <w:rsid w:val="00760BC2"/>
    <w:rsid w:val="0076289F"/>
    <w:rsid w:val="007643C9"/>
    <w:rsid w:val="007645AA"/>
    <w:rsid w:val="00765F55"/>
    <w:rsid w:val="00766215"/>
    <w:rsid w:val="00766356"/>
    <w:rsid w:val="00766559"/>
    <w:rsid w:val="00766693"/>
    <w:rsid w:val="007669EF"/>
    <w:rsid w:val="007702B9"/>
    <w:rsid w:val="007720E2"/>
    <w:rsid w:val="007727F5"/>
    <w:rsid w:val="007742D5"/>
    <w:rsid w:val="007754D5"/>
    <w:rsid w:val="00775F07"/>
    <w:rsid w:val="00777F9C"/>
    <w:rsid w:val="00780183"/>
    <w:rsid w:val="00780B18"/>
    <w:rsid w:val="0078173C"/>
    <w:rsid w:val="0078345D"/>
    <w:rsid w:val="0078551D"/>
    <w:rsid w:val="0078706D"/>
    <w:rsid w:val="00790930"/>
    <w:rsid w:val="00790DA9"/>
    <w:rsid w:val="007917B3"/>
    <w:rsid w:val="007927CD"/>
    <w:rsid w:val="007930D5"/>
    <w:rsid w:val="00797D75"/>
    <w:rsid w:val="007A0421"/>
    <w:rsid w:val="007A166A"/>
    <w:rsid w:val="007A2C09"/>
    <w:rsid w:val="007A40B3"/>
    <w:rsid w:val="007A4EB2"/>
    <w:rsid w:val="007A4F58"/>
    <w:rsid w:val="007A5561"/>
    <w:rsid w:val="007A55CB"/>
    <w:rsid w:val="007A5B7E"/>
    <w:rsid w:val="007A5E9D"/>
    <w:rsid w:val="007B7DCE"/>
    <w:rsid w:val="007C0852"/>
    <w:rsid w:val="007C0885"/>
    <w:rsid w:val="007C2AB2"/>
    <w:rsid w:val="007C3CB1"/>
    <w:rsid w:val="007C49D9"/>
    <w:rsid w:val="007C5B6F"/>
    <w:rsid w:val="007C5F29"/>
    <w:rsid w:val="007C7844"/>
    <w:rsid w:val="007D084E"/>
    <w:rsid w:val="007D1417"/>
    <w:rsid w:val="007D1D1A"/>
    <w:rsid w:val="007D2156"/>
    <w:rsid w:val="007D3E45"/>
    <w:rsid w:val="007E034F"/>
    <w:rsid w:val="007E43FD"/>
    <w:rsid w:val="007E66EB"/>
    <w:rsid w:val="007E7E42"/>
    <w:rsid w:val="007EE02C"/>
    <w:rsid w:val="007F14A6"/>
    <w:rsid w:val="007F15EC"/>
    <w:rsid w:val="007F2FF7"/>
    <w:rsid w:val="007F4BC2"/>
    <w:rsid w:val="007F4F89"/>
    <w:rsid w:val="007F528B"/>
    <w:rsid w:val="007F7D3A"/>
    <w:rsid w:val="007F7F8D"/>
    <w:rsid w:val="00802159"/>
    <w:rsid w:val="00802916"/>
    <w:rsid w:val="0080534E"/>
    <w:rsid w:val="00810DB9"/>
    <w:rsid w:val="00812445"/>
    <w:rsid w:val="00813EE3"/>
    <w:rsid w:val="008151DE"/>
    <w:rsid w:val="00821833"/>
    <w:rsid w:val="008265D9"/>
    <w:rsid w:val="00833768"/>
    <w:rsid w:val="0083665F"/>
    <w:rsid w:val="008370E3"/>
    <w:rsid w:val="0084189D"/>
    <w:rsid w:val="00843B86"/>
    <w:rsid w:val="0084437D"/>
    <w:rsid w:val="008455AD"/>
    <w:rsid w:val="00846569"/>
    <w:rsid w:val="00853043"/>
    <w:rsid w:val="0085368F"/>
    <w:rsid w:val="00855188"/>
    <w:rsid w:val="00860333"/>
    <w:rsid w:val="0086235B"/>
    <w:rsid w:val="0086265D"/>
    <w:rsid w:val="0086299D"/>
    <w:rsid w:val="008632E0"/>
    <w:rsid w:val="00864014"/>
    <w:rsid w:val="00864DBC"/>
    <w:rsid w:val="0086527A"/>
    <w:rsid w:val="0086768A"/>
    <w:rsid w:val="008731A1"/>
    <w:rsid w:val="008742C5"/>
    <w:rsid w:val="00874395"/>
    <w:rsid w:val="0087708B"/>
    <w:rsid w:val="008771BC"/>
    <w:rsid w:val="00877B9F"/>
    <w:rsid w:val="00885185"/>
    <w:rsid w:val="008867F4"/>
    <w:rsid w:val="00890CD0"/>
    <w:rsid w:val="008918D1"/>
    <w:rsid w:val="00891DF1"/>
    <w:rsid w:val="00897B79"/>
    <w:rsid w:val="00897F4D"/>
    <w:rsid w:val="008A0311"/>
    <w:rsid w:val="008A194D"/>
    <w:rsid w:val="008A2093"/>
    <w:rsid w:val="008A613C"/>
    <w:rsid w:val="008A79E4"/>
    <w:rsid w:val="008B27F0"/>
    <w:rsid w:val="008B38C0"/>
    <w:rsid w:val="008B4F95"/>
    <w:rsid w:val="008B7E9C"/>
    <w:rsid w:val="008C2B8F"/>
    <w:rsid w:val="008C2EBE"/>
    <w:rsid w:val="008C3659"/>
    <w:rsid w:val="008C51DE"/>
    <w:rsid w:val="008C7F8A"/>
    <w:rsid w:val="008D462B"/>
    <w:rsid w:val="008D48F4"/>
    <w:rsid w:val="008D4C1A"/>
    <w:rsid w:val="008D7C69"/>
    <w:rsid w:val="008E4334"/>
    <w:rsid w:val="008E70DF"/>
    <w:rsid w:val="008F0DC8"/>
    <w:rsid w:val="008F2128"/>
    <w:rsid w:val="008F369D"/>
    <w:rsid w:val="008F415F"/>
    <w:rsid w:val="008F6536"/>
    <w:rsid w:val="008F72D8"/>
    <w:rsid w:val="00900DEF"/>
    <w:rsid w:val="009033C4"/>
    <w:rsid w:val="0090389C"/>
    <w:rsid w:val="009071AF"/>
    <w:rsid w:val="00911AC6"/>
    <w:rsid w:val="009129F5"/>
    <w:rsid w:val="0091479C"/>
    <w:rsid w:val="009160AA"/>
    <w:rsid w:val="00917656"/>
    <w:rsid w:val="00920509"/>
    <w:rsid w:val="00925650"/>
    <w:rsid w:val="009276DE"/>
    <w:rsid w:val="009318AE"/>
    <w:rsid w:val="00936104"/>
    <w:rsid w:val="00937EFB"/>
    <w:rsid w:val="0094031F"/>
    <w:rsid w:val="00940E1A"/>
    <w:rsid w:val="00943799"/>
    <w:rsid w:val="0094474C"/>
    <w:rsid w:val="009451A6"/>
    <w:rsid w:val="009455D1"/>
    <w:rsid w:val="0095053E"/>
    <w:rsid w:val="00952121"/>
    <w:rsid w:val="00952448"/>
    <w:rsid w:val="00954DB8"/>
    <w:rsid w:val="009561AC"/>
    <w:rsid w:val="00957928"/>
    <w:rsid w:val="00960D7E"/>
    <w:rsid w:val="0096176C"/>
    <w:rsid w:val="00961E33"/>
    <w:rsid w:val="009660FD"/>
    <w:rsid w:val="0096644A"/>
    <w:rsid w:val="00967381"/>
    <w:rsid w:val="0096BCED"/>
    <w:rsid w:val="00971048"/>
    <w:rsid w:val="00975913"/>
    <w:rsid w:val="00975E51"/>
    <w:rsid w:val="00976813"/>
    <w:rsid w:val="00980F9D"/>
    <w:rsid w:val="009834B7"/>
    <w:rsid w:val="0098363F"/>
    <w:rsid w:val="00984515"/>
    <w:rsid w:val="00985D5C"/>
    <w:rsid w:val="00991FE6"/>
    <w:rsid w:val="00992012"/>
    <w:rsid w:val="009924B9"/>
    <w:rsid w:val="00995BA1"/>
    <w:rsid w:val="009A1374"/>
    <w:rsid w:val="009A20DF"/>
    <w:rsid w:val="009A2DBB"/>
    <w:rsid w:val="009A7098"/>
    <w:rsid w:val="009B1B7F"/>
    <w:rsid w:val="009B1F39"/>
    <w:rsid w:val="009B23B4"/>
    <w:rsid w:val="009B3953"/>
    <w:rsid w:val="009B3C2A"/>
    <w:rsid w:val="009B62B8"/>
    <w:rsid w:val="009C1DE5"/>
    <w:rsid w:val="009C2216"/>
    <w:rsid w:val="009C72F9"/>
    <w:rsid w:val="009D3BB2"/>
    <w:rsid w:val="009D42B8"/>
    <w:rsid w:val="009D4824"/>
    <w:rsid w:val="009D5E88"/>
    <w:rsid w:val="009E1483"/>
    <w:rsid w:val="009E172A"/>
    <w:rsid w:val="009E1925"/>
    <w:rsid w:val="009E1CC8"/>
    <w:rsid w:val="009E1D67"/>
    <w:rsid w:val="009E2AB7"/>
    <w:rsid w:val="009E39F2"/>
    <w:rsid w:val="009E3AC2"/>
    <w:rsid w:val="009E7451"/>
    <w:rsid w:val="009E749C"/>
    <w:rsid w:val="009F0610"/>
    <w:rsid w:val="009F529A"/>
    <w:rsid w:val="009F57B4"/>
    <w:rsid w:val="009F5872"/>
    <w:rsid w:val="009F5B66"/>
    <w:rsid w:val="009F79C8"/>
    <w:rsid w:val="00A02147"/>
    <w:rsid w:val="00A02403"/>
    <w:rsid w:val="00A0426D"/>
    <w:rsid w:val="00A05625"/>
    <w:rsid w:val="00A068CB"/>
    <w:rsid w:val="00A0718E"/>
    <w:rsid w:val="00A11DB4"/>
    <w:rsid w:val="00A202D3"/>
    <w:rsid w:val="00A20624"/>
    <w:rsid w:val="00A20CCB"/>
    <w:rsid w:val="00A20F35"/>
    <w:rsid w:val="00A21CCC"/>
    <w:rsid w:val="00A232E2"/>
    <w:rsid w:val="00A23914"/>
    <w:rsid w:val="00A242A6"/>
    <w:rsid w:val="00A25644"/>
    <w:rsid w:val="00A25B26"/>
    <w:rsid w:val="00A26497"/>
    <w:rsid w:val="00A26732"/>
    <w:rsid w:val="00A30D1E"/>
    <w:rsid w:val="00A32C04"/>
    <w:rsid w:val="00A33285"/>
    <w:rsid w:val="00A3347F"/>
    <w:rsid w:val="00A36763"/>
    <w:rsid w:val="00A3794A"/>
    <w:rsid w:val="00A3797C"/>
    <w:rsid w:val="00A41A26"/>
    <w:rsid w:val="00A43725"/>
    <w:rsid w:val="00A43A63"/>
    <w:rsid w:val="00A44F8F"/>
    <w:rsid w:val="00A47E85"/>
    <w:rsid w:val="00A60147"/>
    <w:rsid w:val="00A61E06"/>
    <w:rsid w:val="00A622BC"/>
    <w:rsid w:val="00A66EE2"/>
    <w:rsid w:val="00A71BF8"/>
    <w:rsid w:val="00A72CA2"/>
    <w:rsid w:val="00A73D21"/>
    <w:rsid w:val="00A80060"/>
    <w:rsid w:val="00A80DE2"/>
    <w:rsid w:val="00A80F62"/>
    <w:rsid w:val="00A8110E"/>
    <w:rsid w:val="00A82D82"/>
    <w:rsid w:val="00A83023"/>
    <w:rsid w:val="00A83F7D"/>
    <w:rsid w:val="00A844F7"/>
    <w:rsid w:val="00A86BB0"/>
    <w:rsid w:val="00A87F65"/>
    <w:rsid w:val="00A90736"/>
    <w:rsid w:val="00A90953"/>
    <w:rsid w:val="00A90C83"/>
    <w:rsid w:val="00A91572"/>
    <w:rsid w:val="00A92459"/>
    <w:rsid w:val="00A9249A"/>
    <w:rsid w:val="00A9575A"/>
    <w:rsid w:val="00A95F5A"/>
    <w:rsid w:val="00A96641"/>
    <w:rsid w:val="00A96AD5"/>
    <w:rsid w:val="00A97713"/>
    <w:rsid w:val="00A97CC7"/>
    <w:rsid w:val="00AA0015"/>
    <w:rsid w:val="00AA03F3"/>
    <w:rsid w:val="00AA0F83"/>
    <w:rsid w:val="00AA1C65"/>
    <w:rsid w:val="00AA2564"/>
    <w:rsid w:val="00AA31ED"/>
    <w:rsid w:val="00AA3B71"/>
    <w:rsid w:val="00AA3F40"/>
    <w:rsid w:val="00AA7078"/>
    <w:rsid w:val="00AB20DB"/>
    <w:rsid w:val="00AB512C"/>
    <w:rsid w:val="00AC17C2"/>
    <w:rsid w:val="00AC1A8A"/>
    <w:rsid w:val="00AC22C1"/>
    <w:rsid w:val="00AC2E13"/>
    <w:rsid w:val="00AC4363"/>
    <w:rsid w:val="00AC474E"/>
    <w:rsid w:val="00AC55D5"/>
    <w:rsid w:val="00AC5823"/>
    <w:rsid w:val="00AC7B24"/>
    <w:rsid w:val="00AD264D"/>
    <w:rsid w:val="00AD32AB"/>
    <w:rsid w:val="00AD5090"/>
    <w:rsid w:val="00AE0A29"/>
    <w:rsid w:val="00AE2702"/>
    <w:rsid w:val="00AE2BA4"/>
    <w:rsid w:val="00AE7EA8"/>
    <w:rsid w:val="00AF1ED8"/>
    <w:rsid w:val="00AF2D5A"/>
    <w:rsid w:val="00AF47F4"/>
    <w:rsid w:val="00AF4A5E"/>
    <w:rsid w:val="00AF6282"/>
    <w:rsid w:val="00AF7AA7"/>
    <w:rsid w:val="00B008FF"/>
    <w:rsid w:val="00B00D31"/>
    <w:rsid w:val="00B013E0"/>
    <w:rsid w:val="00B02CCC"/>
    <w:rsid w:val="00B0514A"/>
    <w:rsid w:val="00B0551D"/>
    <w:rsid w:val="00B062B0"/>
    <w:rsid w:val="00B06A31"/>
    <w:rsid w:val="00B06B83"/>
    <w:rsid w:val="00B070E1"/>
    <w:rsid w:val="00B12DA1"/>
    <w:rsid w:val="00B1454B"/>
    <w:rsid w:val="00B16363"/>
    <w:rsid w:val="00B17C4A"/>
    <w:rsid w:val="00B2187C"/>
    <w:rsid w:val="00B21DF1"/>
    <w:rsid w:val="00B22AF8"/>
    <w:rsid w:val="00B2319A"/>
    <w:rsid w:val="00B23AE7"/>
    <w:rsid w:val="00B252CA"/>
    <w:rsid w:val="00B2596C"/>
    <w:rsid w:val="00B25BAE"/>
    <w:rsid w:val="00B262EE"/>
    <w:rsid w:val="00B26B1A"/>
    <w:rsid w:val="00B30A8B"/>
    <w:rsid w:val="00B30E6F"/>
    <w:rsid w:val="00B319B4"/>
    <w:rsid w:val="00B32029"/>
    <w:rsid w:val="00B32231"/>
    <w:rsid w:val="00B323F4"/>
    <w:rsid w:val="00B34F19"/>
    <w:rsid w:val="00B361B7"/>
    <w:rsid w:val="00B36A07"/>
    <w:rsid w:val="00B3711F"/>
    <w:rsid w:val="00B432BA"/>
    <w:rsid w:val="00B43ACA"/>
    <w:rsid w:val="00B43C57"/>
    <w:rsid w:val="00B43F8D"/>
    <w:rsid w:val="00B46355"/>
    <w:rsid w:val="00B528A0"/>
    <w:rsid w:val="00B5384A"/>
    <w:rsid w:val="00B54E49"/>
    <w:rsid w:val="00B55525"/>
    <w:rsid w:val="00B56529"/>
    <w:rsid w:val="00B611FB"/>
    <w:rsid w:val="00B61C4B"/>
    <w:rsid w:val="00B62BB6"/>
    <w:rsid w:val="00B63300"/>
    <w:rsid w:val="00B63C14"/>
    <w:rsid w:val="00B64AB7"/>
    <w:rsid w:val="00B65202"/>
    <w:rsid w:val="00B661DB"/>
    <w:rsid w:val="00B67B62"/>
    <w:rsid w:val="00B707CE"/>
    <w:rsid w:val="00B70A07"/>
    <w:rsid w:val="00B71389"/>
    <w:rsid w:val="00B74567"/>
    <w:rsid w:val="00B7700B"/>
    <w:rsid w:val="00B806E5"/>
    <w:rsid w:val="00B80BA4"/>
    <w:rsid w:val="00B829BF"/>
    <w:rsid w:val="00B84E64"/>
    <w:rsid w:val="00B87031"/>
    <w:rsid w:val="00B907A9"/>
    <w:rsid w:val="00B916D9"/>
    <w:rsid w:val="00B9297C"/>
    <w:rsid w:val="00B94A3E"/>
    <w:rsid w:val="00BA4BAD"/>
    <w:rsid w:val="00BA4E34"/>
    <w:rsid w:val="00BA553C"/>
    <w:rsid w:val="00BA5BA0"/>
    <w:rsid w:val="00BA5E56"/>
    <w:rsid w:val="00BB2969"/>
    <w:rsid w:val="00BB431F"/>
    <w:rsid w:val="00BB6D1D"/>
    <w:rsid w:val="00BB7D31"/>
    <w:rsid w:val="00BC1385"/>
    <w:rsid w:val="00BC309E"/>
    <w:rsid w:val="00BC662B"/>
    <w:rsid w:val="00BD04F4"/>
    <w:rsid w:val="00BD3B9F"/>
    <w:rsid w:val="00BD6C3C"/>
    <w:rsid w:val="00BD6F6A"/>
    <w:rsid w:val="00BE1140"/>
    <w:rsid w:val="00BE12BF"/>
    <w:rsid w:val="00BE2C24"/>
    <w:rsid w:val="00BE41C2"/>
    <w:rsid w:val="00BE4FE1"/>
    <w:rsid w:val="00BE5C7B"/>
    <w:rsid w:val="00BE7ADF"/>
    <w:rsid w:val="00BF1278"/>
    <w:rsid w:val="00BF2777"/>
    <w:rsid w:val="00BF3409"/>
    <w:rsid w:val="00BF4858"/>
    <w:rsid w:val="00C0086C"/>
    <w:rsid w:val="00C012B8"/>
    <w:rsid w:val="00C03182"/>
    <w:rsid w:val="00C031BD"/>
    <w:rsid w:val="00C04AD8"/>
    <w:rsid w:val="00C05412"/>
    <w:rsid w:val="00C0632B"/>
    <w:rsid w:val="00C07D6A"/>
    <w:rsid w:val="00C108F3"/>
    <w:rsid w:val="00C12B0B"/>
    <w:rsid w:val="00C15662"/>
    <w:rsid w:val="00C159A3"/>
    <w:rsid w:val="00C1693D"/>
    <w:rsid w:val="00C1697E"/>
    <w:rsid w:val="00C20BD4"/>
    <w:rsid w:val="00C20F6E"/>
    <w:rsid w:val="00C21EB4"/>
    <w:rsid w:val="00C23DB7"/>
    <w:rsid w:val="00C27B15"/>
    <w:rsid w:val="00C316D6"/>
    <w:rsid w:val="00C343A9"/>
    <w:rsid w:val="00C36FBF"/>
    <w:rsid w:val="00C4088E"/>
    <w:rsid w:val="00C42E0D"/>
    <w:rsid w:val="00C43694"/>
    <w:rsid w:val="00C44251"/>
    <w:rsid w:val="00C45AAA"/>
    <w:rsid w:val="00C47177"/>
    <w:rsid w:val="00C47443"/>
    <w:rsid w:val="00C5073B"/>
    <w:rsid w:val="00C51D19"/>
    <w:rsid w:val="00C524AB"/>
    <w:rsid w:val="00C52B4D"/>
    <w:rsid w:val="00C52EF0"/>
    <w:rsid w:val="00C5306F"/>
    <w:rsid w:val="00C55128"/>
    <w:rsid w:val="00C564B0"/>
    <w:rsid w:val="00C57B79"/>
    <w:rsid w:val="00C603FB"/>
    <w:rsid w:val="00C60904"/>
    <w:rsid w:val="00C60DAE"/>
    <w:rsid w:val="00C610E3"/>
    <w:rsid w:val="00C655BB"/>
    <w:rsid w:val="00C7133B"/>
    <w:rsid w:val="00C729FF"/>
    <w:rsid w:val="00C73418"/>
    <w:rsid w:val="00C75AF5"/>
    <w:rsid w:val="00C75FDC"/>
    <w:rsid w:val="00C77604"/>
    <w:rsid w:val="00C800F3"/>
    <w:rsid w:val="00C877FD"/>
    <w:rsid w:val="00C87CC4"/>
    <w:rsid w:val="00C903F9"/>
    <w:rsid w:val="00C94BEC"/>
    <w:rsid w:val="00C94FF0"/>
    <w:rsid w:val="00C97294"/>
    <w:rsid w:val="00C977AB"/>
    <w:rsid w:val="00CA42E6"/>
    <w:rsid w:val="00CA53E5"/>
    <w:rsid w:val="00CA7477"/>
    <w:rsid w:val="00CA7BFE"/>
    <w:rsid w:val="00CB11CF"/>
    <w:rsid w:val="00CB22A2"/>
    <w:rsid w:val="00CB2D5C"/>
    <w:rsid w:val="00CB385A"/>
    <w:rsid w:val="00CB6645"/>
    <w:rsid w:val="00CC57E7"/>
    <w:rsid w:val="00CC6F62"/>
    <w:rsid w:val="00CC7B00"/>
    <w:rsid w:val="00CD2860"/>
    <w:rsid w:val="00CD31DD"/>
    <w:rsid w:val="00CD48F8"/>
    <w:rsid w:val="00CD5B0C"/>
    <w:rsid w:val="00CD629A"/>
    <w:rsid w:val="00CD670F"/>
    <w:rsid w:val="00CD7AF2"/>
    <w:rsid w:val="00CE3772"/>
    <w:rsid w:val="00CE4438"/>
    <w:rsid w:val="00CF206A"/>
    <w:rsid w:val="00CF2675"/>
    <w:rsid w:val="00CF4B26"/>
    <w:rsid w:val="00D01C58"/>
    <w:rsid w:val="00D033B2"/>
    <w:rsid w:val="00D03E18"/>
    <w:rsid w:val="00D0448F"/>
    <w:rsid w:val="00D0554A"/>
    <w:rsid w:val="00D06254"/>
    <w:rsid w:val="00D06255"/>
    <w:rsid w:val="00D119CB"/>
    <w:rsid w:val="00D12164"/>
    <w:rsid w:val="00D12C1B"/>
    <w:rsid w:val="00D1607A"/>
    <w:rsid w:val="00D179FC"/>
    <w:rsid w:val="00D17B7D"/>
    <w:rsid w:val="00D23067"/>
    <w:rsid w:val="00D26465"/>
    <w:rsid w:val="00D27D82"/>
    <w:rsid w:val="00D32028"/>
    <w:rsid w:val="00D327AD"/>
    <w:rsid w:val="00D336C5"/>
    <w:rsid w:val="00D33A7D"/>
    <w:rsid w:val="00D3703F"/>
    <w:rsid w:val="00D370FD"/>
    <w:rsid w:val="00D37AE9"/>
    <w:rsid w:val="00D4152D"/>
    <w:rsid w:val="00D41949"/>
    <w:rsid w:val="00D449C0"/>
    <w:rsid w:val="00D44C21"/>
    <w:rsid w:val="00D44E5A"/>
    <w:rsid w:val="00D45244"/>
    <w:rsid w:val="00D477C0"/>
    <w:rsid w:val="00D50327"/>
    <w:rsid w:val="00D51AAD"/>
    <w:rsid w:val="00D52045"/>
    <w:rsid w:val="00D53254"/>
    <w:rsid w:val="00D538B8"/>
    <w:rsid w:val="00D53983"/>
    <w:rsid w:val="00D54080"/>
    <w:rsid w:val="00D5627F"/>
    <w:rsid w:val="00D57886"/>
    <w:rsid w:val="00D57992"/>
    <w:rsid w:val="00D613A6"/>
    <w:rsid w:val="00D62FA2"/>
    <w:rsid w:val="00D63017"/>
    <w:rsid w:val="00D67112"/>
    <w:rsid w:val="00D72D69"/>
    <w:rsid w:val="00D735F1"/>
    <w:rsid w:val="00D7380C"/>
    <w:rsid w:val="00D74903"/>
    <w:rsid w:val="00D75C24"/>
    <w:rsid w:val="00D75E18"/>
    <w:rsid w:val="00D76485"/>
    <w:rsid w:val="00D7675B"/>
    <w:rsid w:val="00D76BB2"/>
    <w:rsid w:val="00D8017D"/>
    <w:rsid w:val="00D80692"/>
    <w:rsid w:val="00D82B3B"/>
    <w:rsid w:val="00D82D0B"/>
    <w:rsid w:val="00D832D1"/>
    <w:rsid w:val="00D90736"/>
    <w:rsid w:val="00D90C7A"/>
    <w:rsid w:val="00D911BA"/>
    <w:rsid w:val="00D97EEE"/>
    <w:rsid w:val="00DA0C2D"/>
    <w:rsid w:val="00DA1D39"/>
    <w:rsid w:val="00DA2662"/>
    <w:rsid w:val="00DA374D"/>
    <w:rsid w:val="00DA48E9"/>
    <w:rsid w:val="00DA50C8"/>
    <w:rsid w:val="00DA5D14"/>
    <w:rsid w:val="00DA5E02"/>
    <w:rsid w:val="00DB0185"/>
    <w:rsid w:val="00DB1804"/>
    <w:rsid w:val="00DB1B02"/>
    <w:rsid w:val="00DB1CB4"/>
    <w:rsid w:val="00DB3ADE"/>
    <w:rsid w:val="00DB4837"/>
    <w:rsid w:val="00DB5E47"/>
    <w:rsid w:val="00DB7649"/>
    <w:rsid w:val="00DB7859"/>
    <w:rsid w:val="00DC40FC"/>
    <w:rsid w:val="00DC54EF"/>
    <w:rsid w:val="00DC767F"/>
    <w:rsid w:val="00DD0B57"/>
    <w:rsid w:val="00DD0BE4"/>
    <w:rsid w:val="00DD0FE7"/>
    <w:rsid w:val="00DD119E"/>
    <w:rsid w:val="00DD499F"/>
    <w:rsid w:val="00DD503C"/>
    <w:rsid w:val="00DD7743"/>
    <w:rsid w:val="00DD7C4E"/>
    <w:rsid w:val="00DE0208"/>
    <w:rsid w:val="00DE1D57"/>
    <w:rsid w:val="00DE2022"/>
    <w:rsid w:val="00DE2495"/>
    <w:rsid w:val="00DE5274"/>
    <w:rsid w:val="00DE7D4E"/>
    <w:rsid w:val="00DF0751"/>
    <w:rsid w:val="00DF0BA7"/>
    <w:rsid w:val="00DF0FE7"/>
    <w:rsid w:val="00DF2342"/>
    <w:rsid w:val="00DF2DC6"/>
    <w:rsid w:val="00DF32AD"/>
    <w:rsid w:val="00DF4D58"/>
    <w:rsid w:val="00E00524"/>
    <w:rsid w:val="00E01694"/>
    <w:rsid w:val="00E019C7"/>
    <w:rsid w:val="00E035E5"/>
    <w:rsid w:val="00E0431F"/>
    <w:rsid w:val="00E043E7"/>
    <w:rsid w:val="00E053C2"/>
    <w:rsid w:val="00E064D9"/>
    <w:rsid w:val="00E10FD2"/>
    <w:rsid w:val="00E11EA3"/>
    <w:rsid w:val="00E12261"/>
    <w:rsid w:val="00E12638"/>
    <w:rsid w:val="00E13EFC"/>
    <w:rsid w:val="00E144CB"/>
    <w:rsid w:val="00E14791"/>
    <w:rsid w:val="00E16A02"/>
    <w:rsid w:val="00E2237D"/>
    <w:rsid w:val="00E259F4"/>
    <w:rsid w:val="00E25E9B"/>
    <w:rsid w:val="00E260D0"/>
    <w:rsid w:val="00E32FDC"/>
    <w:rsid w:val="00E33DE6"/>
    <w:rsid w:val="00E33EF2"/>
    <w:rsid w:val="00E34C58"/>
    <w:rsid w:val="00E36A05"/>
    <w:rsid w:val="00E371AF"/>
    <w:rsid w:val="00E44F51"/>
    <w:rsid w:val="00E46AC7"/>
    <w:rsid w:val="00E47228"/>
    <w:rsid w:val="00E5016C"/>
    <w:rsid w:val="00E50722"/>
    <w:rsid w:val="00E53EA6"/>
    <w:rsid w:val="00E541FE"/>
    <w:rsid w:val="00E55DFD"/>
    <w:rsid w:val="00E56E7A"/>
    <w:rsid w:val="00E5749A"/>
    <w:rsid w:val="00E57796"/>
    <w:rsid w:val="00E61F49"/>
    <w:rsid w:val="00E62252"/>
    <w:rsid w:val="00E64C20"/>
    <w:rsid w:val="00E67E33"/>
    <w:rsid w:val="00E6FDDE"/>
    <w:rsid w:val="00E7154A"/>
    <w:rsid w:val="00E71C62"/>
    <w:rsid w:val="00E773A1"/>
    <w:rsid w:val="00E82F16"/>
    <w:rsid w:val="00E82F29"/>
    <w:rsid w:val="00E836A9"/>
    <w:rsid w:val="00E84EC4"/>
    <w:rsid w:val="00E865F5"/>
    <w:rsid w:val="00E8730E"/>
    <w:rsid w:val="00E8747D"/>
    <w:rsid w:val="00E87AB5"/>
    <w:rsid w:val="00E924A9"/>
    <w:rsid w:val="00E93AAF"/>
    <w:rsid w:val="00E95455"/>
    <w:rsid w:val="00E96295"/>
    <w:rsid w:val="00EA26F1"/>
    <w:rsid w:val="00EB393D"/>
    <w:rsid w:val="00EB50BF"/>
    <w:rsid w:val="00EB6A50"/>
    <w:rsid w:val="00EC1021"/>
    <w:rsid w:val="00EC14EC"/>
    <w:rsid w:val="00EC2597"/>
    <w:rsid w:val="00EC3098"/>
    <w:rsid w:val="00EC32C4"/>
    <w:rsid w:val="00EC4E2B"/>
    <w:rsid w:val="00EC6CE1"/>
    <w:rsid w:val="00EC78FD"/>
    <w:rsid w:val="00ED056C"/>
    <w:rsid w:val="00ED097B"/>
    <w:rsid w:val="00ED6B45"/>
    <w:rsid w:val="00ED6E60"/>
    <w:rsid w:val="00EE0316"/>
    <w:rsid w:val="00EE047B"/>
    <w:rsid w:val="00EE2C57"/>
    <w:rsid w:val="00EE42A4"/>
    <w:rsid w:val="00EE4CDB"/>
    <w:rsid w:val="00EE5E1E"/>
    <w:rsid w:val="00EF4E19"/>
    <w:rsid w:val="00EF5238"/>
    <w:rsid w:val="00EF62C3"/>
    <w:rsid w:val="00EF7D65"/>
    <w:rsid w:val="00F00352"/>
    <w:rsid w:val="00F01034"/>
    <w:rsid w:val="00F01391"/>
    <w:rsid w:val="00F01740"/>
    <w:rsid w:val="00F03604"/>
    <w:rsid w:val="00F10BA3"/>
    <w:rsid w:val="00F1190E"/>
    <w:rsid w:val="00F12518"/>
    <w:rsid w:val="00F12664"/>
    <w:rsid w:val="00F1355C"/>
    <w:rsid w:val="00F1379A"/>
    <w:rsid w:val="00F14BAD"/>
    <w:rsid w:val="00F14D46"/>
    <w:rsid w:val="00F15E91"/>
    <w:rsid w:val="00F16063"/>
    <w:rsid w:val="00F17791"/>
    <w:rsid w:val="00F222D0"/>
    <w:rsid w:val="00F22D19"/>
    <w:rsid w:val="00F26345"/>
    <w:rsid w:val="00F3097E"/>
    <w:rsid w:val="00F317C7"/>
    <w:rsid w:val="00F323E7"/>
    <w:rsid w:val="00F344F1"/>
    <w:rsid w:val="00F35EC6"/>
    <w:rsid w:val="00F401BD"/>
    <w:rsid w:val="00F4141B"/>
    <w:rsid w:val="00F42918"/>
    <w:rsid w:val="00F436BB"/>
    <w:rsid w:val="00F44B4A"/>
    <w:rsid w:val="00F450AA"/>
    <w:rsid w:val="00F451B2"/>
    <w:rsid w:val="00F46235"/>
    <w:rsid w:val="00F46E1A"/>
    <w:rsid w:val="00F46E8B"/>
    <w:rsid w:val="00F47915"/>
    <w:rsid w:val="00F50D95"/>
    <w:rsid w:val="00F5362A"/>
    <w:rsid w:val="00F53C7B"/>
    <w:rsid w:val="00F54C95"/>
    <w:rsid w:val="00F56AC9"/>
    <w:rsid w:val="00F5787F"/>
    <w:rsid w:val="00F61C2D"/>
    <w:rsid w:val="00F63229"/>
    <w:rsid w:val="00F63AD8"/>
    <w:rsid w:val="00F63BBD"/>
    <w:rsid w:val="00F64134"/>
    <w:rsid w:val="00F6452E"/>
    <w:rsid w:val="00F65E37"/>
    <w:rsid w:val="00F67976"/>
    <w:rsid w:val="00F712CE"/>
    <w:rsid w:val="00F722CE"/>
    <w:rsid w:val="00F752F0"/>
    <w:rsid w:val="00F77E61"/>
    <w:rsid w:val="00F80A3D"/>
    <w:rsid w:val="00F811F3"/>
    <w:rsid w:val="00F815F5"/>
    <w:rsid w:val="00F81DF8"/>
    <w:rsid w:val="00F82A05"/>
    <w:rsid w:val="00F82B52"/>
    <w:rsid w:val="00F830FA"/>
    <w:rsid w:val="00F84B32"/>
    <w:rsid w:val="00F856C9"/>
    <w:rsid w:val="00F87021"/>
    <w:rsid w:val="00F90D4E"/>
    <w:rsid w:val="00F930E4"/>
    <w:rsid w:val="00F95296"/>
    <w:rsid w:val="00F9664E"/>
    <w:rsid w:val="00FA0AFF"/>
    <w:rsid w:val="00FA0E9F"/>
    <w:rsid w:val="00FA14B3"/>
    <w:rsid w:val="00FA29F9"/>
    <w:rsid w:val="00FA5B2F"/>
    <w:rsid w:val="00FA76A5"/>
    <w:rsid w:val="00FB02D9"/>
    <w:rsid w:val="00FB1C4E"/>
    <w:rsid w:val="00FB303D"/>
    <w:rsid w:val="00FB48A2"/>
    <w:rsid w:val="00FB5BAD"/>
    <w:rsid w:val="00FC064F"/>
    <w:rsid w:val="00FC14E9"/>
    <w:rsid w:val="00FC17A4"/>
    <w:rsid w:val="00FC2C63"/>
    <w:rsid w:val="00FC38F4"/>
    <w:rsid w:val="00FC3F72"/>
    <w:rsid w:val="00FC69BE"/>
    <w:rsid w:val="00FC75B5"/>
    <w:rsid w:val="00FC7E48"/>
    <w:rsid w:val="00FD0DFA"/>
    <w:rsid w:val="00FD1698"/>
    <w:rsid w:val="00FD21E3"/>
    <w:rsid w:val="00FD261B"/>
    <w:rsid w:val="00FF1ED3"/>
    <w:rsid w:val="00FF253B"/>
    <w:rsid w:val="00FF4651"/>
    <w:rsid w:val="00FF4980"/>
    <w:rsid w:val="00FF4C32"/>
    <w:rsid w:val="00FF5074"/>
    <w:rsid w:val="014BC708"/>
    <w:rsid w:val="0154498E"/>
    <w:rsid w:val="018CB01C"/>
    <w:rsid w:val="01936961"/>
    <w:rsid w:val="02340D18"/>
    <w:rsid w:val="02918E48"/>
    <w:rsid w:val="02CDF63C"/>
    <w:rsid w:val="02EE3798"/>
    <w:rsid w:val="0317B239"/>
    <w:rsid w:val="046F4658"/>
    <w:rsid w:val="0574646E"/>
    <w:rsid w:val="057D4D96"/>
    <w:rsid w:val="05B4BB90"/>
    <w:rsid w:val="05FCCA8A"/>
    <w:rsid w:val="0609D8D8"/>
    <w:rsid w:val="062516BF"/>
    <w:rsid w:val="065D0010"/>
    <w:rsid w:val="0689FBC7"/>
    <w:rsid w:val="06E5C7AD"/>
    <w:rsid w:val="0760D90C"/>
    <w:rsid w:val="0767DFEF"/>
    <w:rsid w:val="07A7EDEA"/>
    <w:rsid w:val="07BEB4EC"/>
    <w:rsid w:val="082D7F47"/>
    <w:rsid w:val="083F17CA"/>
    <w:rsid w:val="08BC702E"/>
    <w:rsid w:val="090B9F46"/>
    <w:rsid w:val="09AA2012"/>
    <w:rsid w:val="09CF437C"/>
    <w:rsid w:val="0A31A83C"/>
    <w:rsid w:val="0AA2A24C"/>
    <w:rsid w:val="0BE3B981"/>
    <w:rsid w:val="0BF82E6A"/>
    <w:rsid w:val="0C7375E9"/>
    <w:rsid w:val="0C8A1531"/>
    <w:rsid w:val="0CC4FD29"/>
    <w:rsid w:val="0CFDF947"/>
    <w:rsid w:val="0D037ACE"/>
    <w:rsid w:val="0D17F94C"/>
    <w:rsid w:val="0D380A58"/>
    <w:rsid w:val="0D6DD1DF"/>
    <w:rsid w:val="0DEB61C4"/>
    <w:rsid w:val="0E14641F"/>
    <w:rsid w:val="0E331260"/>
    <w:rsid w:val="0E4F7B86"/>
    <w:rsid w:val="0E5D3817"/>
    <w:rsid w:val="0E86AB53"/>
    <w:rsid w:val="0ED752D5"/>
    <w:rsid w:val="0F1CECDF"/>
    <w:rsid w:val="0FA48E7B"/>
    <w:rsid w:val="0FAA2AD5"/>
    <w:rsid w:val="0FED6930"/>
    <w:rsid w:val="0FFCE1E5"/>
    <w:rsid w:val="10073051"/>
    <w:rsid w:val="1009E302"/>
    <w:rsid w:val="101B60BD"/>
    <w:rsid w:val="108C9214"/>
    <w:rsid w:val="10A2DDCA"/>
    <w:rsid w:val="118C86C2"/>
    <w:rsid w:val="11AFA047"/>
    <w:rsid w:val="11E31F90"/>
    <w:rsid w:val="1213BE22"/>
    <w:rsid w:val="12E6B606"/>
    <w:rsid w:val="12F0995B"/>
    <w:rsid w:val="13060251"/>
    <w:rsid w:val="13713C9E"/>
    <w:rsid w:val="13747139"/>
    <w:rsid w:val="137A6E33"/>
    <w:rsid w:val="13A7FA80"/>
    <w:rsid w:val="14AA5269"/>
    <w:rsid w:val="14C1E9BC"/>
    <w:rsid w:val="14D8E064"/>
    <w:rsid w:val="156EECB2"/>
    <w:rsid w:val="15EDA8A8"/>
    <w:rsid w:val="15F77C8A"/>
    <w:rsid w:val="162DC7B0"/>
    <w:rsid w:val="162FE3B3"/>
    <w:rsid w:val="16310E60"/>
    <w:rsid w:val="1650259D"/>
    <w:rsid w:val="16B0A1D3"/>
    <w:rsid w:val="16F2B86C"/>
    <w:rsid w:val="16FF0F32"/>
    <w:rsid w:val="17191BBE"/>
    <w:rsid w:val="17E95F38"/>
    <w:rsid w:val="1807BF8B"/>
    <w:rsid w:val="185BF1F9"/>
    <w:rsid w:val="186245E5"/>
    <w:rsid w:val="187B6BA3"/>
    <w:rsid w:val="19186074"/>
    <w:rsid w:val="192E472F"/>
    <w:rsid w:val="194259B7"/>
    <w:rsid w:val="194F6FDC"/>
    <w:rsid w:val="19AA09CD"/>
    <w:rsid w:val="1AB9A804"/>
    <w:rsid w:val="1AE84D63"/>
    <w:rsid w:val="1B05E86D"/>
    <w:rsid w:val="1B26BC58"/>
    <w:rsid w:val="1B704C54"/>
    <w:rsid w:val="1BADD787"/>
    <w:rsid w:val="1BF1FD06"/>
    <w:rsid w:val="1C6EDD52"/>
    <w:rsid w:val="1C946D71"/>
    <w:rsid w:val="1CBFF7B5"/>
    <w:rsid w:val="1CDEA63C"/>
    <w:rsid w:val="1D2F6750"/>
    <w:rsid w:val="1D5894F1"/>
    <w:rsid w:val="1DA5C401"/>
    <w:rsid w:val="1DD2B7BE"/>
    <w:rsid w:val="1DFEE051"/>
    <w:rsid w:val="1E33C1DD"/>
    <w:rsid w:val="1E52D393"/>
    <w:rsid w:val="1E5A12E3"/>
    <w:rsid w:val="1E94604A"/>
    <w:rsid w:val="1F1EAF43"/>
    <w:rsid w:val="1F33C3AB"/>
    <w:rsid w:val="1F4F7803"/>
    <w:rsid w:val="1FCF923E"/>
    <w:rsid w:val="1FE00E1A"/>
    <w:rsid w:val="2006C6E4"/>
    <w:rsid w:val="205AE208"/>
    <w:rsid w:val="20EFD7CB"/>
    <w:rsid w:val="21D05A54"/>
    <w:rsid w:val="21E78A6E"/>
    <w:rsid w:val="21E8AB6B"/>
    <w:rsid w:val="222860A8"/>
    <w:rsid w:val="223DBA40"/>
    <w:rsid w:val="224EC34A"/>
    <w:rsid w:val="2250D47E"/>
    <w:rsid w:val="2297F727"/>
    <w:rsid w:val="22E70F89"/>
    <w:rsid w:val="233C4C17"/>
    <w:rsid w:val="23F8417A"/>
    <w:rsid w:val="241D7B3C"/>
    <w:rsid w:val="241E93D3"/>
    <w:rsid w:val="243C0790"/>
    <w:rsid w:val="244B3077"/>
    <w:rsid w:val="24ABA60B"/>
    <w:rsid w:val="25D2126F"/>
    <w:rsid w:val="2622DA4A"/>
    <w:rsid w:val="264BEB4A"/>
    <w:rsid w:val="2664341A"/>
    <w:rsid w:val="2668C6BE"/>
    <w:rsid w:val="26A576FB"/>
    <w:rsid w:val="26C739AF"/>
    <w:rsid w:val="273B1AB0"/>
    <w:rsid w:val="275EF5CA"/>
    <w:rsid w:val="27724F79"/>
    <w:rsid w:val="27C3C96B"/>
    <w:rsid w:val="27C43471"/>
    <w:rsid w:val="27F4D697"/>
    <w:rsid w:val="2800047B"/>
    <w:rsid w:val="281D3730"/>
    <w:rsid w:val="284548BE"/>
    <w:rsid w:val="28730B94"/>
    <w:rsid w:val="28BDF84E"/>
    <w:rsid w:val="28D523BD"/>
    <w:rsid w:val="295CE1A4"/>
    <w:rsid w:val="2987B32F"/>
    <w:rsid w:val="29F99018"/>
    <w:rsid w:val="2A16D2B2"/>
    <w:rsid w:val="2A2C9D07"/>
    <w:rsid w:val="2AB2E725"/>
    <w:rsid w:val="2AE4A13B"/>
    <w:rsid w:val="2B4ECFBE"/>
    <w:rsid w:val="2B6BE26D"/>
    <w:rsid w:val="2BE479A5"/>
    <w:rsid w:val="2BE9E4D3"/>
    <w:rsid w:val="2BEFE079"/>
    <w:rsid w:val="2BFD91EA"/>
    <w:rsid w:val="2C3FC93C"/>
    <w:rsid w:val="2D0B2EDE"/>
    <w:rsid w:val="2D400D9B"/>
    <w:rsid w:val="2D775C7C"/>
    <w:rsid w:val="2D981433"/>
    <w:rsid w:val="2D9E17D3"/>
    <w:rsid w:val="2DDFD4AF"/>
    <w:rsid w:val="2DFE068C"/>
    <w:rsid w:val="2E0A9C5A"/>
    <w:rsid w:val="2EA0BBDE"/>
    <w:rsid w:val="2EE55F4E"/>
    <w:rsid w:val="2F14337B"/>
    <w:rsid w:val="2F4AEA1F"/>
    <w:rsid w:val="2FC772AD"/>
    <w:rsid w:val="2FC9427D"/>
    <w:rsid w:val="2FF6AEB1"/>
    <w:rsid w:val="30107B5C"/>
    <w:rsid w:val="30699C52"/>
    <w:rsid w:val="3099E34C"/>
    <w:rsid w:val="30A48ED8"/>
    <w:rsid w:val="30B9A3D0"/>
    <w:rsid w:val="30C77023"/>
    <w:rsid w:val="312D2636"/>
    <w:rsid w:val="31BC32C3"/>
    <w:rsid w:val="31C55FCA"/>
    <w:rsid w:val="320527B1"/>
    <w:rsid w:val="32405F39"/>
    <w:rsid w:val="3335DB7D"/>
    <w:rsid w:val="3390895C"/>
    <w:rsid w:val="3410594C"/>
    <w:rsid w:val="34140557"/>
    <w:rsid w:val="34288DCC"/>
    <w:rsid w:val="34F78927"/>
    <w:rsid w:val="353EE8BA"/>
    <w:rsid w:val="35638D9C"/>
    <w:rsid w:val="3651572F"/>
    <w:rsid w:val="36FB9143"/>
    <w:rsid w:val="3700475B"/>
    <w:rsid w:val="3798CA40"/>
    <w:rsid w:val="37B2D8E9"/>
    <w:rsid w:val="386A1360"/>
    <w:rsid w:val="3870F82A"/>
    <w:rsid w:val="3898F06C"/>
    <w:rsid w:val="38E049ED"/>
    <w:rsid w:val="39457438"/>
    <w:rsid w:val="39B40779"/>
    <w:rsid w:val="39CDFC02"/>
    <w:rsid w:val="3A209B58"/>
    <w:rsid w:val="3A284474"/>
    <w:rsid w:val="3A513499"/>
    <w:rsid w:val="3AA5BB99"/>
    <w:rsid w:val="3B9D6700"/>
    <w:rsid w:val="3BFC0FDE"/>
    <w:rsid w:val="3C1923FE"/>
    <w:rsid w:val="3C31DD1B"/>
    <w:rsid w:val="3C80CCB8"/>
    <w:rsid w:val="3CF48360"/>
    <w:rsid w:val="3CF5227C"/>
    <w:rsid w:val="3D29377C"/>
    <w:rsid w:val="3D520C44"/>
    <w:rsid w:val="3D909720"/>
    <w:rsid w:val="3DDB9373"/>
    <w:rsid w:val="3DE65B30"/>
    <w:rsid w:val="3E0224D9"/>
    <w:rsid w:val="3E1B9FF9"/>
    <w:rsid w:val="3F43C9B1"/>
    <w:rsid w:val="3F7B1620"/>
    <w:rsid w:val="3F96C640"/>
    <w:rsid w:val="3FBCF4BB"/>
    <w:rsid w:val="3FCA5C37"/>
    <w:rsid w:val="4032FB47"/>
    <w:rsid w:val="40582945"/>
    <w:rsid w:val="408B8565"/>
    <w:rsid w:val="409FCE87"/>
    <w:rsid w:val="411D81A7"/>
    <w:rsid w:val="4188BFDC"/>
    <w:rsid w:val="41B52C35"/>
    <w:rsid w:val="4233015E"/>
    <w:rsid w:val="42539268"/>
    <w:rsid w:val="4276CEF8"/>
    <w:rsid w:val="42AF9B49"/>
    <w:rsid w:val="43261D0F"/>
    <w:rsid w:val="43B84C0F"/>
    <w:rsid w:val="44196023"/>
    <w:rsid w:val="44CA1758"/>
    <w:rsid w:val="44D37010"/>
    <w:rsid w:val="454EAA2E"/>
    <w:rsid w:val="45B05F49"/>
    <w:rsid w:val="45BC280C"/>
    <w:rsid w:val="45EB613B"/>
    <w:rsid w:val="45EE4313"/>
    <w:rsid w:val="464D89F2"/>
    <w:rsid w:val="469FFF32"/>
    <w:rsid w:val="46F4D003"/>
    <w:rsid w:val="473D8203"/>
    <w:rsid w:val="47564F1C"/>
    <w:rsid w:val="48611F3A"/>
    <w:rsid w:val="48785E67"/>
    <w:rsid w:val="48787995"/>
    <w:rsid w:val="4889594D"/>
    <w:rsid w:val="48D3F964"/>
    <w:rsid w:val="4916A324"/>
    <w:rsid w:val="49537348"/>
    <w:rsid w:val="495CF877"/>
    <w:rsid w:val="49CC73FD"/>
    <w:rsid w:val="4A55742B"/>
    <w:rsid w:val="4ABDEE36"/>
    <w:rsid w:val="4B36D425"/>
    <w:rsid w:val="4B872AA2"/>
    <w:rsid w:val="4B961FEA"/>
    <w:rsid w:val="4C261C21"/>
    <w:rsid w:val="4C6445A4"/>
    <w:rsid w:val="4CA4DAD8"/>
    <w:rsid w:val="4CE6C199"/>
    <w:rsid w:val="4D012960"/>
    <w:rsid w:val="4D96BC5B"/>
    <w:rsid w:val="4DA1E15D"/>
    <w:rsid w:val="4DA72829"/>
    <w:rsid w:val="4DCE49E1"/>
    <w:rsid w:val="4DF2F236"/>
    <w:rsid w:val="4DFB336B"/>
    <w:rsid w:val="4ED9EBBF"/>
    <w:rsid w:val="4F3891E0"/>
    <w:rsid w:val="4FB37DB5"/>
    <w:rsid w:val="4FEA4A61"/>
    <w:rsid w:val="50A82EC2"/>
    <w:rsid w:val="50B24484"/>
    <w:rsid w:val="5142E982"/>
    <w:rsid w:val="514A2A06"/>
    <w:rsid w:val="514FCF8A"/>
    <w:rsid w:val="518286C2"/>
    <w:rsid w:val="51B5889C"/>
    <w:rsid w:val="51BD7203"/>
    <w:rsid w:val="5221A87A"/>
    <w:rsid w:val="5248F5BE"/>
    <w:rsid w:val="5283B36A"/>
    <w:rsid w:val="52FB4419"/>
    <w:rsid w:val="5341B1D6"/>
    <w:rsid w:val="53B8658C"/>
    <w:rsid w:val="53BEBDB0"/>
    <w:rsid w:val="54158D7F"/>
    <w:rsid w:val="5460969A"/>
    <w:rsid w:val="54AAA309"/>
    <w:rsid w:val="54F6F611"/>
    <w:rsid w:val="558BF8DA"/>
    <w:rsid w:val="55983865"/>
    <w:rsid w:val="55AD5B73"/>
    <w:rsid w:val="55DB2344"/>
    <w:rsid w:val="564C67B2"/>
    <w:rsid w:val="565EF1A9"/>
    <w:rsid w:val="567A904D"/>
    <w:rsid w:val="569D3079"/>
    <w:rsid w:val="57D3C4B4"/>
    <w:rsid w:val="580CF613"/>
    <w:rsid w:val="581D4D7A"/>
    <w:rsid w:val="585481C5"/>
    <w:rsid w:val="585D29E5"/>
    <w:rsid w:val="585DE30D"/>
    <w:rsid w:val="587E381E"/>
    <w:rsid w:val="58B3D642"/>
    <w:rsid w:val="58C0DBE4"/>
    <w:rsid w:val="58D8509E"/>
    <w:rsid w:val="590DE453"/>
    <w:rsid w:val="59551F04"/>
    <w:rsid w:val="59ED8383"/>
    <w:rsid w:val="5A1228E4"/>
    <w:rsid w:val="5A2DE490"/>
    <w:rsid w:val="5A5ACF33"/>
    <w:rsid w:val="5A75BAEB"/>
    <w:rsid w:val="5B8B0CC9"/>
    <w:rsid w:val="5BF47B4B"/>
    <w:rsid w:val="5C544E81"/>
    <w:rsid w:val="5CAACB35"/>
    <w:rsid w:val="5D1902D4"/>
    <w:rsid w:val="5E34CF56"/>
    <w:rsid w:val="5E709EB3"/>
    <w:rsid w:val="5EC7AD69"/>
    <w:rsid w:val="5F0A2D2D"/>
    <w:rsid w:val="5F15DF40"/>
    <w:rsid w:val="5F7A917D"/>
    <w:rsid w:val="5F94270F"/>
    <w:rsid w:val="5F96253F"/>
    <w:rsid w:val="6012B90B"/>
    <w:rsid w:val="60DB29BC"/>
    <w:rsid w:val="6184E97E"/>
    <w:rsid w:val="618D5AEB"/>
    <w:rsid w:val="61DD2442"/>
    <w:rsid w:val="61FF7240"/>
    <w:rsid w:val="621FDD55"/>
    <w:rsid w:val="62C5FFE4"/>
    <w:rsid w:val="62C9461F"/>
    <w:rsid w:val="62CB81CF"/>
    <w:rsid w:val="634AE3F6"/>
    <w:rsid w:val="63A75B81"/>
    <w:rsid w:val="63AB35F6"/>
    <w:rsid w:val="63B31ED0"/>
    <w:rsid w:val="63C7AC61"/>
    <w:rsid w:val="63D6CDB8"/>
    <w:rsid w:val="6435A88C"/>
    <w:rsid w:val="64579A0B"/>
    <w:rsid w:val="648A10B3"/>
    <w:rsid w:val="651733B1"/>
    <w:rsid w:val="65316083"/>
    <w:rsid w:val="658358A6"/>
    <w:rsid w:val="66075BC9"/>
    <w:rsid w:val="66B28D40"/>
    <w:rsid w:val="66FB6759"/>
    <w:rsid w:val="67554757"/>
    <w:rsid w:val="67ADF228"/>
    <w:rsid w:val="68245A62"/>
    <w:rsid w:val="686CB6C2"/>
    <w:rsid w:val="6871A267"/>
    <w:rsid w:val="68C4C821"/>
    <w:rsid w:val="68E3E334"/>
    <w:rsid w:val="69036E5D"/>
    <w:rsid w:val="693D2A92"/>
    <w:rsid w:val="6949B7A7"/>
    <w:rsid w:val="695AAB09"/>
    <w:rsid w:val="6988702D"/>
    <w:rsid w:val="6A0E9DA9"/>
    <w:rsid w:val="6A147808"/>
    <w:rsid w:val="6A4E96B3"/>
    <w:rsid w:val="6A5D7383"/>
    <w:rsid w:val="6A9DC125"/>
    <w:rsid w:val="6AB8C3D6"/>
    <w:rsid w:val="6ABC81F8"/>
    <w:rsid w:val="6B0A8A97"/>
    <w:rsid w:val="6B0CFC04"/>
    <w:rsid w:val="6BBF0283"/>
    <w:rsid w:val="6C0FC050"/>
    <w:rsid w:val="6C1C5509"/>
    <w:rsid w:val="6C447C05"/>
    <w:rsid w:val="6CA20E9B"/>
    <w:rsid w:val="6D488146"/>
    <w:rsid w:val="6DB7CE3C"/>
    <w:rsid w:val="6F0710D6"/>
    <w:rsid w:val="6F408FF0"/>
    <w:rsid w:val="6FA9F4B8"/>
    <w:rsid w:val="6FB2E03B"/>
    <w:rsid w:val="7063FDD1"/>
    <w:rsid w:val="7065EFC6"/>
    <w:rsid w:val="708B42E0"/>
    <w:rsid w:val="70A6B63D"/>
    <w:rsid w:val="70E06280"/>
    <w:rsid w:val="70FB8951"/>
    <w:rsid w:val="71B68834"/>
    <w:rsid w:val="720EC533"/>
    <w:rsid w:val="7237F9D7"/>
    <w:rsid w:val="72545543"/>
    <w:rsid w:val="7261714A"/>
    <w:rsid w:val="72A847E0"/>
    <w:rsid w:val="72BA40B2"/>
    <w:rsid w:val="72CFC651"/>
    <w:rsid w:val="72DD7AE7"/>
    <w:rsid w:val="73089815"/>
    <w:rsid w:val="7387F050"/>
    <w:rsid w:val="73C89D49"/>
    <w:rsid w:val="73CD4EB5"/>
    <w:rsid w:val="74521C1C"/>
    <w:rsid w:val="7461B5C0"/>
    <w:rsid w:val="74639501"/>
    <w:rsid w:val="74B1B721"/>
    <w:rsid w:val="74BBF4EB"/>
    <w:rsid w:val="755EA874"/>
    <w:rsid w:val="757022FE"/>
    <w:rsid w:val="75F1EF7C"/>
    <w:rsid w:val="76047478"/>
    <w:rsid w:val="768C0451"/>
    <w:rsid w:val="76F4B520"/>
    <w:rsid w:val="77A41C9F"/>
    <w:rsid w:val="77AC6672"/>
    <w:rsid w:val="788755BA"/>
    <w:rsid w:val="788A7D38"/>
    <w:rsid w:val="789B320A"/>
    <w:rsid w:val="789DA870"/>
    <w:rsid w:val="78AC8570"/>
    <w:rsid w:val="78D0A830"/>
    <w:rsid w:val="7924EB3E"/>
    <w:rsid w:val="79BBBC4E"/>
    <w:rsid w:val="79C50F92"/>
    <w:rsid w:val="79DE863C"/>
    <w:rsid w:val="7A02604A"/>
    <w:rsid w:val="7A1EAAEF"/>
    <w:rsid w:val="7A21EF16"/>
    <w:rsid w:val="7A8BD265"/>
    <w:rsid w:val="7B00AB37"/>
    <w:rsid w:val="7B7CEF0D"/>
    <w:rsid w:val="7C0214DA"/>
    <w:rsid w:val="7C47FA9B"/>
    <w:rsid w:val="7C5D3F7D"/>
    <w:rsid w:val="7C604579"/>
    <w:rsid w:val="7C9B522F"/>
    <w:rsid w:val="7CA11ABD"/>
    <w:rsid w:val="7CD6B9B4"/>
    <w:rsid w:val="7D0DDFEC"/>
    <w:rsid w:val="7DE8BAB1"/>
    <w:rsid w:val="7E405E48"/>
    <w:rsid w:val="7E603CA9"/>
    <w:rsid w:val="7EA50F73"/>
    <w:rsid w:val="7F7B382E"/>
    <w:rsid w:val="7FA177D1"/>
    <w:rsid w:val="7FC3BD25"/>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0"/>
    <w:lsdException w:name="Date" w:semiHidden="1"/>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C4E"/>
  </w:style>
  <w:style w:type="paragraph" w:styleId="Heading1">
    <w:name w:val="heading 1"/>
    <w:basedOn w:val="Normal"/>
    <w:next w:val="Normal"/>
    <w:link w:val="Heading1Char"/>
    <w:qFormat/>
    <w:rsid w:val="001115EC"/>
    <w:pPr>
      <w:keepNext/>
      <w:keepLines/>
      <w:numPr>
        <w:numId w:val="21"/>
      </w:numPr>
      <w:pBdr>
        <w:top w:val="single" w:sz="4" w:space="1" w:color="204B86" w:themeColor="accent5" w:themeShade="80"/>
        <w:left w:val="single" w:sz="4" w:space="4" w:color="204B86" w:themeColor="accent5" w:themeShade="80"/>
        <w:bottom w:val="single" w:sz="4" w:space="1" w:color="204B86" w:themeColor="accent5" w:themeShade="80"/>
        <w:right w:val="single" w:sz="4" w:space="4" w:color="204B86" w:themeColor="accent5" w:themeShade="80"/>
      </w:pBdr>
      <w:spacing w:before="240"/>
      <w:outlineLvl w:val="0"/>
    </w:pPr>
    <w:rPr>
      <w:rFonts w:ascii="Calibri" w:eastAsiaTheme="majorEastAsia" w:hAnsi="Calibri" w:cstheme="majorBidi"/>
      <w:b/>
      <w:bCs/>
      <w:color w:val="094595" w:themeColor="text2"/>
      <w:sz w:val="28"/>
      <w:szCs w:val="32"/>
    </w:rPr>
  </w:style>
  <w:style w:type="paragraph" w:styleId="Heading2">
    <w:name w:val="heading 2"/>
    <w:basedOn w:val="Normal"/>
    <w:next w:val="Normal"/>
    <w:link w:val="Heading2Char"/>
    <w:unhideWhenUsed/>
    <w:qFormat/>
    <w:rsid w:val="009561AC"/>
    <w:pPr>
      <w:keepNext/>
      <w:keepLines/>
      <w:numPr>
        <w:ilvl w:val="1"/>
        <w:numId w:val="21"/>
      </w:numPr>
      <w:spacing w:before="120"/>
      <w:outlineLvl w:val="1"/>
    </w:pPr>
    <w:rPr>
      <w:rFonts w:ascii="Calibri" w:eastAsiaTheme="majorEastAsia" w:hAnsi="Calibri" w:cstheme="majorBidi"/>
      <w:b/>
      <w:color w:val="004494"/>
      <w:sz w:val="28"/>
      <w:szCs w:val="28"/>
    </w:rPr>
  </w:style>
  <w:style w:type="paragraph" w:styleId="Heading3">
    <w:name w:val="heading 3"/>
    <w:basedOn w:val="Normal"/>
    <w:next w:val="Normal"/>
    <w:link w:val="Heading3Char"/>
    <w:unhideWhenUsed/>
    <w:qFormat/>
    <w:rsid w:val="009561AC"/>
    <w:pPr>
      <w:keepNext/>
      <w:keepLines/>
      <w:numPr>
        <w:ilvl w:val="2"/>
        <w:numId w:val="21"/>
      </w:numPr>
      <w:spacing w:before="100" w:beforeAutospacing="1" w:after="100" w:afterAutospacing="1"/>
      <w:outlineLvl w:val="2"/>
    </w:pPr>
    <w:rPr>
      <w:rFonts w:eastAsiaTheme="majorEastAsia" w:cstheme="majorBidi"/>
      <w:b/>
      <w:iCs/>
      <w:color w:val="094595" w:themeColor="text2"/>
      <w:u w:val="single"/>
    </w:rPr>
  </w:style>
  <w:style w:type="paragraph" w:styleId="Heading4">
    <w:name w:val="heading 4"/>
    <w:basedOn w:val="Normal"/>
    <w:next w:val="Normal"/>
    <w:link w:val="Heading4Char"/>
    <w:unhideWhenUsed/>
    <w:qFormat/>
    <w:rsid w:val="00AC22C1"/>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qFormat/>
    <w:rsid w:val="00086AA9"/>
    <w:pPr>
      <w:keepNext/>
      <w:keepLines/>
      <w:numPr>
        <w:ilvl w:val="4"/>
        <w:numId w:val="21"/>
      </w:numPr>
      <w:spacing w:before="200" w:after="0"/>
      <w:outlineLvl w:val="4"/>
    </w:pPr>
    <w:rPr>
      <w:rFonts w:asciiTheme="majorHAnsi" w:eastAsiaTheme="majorEastAsia" w:hAnsiTheme="majorHAnsi" w:cstheme="majorBidi"/>
      <w:color w:val="2E3B4D" w:themeColor="accent1" w:themeShade="7F"/>
    </w:rPr>
  </w:style>
  <w:style w:type="paragraph" w:styleId="Heading6">
    <w:name w:val="heading 6"/>
    <w:basedOn w:val="Normal"/>
    <w:next w:val="Normal"/>
    <w:link w:val="Heading6Char"/>
    <w:unhideWhenUsed/>
    <w:qFormat/>
    <w:rsid w:val="00C07D6A"/>
    <w:pPr>
      <w:keepNext/>
      <w:keepLines/>
      <w:numPr>
        <w:ilvl w:val="5"/>
        <w:numId w:val="21"/>
      </w:numPr>
      <w:spacing w:before="40" w:beforeAutospacing="1" w:after="0" w:afterAutospacing="1"/>
      <w:outlineLvl w:val="5"/>
    </w:pPr>
    <w:rPr>
      <w:rFonts w:asciiTheme="majorHAnsi" w:eastAsiaTheme="majorEastAsia" w:hAnsiTheme="majorHAnsi" w:cstheme="majorBidi"/>
      <w:color w:val="2E3B4D" w:themeColor="accent1" w:themeShade="7F"/>
    </w:rPr>
  </w:style>
  <w:style w:type="paragraph" w:styleId="Heading7">
    <w:name w:val="heading 7"/>
    <w:basedOn w:val="Normal"/>
    <w:next w:val="Normal"/>
    <w:link w:val="Heading7Char"/>
    <w:qFormat/>
    <w:rsid w:val="00C07D6A"/>
    <w:pPr>
      <w:numPr>
        <w:ilvl w:val="6"/>
        <w:numId w:val="21"/>
      </w:numPr>
      <w:tabs>
        <w:tab w:val="num" w:pos="1296"/>
      </w:tabs>
      <w:spacing w:before="240" w:after="60"/>
      <w:outlineLvl w:val="6"/>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C07D6A"/>
    <w:pPr>
      <w:numPr>
        <w:ilvl w:val="7"/>
        <w:numId w:val="21"/>
      </w:numPr>
      <w:tabs>
        <w:tab w:val="num" w:pos="1440"/>
      </w:tabs>
      <w:spacing w:before="240" w:after="60"/>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C07D6A"/>
    <w:pPr>
      <w:numPr>
        <w:ilvl w:val="8"/>
        <w:numId w:val="21"/>
      </w:numPr>
      <w:tabs>
        <w:tab w:val="num" w:pos="1584"/>
      </w:tabs>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656"/>
    <w:pPr>
      <w:tabs>
        <w:tab w:val="right" w:pos="9360"/>
      </w:tabs>
      <w:spacing w:after="0"/>
      <w:jc w:val="right"/>
    </w:pPr>
    <w:rPr>
      <w:color w:val="0C4DA2"/>
      <w:sz w:val="18"/>
    </w:rPr>
  </w:style>
  <w:style w:type="character" w:customStyle="1" w:styleId="HeaderChar">
    <w:name w:val="Header Char"/>
    <w:basedOn w:val="DefaultParagraphFont"/>
    <w:link w:val="Header"/>
    <w:rsid w:val="00A43A63"/>
    <w:rPr>
      <w:color w:val="0C4DA2"/>
      <w:sz w:val="18"/>
      <w:lang w:val="lv-LV"/>
    </w:rPr>
  </w:style>
  <w:style w:type="paragraph" w:styleId="Footer">
    <w:name w:val="footer"/>
    <w:basedOn w:val="Normal"/>
    <w:link w:val="FooterChar"/>
    <w:unhideWhenUsed/>
    <w:rsid w:val="00D32028"/>
    <w:pPr>
      <w:tabs>
        <w:tab w:val="center" w:pos="4680"/>
        <w:tab w:val="right" w:pos="9360"/>
      </w:tabs>
      <w:spacing w:after="0"/>
    </w:pPr>
  </w:style>
  <w:style w:type="character" w:customStyle="1" w:styleId="FooterChar">
    <w:name w:val="Footer Char"/>
    <w:basedOn w:val="DefaultParagraphFont"/>
    <w:link w:val="Footer"/>
    <w:rsid w:val="00D32028"/>
    <w:rPr>
      <w:color w:val="002034"/>
    </w:rPr>
  </w:style>
  <w:style w:type="paragraph" w:styleId="BalloonText">
    <w:name w:val="Balloon Text"/>
    <w:basedOn w:val="Normal"/>
    <w:link w:val="BalloonTextChar"/>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43A63"/>
    <w:rPr>
      <w:rFonts w:ascii="Tahoma" w:hAnsi="Tahoma" w:cs="Tahoma"/>
      <w:color w:val="002034"/>
      <w:sz w:val="16"/>
      <w:szCs w:val="16"/>
      <w:lang w:val="lv-LV"/>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link w:val="ListParagraphChar"/>
    <w:uiPriority w:val="34"/>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nhideWhenUsed/>
    <w:rsid w:val="00D32028"/>
    <w:pPr>
      <w:spacing w:after="0"/>
    </w:pPr>
    <w:rPr>
      <w:szCs w:val="20"/>
    </w:rPr>
  </w:style>
  <w:style w:type="character" w:customStyle="1" w:styleId="FootnoteTextChar">
    <w:name w:val="Footnote Text Char"/>
    <w:basedOn w:val="DefaultParagraphFont"/>
    <w:link w:val="FootnoteText"/>
    <w:rsid w:val="00D32028"/>
    <w:rPr>
      <w:color w:val="002034"/>
      <w:szCs w:val="20"/>
    </w:rPr>
  </w:style>
  <w:style w:type="character" w:styleId="FootnoteReference">
    <w:name w:val="footnote reference"/>
    <w:basedOn w:val="DefaultParagraphFont"/>
    <w:unhideWhenUsed/>
    <w:rsid w:val="00D32028"/>
    <w:rPr>
      <w:vertAlign w:val="superscript"/>
    </w:rPr>
  </w:style>
  <w:style w:type="character" w:styleId="FollowedHyperlink">
    <w:name w:val="FollowedHyperlink"/>
    <w:basedOn w:val="DefaultParagraphFont"/>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55B64"/>
    <w:pPr>
      <w:spacing w:before="240"/>
      <w:contextualSpacing/>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rsid w:val="00755B64"/>
    <w:rPr>
      <w:rFonts w:ascii="Calibri" w:eastAsiaTheme="majorEastAsia" w:hAnsi="Calibri" w:cstheme="majorBidi"/>
      <w:spacing w:val="5"/>
      <w:kern w:val="28"/>
      <w:sz w:val="40"/>
      <w:szCs w:val="52"/>
      <w:lang w:val="lv-LV"/>
    </w:rPr>
  </w:style>
  <w:style w:type="paragraph" w:styleId="Subtitle">
    <w:name w:val="Subtitle"/>
    <w:basedOn w:val="Normal"/>
    <w:next w:val="Normal"/>
    <w:link w:val="SubtitleChar"/>
    <w:uiPriority w:val="2"/>
    <w:qFormat/>
    <w:rsid w:val="00755B64"/>
    <w:pPr>
      <w:numPr>
        <w:ilvl w:val="1"/>
      </w:numPr>
      <w:spacing w:before="120"/>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755B64"/>
    <w:rPr>
      <w:rFonts w:ascii="Calibri" w:eastAsiaTheme="majorEastAsia" w:hAnsi="Calibri" w:cstheme="majorBidi"/>
      <w:i/>
      <w:iCs/>
      <w:color w:val="004494"/>
      <w:spacing w:val="15"/>
      <w:sz w:val="32"/>
      <w:szCs w:val="24"/>
      <w:lang w:val="lv-LV"/>
    </w:rPr>
  </w:style>
  <w:style w:type="character" w:customStyle="1" w:styleId="Heading1Char">
    <w:name w:val="Heading 1 Char"/>
    <w:basedOn w:val="DefaultParagraphFont"/>
    <w:link w:val="Heading1"/>
    <w:rsid w:val="001115EC"/>
    <w:rPr>
      <w:rFonts w:ascii="Calibri" w:eastAsiaTheme="majorEastAsia" w:hAnsi="Calibri" w:cstheme="majorBidi"/>
      <w:b/>
      <w:bCs/>
      <w:color w:val="094595" w:themeColor="text2"/>
      <w:sz w:val="28"/>
      <w:szCs w:val="32"/>
      <w:lang w:val="lv-LV"/>
    </w:rPr>
  </w:style>
  <w:style w:type="character" w:customStyle="1" w:styleId="Heading2Char">
    <w:name w:val="Heading 2 Char"/>
    <w:basedOn w:val="DefaultParagraphFont"/>
    <w:link w:val="Heading2"/>
    <w:rsid w:val="009561AC"/>
    <w:rPr>
      <w:rFonts w:ascii="Calibri" w:eastAsiaTheme="majorEastAsia" w:hAnsi="Calibri" w:cstheme="majorBidi"/>
      <w:b/>
      <w:color w:val="004494"/>
      <w:sz w:val="28"/>
      <w:szCs w:val="28"/>
      <w:lang w:val="lv-LV"/>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561AC"/>
    <w:rPr>
      <w:rFonts w:eastAsiaTheme="majorEastAsia" w:cstheme="majorBidi"/>
      <w:b/>
      <w:iCs/>
      <w:color w:val="094595" w:themeColor="text2"/>
      <w:u w:val="single"/>
      <w:lang w:val="lv-LV"/>
    </w:rPr>
  </w:style>
  <w:style w:type="character" w:customStyle="1" w:styleId="Heading4Char">
    <w:name w:val="Heading 4 Char"/>
    <w:basedOn w:val="DefaultParagraphFont"/>
    <w:link w:val="Heading4"/>
    <w:rsid w:val="00AC22C1"/>
    <w:rPr>
      <w:rFonts w:ascii="Calibri" w:eastAsia="Times New Roman" w:hAnsi="Calibri" w:cstheme="majorBidi"/>
      <w:bCs/>
      <w:i/>
      <w:iCs/>
      <w:color w:val="004494"/>
      <w:lang w:val="lv-LV" w:eastAsia="fr-FR"/>
    </w:rPr>
  </w:style>
  <w:style w:type="character" w:customStyle="1" w:styleId="Heading5Char">
    <w:name w:val="Heading 5 Char"/>
    <w:basedOn w:val="DefaultParagraphFont"/>
    <w:link w:val="Heading5"/>
    <w:rsid w:val="00213801"/>
    <w:rPr>
      <w:rFonts w:asciiTheme="majorHAnsi" w:eastAsiaTheme="majorEastAsia" w:hAnsiTheme="majorHAnsi" w:cstheme="majorBidi"/>
      <w:color w:val="2E3B4D" w:themeColor="accent1" w:themeShade="7F"/>
      <w:lang w:val="lv-LV"/>
    </w:rPr>
  </w:style>
  <w:style w:type="paragraph" w:styleId="Quote">
    <w:name w:val="Quote"/>
    <w:basedOn w:val="Normal"/>
    <w:next w:val="Normal"/>
    <w:link w:val="QuoteChar"/>
    <w:uiPriority w:val="29"/>
    <w:qFormat/>
    <w:rsid w:val="00D32028"/>
    <w:pPr>
      <w:spacing w:after="0"/>
    </w:pPr>
    <w:rPr>
      <w:i/>
      <w:iCs/>
      <w:sz w:val="16"/>
    </w:rPr>
  </w:style>
  <w:style w:type="character" w:customStyle="1" w:styleId="QuoteChar">
    <w:name w:val="Quote Char"/>
    <w:basedOn w:val="DefaultParagraphFont"/>
    <w:link w:val="Quote"/>
    <w:uiPriority w:val="29"/>
    <w:rsid w:val="00D32028"/>
    <w:rPr>
      <w:i/>
      <w:iCs/>
      <w:color w:val="002034"/>
      <w:sz w:val="16"/>
    </w:rPr>
  </w:style>
  <w:style w:type="paragraph" w:customStyle="1" w:styleId="Footnote">
    <w:name w:val="Footnote"/>
    <w:basedOn w:val="Normal"/>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AA0F83"/>
    <w:pPr>
      <w:spacing w:before="60" w:after="60"/>
      <w:jc w:val="center"/>
    </w:pPr>
    <w:rPr>
      <w:i/>
      <w:color w:val="004494"/>
    </w:rPr>
  </w:style>
  <w:style w:type="paragraph" w:customStyle="1" w:styleId="HeadingTableleft">
    <w:name w:val="Heading Table left"/>
    <w:basedOn w:val="HeadingTable"/>
    <w:qFormat/>
    <w:rsid w:val="00C44251"/>
    <w:pPr>
      <w:spacing w:before="0" w:after="0"/>
      <w:jc w:val="left"/>
    </w:pPr>
    <w:rPr>
      <w:noProof/>
      <w:sz w:val="20"/>
      <w:szCs w:val="20"/>
    </w:rPr>
  </w:style>
  <w:style w:type="paragraph" w:styleId="NoSpacing">
    <w:name w:val="No Spacing"/>
    <w:uiPriority w:val="10"/>
    <w:rsid w:val="00D50327"/>
    <w:pPr>
      <w:spacing w:after="0" w:line="240" w:lineRule="auto"/>
    </w:pPr>
    <w:rPr>
      <w:color w:val="002034"/>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Aufzhlung1und2level"/>
    <w:uiPriority w:val="7"/>
    <w:qFormat/>
    <w:rsid w:val="00525700"/>
    <w:pPr>
      <w:numPr>
        <w:numId w:val="2"/>
      </w:numPr>
    </w:pPr>
    <w:rPr>
      <w:b w:val="0"/>
      <w:sz w:val="22"/>
      <w:szCs w:val="22"/>
    </w:rPr>
  </w:style>
  <w:style w:type="paragraph" w:styleId="Caption">
    <w:name w:val="caption"/>
    <w:aliases w:val="Legend_Figures"/>
    <w:basedOn w:val="Normal"/>
    <w:next w:val="Normal"/>
    <w:unhideWhenUsed/>
    <w:qFormat/>
    <w:rsid w:val="00D32028"/>
    <w:rPr>
      <w:b/>
      <w:bCs/>
      <w:color w:val="5D779C" w:themeColor="accent1"/>
      <w:sz w:val="18"/>
      <w:szCs w:val="18"/>
    </w:rPr>
  </w:style>
  <w:style w:type="paragraph" w:customStyle="1" w:styleId="NormalTextTable">
    <w:name w:val="Normal Text Table"/>
    <w:basedOn w:val="Normal"/>
    <w:qFormat/>
    <w:rsid w:val="00755B64"/>
    <w:pPr>
      <w:spacing w:after="0"/>
    </w:pPr>
  </w:style>
  <w:style w:type="paragraph" w:styleId="TOC1">
    <w:name w:val="toc 1"/>
    <w:basedOn w:val="Normal"/>
    <w:next w:val="TOC2"/>
    <w:uiPriority w:val="39"/>
    <w:rsid w:val="00D32028"/>
    <w:pPr>
      <w:spacing w:before="120"/>
    </w:pPr>
    <w:rPr>
      <w:rFonts w:cstheme="minorHAnsi"/>
      <w:b/>
      <w:bCs/>
      <w:caps/>
      <w:sz w:val="20"/>
      <w:szCs w:val="20"/>
    </w:rPr>
  </w:style>
  <w:style w:type="paragraph" w:styleId="TOC2">
    <w:name w:val="toc 2"/>
    <w:basedOn w:val="Normal"/>
    <w:next w:val="TOC3"/>
    <w:uiPriority w:val="39"/>
    <w:rsid w:val="00D32028"/>
    <w:pPr>
      <w:spacing w:after="0"/>
      <w:ind w:left="220"/>
    </w:pPr>
    <w:rPr>
      <w:rFonts w:cstheme="minorHAnsi"/>
      <w:smallCaps/>
      <w:sz w:val="20"/>
      <w:szCs w:val="20"/>
    </w:rPr>
  </w:style>
  <w:style w:type="paragraph" w:styleId="TOC3">
    <w:name w:val="toc 3"/>
    <w:basedOn w:val="Normal"/>
    <w:next w:val="Normal"/>
    <w:uiPriority w:val="39"/>
    <w:unhideWhenUsed/>
    <w:rsid w:val="00D32028"/>
    <w:pPr>
      <w:spacing w:after="0"/>
      <w:ind w:left="440"/>
    </w:pPr>
    <w:rPr>
      <w:rFonts w:cstheme="minorHAnsi"/>
      <w:i/>
      <w:iCs/>
      <w:sz w:val="20"/>
      <w:szCs w:val="20"/>
    </w:rPr>
  </w:style>
  <w:style w:type="paragraph" w:styleId="TOC4">
    <w:name w:val="toc 4"/>
    <w:basedOn w:val="Normal"/>
    <w:next w:val="Normal"/>
    <w:uiPriority w:val="39"/>
    <w:unhideWhenUsed/>
    <w:rsid w:val="00D32028"/>
    <w:pPr>
      <w:spacing w:after="0"/>
      <w:ind w:left="660"/>
    </w:pPr>
    <w:rPr>
      <w:rFonts w:cstheme="minorHAnsi"/>
      <w:sz w:val="18"/>
      <w:szCs w:val="18"/>
    </w:rPr>
  </w:style>
  <w:style w:type="paragraph" w:styleId="TOCHeading">
    <w:name w:val="TOC Heading"/>
    <w:basedOn w:val="Heading1"/>
    <w:next w:val="Normal"/>
    <w:uiPriority w:val="39"/>
    <w:unhideWhenUsed/>
    <w:qFormat/>
    <w:rsid w:val="00D32028"/>
    <w:pPr>
      <w:numPr>
        <w:numId w:val="0"/>
      </w:numPr>
      <w:spacing w:before="480" w:after="0"/>
      <w:outlineLvl w:val="9"/>
    </w:pPr>
    <w:rPr>
      <w:rFonts w:asciiTheme="majorHAnsi" w:hAnsiTheme="majorHAnsi"/>
      <w:color w:val="455974" w:themeColor="accent1" w:themeShade="BF"/>
      <w:lang w:eastAsia="ja-JP"/>
    </w:rPr>
  </w:style>
  <w:style w:type="paragraph" w:customStyle="1" w:styleId="Hidden">
    <w:name w:val="Hidden"/>
    <w:basedOn w:val="Normal"/>
    <w:uiPriority w:val="99"/>
    <w:qFormat/>
    <w:rsid w:val="00697F28"/>
    <w:pPr>
      <w:spacing w:after="0"/>
    </w:pPr>
    <w:rPr>
      <w:rFonts w:ascii="Calibri" w:eastAsia="Calibri" w:hAnsi="Calibri" w:cs="Times New Roman"/>
      <w:i/>
      <w:vanish/>
      <w:color w:val="0000FF"/>
      <w:szCs w:val="24"/>
    </w:rPr>
  </w:style>
  <w:style w:type="table" w:customStyle="1" w:styleId="TableGrid13">
    <w:name w:val="Table Grid13"/>
    <w:basedOn w:val="TableNormal"/>
    <w:next w:val="TableGrid"/>
    <w:uiPriority w:val="59"/>
    <w:rsid w:val="007A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C7B00"/>
    <w:rPr>
      <w:sz w:val="16"/>
      <w:szCs w:val="16"/>
    </w:rPr>
  </w:style>
  <w:style w:type="paragraph" w:styleId="CommentText">
    <w:name w:val="annotation text"/>
    <w:basedOn w:val="Normal"/>
    <w:link w:val="CommentTextChar"/>
    <w:unhideWhenUsed/>
    <w:rsid w:val="00CC7B00"/>
    <w:rPr>
      <w:sz w:val="20"/>
      <w:szCs w:val="20"/>
    </w:rPr>
  </w:style>
  <w:style w:type="character" w:customStyle="1" w:styleId="CommentTextChar">
    <w:name w:val="Comment Text Char"/>
    <w:basedOn w:val="DefaultParagraphFont"/>
    <w:link w:val="CommentText"/>
    <w:rsid w:val="00CC7B00"/>
    <w:rPr>
      <w:sz w:val="20"/>
      <w:szCs w:val="20"/>
      <w:lang w:val="lv-LV"/>
    </w:rPr>
  </w:style>
  <w:style w:type="paragraph" w:styleId="CommentSubject">
    <w:name w:val="annotation subject"/>
    <w:basedOn w:val="CommentText"/>
    <w:next w:val="CommentText"/>
    <w:link w:val="CommentSubjectChar"/>
    <w:semiHidden/>
    <w:unhideWhenUsed/>
    <w:rsid w:val="00CC7B00"/>
    <w:rPr>
      <w:b/>
      <w:bCs/>
    </w:rPr>
  </w:style>
  <w:style w:type="character" w:customStyle="1" w:styleId="CommentSubjectChar">
    <w:name w:val="Comment Subject Char"/>
    <w:basedOn w:val="CommentTextChar"/>
    <w:link w:val="CommentSubject"/>
    <w:semiHidden/>
    <w:rsid w:val="00CC7B00"/>
    <w:rPr>
      <w:b/>
      <w:bCs/>
      <w:sz w:val="20"/>
      <w:szCs w:val="20"/>
      <w:lang w:val="lv-LV"/>
    </w:rPr>
  </w:style>
  <w:style w:type="paragraph" w:customStyle="1" w:styleId="hidden0">
    <w:name w:val="hidden"/>
    <w:basedOn w:val="Normal"/>
    <w:rsid w:val="007754D5"/>
    <w:pPr>
      <w:spacing w:after="0"/>
    </w:pPr>
    <w:rPr>
      <w:rFonts w:ascii="Calibri" w:hAnsi="Calibri" w:cs="Times New Roman"/>
      <w:i/>
      <w:iCs/>
      <w:color w:val="0000FF"/>
      <w:lang w:eastAsia="en-GB"/>
    </w:rPr>
  </w:style>
  <w:style w:type="character" w:customStyle="1" w:styleId="Heading6Char">
    <w:name w:val="Heading 6 Char"/>
    <w:basedOn w:val="DefaultParagraphFont"/>
    <w:link w:val="Heading6"/>
    <w:rsid w:val="00C07D6A"/>
    <w:rPr>
      <w:rFonts w:asciiTheme="majorHAnsi" w:eastAsiaTheme="majorEastAsia" w:hAnsiTheme="majorHAnsi" w:cstheme="majorBidi"/>
      <w:color w:val="2E3B4D" w:themeColor="accent1" w:themeShade="7F"/>
      <w:lang w:val="lv-LV"/>
    </w:rPr>
  </w:style>
  <w:style w:type="character" w:customStyle="1" w:styleId="Heading7Char">
    <w:name w:val="Heading 7 Char"/>
    <w:basedOn w:val="DefaultParagraphFont"/>
    <w:link w:val="Heading7"/>
    <w:rsid w:val="00C07D6A"/>
    <w:rPr>
      <w:rFonts w:ascii="Times New Roman" w:eastAsia="Times New Roman" w:hAnsi="Times New Roman" w:cs="Times New Roman"/>
      <w:szCs w:val="24"/>
      <w:lang w:val="lv-LV" w:eastAsia="en-GB"/>
    </w:rPr>
  </w:style>
  <w:style w:type="character" w:customStyle="1" w:styleId="Heading8Char">
    <w:name w:val="Heading 8 Char"/>
    <w:basedOn w:val="DefaultParagraphFont"/>
    <w:link w:val="Heading8"/>
    <w:rsid w:val="00C07D6A"/>
    <w:rPr>
      <w:rFonts w:ascii="Times New Roman" w:eastAsia="Times New Roman" w:hAnsi="Times New Roman" w:cs="Times New Roman"/>
      <w:i/>
      <w:iCs/>
      <w:szCs w:val="24"/>
      <w:lang w:val="lv-LV" w:eastAsia="en-GB"/>
    </w:rPr>
  </w:style>
  <w:style w:type="character" w:customStyle="1" w:styleId="Heading9Char">
    <w:name w:val="Heading 9 Char"/>
    <w:basedOn w:val="DefaultParagraphFont"/>
    <w:link w:val="Heading9"/>
    <w:rsid w:val="00C07D6A"/>
    <w:rPr>
      <w:rFonts w:ascii="Arial" w:eastAsia="Times New Roman" w:hAnsi="Arial" w:cs="Arial"/>
      <w:lang w:val="lv-LV" w:eastAsia="en-GB"/>
    </w:rPr>
  </w:style>
  <w:style w:type="paragraph" w:styleId="BodyText">
    <w:name w:val="Body Text"/>
    <w:basedOn w:val="Normal"/>
    <w:link w:val="BodyTextChar"/>
    <w:rsid w:val="00C07D6A"/>
    <w:pPr>
      <w:tabs>
        <w:tab w:val="left" w:pos="1418"/>
      </w:tabs>
      <w:spacing w:before="200" w:beforeAutospacing="1" w:after="0" w:afterAutospacing="1"/>
      <w:ind w:left="1418" w:hanging="1418"/>
    </w:pPr>
    <w:rPr>
      <w:rFonts w:ascii="Arial" w:eastAsia="Times New Roman" w:hAnsi="Arial" w:cs="Arial"/>
      <w:kern w:val="24"/>
      <w:sz w:val="21"/>
      <w:szCs w:val="20"/>
      <w:lang w:eastAsia="fr-FR"/>
    </w:rPr>
  </w:style>
  <w:style w:type="character" w:customStyle="1" w:styleId="BodyTextChar">
    <w:name w:val="Body Text Char"/>
    <w:basedOn w:val="DefaultParagraphFont"/>
    <w:link w:val="BodyText"/>
    <w:rsid w:val="00C07D6A"/>
    <w:rPr>
      <w:rFonts w:ascii="Arial" w:eastAsia="Times New Roman" w:hAnsi="Arial" w:cs="Arial"/>
      <w:kern w:val="24"/>
      <w:sz w:val="21"/>
      <w:szCs w:val="20"/>
      <w:lang w:val="lv-LV" w:eastAsia="fr-FR"/>
    </w:rPr>
  </w:style>
  <w:style w:type="paragraph" w:customStyle="1" w:styleId="CSMRecommendationText">
    <w:name w:val="CSM_Recommendation_Text"/>
    <w:next w:val="BodyText"/>
    <w:link w:val="CSMRecommendationTextChar"/>
    <w:rsid w:val="00C07D6A"/>
    <w:pPr>
      <w:tabs>
        <w:tab w:val="left" w:pos="1418"/>
      </w:tabs>
      <w:spacing w:before="200" w:after="0" w:line="240" w:lineRule="auto"/>
      <w:ind w:left="1418" w:hanging="1418"/>
      <w:jc w:val="both"/>
    </w:pPr>
    <w:rPr>
      <w:rFonts w:ascii="Bookman Old Style" w:eastAsia="Times New Roman" w:hAnsi="Bookman Old Style" w:cs="Arial"/>
      <w:i/>
      <w:color w:val="500000"/>
      <w:sz w:val="20"/>
      <w:szCs w:val="20"/>
      <w:lang w:eastAsia="fr-FR"/>
    </w:rPr>
  </w:style>
  <w:style w:type="character" w:customStyle="1" w:styleId="CSMRecommendationTextChar">
    <w:name w:val="CSM_Recommendation_Text Char"/>
    <w:basedOn w:val="DefaultParagraphFont"/>
    <w:link w:val="CSMRecommendationText"/>
    <w:rsid w:val="00C07D6A"/>
    <w:rPr>
      <w:rFonts w:ascii="Bookman Old Style" w:eastAsia="Times New Roman" w:hAnsi="Bookman Old Style" w:cs="Arial"/>
      <w:i/>
      <w:color w:val="500000"/>
      <w:sz w:val="20"/>
      <w:szCs w:val="20"/>
      <w:lang w:val="lv-LV" w:eastAsia="fr-FR"/>
    </w:rPr>
  </w:style>
  <w:style w:type="paragraph" w:customStyle="1" w:styleId="FarbigeListe-Akzent11">
    <w:name w:val="Farbige Liste - Akzent 11"/>
    <w:basedOn w:val="Normal"/>
    <w:uiPriority w:val="34"/>
    <w:qFormat/>
    <w:rsid w:val="00C07D6A"/>
    <w:pPr>
      <w:spacing w:before="160" w:beforeAutospacing="1" w:after="0" w:afterAutospacing="1"/>
      <w:ind w:left="720"/>
      <w:contextualSpacing/>
    </w:pPr>
    <w:rPr>
      <w:rFonts w:ascii="Arial" w:eastAsia="Times New Roman" w:hAnsi="Arial" w:cs="Arial"/>
      <w:sz w:val="20"/>
      <w:szCs w:val="20"/>
      <w:lang w:eastAsia="fr-FR"/>
    </w:rPr>
  </w:style>
  <w:style w:type="paragraph" w:customStyle="1" w:styleId="ListParagraph1">
    <w:name w:val="List Paragraph1"/>
    <w:basedOn w:val="Normal"/>
    <w:uiPriority w:val="99"/>
    <w:qFormat/>
    <w:rsid w:val="00C07D6A"/>
    <w:pPr>
      <w:spacing w:before="160" w:beforeAutospacing="1" w:after="0" w:afterAutospacing="1"/>
      <w:ind w:left="720"/>
      <w:contextualSpacing/>
    </w:pPr>
    <w:rPr>
      <w:rFonts w:ascii="Arial" w:eastAsia="Times New Roman" w:hAnsi="Arial" w:cs="Arial"/>
      <w:sz w:val="20"/>
      <w:szCs w:val="20"/>
      <w:lang w:eastAsia="fr-FR"/>
    </w:rPr>
  </w:style>
  <w:style w:type="character" w:customStyle="1" w:styleId="PlainTextChar">
    <w:name w:val="Plain Text Char"/>
    <w:basedOn w:val="DefaultParagraphFont"/>
    <w:link w:val="PlainText"/>
    <w:uiPriority w:val="99"/>
    <w:semiHidden/>
    <w:rsid w:val="00C07D6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C07D6A"/>
    <w:pPr>
      <w:spacing w:before="100" w:beforeAutospacing="1" w:after="0" w:afterAutospacing="1"/>
      <w:ind w:left="720"/>
    </w:pPr>
    <w:rPr>
      <w:rFonts w:ascii="Consolas" w:eastAsia="Calibri" w:hAnsi="Consolas" w:cs="Times New Roman"/>
      <w:sz w:val="21"/>
      <w:szCs w:val="21"/>
    </w:rPr>
  </w:style>
  <w:style w:type="character" w:customStyle="1" w:styleId="PlainTextChar1">
    <w:name w:val="Plain Text Char1"/>
    <w:basedOn w:val="DefaultParagraphFont"/>
    <w:uiPriority w:val="99"/>
    <w:semiHidden/>
    <w:rsid w:val="00C07D6A"/>
    <w:rPr>
      <w:rFonts w:ascii="Consolas" w:hAnsi="Consolas" w:cs="Consolas"/>
      <w:sz w:val="21"/>
      <w:szCs w:val="21"/>
      <w:lang w:val="lv-LV"/>
    </w:rPr>
  </w:style>
  <w:style w:type="paragraph" w:customStyle="1" w:styleId="NormalaMoi">
    <w:name w:val="Normal_a_Moi"/>
    <w:link w:val="NormalaMoiChar"/>
    <w:rsid w:val="00C07D6A"/>
    <w:pPr>
      <w:spacing w:after="0" w:line="240" w:lineRule="auto"/>
      <w:ind w:left="1418"/>
      <w:jc w:val="both"/>
    </w:pPr>
    <w:rPr>
      <w:rFonts w:ascii="Arial" w:eastAsia="Times New Roman" w:hAnsi="Arial" w:cs="Arial"/>
      <w:kern w:val="24"/>
      <w:sz w:val="21"/>
      <w:szCs w:val="21"/>
      <w:lang w:eastAsia="fr-FR"/>
    </w:rPr>
  </w:style>
  <w:style w:type="character" w:customStyle="1" w:styleId="NormalaMoiChar">
    <w:name w:val="Normal_a_Moi Char"/>
    <w:basedOn w:val="DefaultParagraphFont"/>
    <w:link w:val="NormalaMoi"/>
    <w:locked/>
    <w:rsid w:val="00C07D6A"/>
    <w:rPr>
      <w:rFonts w:ascii="Arial" w:eastAsia="Times New Roman" w:hAnsi="Arial" w:cs="Arial"/>
      <w:kern w:val="24"/>
      <w:sz w:val="21"/>
      <w:szCs w:val="21"/>
      <w:lang w:val="lv-LV" w:eastAsia="fr-FR"/>
    </w:rPr>
  </w:style>
  <w:style w:type="paragraph" w:customStyle="1" w:styleId="DocumentDate">
    <w:name w:val="Document_Date"/>
    <w:basedOn w:val="NormalaMoi"/>
    <w:next w:val="NormalaMoi"/>
    <w:rsid w:val="00C07D6A"/>
    <w:pPr>
      <w:widowControl w:val="0"/>
      <w:ind w:left="57"/>
    </w:pPr>
    <w:rPr>
      <w:rFonts w:ascii="Tahoma" w:hAnsi="Tahoma" w:cs="Tahoma"/>
    </w:rPr>
  </w:style>
  <w:style w:type="paragraph" w:customStyle="1" w:styleId="DocumentReference">
    <w:name w:val="Document_Reference"/>
    <w:basedOn w:val="NormalaMoi"/>
    <w:next w:val="NormalaMoi"/>
    <w:rsid w:val="00C07D6A"/>
    <w:pPr>
      <w:widowControl w:val="0"/>
      <w:ind w:left="57"/>
      <w:jc w:val="left"/>
    </w:pPr>
    <w:rPr>
      <w:rFonts w:ascii="Tahoma" w:hAnsi="Tahoma" w:cs="Tahoma"/>
    </w:rPr>
  </w:style>
  <w:style w:type="paragraph" w:customStyle="1" w:styleId="ERAUnit">
    <w:name w:val="ERA_Unit"/>
    <w:rsid w:val="00C07D6A"/>
    <w:pPr>
      <w:spacing w:after="0" w:line="240" w:lineRule="auto"/>
      <w:jc w:val="center"/>
    </w:pPr>
    <w:rPr>
      <w:rFonts w:ascii="Tahoma" w:eastAsia="Times New Roman" w:hAnsi="Tahoma" w:cs="Tahoma"/>
      <w:b/>
      <w:bCs/>
      <w:caps/>
      <w:kern w:val="24"/>
      <w:sz w:val="32"/>
      <w:szCs w:val="32"/>
      <w:lang w:eastAsia="fr-FR"/>
    </w:rPr>
  </w:style>
  <w:style w:type="paragraph" w:customStyle="1" w:styleId="DocumentTitle">
    <w:name w:val="Document_Title"/>
    <w:link w:val="DocumentTitleChar"/>
    <w:rsid w:val="00C07D6A"/>
    <w:pPr>
      <w:widowControl w:val="0"/>
      <w:spacing w:after="0" w:line="240" w:lineRule="auto"/>
      <w:ind w:left="-52"/>
      <w:jc w:val="center"/>
    </w:pPr>
    <w:rPr>
      <w:rFonts w:ascii="Tahoma" w:eastAsia="Times New Roman" w:hAnsi="Tahoma" w:cs="Tahoma"/>
      <w:b/>
      <w:bCs/>
      <w:caps/>
      <w:kern w:val="24"/>
      <w:sz w:val="40"/>
      <w:szCs w:val="40"/>
      <w:lang w:eastAsia="fr-FR"/>
    </w:rPr>
  </w:style>
  <w:style w:type="character" w:customStyle="1" w:styleId="DocumentTitleChar">
    <w:name w:val="Document_Title Char"/>
    <w:basedOn w:val="DefaultParagraphFont"/>
    <w:link w:val="DocumentTitle"/>
    <w:locked/>
    <w:rsid w:val="00C07D6A"/>
    <w:rPr>
      <w:rFonts w:ascii="Tahoma" w:eastAsia="Times New Roman" w:hAnsi="Tahoma" w:cs="Tahoma"/>
      <w:b/>
      <w:bCs/>
      <w:caps/>
      <w:kern w:val="24"/>
      <w:sz w:val="40"/>
      <w:szCs w:val="40"/>
      <w:lang w:val="lv-LV" w:eastAsia="fr-FR"/>
    </w:rPr>
  </w:style>
  <w:style w:type="paragraph" w:customStyle="1" w:styleId="DocumentVersion">
    <w:name w:val="Document_Version"/>
    <w:basedOn w:val="Normal"/>
    <w:next w:val="NormalaMoi"/>
    <w:rsid w:val="00C07D6A"/>
    <w:pPr>
      <w:widowControl w:val="0"/>
      <w:spacing w:before="100" w:beforeAutospacing="1" w:after="0" w:afterAutospacing="1"/>
      <w:ind w:left="57"/>
    </w:pPr>
    <w:rPr>
      <w:rFonts w:ascii="Tahoma" w:eastAsia="Times New Roman" w:hAnsi="Tahoma" w:cs="Tahoma"/>
      <w:sz w:val="20"/>
      <w:szCs w:val="20"/>
      <w:lang w:eastAsia="fr-FR"/>
    </w:rPr>
  </w:style>
  <w:style w:type="paragraph" w:customStyle="1" w:styleId="StyleDocumentTitle16pt">
    <w:name w:val="Style Document_Title + 16 pt"/>
    <w:basedOn w:val="DocumentTitle"/>
    <w:link w:val="StyleDocumentTitle16ptChar"/>
    <w:rsid w:val="00C07D6A"/>
    <w:rPr>
      <w:sz w:val="32"/>
      <w:szCs w:val="32"/>
    </w:rPr>
  </w:style>
  <w:style w:type="character" w:customStyle="1" w:styleId="StyleDocumentTitle16ptChar">
    <w:name w:val="Style Document_Title + 16 pt Char"/>
    <w:basedOn w:val="DocumentTitleChar"/>
    <w:link w:val="StyleDocumentTitle16pt"/>
    <w:locked/>
    <w:rsid w:val="00C07D6A"/>
    <w:rPr>
      <w:rFonts w:ascii="Tahoma" w:eastAsia="Times New Roman" w:hAnsi="Tahoma" w:cs="Tahoma"/>
      <w:b/>
      <w:bCs/>
      <w:caps/>
      <w:kern w:val="24"/>
      <w:sz w:val="32"/>
      <w:szCs w:val="32"/>
      <w:lang w:val="lv-LV" w:eastAsia="fr-FR"/>
    </w:rPr>
  </w:style>
  <w:style w:type="paragraph" w:customStyle="1" w:styleId="LegendeTable">
    <w:name w:val="Legende_Table"/>
    <w:rsid w:val="00C07D6A"/>
    <w:pPr>
      <w:keepNext/>
      <w:suppressAutoHyphens/>
      <w:spacing w:before="240" w:after="160" w:line="240" w:lineRule="auto"/>
      <w:ind w:left="1843"/>
      <w:jc w:val="center"/>
    </w:pPr>
    <w:rPr>
      <w:rFonts w:ascii="Bookman Old Style" w:eastAsia="Times New Roman" w:hAnsi="Bookman Old Style" w:cs="Bookman Old Style"/>
      <w:b/>
      <w:bCs/>
      <w:i/>
      <w:iCs/>
      <w:color w:val="800000"/>
      <w:kern w:val="24"/>
      <w:sz w:val="20"/>
      <w:szCs w:val="20"/>
      <w:lang w:eastAsia="fr-FR"/>
    </w:rPr>
  </w:style>
  <w:style w:type="paragraph" w:customStyle="1" w:styleId="FreeLine">
    <w:name w:val="Free_Line"/>
    <w:basedOn w:val="NormalaMoi"/>
    <w:rsid w:val="00C07D6A"/>
    <w:pPr>
      <w:tabs>
        <w:tab w:val="left" w:pos="1418"/>
      </w:tabs>
      <w:ind w:hanging="1418"/>
    </w:pPr>
  </w:style>
  <w:style w:type="paragraph" w:customStyle="1" w:styleId="Parnormal">
    <w:name w:val="Par_normal"/>
    <w:basedOn w:val="NormalaMoi"/>
    <w:rsid w:val="00C07D6A"/>
    <w:pPr>
      <w:ind w:left="0"/>
      <w:jc w:val="left"/>
    </w:pPr>
    <w:rPr>
      <w:kern w:val="0"/>
      <w:sz w:val="20"/>
      <w:szCs w:val="20"/>
    </w:rPr>
  </w:style>
  <w:style w:type="paragraph" w:customStyle="1" w:styleId="ReferenceDocument">
    <w:name w:val="Reference Document"/>
    <w:basedOn w:val="NormalaMoi"/>
    <w:rsid w:val="00C07D6A"/>
    <w:pPr>
      <w:numPr>
        <w:numId w:val="1"/>
      </w:numPr>
      <w:tabs>
        <w:tab w:val="clear" w:pos="1440"/>
        <w:tab w:val="left" w:pos="1134"/>
      </w:tabs>
      <w:ind w:left="1134" w:hanging="1134"/>
      <w:jc w:val="left"/>
    </w:pPr>
    <w:rPr>
      <w:color w:val="460046"/>
      <w:sz w:val="18"/>
      <w:szCs w:val="18"/>
    </w:rPr>
  </w:style>
  <w:style w:type="paragraph" w:customStyle="1" w:styleId="Tableau">
    <w:name w:val="Tableau"/>
    <w:basedOn w:val="Normal"/>
    <w:rsid w:val="00C07D6A"/>
    <w:pPr>
      <w:suppressAutoHyphens/>
      <w:spacing w:before="90" w:beforeAutospacing="1" w:after="54" w:afterAutospacing="1"/>
      <w:ind w:left="720"/>
      <w:jc w:val="center"/>
    </w:pPr>
    <w:rPr>
      <w:rFonts w:ascii="Arial" w:eastAsia="Times New Roman" w:hAnsi="Arial" w:cs="Arial"/>
      <w:sz w:val="20"/>
      <w:szCs w:val="20"/>
      <w:lang w:eastAsia="fr-FR"/>
    </w:rPr>
  </w:style>
  <w:style w:type="paragraph" w:customStyle="1" w:styleId="TOCHeading1">
    <w:name w:val="TOC Heading1"/>
    <w:basedOn w:val="Heading1"/>
    <w:next w:val="Normal"/>
    <w:uiPriority w:val="99"/>
    <w:qFormat/>
    <w:rsid w:val="00C07D6A"/>
    <w:pPr>
      <w:numPr>
        <w:numId w:val="0"/>
      </w:numPr>
      <w:spacing w:before="480" w:after="0" w:afterAutospacing="1"/>
      <w:outlineLvl w:val="9"/>
    </w:pPr>
    <w:rPr>
      <w:rFonts w:ascii="Cambria" w:eastAsia="Times New Roman" w:hAnsi="Cambria" w:cs="Cambria"/>
      <w:color w:val="365F91"/>
      <w:szCs w:val="22"/>
    </w:rPr>
  </w:style>
  <w:style w:type="paragraph" w:customStyle="1" w:styleId="ListParagraph2">
    <w:name w:val="List Paragraph2"/>
    <w:basedOn w:val="Normal"/>
    <w:uiPriority w:val="99"/>
    <w:qFormat/>
    <w:rsid w:val="00C07D6A"/>
    <w:pPr>
      <w:spacing w:before="160" w:beforeAutospacing="1" w:after="0" w:afterAutospacing="1"/>
      <w:ind w:left="720"/>
      <w:contextualSpacing/>
    </w:pPr>
    <w:rPr>
      <w:rFonts w:ascii="Arial" w:eastAsia="Times New Roman" w:hAnsi="Arial" w:cs="Arial"/>
      <w:sz w:val="20"/>
      <w:szCs w:val="20"/>
      <w:lang w:eastAsia="fr-FR"/>
    </w:rPr>
  </w:style>
  <w:style w:type="character" w:customStyle="1" w:styleId="siteaibreporttext">
    <w:name w:val="siteaibreporttext"/>
    <w:basedOn w:val="DefaultParagraphFont"/>
    <w:rsid w:val="00C07D6A"/>
    <w:rPr>
      <w:rFonts w:cs="Times New Roman"/>
    </w:rPr>
  </w:style>
  <w:style w:type="paragraph" w:customStyle="1" w:styleId="MyTitle">
    <w:name w:val="MyTitle"/>
    <w:basedOn w:val="Normal"/>
    <w:qFormat/>
    <w:rsid w:val="00C07D6A"/>
    <w:pPr>
      <w:pBdr>
        <w:bottom w:val="single" w:sz="4" w:space="1" w:color="auto"/>
      </w:pBdr>
      <w:overflowPunct w:val="0"/>
      <w:autoSpaceDE w:val="0"/>
      <w:autoSpaceDN w:val="0"/>
      <w:adjustRightInd w:val="0"/>
      <w:spacing w:before="120" w:after="0" w:line="288" w:lineRule="auto"/>
      <w:textAlignment w:val="baseline"/>
    </w:pPr>
    <w:rPr>
      <w:rFonts w:ascii="Arial" w:eastAsia="Times New Roman" w:hAnsi="Arial" w:cs="Times New Roman"/>
      <w:b/>
      <w:smallCaps/>
      <w:color w:val="094595" w:themeColor="text2"/>
      <w:sz w:val="32"/>
      <w:szCs w:val="20"/>
      <w:lang w:eastAsia="fr-FR"/>
    </w:rPr>
  </w:style>
  <w:style w:type="paragraph" w:customStyle="1" w:styleId="Aufzhlung1und2level">
    <w:name w:val="Aufzählung 1. und 2. level"/>
    <w:basedOn w:val="Normal"/>
    <w:autoRedefine/>
    <w:rsid w:val="00213057"/>
    <w:pPr>
      <w:tabs>
        <w:tab w:val="left" w:pos="567"/>
      </w:tabs>
      <w:spacing w:before="100" w:beforeAutospacing="1" w:after="100" w:afterAutospacing="1"/>
      <w:ind w:left="1440"/>
      <w:contextualSpacing/>
    </w:pPr>
    <w:rPr>
      <w:rFonts w:eastAsia="Times New Roman" w:cs="Times New Roman"/>
      <w:b/>
      <w:sz w:val="18"/>
      <w:szCs w:val="20"/>
      <w:lang w:eastAsia="en-GB"/>
    </w:rPr>
  </w:style>
  <w:style w:type="paragraph" w:styleId="TOC7">
    <w:name w:val="toc 7"/>
    <w:basedOn w:val="Normal"/>
    <w:next w:val="Normal"/>
    <w:autoRedefine/>
    <w:unhideWhenUsed/>
    <w:rsid w:val="00C07D6A"/>
    <w:pPr>
      <w:spacing w:after="0"/>
      <w:ind w:left="1320"/>
    </w:pPr>
    <w:rPr>
      <w:rFonts w:cstheme="minorHAnsi"/>
      <w:sz w:val="18"/>
      <w:szCs w:val="18"/>
    </w:rPr>
  </w:style>
  <w:style w:type="character" w:styleId="PageNumber">
    <w:name w:val="page number"/>
    <w:basedOn w:val="DefaultParagraphFont"/>
    <w:semiHidden/>
    <w:rsid w:val="00C07D6A"/>
  </w:style>
  <w:style w:type="numbering" w:styleId="111111">
    <w:name w:val="Outline List 2"/>
    <w:basedOn w:val="NoList"/>
    <w:rsid w:val="00C07D6A"/>
    <w:pPr>
      <w:numPr>
        <w:numId w:val="3"/>
      </w:numPr>
    </w:pPr>
  </w:style>
  <w:style w:type="paragraph" w:customStyle="1" w:styleId="NumPar2">
    <w:name w:val="NumPar 2"/>
    <w:basedOn w:val="Heading2"/>
    <w:next w:val="Aufzhlung1und2level"/>
    <w:semiHidden/>
    <w:rsid w:val="00C07D6A"/>
    <w:pPr>
      <w:keepNext w:val="0"/>
      <w:keepLines w:val="0"/>
      <w:numPr>
        <w:numId w:val="0"/>
      </w:numPr>
      <w:spacing w:before="0" w:after="240"/>
      <w:ind w:left="1077" w:hanging="595"/>
    </w:pPr>
    <w:rPr>
      <w:rFonts w:ascii="Times New Roman" w:eastAsia="Times New Roman" w:hAnsi="Times New Roman" w:cs="Times New Roman"/>
      <w:b w:val="0"/>
      <w:bCs/>
      <w:i/>
      <w:color w:val="auto"/>
      <w:szCs w:val="20"/>
      <w:lang w:eastAsia="en-GB"/>
    </w:rPr>
  </w:style>
  <w:style w:type="paragraph" w:customStyle="1" w:styleId="Text1">
    <w:name w:val="Text 1"/>
    <w:basedOn w:val="BodyText"/>
    <w:autoRedefine/>
    <w:qFormat/>
    <w:rsid w:val="000A2438"/>
    <w:pPr>
      <w:spacing w:before="0" w:beforeAutospacing="0" w:afterAutospacing="0"/>
      <w:ind w:left="0" w:firstLine="0"/>
    </w:pPr>
    <w:rPr>
      <w:rFonts w:asciiTheme="minorHAnsi" w:hAnsiTheme="minorHAnsi" w:cs="Times New Roman"/>
      <w:sz w:val="22"/>
      <w:szCs w:val="22"/>
    </w:rPr>
  </w:style>
  <w:style w:type="character" w:customStyle="1" w:styleId="WordItalic">
    <w:name w:val="Word Italic"/>
    <w:basedOn w:val="DefaultParagraphFont"/>
    <w:qFormat/>
    <w:rsid w:val="00C07D6A"/>
    <w:rPr>
      <w:i/>
      <w:iCs/>
    </w:rPr>
  </w:style>
  <w:style w:type="character" w:customStyle="1" w:styleId="wordUnderline">
    <w:name w:val="word Underline"/>
    <w:basedOn w:val="DefaultParagraphFont"/>
    <w:qFormat/>
    <w:rsid w:val="00C07D6A"/>
    <w:rPr>
      <w:u w:val="single"/>
    </w:rPr>
  </w:style>
  <w:style w:type="paragraph" w:customStyle="1" w:styleId="Textcenter">
    <w:name w:val="Text center"/>
    <w:basedOn w:val="Normal"/>
    <w:qFormat/>
    <w:rsid w:val="00C07D6A"/>
    <w:pPr>
      <w:spacing w:before="120"/>
      <w:jc w:val="center"/>
    </w:pPr>
    <w:rPr>
      <w:rFonts w:ascii="Times New Roman" w:eastAsia="Times New Roman" w:hAnsi="Times New Roman" w:cs="Times New Roman"/>
      <w:szCs w:val="24"/>
      <w:lang w:eastAsia="fr-FR"/>
    </w:rPr>
  </w:style>
  <w:style w:type="paragraph" w:customStyle="1" w:styleId="Texte1">
    <w:name w:val="Texte 1"/>
    <w:basedOn w:val="Normal"/>
    <w:link w:val="Texte1Char"/>
    <w:rsid w:val="00C07D6A"/>
    <w:pPr>
      <w:tabs>
        <w:tab w:val="num" w:pos="1004"/>
      </w:tabs>
      <w:spacing w:before="120" w:after="0"/>
      <w:ind w:left="1004" w:hanging="284"/>
    </w:pPr>
    <w:rPr>
      <w:rFonts w:ascii="Times New Roman" w:eastAsia="Times New Roman" w:hAnsi="Times New Roman" w:cs="Times New Roman"/>
      <w:szCs w:val="24"/>
      <w:lang w:eastAsia="fr-FR"/>
    </w:rPr>
  </w:style>
  <w:style w:type="character" w:customStyle="1" w:styleId="WordBold">
    <w:name w:val="Word Bold"/>
    <w:basedOn w:val="WordItalic"/>
    <w:rsid w:val="00C07D6A"/>
    <w:rPr>
      <w:b/>
      <w:bCs/>
      <w:i w:val="0"/>
      <w:iCs w:val="0"/>
    </w:rPr>
  </w:style>
  <w:style w:type="paragraph" w:styleId="TOC5">
    <w:name w:val="toc 5"/>
    <w:basedOn w:val="Normal"/>
    <w:next w:val="Normal"/>
    <w:autoRedefine/>
    <w:unhideWhenUsed/>
    <w:rsid w:val="00C07D6A"/>
    <w:pPr>
      <w:spacing w:after="0"/>
      <w:ind w:left="880"/>
    </w:pPr>
    <w:rPr>
      <w:rFonts w:cstheme="minorHAnsi"/>
      <w:sz w:val="18"/>
      <w:szCs w:val="18"/>
    </w:rPr>
  </w:style>
  <w:style w:type="character" w:styleId="Emphasis">
    <w:name w:val="Emphasis"/>
    <w:basedOn w:val="DefaultParagraphFont"/>
    <w:qFormat/>
    <w:rsid w:val="00C07D6A"/>
    <w:rPr>
      <w:i/>
      <w:iCs/>
    </w:rPr>
  </w:style>
  <w:style w:type="paragraph" w:customStyle="1" w:styleId="Heading">
    <w:name w:val="Heading"/>
    <w:basedOn w:val="Normal"/>
    <w:rsid w:val="00C07D6A"/>
    <w:pPr>
      <w:spacing w:before="120"/>
      <w:jc w:val="center"/>
    </w:pPr>
    <w:rPr>
      <w:rFonts w:ascii="Times New Roman" w:eastAsia="Times New Roman" w:hAnsi="Times New Roman" w:cs="Times New Roman"/>
      <w:sz w:val="44"/>
      <w:szCs w:val="44"/>
      <w:lang w:eastAsia="fr-FR"/>
    </w:rPr>
  </w:style>
  <w:style w:type="paragraph" w:customStyle="1" w:styleId="Header2">
    <w:name w:val="Header2"/>
    <w:basedOn w:val="Header"/>
    <w:rsid w:val="00C07D6A"/>
    <w:pPr>
      <w:tabs>
        <w:tab w:val="clear" w:pos="9360"/>
        <w:tab w:val="center" w:pos="4536"/>
        <w:tab w:val="right" w:pos="9072"/>
      </w:tabs>
      <w:jc w:val="center"/>
    </w:pPr>
    <w:rPr>
      <w:rFonts w:ascii="Times New Roman" w:eastAsia="Times New Roman" w:hAnsi="Times New Roman" w:cs="Times New Roman"/>
      <w:color w:val="auto"/>
      <w:sz w:val="20"/>
      <w:szCs w:val="20"/>
      <w:lang w:eastAsia="fr-FR"/>
    </w:rPr>
  </w:style>
  <w:style w:type="paragraph" w:customStyle="1" w:styleId="Header3">
    <w:name w:val="Header3"/>
    <w:basedOn w:val="Header"/>
    <w:rsid w:val="00C07D6A"/>
    <w:pPr>
      <w:tabs>
        <w:tab w:val="clear" w:pos="9360"/>
        <w:tab w:val="center" w:pos="4536"/>
        <w:tab w:val="right" w:pos="9072"/>
      </w:tabs>
      <w:jc w:val="both"/>
    </w:pPr>
    <w:rPr>
      <w:rFonts w:ascii="Times New Roman" w:eastAsia="Times New Roman" w:hAnsi="Times New Roman" w:cs="Times New Roman"/>
      <w:color w:val="auto"/>
      <w:sz w:val="20"/>
      <w:lang w:eastAsia="fr-FR"/>
    </w:rPr>
  </w:style>
  <w:style w:type="paragraph" w:customStyle="1" w:styleId="Heading0">
    <w:name w:val="Heading 0"/>
    <w:basedOn w:val="Normal"/>
    <w:rsid w:val="00C07D6A"/>
    <w:pPr>
      <w:spacing w:after="240"/>
    </w:pPr>
    <w:rPr>
      <w:rFonts w:ascii="Times New Roman" w:eastAsia="Times New Roman" w:hAnsi="Times New Roman" w:cs="Times New Roman"/>
      <w:b/>
      <w:sz w:val="32"/>
      <w:szCs w:val="24"/>
      <w:lang w:eastAsia="fr-FR"/>
    </w:rPr>
  </w:style>
  <w:style w:type="paragraph" w:customStyle="1" w:styleId="reference">
    <w:name w:val="reference"/>
    <w:basedOn w:val="Normal"/>
    <w:semiHidden/>
    <w:rsid w:val="00C07D6A"/>
    <w:pPr>
      <w:spacing w:before="120"/>
    </w:pPr>
    <w:rPr>
      <w:rFonts w:ascii="Times New Roman" w:eastAsia="Times New Roman" w:hAnsi="Times New Roman" w:cs="Times New Roman"/>
      <w:szCs w:val="20"/>
      <w:lang w:eastAsia="fr-FR"/>
    </w:rPr>
  </w:style>
  <w:style w:type="paragraph" w:customStyle="1" w:styleId="Textcenterbold">
    <w:name w:val="Text center bold"/>
    <w:basedOn w:val="Heading"/>
    <w:qFormat/>
    <w:rsid w:val="00C07D6A"/>
    <w:rPr>
      <w:b/>
      <w:sz w:val="22"/>
      <w:szCs w:val="28"/>
    </w:rPr>
  </w:style>
  <w:style w:type="numbering" w:customStyle="1" w:styleId="Style3">
    <w:name w:val="Style3"/>
    <w:rsid w:val="00C07D6A"/>
    <w:pPr>
      <w:numPr>
        <w:numId w:val="4"/>
      </w:numPr>
    </w:pPr>
  </w:style>
  <w:style w:type="paragraph" w:customStyle="1" w:styleId="Text3">
    <w:name w:val="Text 3"/>
    <w:basedOn w:val="Normal"/>
    <w:qFormat/>
    <w:rsid w:val="00C07D6A"/>
    <w:pPr>
      <w:numPr>
        <w:numId w:val="5"/>
      </w:numPr>
      <w:tabs>
        <w:tab w:val="left" w:pos="851"/>
      </w:tabs>
      <w:spacing w:before="120"/>
      <w:ind w:left="851" w:hanging="284"/>
    </w:pPr>
    <w:rPr>
      <w:rFonts w:ascii="Times New Roman" w:eastAsia="Times New Roman" w:hAnsi="Times New Roman" w:cs="Times New Roman"/>
      <w:szCs w:val="24"/>
      <w:lang w:eastAsia="fr-FR"/>
    </w:rPr>
  </w:style>
  <w:style w:type="paragraph" w:customStyle="1" w:styleId="Textabc">
    <w:name w:val="Text abc"/>
    <w:basedOn w:val="Normal"/>
    <w:qFormat/>
    <w:rsid w:val="00C07D6A"/>
    <w:pPr>
      <w:numPr>
        <w:numId w:val="6"/>
      </w:numPr>
      <w:tabs>
        <w:tab w:val="left" w:pos="426"/>
      </w:tabs>
      <w:spacing w:before="120"/>
    </w:pPr>
    <w:rPr>
      <w:rFonts w:ascii="Times New Roman" w:eastAsia="Times New Roman" w:hAnsi="Times New Roman" w:cs="Times New Roman"/>
      <w:szCs w:val="24"/>
      <w:lang w:eastAsia="fr-FR"/>
    </w:rPr>
  </w:style>
  <w:style w:type="paragraph" w:customStyle="1" w:styleId="Diagram">
    <w:name w:val="Diagram"/>
    <w:basedOn w:val="Normal"/>
    <w:rsid w:val="00C07D6A"/>
    <w:pPr>
      <w:keepNext/>
      <w:spacing w:before="360"/>
      <w:jc w:val="center"/>
    </w:pPr>
    <w:rPr>
      <w:rFonts w:ascii="Times New Roman" w:eastAsia="Times New Roman" w:hAnsi="Times New Roman" w:cs="Times New Roman"/>
      <w:szCs w:val="24"/>
      <w:lang w:eastAsia="fr-FR"/>
    </w:rPr>
  </w:style>
  <w:style w:type="paragraph" w:customStyle="1" w:styleId="Textbold">
    <w:name w:val="Text bold"/>
    <w:basedOn w:val="Heading5"/>
    <w:qFormat/>
    <w:rsid w:val="00C07D6A"/>
    <w:pPr>
      <w:keepNext w:val="0"/>
      <w:keepLines w:val="0"/>
      <w:numPr>
        <w:ilvl w:val="0"/>
        <w:numId w:val="0"/>
      </w:numPr>
      <w:spacing w:before="240" w:after="240"/>
    </w:pPr>
    <w:rPr>
      <w:rFonts w:ascii="Times New Roman" w:eastAsia="Times New Roman" w:hAnsi="Times New Roman" w:cs="Times New Roman"/>
      <w:b/>
      <w:bCs/>
      <w:iCs/>
      <w:color w:val="auto"/>
      <w:sz w:val="24"/>
      <w:szCs w:val="24"/>
      <w:lang w:eastAsia="en-GB"/>
    </w:rPr>
  </w:style>
  <w:style w:type="paragraph" w:customStyle="1" w:styleId="Annex">
    <w:name w:val="Annex"/>
    <w:basedOn w:val="Normal"/>
    <w:rsid w:val="00C07D6A"/>
    <w:pPr>
      <w:numPr>
        <w:numId w:val="7"/>
      </w:numPr>
      <w:tabs>
        <w:tab w:val="left" w:pos="1843"/>
      </w:tabs>
      <w:spacing w:before="360" w:after="360"/>
      <w:ind w:left="1843" w:hanging="1843"/>
    </w:pPr>
    <w:rPr>
      <w:rFonts w:ascii="Times New Roman" w:eastAsia="Times New Roman" w:hAnsi="Times New Roman" w:cs="Times New Roman"/>
      <w:b/>
      <w:sz w:val="32"/>
      <w:szCs w:val="32"/>
      <w:lang w:eastAsia="fr-FR"/>
    </w:rPr>
  </w:style>
  <w:style w:type="paragraph" w:customStyle="1" w:styleId="Textbold0">
    <w:name w:val="Text bold +"/>
    <w:basedOn w:val="Textbold"/>
    <w:qFormat/>
    <w:rsid w:val="00C07D6A"/>
    <w:rPr>
      <w:sz w:val="28"/>
    </w:rPr>
  </w:style>
  <w:style w:type="paragraph" w:customStyle="1" w:styleId="Textboldnumber">
    <w:name w:val="Text bold + number"/>
    <w:basedOn w:val="Textabc"/>
    <w:qFormat/>
    <w:rsid w:val="00C07D6A"/>
    <w:pPr>
      <w:numPr>
        <w:numId w:val="8"/>
      </w:numPr>
      <w:tabs>
        <w:tab w:val="clear" w:pos="426"/>
        <w:tab w:val="left" w:pos="567"/>
      </w:tabs>
      <w:spacing w:before="240" w:after="240"/>
      <w:ind w:left="567" w:hanging="567"/>
    </w:pPr>
    <w:rPr>
      <w:b/>
      <w:sz w:val="28"/>
    </w:rPr>
  </w:style>
  <w:style w:type="paragraph" w:customStyle="1" w:styleId="Texte2">
    <w:name w:val="Texte 2"/>
    <w:basedOn w:val="Texte1"/>
    <w:rsid w:val="00C07D6A"/>
    <w:pPr>
      <w:tabs>
        <w:tab w:val="clear" w:pos="1004"/>
        <w:tab w:val="num" w:pos="1134"/>
      </w:tabs>
      <w:ind w:left="1134" w:hanging="1134"/>
    </w:pPr>
  </w:style>
  <w:style w:type="character" w:customStyle="1" w:styleId="Texte1Char">
    <w:name w:val="Texte 1 Char"/>
    <w:basedOn w:val="DefaultParagraphFont"/>
    <w:link w:val="Texte1"/>
    <w:rsid w:val="00C07D6A"/>
    <w:rPr>
      <w:rFonts w:ascii="Times New Roman" w:eastAsia="Times New Roman" w:hAnsi="Times New Roman" w:cs="Times New Roman"/>
      <w:szCs w:val="24"/>
      <w:lang w:val="lv-LV" w:eastAsia="fr-FR"/>
    </w:rPr>
  </w:style>
  <w:style w:type="paragraph" w:styleId="TOC6">
    <w:name w:val="toc 6"/>
    <w:basedOn w:val="Normal"/>
    <w:next w:val="Normal"/>
    <w:autoRedefine/>
    <w:unhideWhenUsed/>
    <w:rsid w:val="00C07D6A"/>
    <w:pPr>
      <w:spacing w:after="0"/>
      <w:ind w:left="1100"/>
    </w:pPr>
    <w:rPr>
      <w:rFonts w:cstheme="minorHAnsi"/>
      <w:sz w:val="18"/>
      <w:szCs w:val="18"/>
    </w:rPr>
  </w:style>
  <w:style w:type="paragraph" w:styleId="TOC8">
    <w:name w:val="toc 8"/>
    <w:basedOn w:val="Normal"/>
    <w:next w:val="Normal"/>
    <w:autoRedefine/>
    <w:unhideWhenUsed/>
    <w:rsid w:val="00C07D6A"/>
    <w:pPr>
      <w:spacing w:after="0"/>
      <w:ind w:left="1540"/>
    </w:pPr>
    <w:rPr>
      <w:rFonts w:cstheme="minorHAnsi"/>
      <w:sz w:val="18"/>
      <w:szCs w:val="18"/>
    </w:rPr>
  </w:style>
  <w:style w:type="paragraph" w:styleId="TOC9">
    <w:name w:val="toc 9"/>
    <w:basedOn w:val="Normal"/>
    <w:next w:val="Normal"/>
    <w:autoRedefine/>
    <w:unhideWhenUsed/>
    <w:rsid w:val="00C07D6A"/>
    <w:pPr>
      <w:spacing w:after="0"/>
      <w:ind w:left="1760"/>
    </w:pPr>
    <w:rPr>
      <w:rFonts w:cstheme="minorHAnsi"/>
      <w:sz w:val="18"/>
      <w:szCs w:val="18"/>
    </w:rPr>
  </w:style>
  <w:style w:type="paragraph" w:customStyle="1" w:styleId="Default">
    <w:name w:val="Default"/>
    <w:rsid w:val="00C07D6A"/>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rmalWeb">
    <w:name w:val="Normal (Web)"/>
    <w:basedOn w:val="Normal"/>
    <w:unhideWhenUsed/>
    <w:rsid w:val="00C07D6A"/>
    <w:pPr>
      <w:spacing w:before="100" w:beforeAutospacing="1" w:after="100" w:afterAutospacing="1"/>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C07D6A"/>
    <w:rPr>
      <w:b/>
      <w:bCs/>
    </w:rPr>
  </w:style>
  <w:style w:type="paragraph" w:styleId="Revision">
    <w:name w:val="Revision"/>
    <w:hidden/>
    <w:uiPriority w:val="99"/>
    <w:semiHidden/>
    <w:rsid w:val="00C07D6A"/>
    <w:pPr>
      <w:spacing w:after="0" w:line="240" w:lineRule="auto"/>
    </w:pPr>
    <w:rPr>
      <w:rFonts w:ascii="Times New Roman" w:eastAsia="Times New Roman" w:hAnsi="Times New Roman" w:cs="Times New Roman"/>
      <w:szCs w:val="24"/>
      <w:lang w:eastAsia="fr-FR"/>
    </w:rPr>
  </w:style>
  <w:style w:type="paragraph" w:styleId="EndnoteText">
    <w:name w:val="endnote text"/>
    <w:basedOn w:val="Normal"/>
    <w:link w:val="EndnoteTextChar"/>
    <w:semiHidden/>
    <w:unhideWhenUsed/>
    <w:rsid w:val="00C07D6A"/>
    <w:pPr>
      <w:spacing w:after="0"/>
    </w:pPr>
    <w:rPr>
      <w:rFonts w:ascii="Times New Roman" w:eastAsia="Times New Roman" w:hAnsi="Times New Roman" w:cs="Times New Roman"/>
      <w:sz w:val="20"/>
      <w:szCs w:val="20"/>
      <w:lang w:eastAsia="fr-FR"/>
    </w:rPr>
  </w:style>
  <w:style w:type="character" w:customStyle="1" w:styleId="EndnoteTextChar">
    <w:name w:val="Endnote Text Char"/>
    <w:basedOn w:val="DefaultParagraphFont"/>
    <w:link w:val="EndnoteText"/>
    <w:semiHidden/>
    <w:rsid w:val="00C07D6A"/>
    <w:rPr>
      <w:rFonts w:ascii="Times New Roman" w:eastAsia="Times New Roman" w:hAnsi="Times New Roman" w:cs="Times New Roman"/>
      <w:sz w:val="20"/>
      <w:szCs w:val="20"/>
      <w:lang w:val="lv-LV" w:eastAsia="fr-FR"/>
    </w:rPr>
  </w:style>
  <w:style w:type="character" w:styleId="EndnoteReference">
    <w:name w:val="endnote reference"/>
    <w:basedOn w:val="DefaultParagraphFont"/>
    <w:semiHidden/>
    <w:unhideWhenUsed/>
    <w:rsid w:val="00C07D6A"/>
    <w:rPr>
      <w:vertAlign w:val="superscript"/>
    </w:rPr>
  </w:style>
  <w:style w:type="paragraph" w:styleId="DocumentMap">
    <w:name w:val="Document Map"/>
    <w:basedOn w:val="Normal"/>
    <w:link w:val="DocumentMapChar"/>
    <w:semiHidden/>
    <w:unhideWhenUsed/>
    <w:rsid w:val="00C07D6A"/>
    <w:pPr>
      <w:spacing w:after="0"/>
    </w:pPr>
    <w:rPr>
      <w:rFonts w:ascii="Tahoma" w:eastAsia="Times New Roman" w:hAnsi="Tahoma" w:cs="Tahoma"/>
      <w:sz w:val="16"/>
      <w:szCs w:val="16"/>
      <w:lang w:eastAsia="fr-FR"/>
    </w:rPr>
  </w:style>
  <w:style w:type="character" w:customStyle="1" w:styleId="DocumentMapChar">
    <w:name w:val="Document Map Char"/>
    <w:basedOn w:val="DefaultParagraphFont"/>
    <w:link w:val="DocumentMap"/>
    <w:semiHidden/>
    <w:rsid w:val="00C07D6A"/>
    <w:rPr>
      <w:rFonts w:ascii="Tahoma" w:eastAsia="Times New Roman" w:hAnsi="Tahoma" w:cs="Tahoma"/>
      <w:sz w:val="16"/>
      <w:szCs w:val="16"/>
      <w:lang w:val="lv-LV" w:eastAsia="fr-FR"/>
    </w:rPr>
  </w:style>
  <w:style w:type="paragraph" w:styleId="BodyTextFirstIndent">
    <w:name w:val="Body Text First Indent"/>
    <w:basedOn w:val="Normal"/>
    <w:link w:val="BodyTextFirstIndentChar"/>
    <w:rsid w:val="00C07D6A"/>
    <w:pPr>
      <w:spacing w:before="160"/>
      <w:ind w:left="1418" w:firstLine="210"/>
    </w:pPr>
    <w:rPr>
      <w:rFonts w:ascii="Arial" w:eastAsia="Times New Roman" w:hAnsi="Arial" w:cs="Arial"/>
      <w:sz w:val="20"/>
      <w:szCs w:val="20"/>
      <w:lang w:eastAsia="fr-FR"/>
    </w:rPr>
  </w:style>
  <w:style w:type="character" w:customStyle="1" w:styleId="BodyTextFirstIndentChar">
    <w:name w:val="Body Text First Indent Char"/>
    <w:basedOn w:val="BodyTextChar"/>
    <w:link w:val="BodyTextFirstIndent"/>
    <w:rsid w:val="00C07D6A"/>
    <w:rPr>
      <w:rFonts w:ascii="Arial" w:eastAsia="Times New Roman" w:hAnsi="Arial" w:cs="Arial"/>
      <w:kern w:val="24"/>
      <w:sz w:val="20"/>
      <w:szCs w:val="20"/>
      <w:lang w:val="lv-LV" w:eastAsia="fr-FR"/>
    </w:rPr>
  </w:style>
  <w:style w:type="paragraph" w:styleId="Salutation">
    <w:name w:val="Salutation"/>
    <w:basedOn w:val="Normal"/>
    <w:next w:val="Normal"/>
    <w:link w:val="SalutationChar"/>
    <w:rsid w:val="00C07D6A"/>
    <w:pPr>
      <w:spacing w:before="160" w:after="0"/>
      <w:ind w:left="1418"/>
    </w:pPr>
    <w:rPr>
      <w:rFonts w:ascii="Arial" w:eastAsia="Times New Roman" w:hAnsi="Arial" w:cs="Arial"/>
      <w:sz w:val="20"/>
      <w:szCs w:val="20"/>
      <w:lang w:eastAsia="fr-FR"/>
    </w:rPr>
  </w:style>
  <w:style w:type="character" w:customStyle="1" w:styleId="SalutationChar">
    <w:name w:val="Salutation Char"/>
    <w:basedOn w:val="DefaultParagraphFont"/>
    <w:link w:val="Salutation"/>
    <w:rsid w:val="00C07D6A"/>
    <w:rPr>
      <w:rFonts w:ascii="Arial" w:eastAsia="Times New Roman" w:hAnsi="Arial" w:cs="Arial"/>
      <w:sz w:val="20"/>
      <w:szCs w:val="20"/>
      <w:lang w:val="lv-LV" w:eastAsia="fr-FR"/>
    </w:rPr>
  </w:style>
  <w:style w:type="paragraph" w:customStyle="1" w:styleId="ListofFigure">
    <w:name w:val="List of Figure"/>
    <w:aliases w:val="Table,etc"/>
    <w:basedOn w:val="NormalaMoi"/>
    <w:next w:val="BodyText"/>
    <w:rsid w:val="00C07D6A"/>
    <w:pPr>
      <w:tabs>
        <w:tab w:val="right" w:leader="dot" w:pos="1418"/>
        <w:tab w:val="right" w:pos="9639"/>
      </w:tabs>
      <w:spacing w:before="10" w:after="10"/>
      <w:ind w:hanging="1418"/>
    </w:pPr>
    <w:rPr>
      <w:i/>
      <w:szCs w:val="20"/>
    </w:rPr>
  </w:style>
  <w:style w:type="paragraph" w:customStyle="1" w:styleId="TERM-number">
    <w:name w:val="TERM-number"/>
    <w:basedOn w:val="Normal"/>
    <w:next w:val="Normal"/>
    <w:autoRedefine/>
    <w:rsid w:val="00C07D6A"/>
    <w:pPr>
      <w:keepNext/>
      <w:numPr>
        <w:numId w:val="9"/>
      </w:numPr>
      <w:tabs>
        <w:tab w:val="clear" w:pos="717"/>
        <w:tab w:val="left" w:pos="284"/>
        <w:tab w:val="left" w:pos="454"/>
        <w:tab w:val="center" w:leader="dot" w:pos="8652"/>
      </w:tabs>
      <w:spacing w:before="200" w:after="0"/>
      <w:ind w:left="0" w:firstLine="0"/>
    </w:pPr>
    <w:rPr>
      <w:rFonts w:ascii="Arial" w:eastAsia="Times New Roman" w:hAnsi="Arial" w:cs="Times New Roman"/>
      <w:b/>
      <w:bCs/>
      <w:spacing w:val="8"/>
      <w:sz w:val="20"/>
      <w:szCs w:val="20"/>
    </w:rPr>
  </w:style>
  <w:style w:type="paragraph" w:customStyle="1" w:styleId="Title3Heading3">
    <w:name w:val="Title 3 (Heading 3)"/>
    <w:basedOn w:val="NormalaMoi"/>
    <w:next w:val="BodyText"/>
    <w:link w:val="Title3Heading3Char"/>
    <w:rsid w:val="00C07D6A"/>
    <w:pPr>
      <w:keepNext/>
      <w:tabs>
        <w:tab w:val="left" w:pos="1134"/>
      </w:tabs>
      <w:spacing w:before="200" w:after="60"/>
      <w:ind w:hanging="1134"/>
      <w:outlineLvl w:val="2"/>
    </w:pPr>
    <w:rPr>
      <w:b/>
      <w:sz w:val="24"/>
      <w:szCs w:val="20"/>
    </w:rPr>
  </w:style>
  <w:style w:type="paragraph" w:styleId="TableofFigures">
    <w:name w:val="table of figures"/>
    <w:aliases w:val="List of Figures"/>
    <w:basedOn w:val="NormalaMoi"/>
    <w:next w:val="Normal"/>
    <w:autoRedefine/>
    <w:uiPriority w:val="99"/>
    <w:rsid w:val="00C07D6A"/>
    <w:pPr>
      <w:tabs>
        <w:tab w:val="right" w:leader="dot" w:pos="9639"/>
      </w:tabs>
      <w:ind w:left="851" w:right="284" w:hanging="851"/>
      <w:jc w:val="left"/>
    </w:pPr>
    <w:rPr>
      <w:i/>
      <w:iCs/>
      <w:noProof/>
      <w:kern w:val="0"/>
      <w:sz w:val="20"/>
      <w:szCs w:val="18"/>
    </w:rPr>
  </w:style>
  <w:style w:type="paragraph" w:customStyle="1" w:styleId="Textedebulles1">
    <w:name w:val="Texte de bulles1"/>
    <w:basedOn w:val="Normal"/>
    <w:semiHidden/>
    <w:rsid w:val="00C07D6A"/>
    <w:pPr>
      <w:spacing w:before="160" w:after="0"/>
    </w:pPr>
    <w:rPr>
      <w:rFonts w:ascii="Tahoma" w:eastAsia="Times New Roman" w:hAnsi="Tahoma" w:cs="Tahoma"/>
      <w:sz w:val="16"/>
      <w:szCs w:val="16"/>
      <w:lang w:eastAsia="fr-FR"/>
    </w:rPr>
  </w:style>
  <w:style w:type="paragraph" w:customStyle="1" w:styleId="Title2Heading2">
    <w:name w:val="Title 2 (Heading 2)"/>
    <w:basedOn w:val="NormalaMoi"/>
    <w:next w:val="BodyText"/>
    <w:link w:val="Title2Heading2CharChar"/>
    <w:rsid w:val="00C07D6A"/>
    <w:pPr>
      <w:keepNext/>
      <w:tabs>
        <w:tab w:val="left" w:pos="1134"/>
      </w:tabs>
      <w:spacing w:before="200" w:after="60"/>
      <w:ind w:hanging="1134"/>
      <w:outlineLvl w:val="1"/>
    </w:pPr>
    <w:rPr>
      <w:b/>
      <w:iCs/>
      <w:sz w:val="26"/>
      <w:szCs w:val="28"/>
    </w:rPr>
  </w:style>
  <w:style w:type="character" w:customStyle="1" w:styleId="Title2Heading2CharChar">
    <w:name w:val="Title 2 (Heading 2) Char Char"/>
    <w:basedOn w:val="DefaultParagraphFont"/>
    <w:link w:val="Title2Heading2"/>
    <w:rsid w:val="00C07D6A"/>
    <w:rPr>
      <w:rFonts w:ascii="Arial" w:eastAsia="Times New Roman" w:hAnsi="Arial" w:cs="Arial"/>
      <w:b/>
      <w:iCs/>
      <w:kern w:val="24"/>
      <w:sz w:val="26"/>
      <w:szCs w:val="28"/>
      <w:lang w:val="lv-LV" w:eastAsia="fr-FR"/>
    </w:rPr>
  </w:style>
  <w:style w:type="paragraph" w:customStyle="1" w:styleId="Title1Heading1">
    <w:name w:val="Title 1 (Heading 1)"/>
    <w:basedOn w:val="NormalaMoi"/>
    <w:next w:val="Title2Heading2"/>
    <w:rsid w:val="00C07D6A"/>
    <w:pPr>
      <w:pageBreakBefore/>
      <w:tabs>
        <w:tab w:val="left" w:pos="1134"/>
      </w:tabs>
      <w:spacing w:after="60"/>
      <w:ind w:hanging="1134"/>
      <w:outlineLvl w:val="0"/>
    </w:pPr>
    <w:rPr>
      <w:b/>
      <w:sz w:val="30"/>
      <w:szCs w:val="32"/>
    </w:rPr>
  </w:style>
  <w:style w:type="paragraph" w:customStyle="1" w:styleId="LegendeFigure">
    <w:name w:val="Legende_Figure"/>
    <w:basedOn w:val="NormalaMoi"/>
    <w:next w:val="BodyText"/>
    <w:rsid w:val="00C07D6A"/>
    <w:pPr>
      <w:spacing w:before="200"/>
      <w:ind w:left="0"/>
      <w:jc w:val="center"/>
    </w:pPr>
    <w:rPr>
      <w:rFonts w:ascii="Bookman Old Style" w:hAnsi="Bookman Old Style"/>
      <w:b/>
      <w:i/>
      <w:color w:val="0000FF"/>
      <w:sz w:val="20"/>
      <w:szCs w:val="20"/>
    </w:rPr>
  </w:style>
  <w:style w:type="paragraph" w:customStyle="1" w:styleId="abcList">
    <w:name w:val="a_b_c_List"/>
    <w:basedOn w:val="NormalaMoi"/>
    <w:rsid w:val="00C07D6A"/>
    <w:pPr>
      <w:numPr>
        <w:numId w:val="10"/>
      </w:numPr>
      <w:tabs>
        <w:tab w:val="clear" w:pos="2128"/>
        <w:tab w:val="num" w:pos="717"/>
      </w:tabs>
      <w:spacing w:before="120"/>
      <w:ind w:left="1202" w:hanging="360"/>
    </w:pPr>
    <w:rPr>
      <w:szCs w:val="22"/>
    </w:rPr>
  </w:style>
  <w:style w:type="paragraph" w:customStyle="1" w:styleId="StyleTOC2Left05cmHanging123cm">
    <w:name w:val="Style TOC 2 + Left:  0.5 cm Hanging:  1.23 cm"/>
    <w:basedOn w:val="TOC2"/>
    <w:rsid w:val="00C07D6A"/>
    <w:pPr>
      <w:tabs>
        <w:tab w:val="left" w:pos="992"/>
      </w:tabs>
      <w:spacing w:before="70" w:after="100"/>
      <w:ind w:left="993" w:right="425" w:hanging="709"/>
    </w:pPr>
    <w:rPr>
      <w:rFonts w:ascii="Arial" w:hAnsi="Arial" w:cs="Times New Roman"/>
      <w:b/>
      <w:sz w:val="23"/>
    </w:rPr>
  </w:style>
  <w:style w:type="paragraph" w:customStyle="1" w:styleId="NormalMine">
    <w:name w:val="Normal_Mine"/>
    <w:link w:val="NormalMineChar"/>
    <w:rsid w:val="00C07D6A"/>
    <w:pPr>
      <w:spacing w:before="160" w:after="0" w:line="240" w:lineRule="auto"/>
      <w:ind w:left="709"/>
      <w:jc w:val="both"/>
    </w:pPr>
    <w:rPr>
      <w:rFonts w:ascii="Arial" w:eastAsia="Times New Roman" w:hAnsi="Arial" w:cs="Arial"/>
      <w:lang w:eastAsia="fr-FR"/>
    </w:rPr>
  </w:style>
  <w:style w:type="character" w:customStyle="1" w:styleId="NormalMineChar">
    <w:name w:val="Normal_Mine Char"/>
    <w:basedOn w:val="DefaultParagraphFont"/>
    <w:link w:val="NormalMine"/>
    <w:rsid w:val="00C07D6A"/>
    <w:rPr>
      <w:rFonts w:ascii="Arial" w:eastAsia="Times New Roman" w:hAnsi="Arial" w:cs="Arial"/>
      <w:lang w:val="lv-LV" w:eastAsia="fr-FR"/>
    </w:rPr>
  </w:style>
  <w:style w:type="paragraph" w:customStyle="1" w:styleId="BodyofText">
    <w:name w:val="Body of Text"/>
    <w:basedOn w:val="NormalMine"/>
    <w:uiPriority w:val="99"/>
    <w:rsid w:val="00C07D6A"/>
    <w:pPr>
      <w:tabs>
        <w:tab w:val="num" w:pos="1559"/>
      </w:tabs>
      <w:spacing w:before="240"/>
      <w:ind w:left="1559" w:hanging="426"/>
    </w:pPr>
  </w:style>
  <w:style w:type="character" w:customStyle="1" w:styleId="Title3Heading3Char">
    <w:name w:val="Title 3 (Heading 3) Char"/>
    <w:basedOn w:val="NormalaMoiChar"/>
    <w:link w:val="Title3Heading3"/>
    <w:rsid w:val="00C07D6A"/>
    <w:rPr>
      <w:rFonts w:ascii="Arial" w:eastAsia="Times New Roman" w:hAnsi="Arial" w:cs="Arial"/>
      <w:b/>
      <w:kern w:val="24"/>
      <w:sz w:val="24"/>
      <w:szCs w:val="20"/>
      <w:lang w:val="lv-LV" w:eastAsia="fr-FR"/>
    </w:rPr>
  </w:style>
  <w:style w:type="paragraph" w:customStyle="1" w:styleId="MAIN-TITLE">
    <w:name w:val="MAIN-TITLE"/>
    <w:basedOn w:val="Normal"/>
    <w:rsid w:val="00C07D6A"/>
    <w:pPr>
      <w:spacing w:before="160" w:after="0"/>
      <w:jc w:val="center"/>
    </w:pPr>
    <w:rPr>
      <w:rFonts w:ascii="Arial" w:eastAsia="Times New Roman" w:hAnsi="Arial" w:cs="Arial"/>
      <w:b/>
      <w:bCs/>
      <w:spacing w:val="8"/>
      <w:sz w:val="24"/>
      <w:szCs w:val="24"/>
    </w:rPr>
  </w:style>
  <w:style w:type="paragraph" w:styleId="BlockText">
    <w:name w:val="Block Text"/>
    <w:basedOn w:val="Normal"/>
    <w:rsid w:val="00C07D6A"/>
    <w:pPr>
      <w:spacing w:before="160"/>
      <w:ind w:left="1440" w:right="1440"/>
    </w:pPr>
    <w:rPr>
      <w:rFonts w:ascii="Arial" w:eastAsia="Times New Roman" w:hAnsi="Arial" w:cs="Arial"/>
      <w:sz w:val="20"/>
      <w:szCs w:val="20"/>
      <w:lang w:eastAsia="fr-FR"/>
    </w:rPr>
  </w:style>
  <w:style w:type="paragraph" w:customStyle="1" w:styleId="p">
    <w:name w:val="p"/>
    <w:basedOn w:val="BodyofText"/>
    <w:rsid w:val="00C07D6A"/>
    <w:pPr>
      <w:tabs>
        <w:tab w:val="clear" w:pos="1559"/>
        <w:tab w:val="num" w:pos="709"/>
      </w:tabs>
      <w:ind w:left="709" w:hanging="709"/>
    </w:pPr>
  </w:style>
  <w:style w:type="paragraph" w:styleId="ListBullet">
    <w:name w:val="List Bullet"/>
    <w:basedOn w:val="Normal"/>
    <w:rsid w:val="00C07D6A"/>
    <w:pPr>
      <w:tabs>
        <w:tab w:val="num" w:pos="1844"/>
      </w:tabs>
      <w:overflowPunct w:val="0"/>
      <w:autoSpaceDE w:val="0"/>
      <w:autoSpaceDN w:val="0"/>
      <w:adjustRightInd w:val="0"/>
      <w:spacing w:before="160" w:after="60"/>
      <w:ind w:left="1844" w:hanging="426"/>
      <w:textAlignment w:val="baseline"/>
    </w:pPr>
    <w:rPr>
      <w:rFonts w:ascii="Arial" w:eastAsia="Times New Roman" w:hAnsi="Arial" w:cs="Arial"/>
      <w:bCs/>
      <w:sz w:val="20"/>
      <w:szCs w:val="20"/>
    </w:rPr>
  </w:style>
  <w:style w:type="paragraph" w:customStyle="1" w:styleId="TABLE-cell">
    <w:name w:val="TABLE-cell"/>
    <w:basedOn w:val="Normal"/>
    <w:rsid w:val="00C07D6A"/>
    <w:pPr>
      <w:spacing w:before="60" w:after="60"/>
    </w:pPr>
    <w:rPr>
      <w:rFonts w:ascii="Arial" w:eastAsia="Times New Roman" w:hAnsi="Arial" w:cs="Arial"/>
      <w:spacing w:val="8"/>
      <w:sz w:val="16"/>
      <w:szCs w:val="16"/>
    </w:rPr>
  </w:style>
  <w:style w:type="paragraph" w:customStyle="1" w:styleId="ReviewText">
    <w:name w:val="_Review_Text"/>
    <w:basedOn w:val="NormalaMoi"/>
    <w:rsid w:val="00C07D6A"/>
    <w:pPr>
      <w:ind w:left="0"/>
    </w:pPr>
    <w:rPr>
      <w:sz w:val="20"/>
      <w:szCs w:val="20"/>
    </w:rPr>
  </w:style>
  <w:style w:type="paragraph" w:styleId="BodyText2">
    <w:name w:val="Body Text 2"/>
    <w:basedOn w:val="Normal"/>
    <w:link w:val="BodyText2Char"/>
    <w:rsid w:val="00C07D6A"/>
    <w:pPr>
      <w:spacing w:before="160" w:line="480" w:lineRule="auto"/>
      <w:ind w:left="1418"/>
    </w:pPr>
    <w:rPr>
      <w:rFonts w:ascii="Arial" w:eastAsia="Times New Roman" w:hAnsi="Arial" w:cs="Arial"/>
      <w:sz w:val="20"/>
      <w:szCs w:val="20"/>
      <w:lang w:eastAsia="fr-FR"/>
    </w:rPr>
  </w:style>
  <w:style w:type="character" w:customStyle="1" w:styleId="BodyText2Char">
    <w:name w:val="Body Text 2 Char"/>
    <w:basedOn w:val="DefaultParagraphFont"/>
    <w:link w:val="BodyText2"/>
    <w:rsid w:val="00C07D6A"/>
    <w:rPr>
      <w:rFonts w:ascii="Arial" w:eastAsia="Times New Roman" w:hAnsi="Arial" w:cs="Arial"/>
      <w:sz w:val="20"/>
      <w:szCs w:val="20"/>
      <w:lang w:val="lv-LV" w:eastAsia="fr-FR"/>
    </w:rPr>
  </w:style>
  <w:style w:type="paragraph" w:customStyle="1" w:styleId="StilBrdtekst10ptFr0pt">
    <w:name w:val="Stil Brødtekst + 10 pt Før:  0 pt"/>
    <w:basedOn w:val="BodyText"/>
    <w:rsid w:val="00C07D6A"/>
    <w:pPr>
      <w:spacing w:before="0" w:beforeAutospacing="0" w:afterAutospacing="0" w:line="240" w:lineRule="auto"/>
      <w:ind w:left="0" w:firstLine="0"/>
    </w:pPr>
    <w:rPr>
      <w:rFonts w:cs="Times New Roman"/>
      <w:sz w:val="20"/>
    </w:rPr>
  </w:style>
  <w:style w:type="character" w:styleId="IntenseEmphasis">
    <w:name w:val="Intense Emphasis"/>
    <w:basedOn w:val="DefaultParagraphFont"/>
    <w:qFormat/>
    <w:rsid w:val="00C07D6A"/>
    <w:rPr>
      <w:b/>
      <w:bCs/>
      <w:i/>
      <w:iCs/>
      <w:color w:val="4F81BD"/>
    </w:rPr>
  </w:style>
  <w:style w:type="paragraph" w:customStyle="1" w:styleId="ICA-testo">
    <w:name w:val="ICA-testo"/>
    <w:basedOn w:val="Normal"/>
    <w:rsid w:val="00C07D6A"/>
    <w:pPr>
      <w:widowControl w:val="0"/>
      <w:spacing w:before="120" w:after="0" w:line="360" w:lineRule="auto"/>
      <w:ind w:left="227" w:right="227"/>
    </w:pPr>
    <w:rPr>
      <w:rFonts w:ascii="Arial" w:eastAsia="Times New Roman" w:hAnsi="Arial" w:cs="Times New Roman"/>
      <w:kern w:val="24"/>
      <w:sz w:val="21"/>
    </w:rPr>
  </w:style>
  <w:style w:type="table" w:styleId="Table3Deffects1">
    <w:name w:val="Table 3D effects 1"/>
    <w:basedOn w:val="TableNormal"/>
    <w:rsid w:val="00C07D6A"/>
    <w:pPr>
      <w:spacing w:after="0" w:line="240" w:lineRule="auto"/>
      <w:ind w:left="1418"/>
      <w:jc w:val="both"/>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C07D6A"/>
    <w:pPr>
      <w:spacing w:after="0" w:line="240" w:lineRule="auto"/>
      <w:ind w:left="1418"/>
      <w:jc w:val="both"/>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C07D6A"/>
    <w:pPr>
      <w:spacing w:after="0" w:line="240" w:lineRule="auto"/>
      <w:ind w:left="1418"/>
      <w:jc w:val="both"/>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07D6A"/>
    <w:pPr>
      <w:spacing w:after="0" w:line="240" w:lineRule="auto"/>
      <w:ind w:left="1418"/>
      <w:jc w:val="both"/>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ineNumber">
    <w:name w:val="line number"/>
    <w:basedOn w:val="DefaultParagraphFont"/>
    <w:rsid w:val="00C07D6A"/>
  </w:style>
  <w:style w:type="character" w:customStyle="1" w:styleId="hps">
    <w:name w:val="hps"/>
    <w:basedOn w:val="DefaultParagraphFont"/>
    <w:rsid w:val="00C07D6A"/>
  </w:style>
  <w:style w:type="paragraph" w:customStyle="1" w:styleId="Normal1">
    <w:name w:val="Normal1"/>
    <w:basedOn w:val="Normal"/>
    <w:rsid w:val="00C07D6A"/>
    <w:pPr>
      <w:spacing w:before="100" w:beforeAutospacing="1" w:after="100" w:afterAutospacing="1"/>
    </w:pPr>
    <w:rPr>
      <w:rFonts w:ascii="Times New Roman" w:eastAsia="Times New Roman" w:hAnsi="Times New Roman" w:cs="Times New Roman"/>
      <w:sz w:val="24"/>
      <w:szCs w:val="24"/>
    </w:rPr>
  </w:style>
  <w:style w:type="character" w:customStyle="1" w:styleId="Ulstomtale1">
    <w:name w:val="Uløst omtale1"/>
    <w:basedOn w:val="DefaultParagraphFont"/>
    <w:uiPriority w:val="99"/>
    <w:semiHidden/>
    <w:unhideWhenUsed/>
    <w:rsid w:val="008265D9"/>
    <w:rPr>
      <w:color w:val="605E5C"/>
      <w:shd w:val="clear" w:color="auto" w:fill="E1DFDD"/>
    </w:rPr>
  </w:style>
  <w:style w:type="paragraph" w:customStyle="1" w:styleId="Style4">
    <w:name w:val="Style4"/>
    <w:basedOn w:val="Normal"/>
    <w:link w:val="Style4Car"/>
    <w:qFormat/>
    <w:rsid w:val="00AF2D5A"/>
    <w:pPr>
      <w:spacing w:after="0"/>
    </w:pPr>
    <w:rPr>
      <w:rFonts w:ascii="Bookman Old Style" w:hAnsi="Bookman Old Style" w:cstheme="minorHAnsi"/>
      <w:i/>
      <w:iCs/>
      <w:color w:val="3071C9" w:themeColor="accent5" w:themeShade="BF"/>
      <w:sz w:val="20"/>
      <w:szCs w:val="20"/>
      <w:shd w:val="clear" w:color="auto" w:fill="FFFFFF"/>
    </w:rPr>
  </w:style>
  <w:style w:type="character" w:customStyle="1" w:styleId="Style4Car">
    <w:name w:val="Style4 Car"/>
    <w:basedOn w:val="DefaultParagraphFont"/>
    <w:link w:val="Style4"/>
    <w:rsid w:val="00AF2D5A"/>
    <w:rPr>
      <w:rFonts w:ascii="Bookman Old Style" w:hAnsi="Bookman Old Style" w:cstheme="minorHAnsi"/>
      <w:i/>
      <w:iCs/>
      <w:color w:val="3071C9" w:themeColor="accent5" w:themeShade="BF"/>
      <w:sz w:val="20"/>
      <w:szCs w:val="20"/>
      <w:lang w:val="lv-LV"/>
    </w:rPr>
  </w:style>
  <w:style w:type="paragraph" w:customStyle="1" w:styleId="Style5">
    <w:name w:val="Style5"/>
    <w:basedOn w:val="Style4"/>
    <w:link w:val="Style5Car"/>
    <w:qFormat/>
    <w:rsid w:val="001115EC"/>
  </w:style>
  <w:style w:type="paragraph" w:customStyle="1" w:styleId="Style6">
    <w:name w:val="Style6"/>
    <w:basedOn w:val="ListParagraph"/>
    <w:link w:val="Style6Car"/>
    <w:qFormat/>
    <w:rsid w:val="00775F07"/>
    <w:pPr>
      <w:numPr>
        <w:numId w:val="18"/>
      </w:numPr>
    </w:pPr>
    <w:rPr>
      <w:i w:val="0"/>
      <w:iCs/>
      <w:color w:val="auto"/>
    </w:rPr>
  </w:style>
  <w:style w:type="character" w:customStyle="1" w:styleId="Style5Car">
    <w:name w:val="Style5 Car"/>
    <w:basedOn w:val="Style4Car"/>
    <w:link w:val="Style5"/>
    <w:rsid w:val="001115EC"/>
    <w:rPr>
      <w:rFonts w:ascii="Bookman Old Style" w:hAnsi="Bookman Old Style" w:cstheme="minorHAnsi"/>
      <w:i/>
      <w:iCs/>
      <w:color w:val="5D779C" w:themeColor="accent1"/>
      <w:sz w:val="20"/>
      <w:szCs w:val="20"/>
      <w:lang w:val="lv-LV"/>
    </w:rPr>
  </w:style>
  <w:style w:type="paragraph" w:customStyle="1" w:styleId="Style7">
    <w:name w:val="Style7"/>
    <w:basedOn w:val="Normal"/>
    <w:link w:val="Style7Car"/>
    <w:qFormat/>
    <w:rsid w:val="00B62BB6"/>
    <w:pPr>
      <w:spacing w:line="240" w:lineRule="auto"/>
    </w:pPr>
    <w:rPr>
      <w:color w:val="6E231E" w:themeColor="accent2" w:themeShade="80"/>
    </w:rPr>
  </w:style>
  <w:style w:type="character" w:customStyle="1" w:styleId="ListParagraphChar">
    <w:name w:val="List Paragraph Char"/>
    <w:aliases w:val="Heading table Char"/>
    <w:basedOn w:val="DefaultParagraphFont"/>
    <w:link w:val="ListParagraph"/>
    <w:uiPriority w:val="34"/>
    <w:rsid w:val="00775F07"/>
    <w:rPr>
      <w:i/>
      <w:color w:val="0C4DA2"/>
      <w:lang w:val="lv-LV"/>
    </w:rPr>
  </w:style>
  <w:style w:type="character" w:customStyle="1" w:styleId="Style6Car">
    <w:name w:val="Style6 Car"/>
    <w:basedOn w:val="ListParagraphChar"/>
    <w:link w:val="Style6"/>
    <w:rsid w:val="00775F07"/>
    <w:rPr>
      <w:i w:val="0"/>
      <w:iCs/>
      <w:color w:val="0C4DA2"/>
      <w:lang w:val="lv-LV"/>
    </w:rPr>
  </w:style>
  <w:style w:type="numbering" w:customStyle="1" w:styleId="Style8">
    <w:name w:val="Style8"/>
    <w:uiPriority w:val="99"/>
    <w:rsid w:val="00C12B0B"/>
    <w:pPr>
      <w:numPr>
        <w:numId w:val="25"/>
      </w:numPr>
    </w:pPr>
  </w:style>
  <w:style w:type="character" w:customStyle="1" w:styleId="Style7Car">
    <w:name w:val="Style7 Car"/>
    <w:basedOn w:val="DefaultParagraphFont"/>
    <w:link w:val="Style7"/>
    <w:rsid w:val="00B62BB6"/>
    <w:rPr>
      <w:color w:val="6E231E" w:themeColor="accent2" w:themeShade="80"/>
      <w:lang w:val="lv-LV"/>
    </w:rPr>
  </w:style>
  <w:style w:type="paragraph" w:customStyle="1" w:styleId="Style9">
    <w:name w:val="Style9"/>
    <w:basedOn w:val="BodyText"/>
    <w:link w:val="Style9Car"/>
    <w:qFormat/>
    <w:rsid w:val="004A478A"/>
    <w:pPr>
      <w:spacing w:before="100" w:after="100"/>
      <w:ind w:left="0" w:right="-1" w:firstLine="0"/>
    </w:pPr>
    <w:rPr>
      <w:rFonts w:asciiTheme="minorHAnsi" w:hAnsiTheme="minorHAnsi" w:cs="Times New Roman"/>
      <w:b/>
      <w:bCs/>
      <w:color w:val="6E231E" w:themeColor="accent2" w:themeShade="80"/>
      <w:sz w:val="22"/>
      <w:szCs w:val="22"/>
    </w:rPr>
  </w:style>
  <w:style w:type="character" w:customStyle="1" w:styleId="Style9Car">
    <w:name w:val="Style9 Car"/>
    <w:basedOn w:val="BodyTextChar"/>
    <w:link w:val="Style9"/>
    <w:rsid w:val="004A478A"/>
    <w:rPr>
      <w:rFonts w:ascii="Arial" w:eastAsia="Times New Roman" w:hAnsi="Arial" w:cs="Times New Roman"/>
      <w:b/>
      <w:bCs/>
      <w:color w:val="6E231E" w:themeColor="accent2" w:themeShade="80"/>
      <w:kern w:val="24"/>
      <w:sz w:val="21"/>
      <w:szCs w:val="20"/>
      <w:lang w:val="lv-LV" w:eastAsia="fr-FR"/>
    </w:rPr>
  </w:style>
  <w:style w:type="character" w:customStyle="1" w:styleId="Style3Car">
    <w:name w:val="Style3 Car"/>
    <w:basedOn w:val="ListParagraphChar"/>
    <w:rsid w:val="004E0FA9"/>
    <w:rPr>
      <w:rFonts w:ascii="Calibri" w:hAnsi="Calibri" w:cstheme="minorHAnsi"/>
      <w:i w:val="0"/>
      <w:iCs/>
      <w:color w:val="0C4DA2"/>
      <w:lang w:val="lv-LV"/>
    </w:rPr>
  </w:style>
  <w:style w:type="character" w:customStyle="1" w:styleId="shorttext">
    <w:name w:val="short_text"/>
    <w:basedOn w:val="DefaultParagraphFont"/>
    <w:rsid w:val="00D82D0B"/>
  </w:style>
  <w:style w:type="character" w:styleId="UnresolvedMention">
    <w:name w:val="Unresolved Mention"/>
    <w:basedOn w:val="DefaultParagraphFont"/>
    <w:uiPriority w:val="99"/>
    <w:semiHidden/>
    <w:unhideWhenUsed/>
    <w:rsid w:val="002C0B54"/>
    <w:rPr>
      <w:color w:val="605E5C"/>
      <w:shd w:val="clear" w:color="auto" w:fill="E1DFDD"/>
    </w:rPr>
  </w:style>
  <w:style w:type="character" w:customStyle="1" w:styleId="fontstyle01">
    <w:name w:val="fontstyle01"/>
    <w:basedOn w:val="DefaultParagraphFont"/>
    <w:rsid w:val="00EF4E19"/>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3055">
      <w:bodyDiv w:val="1"/>
      <w:marLeft w:val="0"/>
      <w:marRight w:val="0"/>
      <w:marTop w:val="0"/>
      <w:marBottom w:val="0"/>
      <w:divBdr>
        <w:top w:val="none" w:sz="0" w:space="0" w:color="auto"/>
        <w:left w:val="none" w:sz="0" w:space="0" w:color="auto"/>
        <w:bottom w:val="none" w:sz="0" w:space="0" w:color="auto"/>
        <w:right w:val="none" w:sz="0" w:space="0" w:color="auto"/>
      </w:divBdr>
    </w:div>
    <w:div w:id="1052265398">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592153645">
      <w:bodyDiv w:val="1"/>
      <w:marLeft w:val="0"/>
      <w:marRight w:val="0"/>
      <w:marTop w:val="0"/>
      <w:marBottom w:val="0"/>
      <w:divBdr>
        <w:top w:val="none" w:sz="0" w:space="0" w:color="auto"/>
        <w:left w:val="none" w:sz="0" w:space="0" w:color="auto"/>
        <w:bottom w:val="none" w:sz="0" w:space="0" w:color="auto"/>
        <w:right w:val="none" w:sz="0" w:space="0" w:color="auto"/>
      </w:divBdr>
    </w:div>
    <w:div w:id="1639602187">
      <w:bodyDiv w:val="1"/>
      <w:marLeft w:val="0"/>
      <w:marRight w:val="0"/>
      <w:marTop w:val="0"/>
      <w:marBottom w:val="0"/>
      <w:divBdr>
        <w:top w:val="none" w:sz="0" w:space="0" w:color="auto"/>
        <w:left w:val="none" w:sz="0" w:space="0" w:color="auto"/>
        <w:bottom w:val="none" w:sz="0" w:space="0" w:color="auto"/>
        <w:right w:val="none" w:sz="0" w:space="0" w:color="auto"/>
      </w:divBdr>
    </w:div>
    <w:div w:id="164850652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9602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D8E5ADA-C3EB-43C7-B924-927EEAB4DA97}">
  <ds:schemaRefs>
    <ds:schemaRef ds:uri="http://schemas.microsoft.com/sharepoint/v3/contenttype/forms"/>
  </ds:schemaRefs>
</ds:datastoreItem>
</file>

<file path=customXml/itemProps2.xml><?xml version="1.0" encoding="utf-8"?>
<ds:datastoreItem xmlns:ds="http://schemas.openxmlformats.org/officeDocument/2006/customXml" ds:itemID="{267A444C-DF7E-4E66-AD9C-1D320379125C}">
  <ds:schemaRefs>
    <ds:schemaRef ds:uri="http://schemas.openxmlformats.org/officeDocument/2006/bibliography"/>
  </ds:schemaRefs>
</ds:datastoreItem>
</file>

<file path=customXml/itemProps3.xml><?xml version="1.0" encoding="utf-8"?>
<ds:datastoreItem xmlns:ds="http://schemas.openxmlformats.org/officeDocument/2006/customXml" ds:itemID="{E25C69BD-6191-4F60-876A-05D199FB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02201-379E-48AD-8DD4-29638744946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47034</Words>
  <Characters>26810</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2022-12-20T11:35:00Z</dcterms:created>
  <dcterms:modified xsi:type="dcterms:W3CDTF">2023-05-10T08:35:00Z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