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4F78D" w14:textId="77777777" w:rsidR="00BA0F59" w:rsidRPr="00BA0F59" w:rsidRDefault="00BA0F59" w:rsidP="00BA0F59">
      <w:pPr>
        <w:pStyle w:val="Footer"/>
        <w:rPr>
          <w:rFonts w:ascii="Times New Roman" w:hAnsi="Times New Roman"/>
          <w:noProof/>
          <w:sz w:val="20"/>
          <w:szCs w:val="20"/>
          <w:lang w:val="en-US"/>
        </w:rPr>
      </w:pPr>
    </w:p>
    <w:p w14:paraId="6CD997DD" w14:textId="77777777" w:rsidR="00BA0F59" w:rsidRPr="00BA0F59" w:rsidRDefault="00BA0F59" w:rsidP="00BA0F59">
      <w:pPr>
        <w:widowControl w:val="0"/>
        <w:spacing w:after="0" w:line="240" w:lineRule="auto"/>
        <w:jc w:val="both"/>
        <w:rPr>
          <w:rFonts w:ascii="Times New Roman" w:hAnsi="Times New Roman"/>
          <w:noProof/>
          <w:sz w:val="20"/>
          <w:szCs w:val="20"/>
          <w:lang w:val="en-US"/>
        </w:rPr>
      </w:pPr>
      <w:r w:rsidRPr="00BA0F59">
        <w:rPr>
          <w:rFonts w:ascii="Times New Roman" w:hAnsi="Times New Roman"/>
          <w:noProof/>
          <w:sz w:val="20"/>
          <w:szCs w:val="20"/>
          <w:lang w:val="en-US"/>
        </w:rPr>
        <w:t>Text consolidated by Valsts valodas centrs (State Language Centre) with amending laws of:</w:t>
      </w:r>
    </w:p>
    <w:p w14:paraId="72A3E99A" w14:textId="77777777" w:rsidR="00BA0F59" w:rsidRPr="00BA0F59" w:rsidRDefault="00BA0F59" w:rsidP="00BA0F59">
      <w:pPr>
        <w:spacing w:after="0" w:line="240" w:lineRule="auto"/>
        <w:jc w:val="center"/>
        <w:rPr>
          <w:rFonts w:ascii="Times New Roman" w:hAnsi="Times New Roman"/>
          <w:noProof/>
          <w:sz w:val="20"/>
          <w:szCs w:val="20"/>
          <w:lang w:val="en-US"/>
        </w:rPr>
      </w:pPr>
      <w:r w:rsidRPr="00BA0F59">
        <w:rPr>
          <w:rFonts w:ascii="Times New Roman" w:hAnsi="Times New Roman"/>
          <w:noProof/>
          <w:sz w:val="20"/>
          <w:szCs w:val="20"/>
          <w:lang w:val="en-US"/>
        </w:rPr>
        <w:t>3 June 2010 [shall come into force on 1 July 2010];</w:t>
      </w:r>
    </w:p>
    <w:p w14:paraId="15459D94" w14:textId="77777777" w:rsidR="00BA0F59" w:rsidRPr="00BA0F59" w:rsidRDefault="00BA0F59" w:rsidP="00BA0F59">
      <w:pPr>
        <w:spacing w:after="0" w:line="240" w:lineRule="auto"/>
        <w:jc w:val="center"/>
        <w:rPr>
          <w:rFonts w:ascii="Times New Roman" w:hAnsi="Times New Roman"/>
          <w:noProof/>
          <w:sz w:val="20"/>
          <w:szCs w:val="20"/>
          <w:lang w:val="en-US"/>
        </w:rPr>
      </w:pPr>
      <w:r w:rsidRPr="00BA0F59">
        <w:rPr>
          <w:rFonts w:ascii="Times New Roman" w:hAnsi="Times New Roman"/>
          <w:noProof/>
          <w:sz w:val="20"/>
          <w:szCs w:val="20"/>
          <w:lang w:val="en-US"/>
        </w:rPr>
        <w:t>5 June 2014 [shall come into force on 1 January 2015];</w:t>
      </w:r>
    </w:p>
    <w:p w14:paraId="2ABAE825" w14:textId="77777777" w:rsidR="00BA0F59" w:rsidRPr="00BA0F59" w:rsidRDefault="00BA0F59" w:rsidP="00BA0F59">
      <w:pPr>
        <w:spacing w:after="0" w:line="240" w:lineRule="auto"/>
        <w:jc w:val="center"/>
        <w:rPr>
          <w:rFonts w:ascii="Times New Roman" w:hAnsi="Times New Roman"/>
          <w:noProof/>
          <w:sz w:val="20"/>
          <w:szCs w:val="20"/>
          <w:lang w:val="en-US"/>
        </w:rPr>
      </w:pPr>
      <w:r w:rsidRPr="00BA0F59">
        <w:rPr>
          <w:rFonts w:ascii="Times New Roman" w:hAnsi="Times New Roman"/>
          <w:noProof/>
          <w:sz w:val="20"/>
          <w:szCs w:val="20"/>
          <w:lang w:val="en-US"/>
        </w:rPr>
        <w:t>30 March 2017 [shall come into force on 26 April 2017];</w:t>
      </w:r>
    </w:p>
    <w:p w14:paraId="5F68A1D1" w14:textId="77777777" w:rsidR="00BA0F59" w:rsidRPr="00BA0F59" w:rsidRDefault="00BA0F59" w:rsidP="00BA0F59">
      <w:pPr>
        <w:spacing w:after="0" w:line="240" w:lineRule="auto"/>
        <w:jc w:val="center"/>
        <w:rPr>
          <w:rFonts w:ascii="Times New Roman" w:hAnsi="Times New Roman"/>
          <w:noProof/>
          <w:sz w:val="20"/>
          <w:szCs w:val="20"/>
          <w:lang w:val="en-US"/>
        </w:rPr>
      </w:pPr>
      <w:r w:rsidRPr="00BA0F59">
        <w:rPr>
          <w:rFonts w:ascii="Times New Roman" w:hAnsi="Times New Roman"/>
          <w:noProof/>
          <w:sz w:val="20"/>
          <w:szCs w:val="20"/>
          <w:lang w:val="en-US"/>
        </w:rPr>
        <w:t>3 October 2019 [shall come into force on 1 November 2019];</w:t>
      </w:r>
    </w:p>
    <w:p w14:paraId="4C14A89D" w14:textId="77777777" w:rsidR="00BA0F59" w:rsidRPr="00BA0F59" w:rsidRDefault="00BA0F59" w:rsidP="00BA0F59">
      <w:pPr>
        <w:spacing w:after="0" w:line="240" w:lineRule="auto"/>
        <w:jc w:val="center"/>
        <w:rPr>
          <w:rFonts w:ascii="Times New Roman" w:hAnsi="Times New Roman"/>
          <w:noProof/>
          <w:sz w:val="20"/>
          <w:szCs w:val="20"/>
          <w:lang w:val="en-US"/>
        </w:rPr>
      </w:pPr>
      <w:r w:rsidRPr="00BA0F59">
        <w:rPr>
          <w:rFonts w:ascii="Times New Roman" w:hAnsi="Times New Roman"/>
          <w:noProof/>
          <w:sz w:val="20"/>
          <w:szCs w:val="20"/>
          <w:lang w:val="en-US"/>
        </w:rPr>
        <w:t>20 October 2022 [shall come into force on 10 November 2022].</w:t>
      </w:r>
    </w:p>
    <w:p w14:paraId="4F957922" w14:textId="77777777" w:rsidR="00BA0F59" w:rsidRPr="00BA0F59" w:rsidRDefault="00BA0F59" w:rsidP="00BA0F59">
      <w:pPr>
        <w:pStyle w:val="BlockText"/>
        <w:ind w:left="0" w:right="0"/>
        <w:jc w:val="left"/>
        <w:rPr>
          <w:noProof/>
          <w:szCs w:val="20"/>
          <w:lang w:val="en-US"/>
        </w:rPr>
      </w:pPr>
      <w:r w:rsidRPr="00BA0F5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454EEFC" w14:textId="77777777" w:rsidR="00BA0F59" w:rsidRPr="00BA0F59" w:rsidRDefault="00BA0F59" w:rsidP="00BA0F59">
      <w:pPr>
        <w:spacing w:after="0" w:line="240" w:lineRule="auto"/>
        <w:jc w:val="right"/>
        <w:rPr>
          <w:rFonts w:ascii="Times New Roman" w:hAnsi="Times New Roman"/>
          <w:noProof/>
          <w:sz w:val="24"/>
          <w:lang w:val="en-US"/>
        </w:rPr>
      </w:pPr>
    </w:p>
    <w:p w14:paraId="39610706" w14:textId="77777777" w:rsidR="00BA0F59" w:rsidRPr="00BA0F59" w:rsidRDefault="00BA0F59" w:rsidP="00BA0F59">
      <w:pPr>
        <w:spacing w:after="0" w:line="240" w:lineRule="auto"/>
        <w:jc w:val="right"/>
        <w:rPr>
          <w:rFonts w:ascii="Times New Roman" w:hAnsi="Times New Roman"/>
          <w:noProof/>
          <w:sz w:val="24"/>
          <w:lang w:val="en-US"/>
        </w:rPr>
      </w:pPr>
    </w:p>
    <w:p w14:paraId="5A5743F9" w14:textId="77777777" w:rsidR="00BA0F59" w:rsidRPr="00BA0F59" w:rsidRDefault="00BA0F59" w:rsidP="00BA0F59">
      <w:pPr>
        <w:spacing w:after="0" w:line="240" w:lineRule="auto"/>
        <w:jc w:val="right"/>
        <w:rPr>
          <w:rFonts w:ascii="Times New Roman" w:eastAsia="Times New Roman" w:hAnsi="Times New Roman"/>
          <w:noProof/>
          <w:sz w:val="24"/>
          <w:szCs w:val="24"/>
          <w:lang w:val="en-US"/>
        </w:rPr>
      </w:pPr>
      <w:r w:rsidRPr="00BA0F59">
        <w:rPr>
          <w:rFonts w:ascii="Times New Roman" w:hAnsi="Times New Roman"/>
          <w:noProof/>
          <w:sz w:val="24"/>
          <w:lang w:val="en-US"/>
        </w:rPr>
        <w:t xml:space="preserve">The </w:t>
      </w:r>
      <w:r w:rsidRPr="00BA0F59">
        <w:rPr>
          <w:rFonts w:ascii="Times New Roman" w:hAnsi="Times New Roman"/>
          <w:i/>
          <w:noProof/>
          <w:sz w:val="24"/>
          <w:lang w:val="en-US"/>
        </w:rPr>
        <w:t>Saeima </w:t>
      </w:r>
      <w:r w:rsidRPr="00BA0F59">
        <w:rPr>
          <w:rFonts w:ascii="Times New Roman" w:hAnsi="Times New Roman"/>
          <w:noProof/>
          <w:sz w:val="24"/>
          <w:vertAlign w:val="superscript"/>
          <w:lang w:val="en-US"/>
        </w:rPr>
        <w:t xml:space="preserve">1 </w:t>
      </w:r>
      <w:r w:rsidRPr="00BA0F59">
        <w:rPr>
          <w:rFonts w:ascii="Times New Roman" w:hAnsi="Times New Roman"/>
          <w:noProof/>
          <w:sz w:val="24"/>
          <w:lang w:val="en-US"/>
        </w:rPr>
        <w:t>has adopted and</w:t>
      </w:r>
    </w:p>
    <w:p w14:paraId="60D79CA5" w14:textId="77777777" w:rsidR="00BA0F59" w:rsidRPr="00BA0F59" w:rsidRDefault="00BA0F59" w:rsidP="00BA0F59">
      <w:pPr>
        <w:shd w:val="clear" w:color="auto" w:fill="FFFFFF"/>
        <w:spacing w:after="0" w:line="240" w:lineRule="auto"/>
        <w:jc w:val="right"/>
        <w:rPr>
          <w:rFonts w:ascii="Times New Roman" w:hAnsi="Times New Roman"/>
          <w:noProof/>
          <w:sz w:val="24"/>
          <w:lang w:val="en-US"/>
        </w:rPr>
      </w:pPr>
      <w:r w:rsidRPr="00BA0F59">
        <w:rPr>
          <w:rFonts w:ascii="Times New Roman" w:hAnsi="Times New Roman"/>
          <w:noProof/>
          <w:sz w:val="24"/>
          <w:lang w:val="en-US"/>
        </w:rPr>
        <w:t>President has proclaimed the following law:</w:t>
      </w:r>
    </w:p>
    <w:p w14:paraId="4AA14314"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9727A4"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D87C18" w14:textId="77777777" w:rsidR="00BA0F59" w:rsidRPr="00BA0F59" w:rsidRDefault="00BA0F59" w:rsidP="00BA0F59">
      <w:pPr>
        <w:shd w:val="clear" w:color="auto" w:fill="FFFFFF"/>
        <w:spacing w:after="0" w:line="240" w:lineRule="auto"/>
        <w:jc w:val="center"/>
        <w:rPr>
          <w:rFonts w:ascii="Times New Roman" w:hAnsi="Times New Roman"/>
          <w:b/>
          <w:noProof/>
          <w:sz w:val="28"/>
          <w:lang w:val="en-US"/>
        </w:rPr>
      </w:pPr>
      <w:r w:rsidRPr="00BA0F59">
        <w:rPr>
          <w:rFonts w:ascii="Times New Roman" w:hAnsi="Times New Roman"/>
          <w:b/>
          <w:noProof/>
          <w:sz w:val="28"/>
          <w:lang w:val="en-US"/>
        </w:rPr>
        <w:t>Amelioration Law</w:t>
      </w:r>
    </w:p>
    <w:p w14:paraId="481D836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25581"/>
      <w:bookmarkEnd w:id="0"/>
      <w:bookmarkEnd w:id="1"/>
    </w:p>
    <w:p w14:paraId="2F47DD3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FE610B"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I</w:t>
      </w:r>
    </w:p>
    <w:p w14:paraId="23DDC993"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General Provisions</w:t>
      </w:r>
    </w:p>
    <w:p w14:paraId="0E8AD98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46568"/>
      <w:bookmarkEnd w:id="2"/>
      <w:bookmarkEnd w:id="3"/>
    </w:p>
    <w:p w14:paraId="7FC7002D"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 </w:t>
      </w:r>
      <w:r w:rsidRPr="00BA0F59">
        <w:rPr>
          <w:rFonts w:ascii="Times New Roman" w:hAnsi="Times New Roman"/>
          <w:noProof/>
          <w:sz w:val="24"/>
          <w:lang w:val="en-US"/>
        </w:rPr>
        <w:t>The following terms are used in this Law:</w:t>
      </w:r>
    </w:p>
    <w:p w14:paraId="105EC825"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1) </w:t>
      </w:r>
      <w:r w:rsidRPr="00BA0F59">
        <w:rPr>
          <w:rFonts w:ascii="Times New Roman" w:hAnsi="Times New Roman"/>
          <w:b/>
          <w:noProof/>
          <w:sz w:val="24"/>
          <w:lang w:val="en-US"/>
        </w:rPr>
        <w:t>amelioration </w:t>
      </w:r>
      <w:r w:rsidRPr="00BA0F59">
        <w:rPr>
          <w:rFonts w:ascii="Times New Roman" w:hAnsi="Times New Roman"/>
          <w:noProof/>
          <w:sz w:val="24"/>
          <w:lang w:val="en-US"/>
        </w:rPr>
        <w:t>– a set of land improvement measures which mitigate the adverse climatic events and change the hydrological condition of the soil in a specific territory, and also provide protection for the infrastructure and territories against flooding;</w:t>
      </w:r>
    </w:p>
    <w:p w14:paraId="1F30E86B"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2) </w:t>
      </w:r>
      <w:r w:rsidRPr="00BA0F59">
        <w:rPr>
          <w:rFonts w:ascii="Times New Roman" w:hAnsi="Times New Roman"/>
          <w:b/>
          <w:noProof/>
          <w:sz w:val="24"/>
          <w:lang w:val="en-US"/>
        </w:rPr>
        <w:t xml:space="preserve">amelioration system </w:t>
      </w:r>
      <w:r w:rsidRPr="00BA0F59">
        <w:rPr>
          <w:rFonts w:ascii="Times New Roman" w:hAnsi="Times New Roman"/>
          <w:noProof/>
          <w:sz w:val="24"/>
          <w:lang w:val="en-US"/>
        </w:rPr>
        <w:t>– a complex of structures and installations registered in the amelioration cadastre for the regulation of groundwater regime in a specific area;</w:t>
      </w:r>
    </w:p>
    <w:p w14:paraId="32511475"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3) </w:t>
      </w:r>
      <w:r w:rsidRPr="00BA0F59">
        <w:rPr>
          <w:rFonts w:ascii="Times New Roman" w:hAnsi="Times New Roman"/>
          <w:b/>
          <w:noProof/>
          <w:sz w:val="24"/>
          <w:lang w:val="en-US"/>
        </w:rPr>
        <w:t>State amelioration system </w:t>
      </w:r>
      <w:r w:rsidRPr="00BA0F59">
        <w:rPr>
          <w:rFonts w:ascii="Times New Roman" w:hAnsi="Times New Roman"/>
          <w:noProof/>
          <w:sz w:val="24"/>
          <w:lang w:val="en-US"/>
        </w:rPr>
        <w:t>– an amelioration system belonging to the State the operation and maintenance of which is ensured by the State;</w:t>
      </w:r>
    </w:p>
    <w:p w14:paraId="6B8AA032"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4) </w:t>
      </w:r>
      <w:r w:rsidRPr="00BA0F59">
        <w:rPr>
          <w:rFonts w:ascii="Times New Roman" w:hAnsi="Times New Roman"/>
          <w:b/>
          <w:noProof/>
          <w:sz w:val="24"/>
          <w:lang w:val="en-US"/>
        </w:rPr>
        <w:t>amelioration system of national significance </w:t>
      </w:r>
      <w:r w:rsidRPr="00BA0F59">
        <w:rPr>
          <w:rFonts w:ascii="Times New Roman" w:hAnsi="Times New Roman"/>
          <w:noProof/>
          <w:sz w:val="24"/>
          <w:lang w:val="en-US"/>
        </w:rPr>
        <w:t>– an amelioration system which conforms to the criteria and parameters specified in laws and regulations and the operation and maintenance of which is ensured by the State;</w:t>
      </w:r>
    </w:p>
    <w:p w14:paraId="40309A3F"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5) </w:t>
      </w:r>
      <w:r w:rsidRPr="00BA0F59">
        <w:rPr>
          <w:rFonts w:ascii="Times New Roman" w:hAnsi="Times New Roman"/>
          <w:b/>
          <w:noProof/>
          <w:sz w:val="24"/>
          <w:lang w:val="en-US"/>
        </w:rPr>
        <w:t>local government amelioration system </w:t>
      </w:r>
      <w:r w:rsidRPr="00BA0F59">
        <w:rPr>
          <w:rFonts w:ascii="Times New Roman" w:hAnsi="Times New Roman"/>
          <w:noProof/>
          <w:sz w:val="24"/>
          <w:lang w:val="en-US"/>
        </w:rPr>
        <w:t>– an amelioration system owned by a local government the operation and maintenance of which is ensured by the local government;</w:t>
      </w:r>
    </w:p>
    <w:p w14:paraId="239A34EF"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5</w:t>
      </w:r>
      <w:r w:rsidRPr="00BA0F59">
        <w:rPr>
          <w:rFonts w:ascii="Times New Roman" w:hAnsi="Times New Roman"/>
          <w:noProof/>
          <w:sz w:val="24"/>
          <w:vertAlign w:val="superscript"/>
          <w:lang w:val="en-US"/>
        </w:rPr>
        <w:t>1</w:t>
      </w:r>
      <w:r w:rsidRPr="00BA0F59">
        <w:rPr>
          <w:rFonts w:ascii="Times New Roman" w:hAnsi="Times New Roman"/>
          <w:noProof/>
          <w:sz w:val="24"/>
          <w:lang w:val="en-US"/>
        </w:rPr>
        <w:t xml:space="preserve">) </w:t>
      </w:r>
      <w:r w:rsidRPr="00BA0F59">
        <w:rPr>
          <w:rFonts w:ascii="Times New Roman" w:hAnsi="Times New Roman"/>
          <w:b/>
          <w:bCs/>
          <w:noProof/>
          <w:sz w:val="24"/>
          <w:lang w:val="en-US"/>
        </w:rPr>
        <w:t>amelioration system of local government significance for common use </w:t>
      </w:r>
      <w:r w:rsidRPr="00BA0F59">
        <w:rPr>
          <w:rFonts w:ascii="Times New Roman" w:hAnsi="Times New Roman"/>
          <w:noProof/>
          <w:sz w:val="24"/>
          <w:lang w:val="en-US"/>
        </w:rPr>
        <w:t>–an amelioration system for common use which has a significant impact on the water regime in building territories, agricultural and forest territories, infrastructure objects (streets, roads, water management objects, local government polders) specified in the spatial plan of the local government;</w:t>
      </w:r>
    </w:p>
    <w:p w14:paraId="6DED8AB1"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6) </w:t>
      </w:r>
      <w:r w:rsidRPr="00BA0F59">
        <w:rPr>
          <w:rFonts w:ascii="Times New Roman" w:hAnsi="Times New Roman"/>
          <w:b/>
          <w:noProof/>
          <w:sz w:val="24"/>
          <w:lang w:val="en-US"/>
        </w:rPr>
        <w:t>amelioration system for common use </w:t>
      </w:r>
      <w:r w:rsidRPr="00BA0F59">
        <w:rPr>
          <w:rFonts w:ascii="Times New Roman" w:hAnsi="Times New Roman"/>
          <w:noProof/>
          <w:sz w:val="24"/>
          <w:lang w:val="en-US"/>
        </w:rPr>
        <w:t>– an amelioration system which regulates the water regime on two or more land properties or on land under legal possessions;</w:t>
      </w:r>
    </w:p>
    <w:p w14:paraId="4CEE8849"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7) </w:t>
      </w:r>
      <w:r w:rsidRPr="00BA0F59">
        <w:rPr>
          <w:rFonts w:ascii="Times New Roman" w:hAnsi="Times New Roman"/>
          <w:b/>
          <w:noProof/>
          <w:sz w:val="24"/>
          <w:lang w:val="en-US"/>
        </w:rPr>
        <w:t>amelioration system of a single property </w:t>
      </w:r>
      <w:r w:rsidRPr="00BA0F59">
        <w:rPr>
          <w:rFonts w:ascii="Times New Roman" w:hAnsi="Times New Roman"/>
          <w:noProof/>
          <w:sz w:val="24"/>
          <w:lang w:val="en-US"/>
        </w:rPr>
        <w:t>– an amelioration system which regulates the water regime on one land property;</w:t>
      </w:r>
    </w:p>
    <w:p w14:paraId="75EF2638"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8) </w:t>
      </w:r>
      <w:r w:rsidRPr="00BA0F59">
        <w:rPr>
          <w:rFonts w:ascii="Times New Roman" w:hAnsi="Times New Roman"/>
          <w:b/>
          <w:noProof/>
          <w:sz w:val="24"/>
          <w:lang w:val="en-US"/>
        </w:rPr>
        <w:t>operation of an amelioration system </w:t>
      </w:r>
      <w:r w:rsidRPr="00BA0F59">
        <w:rPr>
          <w:rFonts w:ascii="Times New Roman" w:hAnsi="Times New Roman"/>
          <w:noProof/>
          <w:sz w:val="24"/>
          <w:lang w:val="en-US"/>
        </w:rPr>
        <w:t>– use of an amelioration system for the designed purposes;</w:t>
      </w:r>
    </w:p>
    <w:p w14:paraId="729A1A0B"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9) </w:t>
      </w:r>
      <w:r w:rsidRPr="00BA0F59">
        <w:rPr>
          <w:rFonts w:ascii="Times New Roman" w:hAnsi="Times New Roman"/>
          <w:b/>
          <w:noProof/>
          <w:sz w:val="24"/>
          <w:lang w:val="en-US"/>
        </w:rPr>
        <w:t>maintenance of an amelioration system </w:t>
      </w:r>
      <w:r w:rsidRPr="00BA0F59">
        <w:rPr>
          <w:rFonts w:ascii="Times New Roman" w:hAnsi="Times New Roman"/>
          <w:noProof/>
          <w:sz w:val="24"/>
          <w:lang w:val="en-US"/>
        </w:rPr>
        <w:t>– a complex of supervision and care works of an amelioration system which ensure the operation and preservation thereof;</w:t>
      </w:r>
    </w:p>
    <w:p w14:paraId="1CE600D3"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10) </w:t>
      </w:r>
      <w:r w:rsidRPr="00BA0F59">
        <w:rPr>
          <w:rFonts w:ascii="Times New Roman" w:hAnsi="Times New Roman"/>
          <w:b/>
          <w:noProof/>
          <w:sz w:val="24"/>
          <w:lang w:val="en-US"/>
        </w:rPr>
        <w:t>ameliorative hydrometry </w:t>
      </w:r>
      <w:r w:rsidRPr="00BA0F59">
        <w:rPr>
          <w:rFonts w:ascii="Times New Roman" w:hAnsi="Times New Roman"/>
          <w:noProof/>
          <w:sz w:val="24"/>
          <w:lang w:val="en-US"/>
        </w:rPr>
        <w:t>– systematic observations and measurements of the water regime of waterways, water reservoirs and amelioration systems at hydrometrical stations, as well as the processing of the obtained data;</w:t>
      </w:r>
    </w:p>
    <w:p w14:paraId="3EBA56A0"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lastRenderedPageBreak/>
        <w:t xml:space="preserve">11) </w:t>
      </w:r>
      <w:r w:rsidRPr="00BA0F59">
        <w:rPr>
          <w:rFonts w:ascii="Times New Roman" w:hAnsi="Times New Roman"/>
          <w:b/>
          <w:noProof/>
          <w:sz w:val="24"/>
          <w:lang w:val="en-US"/>
        </w:rPr>
        <w:t>hydrometrical station </w:t>
      </w:r>
      <w:r w:rsidRPr="00BA0F59">
        <w:rPr>
          <w:rFonts w:ascii="Times New Roman" w:hAnsi="Times New Roman"/>
          <w:noProof/>
          <w:sz w:val="24"/>
          <w:lang w:val="en-US"/>
        </w:rPr>
        <w:t>– a stationary equipped place where systematic observations and measurements of the water regime of waterways, water reservoirs and amelioration systems are made.</w:t>
      </w:r>
    </w:p>
    <w:p w14:paraId="0D9A05E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June 2010; 5 June 2014; 20 October 2022</w:t>
      </w:r>
      <w:r w:rsidRPr="00BA0F59">
        <w:rPr>
          <w:rFonts w:ascii="Times New Roman" w:hAnsi="Times New Roman"/>
          <w:noProof/>
          <w:sz w:val="24"/>
          <w:lang w:val="en-US"/>
        </w:rPr>
        <w:t>]</w:t>
      </w:r>
    </w:p>
    <w:p w14:paraId="68E1373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620368"/>
      <w:bookmarkEnd w:id="4"/>
      <w:bookmarkEnd w:id="5"/>
    </w:p>
    <w:p w14:paraId="23106A6A"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 </w:t>
      </w:r>
      <w:r w:rsidRPr="00BA0F59">
        <w:rPr>
          <w:rFonts w:ascii="Times New Roman" w:hAnsi="Times New Roman"/>
          <w:noProof/>
          <w:sz w:val="24"/>
          <w:lang w:val="en-US"/>
        </w:rPr>
        <w:t>The purpose of the Law is to ensure such mechanism for the management of amelioration systems which promotes the sustainable management and use of natural resources, ensures the water regime necessary for the safety and welfare of inhabitants, development of infrastructure, as well as construction, operation, maintenance, and management of amelioration systems.</w:t>
      </w:r>
    </w:p>
    <w:p w14:paraId="47CF1CC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 30 March 2017</w:t>
      </w:r>
      <w:r w:rsidRPr="00BA0F59">
        <w:rPr>
          <w:rFonts w:ascii="Times New Roman" w:hAnsi="Times New Roman"/>
          <w:noProof/>
          <w:sz w:val="24"/>
          <w:lang w:val="en-US"/>
        </w:rPr>
        <w:t>]</w:t>
      </w:r>
    </w:p>
    <w:p w14:paraId="6F8FE7F0"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1146573"/>
      <w:bookmarkEnd w:id="6"/>
      <w:bookmarkEnd w:id="7"/>
    </w:p>
    <w:p w14:paraId="7EC1E6BB"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 </w:t>
      </w:r>
      <w:r w:rsidRPr="00BA0F59">
        <w:rPr>
          <w:rFonts w:ascii="Times New Roman" w:hAnsi="Times New Roman"/>
          <w:noProof/>
          <w:sz w:val="24"/>
          <w:lang w:val="en-US"/>
        </w:rPr>
        <w:t>The owner or legal possessor of the land has the right to perform land amelioration in conformity with the requirements laid down in the laws and regulations regarding the construction of amelioration systems and has the obligation to operate and maintain an amelioration system in accordance with the requirements of the relevant laws and regulations.</w:t>
      </w:r>
    </w:p>
    <w:p w14:paraId="6FBDA09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20 October 2022</w:t>
      </w:r>
      <w:r w:rsidRPr="00BA0F59">
        <w:rPr>
          <w:rFonts w:ascii="Times New Roman" w:hAnsi="Times New Roman"/>
          <w:noProof/>
          <w:sz w:val="24"/>
          <w:lang w:val="en-US"/>
        </w:rPr>
        <w:t>]</w:t>
      </w:r>
    </w:p>
    <w:p w14:paraId="58C5FEF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18789"/>
      <w:bookmarkEnd w:id="8"/>
      <w:bookmarkEnd w:id="9"/>
    </w:p>
    <w:p w14:paraId="3ED43D26"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b/>
          <w:noProof/>
          <w:sz w:val="24"/>
          <w:lang w:val="en-US"/>
        </w:rPr>
        <w:t>Section 4. </w:t>
      </w:r>
      <w:r w:rsidRPr="00BA0F59">
        <w:rPr>
          <w:rFonts w:ascii="Times New Roman" w:hAnsi="Times New Roman"/>
          <w:noProof/>
          <w:sz w:val="24"/>
          <w:lang w:val="en-US"/>
        </w:rPr>
        <w:t xml:space="preserve">(1) </w:t>
      </w:r>
      <w:r w:rsidRPr="00BA0F59">
        <w:rPr>
          <w:rFonts w:ascii="Times New Roman" w:hAnsi="Times New Roman"/>
          <w:i/>
          <w:iCs/>
          <w:noProof/>
          <w:sz w:val="24"/>
          <w:lang w:val="en-US"/>
        </w:rPr>
        <w:t xml:space="preserve">Valsts sabiedrība ar ierobežotu atbildību “Zemkopības ministrijas nekustamie īpašumi” </w:t>
      </w:r>
      <w:r w:rsidRPr="00BA0F59">
        <w:rPr>
          <w:rFonts w:ascii="Times New Roman" w:hAnsi="Times New Roman"/>
          <w:noProof/>
          <w:sz w:val="24"/>
          <w:lang w:val="en-US"/>
        </w:rPr>
        <w:t>[State limited liability company Immovable Properties of the Ministry of Agriculture] (hereinafter – the State limited liability company Immovable Properties of the Ministry of Agriculture) shall issue technical regulations for the following activities in ameliorated lands and exploitation protection zones around amelioration structures and installations:</w:t>
      </w:r>
    </w:p>
    <w:p w14:paraId="6F3AC3B4"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1) for the construction, movement, and rebuilding of structures and engineering communications;</w:t>
      </w:r>
    </w:p>
    <w:p w14:paraId="3C72B59F"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2) for the extraction of mineral resources;</w:t>
      </w:r>
    </w:p>
    <w:p w14:paraId="17AE5787"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3) for afforestation;</w:t>
      </w:r>
    </w:p>
    <w:p w14:paraId="16608374"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4) for the planting of woody plantations in the ameliorated agricultural land;</w:t>
      </w:r>
    </w:p>
    <w:p w14:paraId="0F9FAF78"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5) for other activities in places where it may disturb the operational regime of the amelioration system.</w:t>
      </w:r>
    </w:p>
    <w:p w14:paraId="7C1B3627"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In order to receive technical regulations the owner or legal possessor of immovable property or his or her authorised person shall submit an application to the State limited liability company Immovable Properties of the Ministry of Agriculture in which the intention is substantiated and to which a plan of the intended site of the measure in scale of 1:10 000 or higher accuracy is attached.</w:t>
      </w:r>
    </w:p>
    <w:p w14:paraId="3AF972C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(3) [5 June 2014]</w:t>
      </w:r>
    </w:p>
    <w:p w14:paraId="0EB4F278"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 xml:space="preserve">5 June 2014 </w:t>
      </w:r>
      <w:r w:rsidRPr="00BA0F59">
        <w:rPr>
          <w:rFonts w:ascii="Times New Roman" w:hAnsi="Times New Roman"/>
          <w:noProof/>
          <w:sz w:val="24"/>
          <w:lang w:val="en-US"/>
        </w:rPr>
        <w:t>/ </w:t>
      </w:r>
      <w:r w:rsidRPr="00BA0F59">
        <w:rPr>
          <w:rFonts w:ascii="Times New Roman" w:hAnsi="Times New Roman"/>
          <w:i/>
          <w:iCs/>
          <w:noProof/>
          <w:sz w:val="24"/>
          <w:lang w:val="en-US"/>
        </w:rPr>
        <w:t>See Paragraph 8 of Transitional Provisions</w:t>
      </w:r>
      <w:r w:rsidRPr="00BA0F59">
        <w:rPr>
          <w:rFonts w:ascii="Times New Roman" w:hAnsi="Times New Roman"/>
          <w:noProof/>
          <w:sz w:val="24"/>
          <w:lang w:val="en-US"/>
        </w:rPr>
        <w:t>]</w:t>
      </w:r>
    </w:p>
    <w:p w14:paraId="4EC6A59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518790"/>
      <w:bookmarkEnd w:id="10"/>
      <w:bookmarkEnd w:id="11"/>
    </w:p>
    <w:p w14:paraId="35CB239D"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5. </w:t>
      </w:r>
      <w:r w:rsidRPr="00BA0F59">
        <w:rPr>
          <w:rFonts w:ascii="Times New Roman" w:hAnsi="Times New Roman"/>
          <w:noProof/>
          <w:sz w:val="24"/>
          <w:lang w:val="en-US"/>
        </w:rPr>
        <w:t>Construction, rebuilding, or renewal of structures and engineering networks within the boundaries of ameliorated land or outside them, or in exploitation protection zones around land amelioration structures and installations may not deteriorate the groundwater regime and the operation of the amelioration system.</w:t>
      </w:r>
    </w:p>
    <w:p w14:paraId="4D2219BF"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30429AD1"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325589"/>
      <w:bookmarkEnd w:id="12"/>
      <w:bookmarkEnd w:id="13"/>
    </w:p>
    <w:p w14:paraId="063A0305"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6. </w:t>
      </w:r>
      <w:r w:rsidRPr="00BA0F59">
        <w:rPr>
          <w:rFonts w:ascii="Times New Roman" w:hAnsi="Times New Roman"/>
          <w:noProof/>
          <w:sz w:val="24"/>
          <w:lang w:val="en-US"/>
        </w:rPr>
        <w:t>Owners or legal possessors of the land shall jointly ensure the design and construction of an amelioration system for common use in accordance with the procedures laid down in laws and regulations.</w:t>
      </w:r>
    </w:p>
    <w:p w14:paraId="7A92880B"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14" w:name="p7"/>
      <w:bookmarkStart w:id="15" w:name="p-325590"/>
      <w:bookmarkEnd w:id="14"/>
      <w:bookmarkEnd w:id="15"/>
    </w:p>
    <w:p w14:paraId="6279F4CC"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7. </w:t>
      </w:r>
      <w:r w:rsidRPr="00BA0F59">
        <w:rPr>
          <w:rFonts w:ascii="Times New Roman" w:hAnsi="Times New Roman"/>
          <w:noProof/>
          <w:sz w:val="24"/>
          <w:lang w:val="en-US"/>
        </w:rPr>
        <w:t>Based on their effect on the groundwater regime, amelioration systems shall be classified as follows:</w:t>
      </w:r>
    </w:p>
    <w:p w14:paraId="7BB1180A"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1) drainage system – a complex of dedicated structures for land drainage;</w:t>
      </w:r>
    </w:p>
    <w:p w14:paraId="53F420FB"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lastRenderedPageBreak/>
        <w:t>2) irrigation system – a complex of dedicated structures and installations for land irrigation;</w:t>
      </w:r>
    </w:p>
    <w:p w14:paraId="57A22602"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3) two-way amelioration system – a drainage system which may also be also be used for land irrigation.</w:t>
      </w:r>
    </w:p>
    <w:p w14:paraId="0298F8F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8"/>
      <w:bookmarkStart w:id="17" w:name="p-518792"/>
      <w:bookmarkEnd w:id="16"/>
      <w:bookmarkEnd w:id="17"/>
    </w:p>
    <w:p w14:paraId="4194C8B8"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8. </w:t>
      </w:r>
      <w:r w:rsidRPr="00BA0F59">
        <w:rPr>
          <w:rFonts w:ascii="Times New Roman" w:hAnsi="Times New Roman"/>
          <w:noProof/>
          <w:sz w:val="24"/>
          <w:lang w:val="en-US"/>
        </w:rPr>
        <w:t>Amelioration systems shall be classified as follows according to the data of the amelioration cadastre, as well as depending on their operation and maintenance:</w:t>
      </w:r>
    </w:p>
    <w:p w14:paraId="03E50747"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1) a State amelioration system;</w:t>
      </w:r>
    </w:p>
    <w:p w14:paraId="0454DD67"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2) an amelioration system of national significance;</w:t>
      </w:r>
    </w:p>
    <w:p w14:paraId="46BE6B25"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3) a local government amelioration system;</w:t>
      </w:r>
    </w:p>
    <w:p w14:paraId="12214329" w14:textId="77777777" w:rsidR="00BA0F59" w:rsidRPr="00BA0F59" w:rsidRDefault="00BA0F59" w:rsidP="00BA0F59">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3</w:t>
      </w:r>
      <w:r w:rsidRPr="00BA0F59">
        <w:rPr>
          <w:rFonts w:ascii="Times New Roman" w:hAnsi="Times New Roman"/>
          <w:noProof/>
          <w:sz w:val="24"/>
          <w:vertAlign w:val="superscript"/>
          <w:lang w:val="en-US"/>
        </w:rPr>
        <w:t>1</w:t>
      </w:r>
      <w:r w:rsidRPr="00BA0F59">
        <w:rPr>
          <w:rFonts w:ascii="Times New Roman" w:hAnsi="Times New Roman"/>
          <w:noProof/>
          <w:sz w:val="24"/>
          <w:lang w:val="en-US"/>
        </w:rPr>
        <w:t>) an amelioration system of local government significance for common use;</w:t>
      </w:r>
    </w:p>
    <w:p w14:paraId="211A31C5"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4) an amelioration system for common use;</w:t>
      </w:r>
    </w:p>
    <w:p w14:paraId="04F41D0D"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5) an amelioration system of a single property.</w:t>
      </w:r>
    </w:p>
    <w:p w14:paraId="240B1DF8"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598966F1"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9"/>
      <w:bookmarkStart w:id="19" w:name="p-325592"/>
      <w:bookmarkEnd w:id="18"/>
      <w:bookmarkEnd w:id="19"/>
    </w:p>
    <w:p w14:paraId="073F2011"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9. </w:t>
      </w:r>
      <w:r w:rsidRPr="00BA0F59">
        <w:rPr>
          <w:rFonts w:ascii="Times New Roman" w:hAnsi="Times New Roman"/>
          <w:noProof/>
          <w:sz w:val="24"/>
          <w:lang w:val="en-US"/>
        </w:rPr>
        <w:t>The procedures for determining and reimbursing losses related to the damage to, destruction or limitation of the right to use amelioration systems shall be determined by the Cabinet.</w:t>
      </w:r>
    </w:p>
    <w:p w14:paraId="1BBDF0F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20" w:name="n2"/>
      <w:bookmarkStart w:id="21" w:name="n-325593"/>
      <w:bookmarkEnd w:id="20"/>
      <w:bookmarkEnd w:id="21"/>
    </w:p>
    <w:p w14:paraId="60D1DD77"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II</w:t>
      </w:r>
    </w:p>
    <w:p w14:paraId="6E29FEBC"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Management of an Amelioration System</w:t>
      </w:r>
    </w:p>
    <w:p w14:paraId="5C1E70B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325594"/>
      <w:bookmarkEnd w:id="22"/>
      <w:bookmarkEnd w:id="23"/>
    </w:p>
    <w:p w14:paraId="16D66D5A"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10. </w:t>
      </w:r>
      <w:r w:rsidRPr="00BA0F59">
        <w:rPr>
          <w:rFonts w:ascii="Times New Roman" w:hAnsi="Times New Roman"/>
          <w:noProof/>
          <w:sz w:val="24"/>
          <w:lang w:val="en-US"/>
        </w:rPr>
        <w:t>The construction of an amelioration system shall be controlled by the building authority of the local government.</w:t>
      </w:r>
    </w:p>
    <w:p w14:paraId="3B2DE5D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24" w:name="p11"/>
      <w:bookmarkStart w:id="25" w:name="p-325595"/>
      <w:bookmarkEnd w:id="24"/>
      <w:bookmarkEnd w:id="25"/>
    </w:p>
    <w:p w14:paraId="6AD85D1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11. </w:t>
      </w:r>
      <w:r w:rsidRPr="00BA0F59">
        <w:rPr>
          <w:rFonts w:ascii="Times New Roman" w:hAnsi="Times New Roman"/>
          <w:noProof/>
          <w:sz w:val="24"/>
          <w:lang w:val="en-US"/>
        </w:rPr>
        <w:t>The operation and maintenance of an amelioration system shall be supervised by the State and local government authorities in accordance with the procedures laid down in laws and regulations.</w:t>
      </w:r>
    </w:p>
    <w:p w14:paraId="0979688C"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26" w:name="p12"/>
      <w:bookmarkStart w:id="27" w:name="p-518794"/>
      <w:bookmarkEnd w:id="26"/>
      <w:bookmarkEnd w:id="27"/>
    </w:p>
    <w:p w14:paraId="11AC871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12. </w:t>
      </w:r>
      <w:r w:rsidRPr="00BA0F59">
        <w:rPr>
          <w:rFonts w:ascii="Times New Roman" w:hAnsi="Times New Roman"/>
          <w:noProof/>
          <w:sz w:val="24"/>
          <w:lang w:val="en-US"/>
        </w:rPr>
        <w:t>The owner or legal possessor of land shall ensure the possibility to access the amelioration structures and installations located within the boundaries of the land in his or her ownership or legal possession to officials and persons authorised or appointed thereby who control and monitor the amelioration system or perform tasks related to the inventory, construction, operation, and maintenance of the amelioration system.</w:t>
      </w:r>
    </w:p>
    <w:p w14:paraId="22C875F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7F619BE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325597"/>
      <w:bookmarkEnd w:id="28"/>
      <w:bookmarkEnd w:id="29"/>
    </w:p>
    <w:p w14:paraId="5EA6E8B3"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13. </w:t>
      </w:r>
      <w:r w:rsidRPr="00BA0F59">
        <w:rPr>
          <w:rFonts w:ascii="Times New Roman" w:hAnsi="Times New Roman"/>
          <w:noProof/>
          <w:sz w:val="24"/>
          <w:lang w:val="en-US"/>
        </w:rPr>
        <w:t>The procedures for performing ameliorative hydrometric work shall be determined by the Cabinet.</w:t>
      </w:r>
    </w:p>
    <w:p w14:paraId="4439F790"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30" w:name="p13_1"/>
      <w:bookmarkStart w:id="31" w:name="p-518795"/>
      <w:bookmarkEnd w:id="30"/>
      <w:bookmarkEnd w:id="31"/>
    </w:p>
    <w:p w14:paraId="7EDB35A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b/>
          <w:noProof/>
          <w:sz w:val="24"/>
          <w:lang w:val="en-US"/>
        </w:rPr>
        <w:t>Section 13.</w:t>
      </w:r>
      <w:r w:rsidRPr="00BA0F59">
        <w:rPr>
          <w:rFonts w:ascii="Times New Roman" w:hAnsi="Times New Roman"/>
          <w:b/>
          <w:noProof/>
          <w:sz w:val="24"/>
          <w:vertAlign w:val="superscript"/>
          <w:lang w:val="en-US"/>
        </w:rPr>
        <w:t>1 </w:t>
      </w:r>
      <w:r w:rsidRPr="00BA0F59">
        <w:rPr>
          <w:rFonts w:ascii="Times New Roman" w:hAnsi="Times New Roman"/>
          <w:noProof/>
          <w:sz w:val="24"/>
          <w:lang w:val="en-US"/>
        </w:rPr>
        <w:t>The list of State amelioration systems and amelioration systems of national significance shall be approved by the Minister for Agriculture in accordance with the laws and regulations regarding amelioration cadastre.</w:t>
      </w:r>
    </w:p>
    <w:p w14:paraId="3AA6993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2451BB50"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3"/>
      <w:bookmarkStart w:id="33" w:name="n-325598"/>
      <w:bookmarkEnd w:id="32"/>
      <w:bookmarkEnd w:id="33"/>
    </w:p>
    <w:p w14:paraId="6E8BB318"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III</w:t>
      </w:r>
    </w:p>
    <w:p w14:paraId="0062810E"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Amelioration Cadastre</w:t>
      </w:r>
    </w:p>
    <w:p w14:paraId="5DFDA7C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1146577"/>
      <w:bookmarkEnd w:id="34"/>
      <w:bookmarkEnd w:id="35"/>
    </w:p>
    <w:p w14:paraId="6719CE1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14. </w:t>
      </w:r>
      <w:r w:rsidRPr="00BA0F59">
        <w:rPr>
          <w:rFonts w:ascii="Times New Roman" w:hAnsi="Times New Roman"/>
          <w:noProof/>
          <w:sz w:val="24"/>
          <w:lang w:val="en-US"/>
        </w:rPr>
        <w:t>(1) The amelioration cadastre shall include information on any amelioration system in the ownership or legal possession of the State, local government, natural person or legal person, including data on the layout of the ameliorated land and the quantitative and qualitative condition of the amelioration system.</w:t>
      </w:r>
    </w:p>
    <w:p w14:paraId="64041FF2"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lastRenderedPageBreak/>
        <w:t>(2) Data of the State Immovable Property Cadastre Information System on borders and cadastral designation of the plot of land shall be used for the establishment and maintenance of the amelioration cadastre. Data of the State Immovable Property Cadastre Information System on the owner or legal possessor of land – the name, surname and personal identification number of a natural person or the name and registration number of a legal person – shall be used for the management of amelioration systems.</w:t>
      </w:r>
    </w:p>
    <w:p w14:paraId="0D4A6DB8"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(3) The content of the amelioration cadastre, the procedures for its establishment and maintenance, and also procedures for the exchange of information exchange shall be determined by the Cabinet.</w:t>
      </w:r>
    </w:p>
    <w:p w14:paraId="7B5FE76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30 March 2017; 20 October 2022</w:t>
      </w:r>
      <w:r w:rsidRPr="00BA0F59">
        <w:rPr>
          <w:rFonts w:ascii="Times New Roman" w:hAnsi="Times New Roman"/>
          <w:noProof/>
          <w:sz w:val="24"/>
          <w:lang w:val="en-US"/>
        </w:rPr>
        <w:t>]</w:t>
      </w:r>
    </w:p>
    <w:p w14:paraId="293D907F"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325601"/>
      <w:bookmarkEnd w:id="36"/>
      <w:bookmarkEnd w:id="37"/>
    </w:p>
    <w:p w14:paraId="39DD1A9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15. </w:t>
      </w:r>
      <w:r w:rsidRPr="00BA0F59">
        <w:rPr>
          <w:rFonts w:ascii="Times New Roman" w:hAnsi="Times New Roman"/>
          <w:noProof/>
          <w:sz w:val="24"/>
          <w:lang w:val="en-US"/>
        </w:rPr>
        <w:t>Data of the amelioration cadastre shall be maintained and updated by the State limited liability company Immovable Properties of the Ministry of Agriculture.</w:t>
      </w:r>
    </w:p>
    <w:p w14:paraId="72523DD7"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38" w:name="p16"/>
      <w:bookmarkStart w:id="39" w:name="p-1146584"/>
      <w:bookmarkEnd w:id="38"/>
      <w:bookmarkEnd w:id="39"/>
    </w:p>
    <w:p w14:paraId="581B4E4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16. </w:t>
      </w:r>
      <w:r w:rsidRPr="00BA0F59">
        <w:rPr>
          <w:rFonts w:ascii="Times New Roman" w:hAnsi="Times New Roman"/>
          <w:noProof/>
          <w:sz w:val="24"/>
          <w:lang w:val="en-US"/>
        </w:rPr>
        <w:t>(1) In order to update the amelioration cadastre:</w:t>
      </w:r>
    </w:p>
    <w:p w14:paraId="2A96C64C"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1) the State limited liability company Immovable Properties of the Ministry of Agriculture shall perform the initial inventory of the State amelioration system and the amelioration system of national significance;</w:t>
      </w:r>
    </w:p>
    <w:p w14:paraId="7542168A"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2) the owner or legal possessor of land shall perform the initial inventory of the amelioration system of a single property and an amelioration system for common use;</w:t>
      </w:r>
    </w:p>
    <w:p w14:paraId="0367B089"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3) a local government is entitled to perform inventory of the local government amelioration systems or amelioration systems of local government significance for common use located within its administrative territory. The local government shall inform in writing the owner or legal possessor of plot of land within the borders of which the respective amelioration system is located of performing the inventory one month before its performance.</w:t>
      </w:r>
    </w:p>
    <w:p w14:paraId="3BEC29B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The owner or legal possessor of land shall submit the information obtained during the inventory to the State limited liability company Immovable Properties of the Ministry of Agriculture.</w:t>
      </w:r>
    </w:p>
    <w:p w14:paraId="6E0A6425"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(3) The content of and the procedures for performing the inventory of an amelioration system, as well as the procedures for submitting and updating the data of the amelioration cadastre shall be determined by the Cabinet.</w:t>
      </w:r>
    </w:p>
    <w:p w14:paraId="1FB0BE8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20 October 2022</w:t>
      </w:r>
      <w:r w:rsidRPr="00BA0F59">
        <w:rPr>
          <w:rFonts w:ascii="Times New Roman" w:hAnsi="Times New Roman"/>
          <w:noProof/>
          <w:sz w:val="24"/>
          <w:lang w:val="en-US"/>
        </w:rPr>
        <w:t>]</w:t>
      </w:r>
    </w:p>
    <w:p w14:paraId="5A8A07D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1146589"/>
      <w:bookmarkEnd w:id="40"/>
      <w:bookmarkEnd w:id="41"/>
    </w:p>
    <w:p w14:paraId="7C5C029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b/>
          <w:noProof/>
          <w:sz w:val="24"/>
          <w:lang w:val="en-US"/>
        </w:rPr>
        <w:t>Section 17. </w:t>
      </w:r>
      <w:r w:rsidRPr="00BA0F59">
        <w:rPr>
          <w:rFonts w:ascii="Times New Roman" w:hAnsi="Times New Roman"/>
          <w:noProof/>
          <w:sz w:val="24"/>
          <w:lang w:val="en-US"/>
        </w:rPr>
        <w:t xml:space="preserve">Upon a request of the owner or legal possessor of land, local government, or </w:t>
      </w:r>
      <w:r w:rsidRPr="00BA0F59">
        <w:rPr>
          <w:rFonts w:ascii="Times New Roman" w:hAnsi="Times New Roman"/>
          <w:i/>
          <w:iCs/>
          <w:noProof/>
          <w:sz w:val="24"/>
          <w:lang w:val="en-US"/>
        </w:rPr>
        <w:t xml:space="preserve">valsts sabiedrība ar ierobežotu atbildību “Latvijas Valsts ceļi” </w:t>
      </w:r>
      <w:r w:rsidRPr="00BA0F59">
        <w:rPr>
          <w:rFonts w:ascii="Times New Roman" w:hAnsi="Times New Roman"/>
          <w:noProof/>
          <w:sz w:val="24"/>
          <w:lang w:val="en-US"/>
        </w:rPr>
        <w:t>[State limited liability company Latvians State Roads], the State limited liability company Immovable Properties of the Ministry of Agriculture shall issue to the requester a statement of the amelioration cadastre on the amelioration system or a part of the amelioration system of the plot of land.</w:t>
      </w:r>
    </w:p>
    <w:p w14:paraId="70DD721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20 October 2022</w:t>
      </w:r>
      <w:r w:rsidRPr="00BA0F59">
        <w:rPr>
          <w:rFonts w:ascii="Times New Roman" w:hAnsi="Times New Roman"/>
          <w:noProof/>
          <w:sz w:val="24"/>
          <w:lang w:val="en-US"/>
        </w:rPr>
        <w:t>]</w:t>
      </w:r>
    </w:p>
    <w:p w14:paraId="7A6EBE9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1146596"/>
      <w:bookmarkEnd w:id="42"/>
      <w:bookmarkEnd w:id="43"/>
    </w:p>
    <w:p w14:paraId="05925F6E"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18. </w:t>
      </w:r>
      <w:r w:rsidRPr="00BA0F59">
        <w:rPr>
          <w:rFonts w:ascii="Times New Roman" w:hAnsi="Times New Roman"/>
          <w:noProof/>
          <w:sz w:val="24"/>
          <w:lang w:val="en-US"/>
        </w:rPr>
        <w:t>(1) The owner or legal possessor of land shall, within a month after changes in an amelioration system, inform the State limited liability company Immovable Properties of the Ministry of Agriculture in writing of the quantitative or qualitative changes in the amelioration system which is located within the borders of the land in his or her ownership or legal possession.</w:t>
      </w:r>
    </w:p>
    <w:p w14:paraId="5B63B7D5"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A local government shall, within a month after establishment of quantitative or qualitative changes in the amelioration system of local government significance for common use, inform thereof in writing the State limited liability company Immovable Properties of the Ministry of Agriculture and the owner or legal possessor of plot of land within the border of which the respective amelioration system is located.</w:t>
      </w:r>
    </w:p>
    <w:p w14:paraId="1B903B0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20 October 2022</w:t>
      </w:r>
      <w:r w:rsidRPr="00BA0F59">
        <w:rPr>
          <w:rFonts w:ascii="Times New Roman" w:hAnsi="Times New Roman"/>
          <w:noProof/>
          <w:sz w:val="24"/>
          <w:lang w:val="en-US"/>
        </w:rPr>
        <w:t>]</w:t>
      </w:r>
    </w:p>
    <w:p w14:paraId="07361EF1"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n4"/>
      <w:bookmarkStart w:id="45" w:name="n-620371"/>
      <w:bookmarkEnd w:id="44"/>
      <w:bookmarkEnd w:id="45"/>
    </w:p>
    <w:p w14:paraId="424DC663"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lastRenderedPageBreak/>
        <w:t>Chapter IV</w:t>
      </w:r>
    </w:p>
    <w:p w14:paraId="3CC09EB4"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Construction, Operation and Maintenance of an Amelioration System</w:t>
      </w:r>
    </w:p>
    <w:p w14:paraId="449537F5" w14:textId="77777777" w:rsidR="00BA0F59" w:rsidRPr="00BA0F59" w:rsidRDefault="00BA0F59" w:rsidP="00BA0F59">
      <w:pPr>
        <w:shd w:val="clear" w:color="auto" w:fill="FFFFFF"/>
        <w:spacing w:after="0" w:line="240" w:lineRule="auto"/>
        <w:jc w:val="center"/>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30 March 2017</w:t>
      </w:r>
      <w:r w:rsidRPr="00BA0F59">
        <w:rPr>
          <w:rFonts w:ascii="Times New Roman" w:hAnsi="Times New Roman"/>
          <w:noProof/>
          <w:sz w:val="24"/>
          <w:lang w:val="en-US"/>
        </w:rPr>
        <w:t>]</w:t>
      </w:r>
    </w:p>
    <w:p w14:paraId="2B90804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9"/>
      <w:bookmarkStart w:id="47" w:name="p-518797"/>
      <w:bookmarkEnd w:id="46"/>
      <w:bookmarkEnd w:id="47"/>
    </w:p>
    <w:p w14:paraId="6197030E"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19. </w:t>
      </w:r>
      <w:r w:rsidRPr="00BA0F59">
        <w:rPr>
          <w:rFonts w:ascii="Times New Roman" w:hAnsi="Times New Roman"/>
          <w:noProof/>
          <w:sz w:val="24"/>
          <w:lang w:val="en-US"/>
        </w:rPr>
        <w:t>The State amelioration system and an amelioration system of national significance shall be constructed, maintained, and operated by the State limited liability company Immovable Properties of the Ministry of Agriculture.</w:t>
      </w:r>
    </w:p>
    <w:p w14:paraId="795D1E4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0460779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0"/>
      <w:bookmarkStart w:id="49" w:name="p-325608"/>
      <w:bookmarkEnd w:id="48"/>
      <w:bookmarkEnd w:id="49"/>
    </w:p>
    <w:p w14:paraId="03D8D35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20. </w:t>
      </w:r>
      <w:r w:rsidRPr="00BA0F59">
        <w:rPr>
          <w:rFonts w:ascii="Times New Roman" w:hAnsi="Times New Roman"/>
          <w:noProof/>
          <w:sz w:val="24"/>
          <w:lang w:val="en-US"/>
        </w:rPr>
        <w:t>Hydrometrical stations for ameliorative hydrometry shall be maintained, systematic observations, measurements and calculations shall be made therein and hydrometric data shall be made available to the public by the State limited liability company Immovable Properties of the Ministry of Agriculture.</w:t>
      </w:r>
    </w:p>
    <w:p w14:paraId="30318C20"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50" w:name="p21"/>
      <w:bookmarkStart w:id="51" w:name="p-325609"/>
      <w:bookmarkEnd w:id="50"/>
      <w:bookmarkEnd w:id="51"/>
    </w:p>
    <w:p w14:paraId="77D96C5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b/>
          <w:noProof/>
          <w:sz w:val="24"/>
          <w:lang w:val="en-US"/>
        </w:rPr>
        <w:t>Section 21. </w:t>
      </w:r>
      <w:r w:rsidRPr="00BA0F59">
        <w:rPr>
          <w:rFonts w:ascii="Times New Roman" w:hAnsi="Times New Roman"/>
          <w:noProof/>
          <w:sz w:val="24"/>
          <w:lang w:val="en-US"/>
        </w:rPr>
        <w:t xml:space="preserve">Amelioration systems on the State forest land transferred under the management of </w:t>
      </w:r>
      <w:r w:rsidRPr="00BA0F59">
        <w:rPr>
          <w:rFonts w:ascii="Times New Roman" w:hAnsi="Times New Roman"/>
          <w:i/>
          <w:iCs/>
          <w:noProof/>
          <w:sz w:val="24"/>
          <w:lang w:val="en-US"/>
        </w:rPr>
        <w:t xml:space="preserve">valsts akciju sabiedrība “Latvijas Valsts meži” </w:t>
      </w:r>
      <w:r w:rsidRPr="00BA0F59">
        <w:rPr>
          <w:rFonts w:ascii="Times New Roman" w:hAnsi="Times New Roman"/>
          <w:noProof/>
          <w:sz w:val="24"/>
          <w:lang w:val="en-US"/>
        </w:rPr>
        <w:t xml:space="preserve">[State joint-stock company Latvian State Forests], the State Forest Service and the Nature Conservation Agency shall be operated and maintained by </w:t>
      </w:r>
      <w:r w:rsidRPr="00BA0F59">
        <w:rPr>
          <w:rFonts w:ascii="Times New Roman" w:hAnsi="Times New Roman"/>
          <w:i/>
          <w:iCs/>
          <w:noProof/>
          <w:sz w:val="24"/>
          <w:lang w:val="en-US"/>
        </w:rPr>
        <w:t>valsts akciju sabiedrībs “Latvijas Valsts meži”</w:t>
      </w:r>
      <w:r w:rsidRPr="00BA0F59">
        <w:rPr>
          <w:rFonts w:ascii="Times New Roman" w:hAnsi="Times New Roman"/>
          <w:noProof/>
          <w:sz w:val="24"/>
          <w:lang w:val="en-US"/>
        </w:rPr>
        <w:t>, the State Forest Service and the Nature Conservation Agency accordingly, except for that specified in Section 19 of this Law.</w:t>
      </w:r>
    </w:p>
    <w:p w14:paraId="6B1DE85F"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2"/>
      <w:bookmarkStart w:id="53" w:name="p-518799"/>
      <w:bookmarkEnd w:id="52"/>
      <w:bookmarkEnd w:id="53"/>
    </w:p>
    <w:p w14:paraId="75686923"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22. </w:t>
      </w:r>
      <w:r w:rsidRPr="00BA0F59">
        <w:rPr>
          <w:rFonts w:ascii="Times New Roman" w:hAnsi="Times New Roman"/>
          <w:noProof/>
          <w:sz w:val="24"/>
          <w:lang w:val="en-US"/>
        </w:rPr>
        <w:t>(1) The construction, operation, and maintenance of a local government amelioration system shall be ensured by the relevant local government.</w:t>
      </w:r>
    </w:p>
    <w:p w14:paraId="419661D2"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If the local government amelioration system is located in the administrative territory of two or several local governments, they have an obligation to participate in the construction, operation, and maintenance of the local government amelioration system.</w:t>
      </w:r>
    </w:p>
    <w:p w14:paraId="413383B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7051CA51"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_1"/>
      <w:bookmarkStart w:id="55" w:name="p-518800"/>
      <w:bookmarkEnd w:id="54"/>
      <w:bookmarkEnd w:id="55"/>
    </w:p>
    <w:p w14:paraId="0CCB6B68"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22.</w:t>
      </w:r>
      <w:r w:rsidRPr="00BA0F59">
        <w:rPr>
          <w:rFonts w:ascii="Times New Roman" w:hAnsi="Times New Roman"/>
          <w:b/>
          <w:noProof/>
          <w:sz w:val="24"/>
          <w:vertAlign w:val="superscript"/>
          <w:lang w:val="en-US"/>
        </w:rPr>
        <w:t>1 </w:t>
      </w:r>
      <w:r w:rsidRPr="00BA0F59">
        <w:rPr>
          <w:rFonts w:ascii="Times New Roman" w:hAnsi="Times New Roman"/>
          <w:noProof/>
          <w:sz w:val="24"/>
          <w:lang w:val="en-US"/>
        </w:rPr>
        <w:t>(1) The construction, operation, and maintenance of an amelioration system of local government significance for common use shall be ensured by the owners or legal possessors of the relevant land. The local government may participate in the construction, operation, and maintenance of an amelioration system of local government significance for common use.</w:t>
      </w:r>
    </w:p>
    <w:p w14:paraId="72E4307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The procedures by which a local government shall participate in the construction, operation, and maintenance of an amelioration system of local government significance for common use and also the procedures by which the local government shall participate in covering the costs of construction, operation, and maintenance of an amelioration system of local government significance for common use shall be determined by the Cabinet.</w:t>
      </w:r>
    </w:p>
    <w:p w14:paraId="37256F6C"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323062AB"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2_2"/>
      <w:bookmarkStart w:id="57" w:name="p-1146603"/>
      <w:bookmarkEnd w:id="56"/>
      <w:bookmarkEnd w:id="57"/>
    </w:p>
    <w:p w14:paraId="05460B33"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22.</w:t>
      </w:r>
      <w:r w:rsidRPr="00BA0F59">
        <w:rPr>
          <w:rFonts w:ascii="Times New Roman" w:hAnsi="Times New Roman"/>
          <w:b/>
          <w:noProof/>
          <w:sz w:val="24"/>
          <w:vertAlign w:val="superscript"/>
          <w:lang w:val="en-US"/>
        </w:rPr>
        <w:t>2 </w:t>
      </w:r>
      <w:r w:rsidRPr="00BA0F59">
        <w:rPr>
          <w:rFonts w:ascii="Times New Roman" w:hAnsi="Times New Roman"/>
          <w:noProof/>
          <w:sz w:val="24"/>
          <w:lang w:val="en-US"/>
        </w:rPr>
        <w:t>(1) A local government shall decide on granting the status of an amelioration system of local government significance for common use. Before taking the decision, the local government shall agree upon the location, designations of the amelioration cadastre and length of the amelioration system for common use with the State limited liability company Immovable Properties of the Ministry of Agriculture, and shall also find out and evaluate the opinion of the owners or legal possessors of the land parcels within the border of which the amelioration system for common use is located. The decision taken may be appealed before a court in accordance with the procedures laid down in the Administrative Procedure Law. Appeal of the decision shall not suspend its operation.</w:t>
      </w:r>
    </w:p>
    <w:p w14:paraId="6B28452B"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A local government may provide additional requirements for the operation and maintenance of an amelioration system of local government significance for common use and liability for violating the aforementioned requirements in its binding regulations.</w:t>
      </w:r>
    </w:p>
    <w:p w14:paraId="02F271D2"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lastRenderedPageBreak/>
        <w:t>(3) A local government shall, within one month after the decision to grant the status of an amelioration system of local government significance for common use is taken, inform the State limited liability company Immovable Properties of the Ministry of Agriculture thereof.</w:t>
      </w:r>
    </w:p>
    <w:p w14:paraId="2A0527AF"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 30 March 2017; 20 October 2022</w:t>
      </w:r>
      <w:r w:rsidRPr="00BA0F59">
        <w:rPr>
          <w:rFonts w:ascii="Times New Roman" w:hAnsi="Times New Roman"/>
          <w:noProof/>
          <w:sz w:val="24"/>
          <w:lang w:val="en-US"/>
        </w:rPr>
        <w:t>]</w:t>
      </w:r>
    </w:p>
    <w:p w14:paraId="22D0265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3"/>
      <w:bookmarkStart w:id="59" w:name="p-325611"/>
      <w:bookmarkEnd w:id="58"/>
      <w:bookmarkEnd w:id="59"/>
    </w:p>
    <w:p w14:paraId="265C9AB3"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23. </w:t>
      </w:r>
      <w:r w:rsidRPr="00BA0F59">
        <w:rPr>
          <w:rFonts w:ascii="Times New Roman" w:hAnsi="Times New Roman"/>
          <w:noProof/>
          <w:sz w:val="24"/>
          <w:lang w:val="en-US"/>
        </w:rPr>
        <w:t>An amelioration system for common use shall be operated and maintained by the owners or legal possessors of the relevant land.</w:t>
      </w:r>
    </w:p>
    <w:p w14:paraId="49A7817F"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60" w:name="p24"/>
      <w:bookmarkStart w:id="61" w:name="p-325612"/>
      <w:bookmarkEnd w:id="60"/>
      <w:bookmarkEnd w:id="61"/>
    </w:p>
    <w:p w14:paraId="3A1FAF04"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24. </w:t>
      </w:r>
      <w:r w:rsidRPr="00BA0F59">
        <w:rPr>
          <w:rFonts w:ascii="Times New Roman" w:hAnsi="Times New Roman"/>
          <w:noProof/>
          <w:sz w:val="24"/>
          <w:lang w:val="en-US"/>
        </w:rPr>
        <w:t>An amelioration system of a single property shall be operated and maintained by the owner or legal possessor of the relevant land.</w:t>
      </w:r>
    </w:p>
    <w:p w14:paraId="6C8A0A0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62" w:name="p25"/>
      <w:bookmarkStart w:id="63" w:name="p-325613"/>
      <w:bookmarkEnd w:id="62"/>
      <w:bookmarkEnd w:id="63"/>
    </w:p>
    <w:p w14:paraId="06AFF675"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25. </w:t>
      </w:r>
      <w:r w:rsidRPr="00BA0F59">
        <w:rPr>
          <w:rFonts w:ascii="Times New Roman" w:hAnsi="Times New Roman"/>
          <w:noProof/>
          <w:sz w:val="24"/>
          <w:lang w:val="en-US"/>
        </w:rPr>
        <w:t>The Cabinet shall issue regulations regarding the operation and maintenance of an amelioration system by stipulating the requirements with which the owner or legal possessor of land must comply while using, caring for and preserving the amelioration system.</w:t>
      </w:r>
    </w:p>
    <w:p w14:paraId="278E8B4C"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64" w:name="p25_1"/>
      <w:bookmarkStart w:id="65" w:name="p-620373"/>
      <w:bookmarkEnd w:id="64"/>
      <w:bookmarkEnd w:id="65"/>
    </w:p>
    <w:p w14:paraId="22829D3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b/>
          <w:noProof/>
          <w:sz w:val="24"/>
          <w:lang w:val="en-US"/>
        </w:rPr>
        <w:t>Section 25.</w:t>
      </w:r>
      <w:r w:rsidRPr="00BA0F59">
        <w:rPr>
          <w:rFonts w:ascii="Times New Roman" w:hAnsi="Times New Roman"/>
          <w:b/>
          <w:noProof/>
          <w:sz w:val="24"/>
          <w:vertAlign w:val="superscript"/>
          <w:lang w:val="en-US"/>
        </w:rPr>
        <w:t>1 </w:t>
      </w:r>
      <w:r w:rsidRPr="00BA0F59">
        <w:rPr>
          <w:rFonts w:ascii="Times New Roman" w:hAnsi="Times New Roman"/>
          <w:noProof/>
          <w:sz w:val="24"/>
          <w:lang w:val="en-US"/>
        </w:rPr>
        <w:t>Construction intention planned in the borderland shall be agreed upon with the State Border Guard before the submission of the intention application to the building authority.</w:t>
      </w:r>
    </w:p>
    <w:p w14:paraId="07D5AF6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30 March 2017</w:t>
      </w:r>
      <w:r w:rsidRPr="00BA0F59">
        <w:rPr>
          <w:rFonts w:ascii="Times New Roman" w:hAnsi="Times New Roman"/>
          <w:noProof/>
          <w:sz w:val="24"/>
          <w:lang w:val="en-US"/>
        </w:rPr>
        <w:t>]</w:t>
      </w:r>
    </w:p>
    <w:p w14:paraId="2BB5EDC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5_2"/>
      <w:bookmarkStart w:id="67" w:name="p-1146609"/>
      <w:bookmarkEnd w:id="66"/>
      <w:bookmarkEnd w:id="67"/>
    </w:p>
    <w:p w14:paraId="7D6F1D4A"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25.</w:t>
      </w:r>
      <w:r w:rsidRPr="00BA0F59">
        <w:rPr>
          <w:rFonts w:ascii="Times New Roman" w:hAnsi="Times New Roman"/>
          <w:b/>
          <w:noProof/>
          <w:sz w:val="24"/>
          <w:vertAlign w:val="superscript"/>
          <w:lang w:val="en-US"/>
        </w:rPr>
        <w:t>2 </w:t>
      </w:r>
      <w:r w:rsidRPr="00BA0F59">
        <w:rPr>
          <w:rFonts w:ascii="Times New Roman" w:hAnsi="Times New Roman"/>
          <w:noProof/>
          <w:sz w:val="24"/>
          <w:lang w:val="en-US"/>
        </w:rPr>
        <w:t>Owners of amelioration systems have the obligation to agree upon the construction intention for an amelioration system with the owner or legal possessor of the respective land. The procedure for agreeing upon the construction intention may be replaced with the timely provision of information to the owner or legal possessor of the respective land in writing if the renewal of State amelioration systems and amelioration systems of national and local government significance is planned without changing the width of the previously determined protection zone or the size of the protection zone.</w:t>
      </w:r>
    </w:p>
    <w:p w14:paraId="2AC39CB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30 March 2017; 20 October 2022</w:t>
      </w:r>
      <w:r w:rsidRPr="00BA0F59">
        <w:rPr>
          <w:rFonts w:ascii="Times New Roman" w:hAnsi="Times New Roman"/>
          <w:noProof/>
          <w:sz w:val="24"/>
          <w:lang w:val="en-US"/>
        </w:rPr>
        <w:t>]</w:t>
      </w:r>
    </w:p>
    <w:p w14:paraId="2D5FE3A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
      <w:bookmarkStart w:id="69" w:name="n-325614"/>
      <w:bookmarkEnd w:id="68"/>
      <w:bookmarkEnd w:id="69"/>
    </w:p>
    <w:p w14:paraId="52AC9ECF"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V</w:t>
      </w:r>
    </w:p>
    <w:p w14:paraId="435546B0"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Financing of Amelioration</w:t>
      </w:r>
    </w:p>
    <w:p w14:paraId="39859F76"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6"/>
      <w:bookmarkStart w:id="71" w:name="p-344195"/>
      <w:bookmarkEnd w:id="70"/>
      <w:bookmarkEnd w:id="71"/>
    </w:p>
    <w:p w14:paraId="56433D52" w14:textId="77777777" w:rsidR="00BA0F59" w:rsidRPr="00BA0F59" w:rsidRDefault="00BA0F59" w:rsidP="00BA0F59">
      <w:pPr>
        <w:shd w:val="clear" w:color="auto" w:fill="FFFFFF"/>
        <w:spacing w:after="0" w:line="240" w:lineRule="auto"/>
        <w:jc w:val="both"/>
        <w:rPr>
          <w:rFonts w:ascii="Times New Roman" w:hAnsi="Times New Roman"/>
          <w:b/>
          <w:noProof/>
          <w:sz w:val="24"/>
          <w:lang w:val="en-US"/>
        </w:rPr>
      </w:pPr>
      <w:r w:rsidRPr="00BA0F59">
        <w:rPr>
          <w:rFonts w:ascii="Times New Roman" w:hAnsi="Times New Roman"/>
          <w:b/>
          <w:noProof/>
          <w:sz w:val="24"/>
          <w:lang w:val="en-US"/>
        </w:rPr>
        <w:t>Section 26.</w:t>
      </w:r>
    </w:p>
    <w:p w14:paraId="6C944941"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[3 June 2010]</w:t>
      </w:r>
    </w:p>
    <w:p w14:paraId="0FCB33FC"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7"/>
      <w:bookmarkStart w:id="73" w:name="p-518803"/>
      <w:bookmarkEnd w:id="72"/>
      <w:bookmarkEnd w:id="73"/>
    </w:p>
    <w:p w14:paraId="0195F74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27. </w:t>
      </w:r>
      <w:r w:rsidRPr="00BA0F59">
        <w:rPr>
          <w:rFonts w:ascii="Times New Roman" w:hAnsi="Times New Roman"/>
          <w:noProof/>
          <w:sz w:val="24"/>
          <w:lang w:val="en-US"/>
        </w:rPr>
        <w:t>The construction, rebuilding and renewal, operation and maintenance of the State amelioration system and an amelioration system of national significance shall be financed from the funds provided for this purpose in the State budget.</w:t>
      </w:r>
    </w:p>
    <w:p w14:paraId="713C497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June 2010; 5 June 2014</w:t>
      </w:r>
      <w:r w:rsidRPr="00BA0F59">
        <w:rPr>
          <w:rFonts w:ascii="Times New Roman" w:hAnsi="Times New Roman"/>
          <w:noProof/>
          <w:sz w:val="24"/>
          <w:lang w:val="en-US"/>
        </w:rPr>
        <w:t>]</w:t>
      </w:r>
    </w:p>
    <w:p w14:paraId="30DC336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8"/>
      <w:bookmarkStart w:id="75" w:name="p-325619"/>
      <w:bookmarkEnd w:id="74"/>
      <w:bookmarkEnd w:id="75"/>
    </w:p>
    <w:p w14:paraId="0AADBB1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28. </w:t>
      </w:r>
      <w:r w:rsidRPr="00BA0F59">
        <w:rPr>
          <w:rFonts w:ascii="Times New Roman" w:hAnsi="Times New Roman"/>
          <w:noProof/>
          <w:sz w:val="24"/>
          <w:lang w:val="en-US"/>
        </w:rPr>
        <w:t>The construction, operation and maintenance of a local government amelioration system shall be financed by the local government.</w:t>
      </w:r>
    </w:p>
    <w:p w14:paraId="45EEF057"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76" w:name="p29"/>
      <w:bookmarkStart w:id="77" w:name="p-518805"/>
      <w:bookmarkEnd w:id="76"/>
      <w:bookmarkEnd w:id="77"/>
    </w:p>
    <w:p w14:paraId="7A872007"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29. </w:t>
      </w:r>
      <w:r w:rsidRPr="00BA0F59">
        <w:rPr>
          <w:rFonts w:ascii="Times New Roman" w:hAnsi="Times New Roman"/>
          <w:noProof/>
          <w:sz w:val="24"/>
          <w:lang w:val="en-US"/>
        </w:rPr>
        <w:t>(1) The construction, operation and maintenance of an amelioration system for common use shall be financed by the owners or legal possessors of the relevant land according to a fixed fee.</w:t>
      </w:r>
    </w:p>
    <w:p w14:paraId="2CE4B85C"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The procedures for calculating and distributing the costs and settling the accounts for the construction, operation, and maintenance of an amelioration system for common use, amelioration system of local government significance for common use, and also such local government amelioration system and amelioration system of local government significance for common use which is located in the administrative territory of two or several local governments shall be determined by the Cabinet.</w:t>
      </w:r>
    </w:p>
    <w:p w14:paraId="5D81792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lastRenderedPageBreak/>
        <w:t>(3) In cases when an amelioration system for common use does not provide the water regime provided for in the construction norms for amelioration systems and hydrotechnical structures or creates an accident threat, the local government is entitled to ensure the financing of the construction, operation and maintenance of an amelioration system for common use by collecting payment from the owner or legal possessor of the land.</w:t>
      </w:r>
    </w:p>
    <w:p w14:paraId="4B120EA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0EC8368B"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0"/>
      <w:bookmarkStart w:id="79" w:name="p-325622"/>
      <w:bookmarkEnd w:id="78"/>
      <w:bookmarkEnd w:id="79"/>
    </w:p>
    <w:p w14:paraId="31E1363C"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30. </w:t>
      </w:r>
      <w:r w:rsidRPr="00BA0F59">
        <w:rPr>
          <w:rFonts w:ascii="Times New Roman" w:hAnsi="Times New Roman"/>
          <w:noProof/>
          <w:sz w:val="24"/>
          <w:lang w:val="en-US"/>
        </w:rPr>
        <w:t>The construction, operation and maintenance of an amelioration system of a single property shall be financed by the owner or legal possessor of the relevant land.</w:t>
      </w:r>
    </w:p>
    <w:p w14:paraId="27EA5711"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80" w:name="p31"/>
      <w:bookmarkStart w:id="81" w:name="p-325623"/>
      <w:bookmarkEnd w:id="80"/>
      <w:bookmarkEnd w:id="81"/>
    </w:p>
    <w:p w14:paraId="641AF4A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31. </w:t>
      </w:r>
      <w:r w:rsidRPr="00BA0F59">
        <w:rPr>
          <w:rFonts w:ascii="Times New Roman" w:hAnsi="Times New Roman"/>
          <w:noProof/>
          <w:sz w:val="24"/>
          <w:lang w:val="en-US"/>
        </w:rPr>
        <w:t>Ameliorative hydrometry, practical scientific research and development of amelioration, preparation of sectoral norms (standards) and organisation of the amelioration cadastre shall be financed from the funds from the State budget intended for this purpose.</w:t>
      </w:r>
    </w:p>
    <w:p w14:paraId="79287D7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82" w:name="n6"/>
      <w:bookmarkStart w:id="83" w:name="n-325624"/>
      <w:bookmarkEnd w:id="82"/>
      <w:bookmarkEnd w:id="83"/>
    </w:p>
    <w:p w14:paraId="21620D0F"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VI</w:t>
      </w:r>
    </w:p>
    <w:p w14:paraId="499BAF39"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Ameliorative Technical Documentation</w:t>
      </w:r>
    </w:p>
    <w:p w14:paraId="749DEF14"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2"/>
      <w:bookmarkStart w:id="85" w:name="p-325625"/>
      <w:bookmarkEnd w:id="84"/>
      <w:bookmarkEnd w:id="85"/>
    </w:p>
    <w:p w14:paraId="69E9B625"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32. </w:t>
      </w:r>
      <w:r w:rsidRPr="00BA0F59">
        <w:rPr>
          <w:rFonts w:ascii="Times New Roman" w:hAnsi="Times New Roman"/>
          <w:noProof/>
          <w:sz w:val="24"/>
          <w:lang w:val="en-US"/>
        </w:rPr>
        <w:t>(1) Ameliorative technical documentation shall contain the documentation of agricultural land amelioration projects, drawings of hydrotechnical structure projects (originals), documentation of drainage and polder projects, forest amelioration projects, documentation of projects for buildings and structures of undertakings in the field of amelioration, as well as documentation of different water management developments.</w:t>
      </w:r>
    </w:p>
    <w:p w14:paraId="45FD883A"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The archives of ameliorative technical documentation shall be stored by the State limited liability company Immovable Properties of the Ministry of Agriculture.</w:t>
      </w:r>
    </w:p>
    <w:p w14:paraId="2A5FEA4B"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7"/>
      <w:bookmarkStart w:id="87" w:name="n-705410"/>
      <w:bookmarkStart w:id="88" w:name="aa"/>
      <w:bookmarkEnd w:id="86"/>
      <w:bookmarkEnd w:id="87"/>
      <w:bookmarkEnd w:id="88"/>
    </w:p>
    <w:p w14:paraId="3CAC1530"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Chapter VII</w:t>
      </w:r>
    </w:p>
    <w:p w14:paraId="30B5B964"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Administrative Offences in the Field of Amelioration and Competence in Administrative Offence Proceedings</w:t>
      </w:r>
    </w:p>
    <w:p w14:paraId="4695FAD5" w14:textId="77777777" w:rsidR="00BA0F59" w:rsidRPr="00BA0F59" w:rsidRDefault="00BA0F59" w:rsidP="00BA0F59">
      <w:pPr>
        <w:shd w:val="clear" w:color="auto" w:fill="FFFFFF"/>
        <w:spacing w:after="0" w:line="240" w:lineRule="auto"/>
        <w:jc w:val="center"/>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October 2019 / Chapter shall come into force on 1 July 2020. See Paragraph 10 of Transitional Provisions</w:t>
      </w:r>
      <w:r w:rsidRPr="00BA0F59">
        <w:rPr>
          <w:rFonts w:ascii="Times New Roman" w:hAnsi="Times New Roman"/>
          <w:noProof/>
          <w:sz w:val="24"/>
          <w:lang w:val="en-US"/>
        </w:rPr>
        <w:t>]</w:t>
      </w:r>
    </w:p>
    <w:p w14:paraId="02C49E7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 w:name="p33"/>
      <w:bookmarkStart w:id="90" w:name="p-705412"/>
      <w:bookmarkEnd w:id="89"/>
      <w:bookmarkEnd w:id="90"/>
    </w:p>
    <w:p w14:paraId="4C00E478"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33. </w:t>
      </w:r>
      <w:r w:rsidRPr="00BA0F59">
        <w:rPr>
          <w:rFonts w:ascii="Times New Roman" w:hAnsi="Times New Roman"/>
          <w:noProof/>
          <w:sz w:val="24"/>
          <w:lang w:val="en-US"/>
        </w:rPr>
        <w:t>(1) For the littering, polluting, allowing to overgrow or clogging of the amelioration system, a fine from three to forty units of fine shall be imposed on a natural person, but a fine from twenty to one hundred units of fine on a legal person.</w:t>
      </w:r>
    </w:p>
    <w:p w14:paraId="5949BF3D"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For the damage to or destruction of an amelioration system, a fine from fourteen to one hundred and forty units of fine shall be imposed on a natural person, but a fine from twenty-eight to two hundred and eighty units of fine on a legal person.</w:t>
      </w:r>
    </w:p>
    <w:p w14:paraId="7D3A6A5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October 2019 / This Section shall come into force on 1 July 2020. See Paragraph 10 of Transitional Provisions</w:t>
      </w:r>
      <w:r w:rsidRPr="00BA0F59">
        <w:rPr>
          <w:rFonts w:ascii="Times New Roman" w:hAnsi="Times New Roman"/>
          <w:noProof/>
          <w:sz w:val="24"/>
          <w:lang w:val="en-US"/>
        </w:rPr>
        <w:t>]</w:t>
      </w:r>
    </w:p>
    <w:p w14:paraId="450F5E8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 w:name="p34"/>
      <w:bookmarkStart w:id="92" w:name="p-705413"/>
      <w:bookmarkEnd w:id="91"/>
      <w:bookmarkEnd w:id="92"/>
    </w:p>
    <w:p w14:paraId="79A96A47"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b/>
          <w:noProof/>
          <w:sz w:val="24"/>
          <w:lang w:val="en-US"/>
        </w:rPr>
        <w:t>Section 34. </w:t>
      </w:r>
      <w:r w:rsidRPr="00BA0F59">
        <w:rPr>
          <w:rFonts w:ascii="Times New Roman" w:hAnsi="Times New Roman"/>
          <w:noProof/>
          <w:sz w:val="24"/>
          <w:lang w:val="en-US"/>
        </w:rPr>
        <w:t>The administrative offence proceedings for the offences referred to in Section 33 of this Law shall be conducted by the official of a local government building authority or the environmental control official of the local government.</w:t>
      </w:r>
    </w:p>
    <w:p w14:paraId="735F29D0"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October 2019 / This Section shall come into force on 1 July 2020. See Paragraph 10 of Transitional Provisions</w:t>
      </w:r>
      <w:r w:rsidRPr="00BA0F59">
        <w:rPr>
          <w:rFonts w:ascii="Times New Roman" w:hAnsi="Times New Roman"/>
          <w:noProof/>
          <w:sz w:val="24"/>
          <w:lang w:val="en-US"/>
        </w:rPr>
        <w:t>]</w:t>
      </w:r>
    </w:p>
    <w:p w14:paraId="24D412DD"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 w:name="325626"/>
      <w:bookmarkEnd w:id="93"/>
    </w:p>
    <w:p w14:paraId="76E47D53" w14:textId="77777777" w:rsidR="00BA0F59" w:rsidRPr="00BA0F59" w:rsidRDefault="00BA0F59" w:rsidP="00BA0F59">
      <w:pPr>
        <w:shd w:val="clear" w:color="auto" w:fill="FFFFFF"/>
        <w:spacing w:after="0" w:line="240" w:lineRule="auto"/>
        <w:jc w:val="center"/>
        <w:rPr>
          <w:rFonts w:ascii="Times New Roman" w:hAnsi="Times New Roman"/>
          <w:b/>
          <w:noProof/>
          <w:sz w:val="24"/>
          <w:lang w:val="en-US"/>
        </w:rPr>
      </w:pPr>
      <w:r w:rsidRPr="00BA0F59">
        <w:rPr>
          <w:rFonts w:ascii="Times New Roman" w:hAnsi="Times New Roman"/>
          <w:b/>
          <w:noProof/>
          <w:sz w:val="24"/>
          <w:lang w:val="en-US"/>
        </w:rPr>
        <w:t>Transitional provisions</w:t>
      </w:r>
      <w:bookmarkStart w:id="94" w:name="pn-325626"/>
      <w:bookmarkEnd w:id="94"/>
    </w:p>
    <w:p w14:paraId="36A8DF9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325627"/>
      <w:bookmarkEnd w:id="95"/>
    </w:p>
    <w:p w14:paraId="0795DF2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1. With the coming into force of this Law, the Amelioration Law of 20 November 2003 (</w:t>
      </w:r>
      <w:r w:rsidRPr="00BA0F59">
        <w:rPr>
          <w:rFonts w:ascii="Times New Roman" w:hAnsi="Times New Roman"/>
          <w:i/>
          <w:iCs/>
          <w:noProof/>
          <w:sz w:val="24"/>
          <w:lang w:val="en-US"/>
        </w:rPr>
        <w:t>Latvijas Republikas Saeimas un Ministru Kabineta Ziņotājs</w:t>
      </w:r>
      <w:r w:rsidRPr="00BA0F59">
        <w:rPr>
          <w:rFonts w:ascii="Times New Roman" w:hAnsi="Times New Roman"/>
          <w:noProof/>
          <w:sz w:val="24"/>
          <w:lang w:val="en-US"/>
        </w:rPr>
        <w:t>, 2004, No. 2) is repealed.</w:t>
      </w:r>
      <w:bookmarkStart w:id="96" w:name="pn1"/>
      <w:bookmarkEnd w:id="96"/>
    </w:p>
    <w:p w14:paraId="1B9E78FE"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bookmarkStart w:id="97" w:name="p-344200"/>
      <w:bookmarkEnd w:id="97"/>
    </w:p>
    <w:p w14:paraId="299466FD"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2. [3 June 2010]</w:t>
      </w:r>
      <w:bookmarkStart w:id="98" w:name="pn2"/>
      <w:bookmarkEnd w:id="98"/>
    </w:p>
    <w:p w14:paraId="3D3FD306"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344201"/>
      <w:bookmarkEnd w:id="99"/>
    </w:p>
    <w:p w14:paraId="548F623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3. [3 June 2010]</w:t>
      </w:r>
      <w:bookmarkStart w:id="100" w:name="pn3"/>
      <w:bookmarkEnd w:id="100"/>
    </w:p>
    <w:p w14:paraId="1BB804C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325630"/>
      <w:bookmarkEnd w:id="101"/>
    </w:p>
    <w:p w14:paraId="7D9BA7CB"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4. The Cabinet shall issue the regulations referred to in Section 13 and Section 16, Paragraph three of this Law by 30 June 2010.</w:t>
      </w:r>
      <w:bookmarkStart w:id="102" w:name="pn4"/>
      <w:bookmarkEnd w:id="102"/>
    </w:p>
    <w:p w14:paraId="578119B8"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325631"/>
      <w:bookmarkEnd w:id="103"/>
    </w:p>
    <w:p w14:paraId="0EC4952B"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5. Until the day when the relevant Cabinet regulations come into force, but not later than until 30 June 2010, the following Cabinet regulations shall be applicable insofar as they are not in contradiction with this Law:</w:t>
      </w:r>
      <w:bookmarkStart w:id="104" w:name="pn5"/>
      <w:bookmarkEnd w:id="104"/>
    </w:p>
    <w:p w14:paraId="269B46A0"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1) Cabinet Regulation No. 272 of 8 April 2004, Regulations Regarding the Operation and Maintenance of Land Amelioration Systems;</w:t>
      </w:r>
    </w:p>
    <w:p w14:paraId="2DF11DDA"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2) Cabinet Regulation No. 520 of 1 June 2004, Procedures for the Determination and Reimbursement of Losses Related to the Damage to, Destruction or Limitation of the Right to Use Amelioration Systems;</w:t>
      </w:r>
    </w:p>
    <w:p w14:paraId="1612F0BE"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3) Cabinet Regulation No. 629 of 27 July 2004, Regulations Regarding Land Amelioration Cadastre;</w:t>
      </w:r>
    </w:p>
    <w:p w14:paraId="6FAA5381" w14:textId="77777777" w:rsidR="00BA0F59" w:rsidRPr="00BA0F59" w:rsidRDefault="00BA0F59" w:rsidP="00BA0F59">
      <w:pPr>
        <w:shd w:val="clear" w:color="auto" w:fill="FFFFFF"/>
        <w:spacing w:after="0" w:line="240" w:lineRule="auto"/>
        <w:ind w:firstLine="709"/>
        <w:jc w:val="both"/>
        <w:rPr>
          <w:rFonts w:ascii="Times New Roman" w:hAnsi="Times New Roman"/>
          <w:noProof/>
          <w:sz w:val="24"/>
          <w:lang w:val="en-US"/>
        </w:rPr>
      </w:pPr>
      <w:r w:rsidRPr="00BA0F59">
        <w:rPr>
          <w:rFonts w:ascii="Times New Roman" w:hAnsi="Times New Roman"/>
          <w:noProof/>
          <w:sz w:val="24"/>
          <w:lang w:val="en-US"/>
        </w:rPr>
        <w:t>4) Cabinet Regulation No. 662 of 3 August 2004, Procedures for Calculation of the Costs of Construction, Operation and Maintenance of Amelioration Systems for Common Use, Their Distribution and Settlement.</w:t>
      </w:r>
    </w:p>
    <w:p w14:paraId="74527BB0"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344202"/>
      <w:bookmarkEnd w:id="105"/>
    </w:p>
    <w:p w14:paraId="1B600AA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6. [3 June 2010]</w:t>
      </w:r>
      <w:bookmarkStart w:id="106" w:name="pn6"/>
      <w:bookmarkEnd w:id="106"/>
    </w:p>
    <w:p w14:paraId="4E85319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325633"/>
      <w:bookmarkEnd w:id="107"/>
    </w:p>
    <w:p w14:paraId="66CC1291"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7. With the coming into force of this Law, the Rural Support Service shall transfer and the State limited liability company Immovable Properties of the Ministry of Agriculture shall accept the amelioration cadastre and ameliorative hydrometry and all the moveable and immovable property relating to them, concurrently excluding the property from the balance of the Rural Support Service and placing it in the balance of the State limited liability company Immovable Properties of the Ministry of Agriculture.</w:t>
      </w:r>
      <w:bookmarkStart w:id="108" w:name="pn7"/>
      <w:bookmarkEnd w:id="108"/>
    </w:p>
    <w:p w14:paraId="3DF1450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518807"/>
      <w:bookmarkEnd w:id="109"/>
    </w:p>
    <w:p w14:paraId="6BF1FD26"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8. Section 4, Paragraph one, Clause 4 of this Law in relation to the issuance of technical provisions for planting of woody plantations in ameliorated land to be used for agriculture shall come into force concurrently with the relevant amendments to the Law on Agriculture and Rural Development.</w:t>
      </w:r>
      <w:bookmarkStart w:id="110" w:name="pn8"/>
      <w:bookmarkEnd w:id="110"/>
    </w:p>
    <w:p w14:paraId="3D899251"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61BEFC7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518808"/>
      <w:bookmarkEnd w:id="111"/>
    </w:p>
    <w:p w14:paraId="76E89FFF"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9. The Cabinet shall, by 31 December 2014, issue the regulations referred to in Section 22.</w:t>
      </w:r>
      <w:r w:rsidRPr="00BA0F59">
        <w:rPr>
          <w:rFonts w:ascii="Times New Roman" w:hAnsi="Times New Roman"/>
          <w:noProof/>
          <w:sz w:val="24"/>
          <w:vertAlign w:val="superscript"/>
          <w:lang w:val="en-US"/>
        </w:rPr>
        <w:t>1</w:t>
      </w:r>
      <w:r w:rsidRPr="00BA0F59">
        <w:rPr>
          <w:rFonts w:ascii="Times New Roman" w:hAnsi="Times New Roman"/>
          <w:noProof/>
          <w:sz w:val="24"/>
          <w:lang w:val="en-US"/>
        </w:rPr>
        <w:t>, Paragraph two and Section 29, Paragraph two of this Law.</w:t>
      </w:r>
      <w:bookmarkStart w:id="112" w:name="pn9"/>
      <w:bookmarkEnd w:id="112"/>
    </w:p>
    <w:p w14:paraId="554EE50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5 June 2014</w:t>
      </w:r>
      <w:r w:rsidRPr="00BA0F59">
        <w:rPr>
          <w:rFonts w:ascii="Times New Roman" w:hAnsi="Times New Roman"/>
          <w:noProof/>
          <w:sz w:val="24"/>
          <w:lang w:val="en-US"/>
        </w:rPr>
        <w:t>]</w:t>
      </w:r>
    </w:p>
    <w:p w14:paraId="4EB462CE"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705417"/>
      <w:bookmarkEnd w:id="113"/>
    </w:p>
    <w:p w14:paraId="793F53F2"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10. Chapter VII of this Law shall come into force concurrently with the Law on Administrative Liability.</w:t>
      </w:r>
      <w:bookmarkStart w:id="114" w:name="pn10"/>
      <w:bookmarkEnd w:id="114"/>
    </w:p>
    <w:p w14:paraId="0D846653"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3 October 2019</w:t>
      </w:r>
      <w:r w:rsidRPr="00BA0F59">
        <w:rPr>
          <w:rFonts w:ascii="Times New Roman" w:hAnsi="Times New Roman"/>
          <w:noProof/>
          <w:sz w:val="24"/>
          <w:lang w:val="en-US"/>
        </w:rPr>
        <w:t>]</w:t>
      </w:r>
    </w:p>
    <w:p w14:paraId="2B5637EC"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1146613"/>
      <w:bookmarkEnd w:id="115"/>
    </w:p>
    <w:p w14:paraId="25AC344C"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11. Until the immovable property is registered in the Land Register for the first time, the user of land referred to in the laws governing the land reform and privatisation is the subject of the cadastre which is entered in the State Immovable Property Cadastre Information System as the user, and data of this user are used for the management of amelioration systems. The user of land has the rights and obligations specified in Sections 12, 17, and 18, Section 22.</w:t>
      </w:r>
      <w:r w:rsidRPr="00BA0F59">
        <w:rPr>
          <w:rFonts w:ascii="Times New Roman" w:hAnsi="Times New Roman"/>
          <w:noProof/>
          <w:sz w:val="24"/>
          <w:vertAlign w:val="superscript"/>
          <w:lang w:val="en-US"/>
        </w:rPr>
        <w:t>1</w:t>
      </w:r>
      <w:r w:rsidRPr="00BA0F59">
        <w:rPr>
          <w:rFonts w:ascii="Times New Roman" w:hAnsi="Times New Roman"/>
          <w:noProof/>
          <w:sz w:val="24"/>
          <w:lang w:val="en-US"/>
        </w:rPr>
        <w:t>, Paragraph one, Section 22.</w:t>
      </w:r>
      <w:r w:rsidRPr="00BA0F59">
        <w:rPr>
          <w:rFonts w:ascii="Times New Roman" w:hAnsi="Times New Roman"/>
          <w:noProof/>
          <w:sz w:val="24"/>
          <w:vertAlign w:val="superscript"/>
          <w:lang w:val="en-US"/>
        </w:rPr>
        <w:t>2</w:t>
      </w:r>
      <w:r w:rsidRPr="00BA0F59">
        <w:rPr>
          <w:rFonts w:ascii="Times New Roman" w:hAnsi="Times New Roman"/>
          <w:noProof/>
          <w:sz w:val="24"/>
          <w:lang w:val="en-US"/>
        </w:rPr>
        <w:t>, Paragraph one, and Sections 23, 24, and 30 of this Law.</w:t>
      </w:r>
      <w:bookmarkStart w:id="116" w:name="pn11"/>
      <w:bookmarkEnd w:id="116"/>
    </w:p>
    <w:p w14:paraId="5A5F2019"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w:t>
      </w:r>
      <w:r w:rsidRPr="00BA0F59">
        <w:rPr>
          <w:rFonts w:ascii="Times New Roman" w:hAnsi="Times New Roman"/>
          <w:i/>
          <w:iCs/>
          <w:noProof/>
          <w:sz w:val="24"/>
          <w:lang w:val="en-US"/>
        </w:rPr>
        <w:t>20 October 2022</w:t>
      </w:r>
      <w:r w:rsidRPr="00BA0F59">
        <w:rPr>
          <w:rFonts w:ascii="Times New Roman" w:hAnsi="Times New Roman"/>
          <w:noProof/>
          <w:sz w:val="24"/>
          <w:lang w:val="en-US"/>
        </w:rPr>
        <w:t>]</w:t>
      </w:r>
    </w:p>
    <w:p w14:paraId="0E5F4CC8"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11452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961733"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lastRenderedPageBreak/>
        <w:t>This Law shall come into force on 25 January 2010.</w:t>
      </w:r>
    </w:p>
    <w:p w14:paraId="6704BE17"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D6BE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rPr>
      </w:pPr>
      <w:r w:rsidRPr="00BA0F59">
        <w:rPr>
          <w:rFonts w:ascii="Times New Roman" w:hAnsi="Times New Roman"/>
          <w:noProof/>
          <w:sz w:val="24"/>
          <w:lang w:val="en-US"/>
        </w:rPr>
        <w:t xml:space="preserve">This Law has been adopted by the </w:t>
      </w:r>
      <w:r w:rsidRPr="00BA0F59">
        <w:rPr>
          <w:rFonts w:ascii="Times New Roman" w:hAnsi="Times New Roman"/>
          <w:i/>
          <w:iCs/>
          <w:noProof/>
          <w:sz w:val="24"/>
          <w:lang w:val="en-US"/>
        </w:rPr>
        <w:t xml:space="preserve">Saeima </w:t>
      </w:r>
      <w:r w:rsidRPr="00BA0F59">
        <w:rPr>
          <w:rFonts w:ascii="Times New Roman" w:hAnsi="Times New Roman"/>
          <w:noProof/>
          <w:sz w:val="24"/>
          <w:lang w:val="en-US"/>
        </w:rPr>
        <w:t>on 14 January 2010.</w:t>
      </w:r>
    </w:p>
    <w:p w14:paraId="04210D7B"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EE0A2"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CC5C20" w14:textId="77777777" w:rsidR="00BA0F59" w:rsidRPr="00BA0F59" w:rsidRDefault="00BA0F59" w:rsidP="00BA0F59">
      <w:pPr>
        <w:shd w:val="clear" w:color="auto" w:fill="FFFFFF"/>
        <w:tabs>
          <w:tab w:val="left" w:pos="8080"/>
        </w:tabs>
        <w:spacing w:after="0" w:line="240" w:lineRule="auto"/>
        <w:jc w:val="both"/>
        <w:rPr>
          <w:rFonts w:ascii="Times New Roman" w:hAnsi="Times New Roman"/>
          <w:noProof/>
          <w:sz w:val="24"/>
          <w:lang w:val="en-US"/>
        </w:rPr>
      </w:pPr>
      <w:r w:rsidRPr="00BA0F59">
        <w:rPr>
          <w:rFonts w:ascii="Times New Roman" w:hAnsi="Times New Roman"/>
          <w:noProof/>
          <w:sz w:val="24"/>
          <w:lang w:val="en-US"/>
        </w:rPr>
        <w:t>President</w:t>
      </w:r>
      <w:r w:rsidRPr="00BA0F59">
        <w:rPr>
          <w:rFonts w:ascii="Times New Roman" w:hAnsi="Times New Roman"/>
          <w:noProof/>
          <w:sz w:val="24"/>
          <w:lang w:val="en-US"/>
        </w:rPr>
        <w:tab/>
        <w:t>V. Zatlers</w:t>
      </w:r>
    </w:p>
    <w:p w14:paraId="76F71715" w14:textId="77777777" w:rsidR="00BA0F59" w:rsidRPr="00BA0F59" w:rsidRDefault="00BA0F59" w:rsidP="00BA0F59">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3D8149" w14:textId="77777777" w:rsidR="00BA0F59" w:rsidRPr="00BA0F59" w:rsidRDefault="00BA0F59" w:rsidP="00BA0F59">
      <w:pPr>
        <w:shd w:val="clear" w:color="auto" w:fill="FFFFFF"/>
        <w:spacing w:after="0" w:line="240" w:lineRule="auto"/>
        <w:jc w:val="both"/>
        <w:rPr>
          <w:rFonts w:ascii="Times New Roman" w:hAnsi="Times New Roman"/>
          <w:noProof/>
          <w:sz w:val="24"/>
          <w:lang w:val="en-US"/>
        </w:rPr>
      </w:pPr>
      <w:r w:rsidRPr="00BA0F59">
        <w:rPr>
          <w:rFonts w:ascii="Times New Roman" w:hAnsi="Times New Roman"/>
          <w:noProof/>
          <w:sz w:val="24"/>
          <w:lang w:val="en-US"/>
        </w:rPr>
        <w:t>Rīga, 22 January 2010</w:t>
      </w:r>
    </w:p>
    <w:p w14:paraId="52957C59" w14:textId="77777777" w:rsidR="00BA0F59" w:rsidRPr="00BA0F59" w:rsidRDefault="00BA0F59" w:rsidP="00BA0F59">
      <w:pPr>
        <w:spacing w:after="0" w:line="240" w:lineRule="auto"/>
        <w:jc w:val="both"/>
        <w:rPr>
          <w:rFonts w:ascii="Times New Roman" w:hAnsi="Times New Roman" w:cs="Times New Roman"/>
          <w:noProof/>
          <w:sz w:val="24"/>
          <w:szCs w:val="24"/>
          <w:lang w:val="en-US"/>
        </w:rPr>
      </w:pPr>
    </w:p>
    <w:sectPr w:rsidR="00BA0F59" w:rsidRPr="00BA0F59" w:rsidSect="00853BE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193B2" w14:textId="77777777" w:rsidR="00CF1F7C" w:rsidRPr="00BA0F59" w:rsidRDefault="00CF1F7C" w:rsidP="00F8292B">
      <w:pPr>
        <w:spacing w:after="0" w:line="240" w:lineRule="auto"/>
        <w:rPr>
          <w:noProof/>
          <w:lang w:val="en-US"/>
        </w:rPr>
      </w:pPr>
      <w:r w:rsidRPr="00BA0F59">
        <w:rPr>
          <w:noProof/>
          <w:lang w:val="en-US"/>
        </w:rPr>
        <w:separator/>
      </w:r>
    </w:p>
  </w:endnote>
  <w:endnote w:type="continuationSeparator" w:id="0">
    <w:p w14:paraId="50A2C94F" w14:textId="77777777" w:rsidR="00CF1F7C" w:rsidRPr="00BA0F59" w:rsidRDefault="00CF1F7C" w:rsidP="00F8292B">
      <w:pPr>
        <w:spacing w:after="0" w:line="240" w:lineRule="auto"/>
        <w:rPr>
          <w:noProof/>
          <w:lang w:val="en-US"/>
        </w:rPr>
      </w:pPr>
      <w:r w:rsidRPr="00BA0F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EA57" w14:textId="77777777" w:rsidR="00BA0F59" w:rsidRDefault="00BA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3D935" w14:textId="77777777" w:rsidR="003F3F6B" w:rsidRPr="00BA0F59" w:rsidRDefault="003F3F6B" w:rsidP="003F3F6B">
    <w:pPr>
      <w:pStyle w:val="Footer"/>
      <w:rPr>
        <w:rFonts w:ascii="Times New Roman" w:hAnsi="Times New Roman"/>
        <w:noProof/>
        <w:sz w:val="20"/>
        <w:szCs w:val="20"/>
        <w:lang w:val="en-US"/>
      </w:rPr>
    </w:pPr>
  </w:p>
  <w:p w14:paraId="2600A9D6" w14:textId="77777777" w:rsidR="003F3F6B" w:rsidRPr="00BA0F59" w:rsidRDefault="003F3F6B" w:rsidP="003F3F6B">
    <w:pPr>
      <w:pStyle w:val="Footer"/>
      <w:framePr w:wrap="around" w:vAnchor="text" w:hAnchor="margin" w:xAlign="right" w:y="1"/>
      <w:jc w:val="right"/>
      <w:rPr>
        <w:rStyle w:val="PageNumber"/>
        <w:rFonts w:ascii="Times New Roman" w:hAnsi="Times New Roman"/>
        <w:noProof/>
        <w:sz w:val="20"/>
        <w:szCs w:val="20"/>
        <w:lang w:val="en-US"/>
      </w:rPr>
    </w:pPr>
    <w:r w:rsidRPr="00BA0F59">
      <w:rPr>
        <w:rStyle w:val="PageNumber"/>
        <w:rFonts w:ascii="Times New Roman" w:hAnsi="Times New Roman"/>
        <w:noProof/>
        <w:sz w:val="20"/>
        <w:szCs w:val="20"/>
        <w:lang w:val="en-US"/>
      </w:rPr>
      <w:fldChar w:fldCharType="begin"/>
    </w:r>
    <w:r w:rsidRPr="00BA0F59">
      <w:rPr>
        <w:rStyle w:val="PageNumber"/>
        <w:rFonts w:ascii="Times New Roman" w:hAnsi="Times New Roman"/>
        <w:noProof/>
        <w:sz w:val="20"/>
        <w:szCs w:val="20"/>
        <w:lang w:val="en-US"/>
      </w:rPr>
      <w:instrText xml:space="preserve"> PAGE </w:instrText>
    </w:r>
    <w:r w:rsidRPr="00BA0F59">
      <w:rPr>
        <w:rStyle w:val="PageNumber"/>
        <w:rFonts w:ascii="Times New Roman" w:hAnsi="Times New Roman"/>
        <w:noProof/>
        <w:sz w:val="20"/>
        <w:szCs w:val="20"/>
        <w:lang w:val="en-US"/>
      </w:rPr>
      <w:fldChar w:fldCharType="separate"/>
    </w:r>
    <w:r w:rsidRPr="00BA0F59">
      <w:rPr>
        <w:rStyle w:val="PageNumber"/>
        <w:rFonts w:ascii="Times New Roman" w:hAnsi="Times New Roman"/>
        <w:noProof/>
        <w:sz w:val="20"/>
        <w:szCs w:val="20"/>
        <w:lang w:val="en-US"/>
      </w:rPr>
      <w:t>2</w:t>
    </w:r>
    <w:r w:rsidRPr="00BA0F59">
      <w:rPr>
        <w:rStyle w:val="PageNumber"/>
        <w:rFonts w:ascii="Times New Roman" w:hAnsi="Times New Roman"/>
        <w:noProof/>
        <w:sz w:val="20"/>
        <w:szCs w:val="20"/>
        <w:lang w:val="en-US"/>
      </w:rPr>
      <w:fldChar w:fldCharType="end"/>
    </w:r>
    <w:r w:rsidRPr="00BA0F59">
      <w:rPr>
        <w:rStyle w:val="PageNumber"/>
        <w:rFonts w:ascii="Times New Roman" w:hAnsi="Times New Roman"/>
        <w:noProof/>
        <w:sz w:val="20"/>
        <w:szCs w:val="20"/>
        <w:lang w:val="en-US"/>
      </w:rPr>
      <w:t xml:space="preserve"> </w:t>
    </w:r>
  </w:p>
  <w:p w14:paraId="110960F0" w14:textId="619ED9EA" w:rsidR="00BF7354" w:rsidRPr="00BA0F59" w:rsidRDefault="003F3F6B">
    <w:pPr>
      <w:pStyle w:val="Footer"/>
      <w:rPr>
        <w:rFonts w:ascii="Times New Roman" w:hAnsi="Times New Roman"/>
        <w:noProof/>
        <w:sz w:val="20"/>
        <w:szCs w:val="20"/>
        <w:lang w:val="en-US"/>
      </w:rPr>
    </w:pPr>
    <w:r w:rsidRPr="00BA0F59">
      <w:rPr>
        <w:rFonts w:ascii="Times New Roman" w:hAnsi="Times New Roman"/>
        <w:noProof/>
        <w:sz w:val="20"/>
        <w:szCs w:val="20"/>
        <w:lang w:val="en-US"/>
      </w:rPr>
      <w:t xml:space="preserve">Translation </w:t>
    </w:r>
    <w:r w:rsidRPr="00BA0F59">
      <w:rPr>
        <w:rFonts w:ascii="Times New Roman" w:hAnsi="Times New Roman"/>
        <w:noProof/>
        <w:sz w:val="20"/>
        <w:szCs w:val="20"/>
        <w:lang w:val="en-US"/>
      </w:rPr>
      <w:fldChar w:fldCharType="begin"/>
    </w:r>
    <w:r w:rsidRPr="00BA0F59">
      <w:rPr>
        <w:rFonts w:ascii="Times New Roman" w:hAnsi="Times New Roman"/>
        <w:noProof/>
        <w:sz w:val="20"/>
        <w:szCs w:val="20"/>
        <w:lang w:val="en-US"/>
      </w:rPr>
      <w:instrText>symbol 169 \f "UnivrstyRoman TL" \s 8</w:instrText>
    </w:r>
    <w:r w:rsidRPr="00BA0F59">
      <w:rPr>
        <w:rFonts w:ascii="Times New Roman" w:hAnsi="Times New Roman"/>
        <w:noProof/>
        <w:sz w:val="20"/>
        <w:szCs w:val="20"/>
        <w:lang w:val="en-US"/>
      </w:rPr>
      <w:fldChar w:fldCharType="separate"/>
    </w:r>
    <w:r w:rsidRPr="00BA0F59">
      <w:rPr>
        <w:rFonts w:ascii="Times New Roman" w:hAnsi="Times New Roman"/>
        <w:noProof/>
        <w:sz w:val="20"/>
        <w:szCs w:val="20"/>
        <w:lang w:val="en-US"/>
      </w:rPr>
      <w:t>©</w:t>
    </w:r>
    <w:r w:rsidRPr="00BA0F59">
      <w:rPr>
        <w:rFonts w:ascii="Times New Roman" w:hAnsi="Times New Roman"/>
        <w:noProof/>
        <w:sz w:val="20"/>
        <w:szCs w:val="20"/>
        <w:lang w:val="en-US"/>
      </w:rPr>
      <w:fldChar w:fldCharType="end"/>
    </w:r>
    <w:r w:rsidRPr="00BA0F59">
      <w:rPr>
        <w:rFonts w:ascii="Times New Roman" w:hAnsi="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883A3" w14:textId="77777777" w:rsidR="00D00B8F" w:rsidRPr="00BA0F59" w:rsidRDefault="00D00B8F" w:rsidP="00D00B8F">
    <w:pPr>
      <w:pStyle w:val="Footer"/>
      <w:rPr>
        <w:rFonts w:ascii="Times New Roman" w:hAnsi="Times New Roman"/>
        <w:noProof/>
        <w:sz w:val="20"/>
        <w:szCs w:val="20"/>
        <w:vertAlign w:val="superscript"/>
        <w:lang w:val="en-US"/>
      </w:rPr>
    </w:pPr>
  </w:p>
  <w:p w14:paraId="121EB7C5" w14:textId="77777777" w:rsidR="00D00B8F" w:rsidRPr="00BA0F59" w:rsidRDefault="00D00B8F" w:rsidP="00D00B8F">
    <w:pPr>
      <w:pStyle w:val="Footer"/>
      <w:rPr>
        <w:rFonts w:ascii="Times New Roman" w:hAnsi="Times New Roman"/>
        <w:noProof/>
        <w:sz w:val="20"/>
        <w:szCs w:val="20"/>
        <w:lang w:val="en-US"/>
      </w:rPr>
    </w:pPr>
    <w:r w:rsidRPr="00BA0F59">
      <w:rPr>
        <w:rFonts w:ascii="Times New Roman" w:hAnsi="Times New Roman"/>
        <w:noProof/>
        <w:sz w:val="20"/>
        <w:szCs w:val="20"/>
        <w:vertAlign w:val="superscript"/>
        <w:lang w:val="en-US"/>
      </w:rPr>
      <w:t xml:space="preserve">1 </w:t>
    </w:r>
    <w:r w:rsidRPr="00BA0F59">
      <w:rPr>
        <w:rFonts w:ascii="Times New Roman" w:hAnsi="Times New Roman"/>
        <w:noProof/>
        <w:sz w:val="20"/>
        <w:szCs w:val="20"/>
        <w:lang w:val="en-US"/>
      </w:rPr>
      <w:t>The Parliament of the Republic of Latvia</w:t>
    </w:r>
  </w:p>
  <w:p w14:paraId="3F7CB2D8" w14:textId="77777777" w:rsidR="00D00B8F" w:rsidRPr="00BA0F59" w:rsidRDefault="00D00B8F" w:rsidP="00D00B8F">
    <w:pPr>
      <w:pStyle w:val="Footer"/>
      <w:rPr>
        <w:rFonts w:ascii="Times New Roman" w:hAnsi="Times New Roman"/>
        <w:noProof/>
        <w:sz w:val="20"/>
        <w:szCs w:val="20"/>
        <w:lang w:val="en-US"/>
      </w:rPr>
    </w:pPr>
  </w:p>
  <w:p w14:paraId="75D104F9" w14:textId="7A65EA93" w:rsidR="00BF7354" w:rsidRPr="00BA0F59" w:rsidRDefault="00D00B8F">
    <w:pPr>
      <w:pStyle w:val="Footer"/>
      <w:rPr>
        <w:rFonts w:ascii="Times New Roman" w:hAnsi="Times New Roman"/>
        <w:noProof/>
        <w:sz w:val="20"/>
        <w:szCs w:val="20"/>
        <w:lang w:val="en-US"/>
      </w:rPr>
    </w:pPr>
    <w:r w:rsidRPr="00BA0F59">
      <w:rPr>
        <w:rFonts w:ascii="Times New Roman" w:hAnsi="Times New Roman"/>
        <w:noProof/>
        <w:sz w:val="20"/>
        <w:szCs w:val="20"/>
        <w:lang w:val="en-US"/>
      </w:rPr>
      <w:t xml:space="preserve">Translation </w:t>
    </w:r>
    <w:r w:rsidRPr="00BA0F59">
      <w:rPr>
        <w:rFonts w:ascii="Times New Roman" w:hAnsi="Times New Roman"/>
        <w:noProof/>
        <w:sz w:val="20"/>
        <w:szCs w:val="20"/>
        <w:lang w:val="en-US"/>
      </w:rPr>
      <w:fldChar w:fldCharType="begin"/>
    </w:r>
    <w:r w:rsidRPr="00BA0F59">
      <w:rPr>
        <w:rFonts w:ascii="Times New Roman" w:hAnsi="Times New Roman"/>
        <w:noProof/>
        <w:sz w:val="20"/>
        <w:szCs w:val="20"/>
        <w:lang w:val="en-US"/>
      </w:rPr>
      <w:instrText>symbol 169 \f "UnivrstyRoman TL" \s 8</w:instrText>
    </w:r>
    <w:r w:rsidRPr="00BA0F59">
      <w:rPr>
        <w:rFonts w:ascii="Times New Roman" w:hAnsi="Times New Roman"/>
        <w:noProof/>
        <w:sz w:val="20"/>
        <w:szCs w:val="20"/>
        <w:lang w:val="en-US"/>
      </w:rPr>
      <w:fldChar w:fldCharType="separate"/>
    </w:r>
    <w:r w:rsidRPr="00BA0F59">
      <w:rPr>
        <w:rFonts w:ascii="Times New Roman" w:hAnsi="Times New Roman"/>
        <w:noProof/>
        <w:sz w:val="20"/>
        <w:szCs w:val="20"/>
        <w:lang w:val="en-US"/>
      </w:rPr>
      <w:t>©</w:t>
    </w:r>
    <w:r w:rsidRPr="00BA0F59">
      <w:rPr>
        <w:rFonts w:ascii="Times New Roman" w:hAnsi="Times New Roman"/>
        <w:noProof/>
        <w:sz w:val="20"/>
        <w:szCs w:val="20"/>
        <w:lang w:val="en-US"/>
      </w:rPr>
      <w:fldChar w:fldCharType="end"/>
    </w:r>
    <w:r w:rsidRPr="00BA0F59">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FEED" w14:textId="77777777" w:rsidR="00CF1F7C" w:rsidRPr="00BA0F59" w:rsidRDefault="00CF1F7C" w:rsidP="00F8292B">
      <w:pPr>
        <w:spacing w:after="0" w:line="240" w:lineRule="auto"/>
        <w:rPr>
          <w:noProof/>
          <w:lang w:val="en-US"/>
        </w:rPr>
      </w:pPr>
      <w:r w:rsidRPr="00BA0F59">
        <w:rPr>
          <w:noProof/>
          <w:lang w:val="en-US"/>
        </w:rPr>
        <w:separator/>
      </w:r>
    </w:p>
  </w:footnote>
  <w:footnote w:type="continuationSeparator" w:id="0">
    <w:p w14:paraId="4BB0FBAA" w14:textId="77777777" w:rsidR="00CF1F7C" w:rsidRPr="00BA0F59" w:rsidRDefault="00CF1F7C" w:rsidP="00F8292B">
      <w:pPr>
        <w:spacing w:after="0" w:line="240" w:lineRule="auto"/>
        <w:rPr>
          <w:noProof/>
          <w:lang w:val="en-US"/>
        </w:rPr>
      </w:pPr>
      <w:r w:rsidRPr="00BA0F5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76F1" w14:textId="77777777" w:rsidR="00BA0F59" w:rsidRDefault="00BA0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75A7" w14:textId="77777777" w:rsidR="00BA0F59" w:rsidRDefault="00BA0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249D" w14:textId="77777777" w:rsidR="00BA0F59" w:rsidRDefault="00BA0F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F0"/>
    <w:rsid w:val="00052489"/>
    <w:rsid w:val="000919E0"/>
    <w:rsid w:val="001629DD"/>
    <w:rsid w:val="001710F0"/>
    <w:rsid w:val="003E6A15"/>
    <w:rsid w:val="003E6B45"/>
    <w:rsid w:val="003F3F6B"/>
    <w:rsid w:val="004454AB"/>
    <w:rsid w:val="004E6304"/>
    <w:rsid w:val="004F61AE"/>
    <w:rsid w:val="0052147E"/>
    <w:rsid w:val="00564499"/>
    <w:rsid w:val="00581328"/>
    <w:rsid w:val="00641CE0"/>
    <w:rsid w:val="00675074"/>
    <w:rsid w:val="00772D7B"/>
    <w:rsid w:val="007C397E"/>
    <w:rsid w:val="007C4F5A"/>
    <w:rsid w:val="008411C8"/>
    <w:rsid w:val="00853BE9"/>
    <w:rsid w:val="008824E4"/>
    <w:rsid w:val="0089716F"/>
    <w:rsid w:val="00913D7A"/>
    <w:rsid w:val="00964D47"/>
    <w:rsid w:val="00994854"/>
    <w:rsid w:val="00A65E5B"/>
    <w:rsid w:val="00BA0F59"/>
    <w:rsid w:val="00BE69CA"/>
    <w:rsid w:val="00BF7354"/>
    <w:rsid w:val="00C1584D"/>
    <w:rsid w:val="00C15C0E"/>
    <w:rsid w:val="00CA469E"/>
    <w:rsid w:val="00CF1F7C"/>
    <w:rsid w:val="00D00B8F"/>
    <w:rsid w:val="00D07F48"/>
    <w:rsid w:val="00D13A9D"/>
    <w:rsid w:val="00D61025"/>
    <w:rsid w:val="00D80D82"/>
    <w:rsid w:val="00E12FC3"/>
    <w:rsid w:val="00E41EAC"/>
    <w:rsid w:val="00E651C5"/>
    <w:rsid w:val="00E87E81"/>
    <w:rsid w:val="00F22D59"/>
    <w:rsid w:val="00F3535C"/>
    <w:rsid w:val="00F81202"/>
    <w:rsid w:val="00F829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AFC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87E81"/>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E81"/>
    <w:rPr>
      <w:rFonts w:ascii="Times New Roman" w:eastAsia="Times New Roman" w:hAnsi="Times New Roman" w:cs="Times New Roman"/>
      <w:b/>
      <w:bCs/>
      <w:sz w:val="27"/>
      <w:szCs w:val="27"/>
      <w:lang w:eastAsia="lv-LV"/>
    </w:rPr>
  </w:style>
  <w:style w:type="paragraph" w:customStyle="1" w:styleId="likc">
    <w:name w:val="lik_c"/>
    <w:basedOn w:val="Normal"/>
    <w:rsid w:val="00E87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E87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87E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829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829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8292B"/>
    <w:rPr>
      <w:color w:val="0000FF"/>
      <w:u w:val="single"/>
    </w:rPr>
  </w:style>
  <w:style w:type="character" w:customStyle="1" w:styleId="fontsize2">
    <w:name w:val="fontsize2"/>
    <w:basedOn w:val="DefaultParagraphFont"/>
    <w:rsid w:val="00F8292B"/>
  </w:style>
  <w:style w:type="paragraph" w:styleId="Header">
    <w:name w:val="header"/>
    <w:basedOn w:val="Normal"/>
    <w:link w:val="HeaderChar"/>
    <w:uiPriority w:val="99"/>
    <w:unhideWhenUsed/>
    <w:rsid w:val="00F829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92B"/>
  </w:style>
  <w:style w:type="paragraph" w:styleId="Footer">
    <w:name w:val="footer"/>
    <w:basedOn w:val="Normal"/>
    <w:link w:val="FooterChar"/>
    <w:unhideWhenUsed/>
    <w:rsid w:val="00F829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92B"/>
  </w:style>
  <w:style w:type="character" w:customStyle="1" w:styleId="tvdoctopindex">
    <w:name w:val="tv_doc_top_index"/>
    <w:rsid w:val="003E6B45"/>
  </w:style>
  <w:style w:type="paragraph" w:styleId="BlockText">
    <w:name w:val="Block Text"/>
    <w:basedOn w:val="Normal"/>
    <w:rsid w:val="003E6B45"/>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3F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70113">
      <w:bodyDiv w:val="1"/>
      <w:marLeft w:val="0"/>
      <w:marRight w:val="0"/>
      <w:marTop w:val="0"/>
      <w:marBottom w:val="0"/>
      <w:divBdr>
        <w:top w:val="none" w:sz="0" w:space="0" w:color="auto"/>
        <w:left w:val="none" w:sz="0" w:space="0" w:color="auto"/>
        <w:bottom w:val="none" w:sz="0" w:space="0" w:color="auto"/>
        <w:right w:val="none" w:sz="0" w:space="0" w:color="auto"/>
      </w:divBdr>
    </w:div>
    <w:div w:id="1173688108">
      <w:bodyDiv w:val="1"/>
      <w:marLeft w:val="0"/>
      <w:marRight w:val="0"/>
      <w:marTop w:val="0"/>
      <w:marBottom w:val="0"/>
      <w:divBdr>
        <w:top w:val="none" w:sz="0" w:space="0" w:color="auto"/>
        <w:left w:val="none" w:sz="0" w:space="0" w:color="auto"/>
        <w:bottom w:val="none" w:sz="0" w:space="0" w:color="auto"/>
        <w:right w:val="none" w:sz="0" w:space="0" w:color="auto"/>
      </w:divBdr>
      <w:divsChild>
        <w:div w:id="881015247">
          <w:marLeft w:val="0"/>
          <w:marRight w:val="0"/>
          <w:marTop w:val="480"/>
          <w:marBottom w:val="240"/>
          <w:divBdr>
            <w:top w:val="none" w:sz="0" w:space="0" w:color="auto"/>
            <w:left w:val="none" w:sz="0" w:space="0" w:color="auto"/>
            <w:bottom w:val="none" w:sz="0" w:space="0" w:color="auto"/>
            <w:right w:val="none" w:sz="0" w:space="0" w:color="auto"/>
          </w:divBdr>
        </w:div>
        <w:div w:id="1258711760">
          <w:marLeft w:val="0"/>
          <w:marRight w:val="0"/>
          <w:marTop w:val="0"/>
          <w:marBottom w:val="567"/>
          <w:divBdr>
            <w:top w:val="none" w:sz="0" w:space="0" w:color="auto"/>
            <w:left w:val="none" w:sz="0" w:space="0" w:color="auto"/>
            <w:bottom w:val="none" w:sz="0" w:space="0" w:color="auto"/>
            <w:right w:val="none" w:sz="0" w:space="0" w:color="auto"/>
          </w:divBdr>
        </w:div>
        <w:div w:id="1284381403">
          <w:marLeft w:val="0"/>
          <w:marRight w:val="0"/>
          <w:marTop w:val="0"/>
          <w:marBottom w:val="0"/>
          <w:divBdr>
            <w:top w:val="none" w:sz="0" w:space="0" w:color="auto"/>
            <w:left w:val="none" w:sz="0" w:space="0" w:color="auto"/>
            <w:bottom w:val="none" w:sz="0" w:space="0" w:color="auto"/>
            <w:right w:val="none" w:sz="0" w:space="0" w:color="auto"/>
          </w:divBdr>
        </w:div>
        <w:div w:id="1145974183">
          <w:marLeft w:val="0"/>
          <w:marRight w:val="0"/>
          <w:marTop w:val="0"/>
          <w:marBottom w:val="0"/>
          <w:divBdr>
            <w:top w:val="none" w:sz="0" w:space="0" w:color="auto"/>
            <w:left w:val="none" w:sz="0" w:space="0" w:color="auto"/>
            <w:bottom w:val="none" w:sz="0" w:space="0" w:color="auto"/>
            <w:right w:val="none" w:sz="0" w:space="0" w:color="auto"/>
          </w:divBdr>
        </w:div>
        <w:div w:id="2064481388">
          <w:marLeft w:val="0"/>
          <w:marRight w:val="0"/>
          <w:marTop w:val="0"/>
          <w:marBottom w:val="0"/>
          <w:divBdr>
            <w:top w:val="none" w:sz="0" w:space="0" w:color="auto"/>
            <w:left w:val="none" w:sz="0" w:space="0" w:color="auto"/>
            <w:bottom w:val="none" w:sz="0" w:space="0" w:color="auto"/>
            <w:right w:val="none" w:sz="0" w:space="0" w:color="auto"/>
          </w:divBdr>
        </w:div>
        <w:div w:id="1714422272">
          <w:marLeft w:val="0"/>
          <w:marRight w:val="0"/>
          <w:marTop w:val="0"/>
          <w:marBottom w:val="0"/>
          <w:divBdr>
            <w:top w:val="none" w:sz="0" w:space="0" w:color="auto"/>
            <w:left w:val="none" w:sz="0" w:space="0" w:color="auto"/>
            <w:bottom w:val="none" w:sz="0" w:space="0" w:color="auto"/>
            <w:right w:val="none" w:sz="0" w:space="0" w:color="auto"/>
          </w:divBdr>
        </w:div>
        <w:div w:id="981928248">
          <w:marLeft w:val="0"/>
          <w:marRight w:val="0"/>
          <w:marTop w:val="0"/>
          <w:marBottom w:val="0"/>
          <w:divBdr>
            <w:top w:val="none" w:sz="0" w:space="0" w:color="auto"/>
            <w:left w:val="none" w:sz="0" w:space="0" w:color="auto"/>
            <w:bottom w:val="none" w:sz="0" w:space="0" w:color="auto"/>
            <w:right w:val="none" w:sz="0" w:space="0" w:color="auto"/>
          </w:divBdr>
        </w:div>
        <w:div w:id="990254096">
          <w:marLeft w:val="0"/>
          <w:marRight w:val="0"/>
          <w:marTop w:val="0"/>
          <w:marBottom w:val="0"/>
          <w:divBdr>
            <w:top w:val="none" w:sz="0" w:space="0" w:color="auto"/>
            <w:left w:val="none" w:sz="0" w:space="0" w:color="auto"/>
            <w:bottom w:val="none" w:sz="0" w:space="0" w:color="auto"/>
            <w:right w:val="none" w:sz="0" w:space="0" w:color="auto"/>
          </w:divBdr>
        </w:div>
        <w:div w:id="617027935">
          <w:marLeft w:val="0"/>
          <w:marRight w:val="0"/>
          <w:marTop w:val="0"/>
          <w:marBottom w:val="0"/>
          <w:divBdr>
            <w:top w:val="none" w:sz="0" w:space="0" w:color="auto"/>
            <w:left w:val="none" w:sz="0" w:space="0" w:color="auto"/>
            <w:bottom w:val="none" w:sz="0" w:space="0" w:color="auto"/>
            <w:right w:val="none" w:sz="0" w:space="0" w:color="auto"/>
          </w:divBdr>
        </w:div>
        <w:div w:id="1890416978">
          <w:marLeft w:val="0"/>
          <w:marRight w:val="0"/>
          <w:marTop w:val="0"/>
          <w:marBottom w:val="0"/>
          <w:divBdr>
            <w:top w:val="none" w:sz="0" w:space="0" w:color="auto"/>
            <w:left w:val="none" w:sz="0" w:space="0" w:color="auto"/>
            <w:bottom w:val="none" w:sz="0" w:space="0" w:color="auto"/>
            <w:right w:val="none" w:sz="0" w:space="0" w:color="auto"/>
          </w:divBdr>
        </w:div>
        <w:div w:id="1633630269">
          <w:marLeft w:val="0"/>
          <w:marRight w:val="0"/>
          <w:marTop w:val="0"/>
          <w:marBottom w:val="0"/>
          <w:divBdr>
            <w:top w:val="none" w:sz="0" w:space="0" w:color="auto"/>
            <w:left w:val="none" w:sz="0" w:space="0" w:color="auto"/>
            <w:bottom w:val="none" w:sz="0" w:space="0" w:color="auto"/>
            <w:right w:val="none" w:sz="0" w:space="0" w:color="auto"/>
          </w:divBdr>
        </w:div>
        <w:div w:id="253707525">
          <w:marLeft w:val="0"/>
          <w:marRight w:val="0"/>
          <w:marTop w:val="0"/>
          <w:marBottom w:val="0"/>
          <w:divBdr>
            <w:top w:val="none" w:sz="0" w:space="0" w:color="auto"/>
            <w:left w:val="none" w:sz="0" w:space="0" w:color="auto"/>
            <w:bottom w:val="none" w:sz="0" w:space="0" w:color="auto"/>
            <w:right w:val="none" w:sz="0" w:space="0" w:color="auto"/>
          </w:divBdr>
        </w:div>
        <w:div w:id="1795174976">
          <w:marLeft w:val="0"/>
          <w:marRight w:val="0"/>
          <w:marTop w:val="0"/>
          <w:marBottom w:val="0"/>
          <w:divBdr>
            <w:top w:val="none" w:sz="0" w:space="0" w:color="auto"/>
            <w:left w:val="none" w:sz="0" w:space="0" w:color="auto"/>
            <w:bottom w:val="none" w:sz="0" w:space="0" w:color="auto"/>
            <w:right w:val="none" w:sz="0" w:space="0" w:color="auto"/>
          </w:divBdr>
        </w:div>
        <w:div w:id="1310668587">
          <w:marLeft w:val="0"/>
          <w:marRight w:val="0"/>
          <w:marTop w:val="0"/>
          <w:marBottom w:val="0"/>
          <w:divBdr>
            <w:top w:val="none" w:sz="0" w:space="0" w:color="auto"/>
            <w:left w:val="none" w:sz="0" w:space="0" w:color="auto"/>
            <w:bottom w:val="none" w:sz="0" w:space="0" w:color="auto"/>
            <w:right w:val="none" w:sz="0" w:space="0" w:color="auto"/>
          </w:divBdr>
        </w:div>
        <w:div w:id="1952861069">
          <w:marLeft w:val="0"/>
          <w:marRight w:val="0"/>
          <w:marTop w:val="0"/>
          <w:marBottom w:val="0"/>
          <w:divBdr>
            <w:top w:val="none" w:sz="0" w:space="0" w:color="auto"/>
            <w:left w:val="none" w:sz="0" w:space="0" w:color="auto"/>
            <w:bottom w:val="none" w:sz="0" w:space="0" w:color="auto"/>
            <w:right w:val="none" w:sz="0" w:space="0" w:color="auto"/>
          </w:divBdr>
        </w:div>
        <w:div w:id="171260180">
          <w:marLeft w:val="0"/>
          <w:marRight w:val="0"/>
          <w:marTop w:val="0"/>
          <w:marBottom w:val="0"/>
          <w:divBdr>
            <w:top w:val="none" w:sz="0" w:space="0" w:color="auto"/>
            <w:left w:val="none" w:sz="0" w:space="0" w:color="auto"/>
            <w:bottom w:val="none" w:sz="0" w:space="0" w:color="auto"/>
            <w:right w:val="none" w:sz="0" w:space="0" w:color="auto"/>
          </w:divBdr>
        </w:div>
        <w:div w:id="1425956063">
          <w:marLeft w:val="0"/>
          <w:marRight w:val="0"/>
          <w:marTop w:val="0"/>
          <w:marBottom w:val="0"/>
          <w:divBdr>
            <w:top w:val="none" w:sz="0" w:space="0" w:color="auto"/>
            <w:left w:val="none" w:sz="0" w:space="0" w:color="auto"/>
            <w:bottom w:val="none" w:sz="0" w:space="0" w:color="auto"/>
            <w:right w:val="none" w:sz="0" w:space="0" w:color="auto"/>
          </w:divBdr>
        </w:div>
        <w:div w:id="1876578839">
          <w:marLeft w:val="0"/>
          <w:marRight w:val="0"/>
          <w:marTop w:val="0"/>
          <w:marBottom w:val="0"/>
          <w:divBdr>
            <w:top w:val="none" w:sz="0" w:space="0" w:color="auto"/>
            <w:left w:val="none" w:sz="0" w:space="0" w:color="auto"/>
            <w:bottom w:val="none" w:sz="0" w:space="0" w:color="auto"/>
            <w:right w:val="none" w:sz="0" w:space="0" w:color="auto"/>
          </w:divBdr>
        </w:div>
        <w:div w:id="1446273446">
          <w:marLeft w:val="0"/>
          <w:marRight w:val="0"/>
          <w:marTop w:val="0"/>
          <w:marBottom w:val="0"/>
          <w:divBdr>
            <w:top w:val="none" w:sz="0" w:space="0" w:color="auto"/>
            <w:left w:val="none" w:sz="0" w:space="0" w:color="auto"/>
            <w:bottom w:val="none" w:sz="0" w:space="0" w:color="auto"/>
            <w:right w:val="none" w:sz="0" w:space="0" w:color="auto"/>
          </w:divBdr>
        </w:div>
        <w:div w:id="908853874">
          <w:marLeft w:val="0"/>
          <w:marRight w:val="0"/>
          <w:marTop w:val="0"/>
          <w:marBottom w:val="0"/>
          <w:divBdr>
            <w:top w:val="none" w:sz="0" w:space="0" w:color="auto"/>
            <w:left w:val="none" w:sz="0" w:space="0" w:color="auto"/>
            <w:bottom w:val="none" w:sz="0" w:space="0" w:color="auto"/>
            <w:right w:val="none" w:sz="0" w:space="0" w:color="auto"/>
          </w:divBdr>
        </w:div>
        <w:div w:id="1445883668">
          <w:marLeft w:val="0"/>
          <w:marRight w:val="0"/>
          <w:marTop w:val="0"/>
          <w:marBottom w:val="0"/>
          <w:divBdr>
            <w:top w:val="none" w:sz="0" w:space="0" w:color="auto"/>
            <w:left w:val="none" w:sz="0" w:space="0" w:color="auto"/>
            <w:bottom w:val="none" w:sz="0" w:space="0" w:color="auto"/>
            <w:right w:val="none" w:sz="0" w:space="0" w:color="auto"/>
          </w:divBdr>
        </w:div>
        <w:div w:id="401340">
          <w:marLeft w:val="0"/>
          <w:marRight w:val="0"/>
          <w:marTop w:val="0"/>
          <w:marBottom w:val="0"/>
          <w:divBdr>
            <w:top w:val="none" w:sz="0" w:space="0" w:color="auto"/>
            <w:left w:val="none" w:sz="0" w:space="0" w:color="auto"/>
            <w:bottom w:val="none" w:sz="0" w:space="0" w:color="auto"/>
            <w:right w:val="none" w:sz="0" w:space="0" w:color="auto"/>
          </w:divBdr>
        </w:div>
        <w:div w:id="60325336">
          <w:marLeft w:val="0"/>
          <w:marRight w:val="0"/>
          <w:marTop w:val="0"/>
          <w:marBottom w:val="0"/>
          <w:divBdr>
            <w:top w:val="none" w:sz="0" w:space="0" w:color="auto"/>
            <w:left w:val="none" w:sz="0" w:space="0" w:color="auto"/>
            <w:bottom w:val="none" w:sz="0" w:space="0" w:color="auto"/>
            <w:right w:val="none" w:sz="0" w:space="0" w:color="auto"/>
          </w:divBdr>
        </w:div>
        <w:div w:id="40327450">
          <w:marLeft w:val="0"/>
          <w:marRight w:val="0"/>
          <w:marTop w:val="0"/>
          <w:marBottom w:val="0"/>
          <w:divBdr>
            <w:top w:val="none" w:sz="0" w:space="0" w:color="auto"/>
            <w:left w:val="none" w:sz="0" w:space="0" w:color="auto"/>
            <w:bottom w:val="none" w:sz="0" w:space="0" w:color="auto"/>
            <w:right w:val="none" w:sz="0" w:space="0" w:color="auto"/>
          </w:divBdr>
        </w:div>
        <w:div w:id="1586456692">
          <w:marLeft w:val="0"/>
          <w:marRight w:val="0"/>
          <w:marTop w:val="0"/>
          <w:marBottom w:val="0"/>
          <w:divBdr>
            <w:top w:val="none" w:sz="0" w:space="0" w:color="auto"/>
            <w:left w:val="none" w:sz="0" w:space="0" w:color="auto"/>
            <w:bottom w:val="none" w:sz="0" w:space="0" w:color="auto"/>
            <w:right w:val="none" w:sz="0" w:space="0" w:color="auto"/>
          </w:divBdr>
        </w:div>
        <w:div w:id="1439911061">
          <w:marLeft w:val="0"/>
          <w:marRight w:val="0"/>
          <w:marTop w:val="0"/>
          <w:marBottom w:val="0"/>
          <w:divBdr>
            <w:top w:val="none" w:sz="0" w:space="0" w:color="auto"/>
            <w:left w:val="none" w:sz="0" w:space="0" w:color="auto"/>
            <w:bottom w:val="none" w:sz="0" w:space="0" w:color="auto"/>
            <w:right w:val="none" w:sz="0" w:space="0" w:color="auto"/>
          </w:divBdr>
        </w:div>
        <w:div w:id="561253743">
          <w:marLeft w:val="0"/>
          <w:marRight w:val="0"/>
          <w:marTop w:val="0"/>
          <w:marBottom w:val="0"/>
          <w:divBdr>
            <w:top w:val="none" w:sz="0" w:space="0" w:color="auto"/>
            <w:left w:val="none" w:sz="0" w:space="0" w:color="auto"/>
            <w:bottom w:val="none" w:sz="0" w:space="0" w:color="auto"/>
            <w:right w:val="none" w:sz="0" w:space="0" w:color="auto"/>
          </w:divBdr>
        </w:div>
        <w:div w:id="1581717361">
          <w:marLeft w:val="0"/>
          <w:marRight w:val="0"/>
          <w:marTop w:val="0"/>
          <w:marBottom w:val="0"/>
          <w:divBdr>
            <w:top w:val="none" w:sz="0" w:space="0" w:color="auto"/>
            <w:left w:val="none" w:sz="0" w:space="0" w:color="auto"/>
            <w:bottom w:val="none" w:sz="0" w:space="0" w:color="auto"/>
            <w:right w:val="none" w:sz="0" w:space="0" w:color="auto"/>
          </w:divBdr>
        </w:div>
        <w:div w:id="1697120506">
          <w:marLeft w:val="0"/>
          <w:marRight w:val="0"/>
          <w:marTop w:val="0"/>
          <w:marBottom w:val="0"/>
          <w:divBdr>
            <w:top w:val="none" w:sz="0" w:space="0" w:color="auto"/>
            <w:left w:val="none" w:sz="0" w:space="0" w:color="auto"/>
            <w:bottom w:val="none" w:sz="0" w:space="0" w:color="auto"/>
            <w:right w:val="none" w:sz="0" w:space="0" w:color="auto"/>
          </w:divBdr>
        </w:div>
        <w:div w:id="140007106">
          <w:marLeft w:val="0"/>
          <w:marRight w:val="0"/>
          <w:marTop w:val="0"/>
          <w:marBottom w:val="0"/>
          <w:divBdr>
            <w:top w:val="none" w:sz="0" w:space="0" w:color="auto"/>
            <w:left w:val="none" w:sz="0" w:space="0" w:color="auto"/>
            <w:bottom w:val="none" w:sz="0" w:space="0" w:color="auto"/>
            <w:right w:val="none" w:sz="0" w:space="0" w:color="auto"/>
          </w:divBdr>
        </w:div>
        <w:div w:id="1937516728">
          <w:marLeft w:val="0"/>
          <w:marRight w:val="0"/>
          <w:marTop w:val="0"/>
          <w:marBottom w:val="0"/>
          <w:divBdr>
            <w:top w:val="none" w:sz="0" w:space="0" w:color="auto"/>
            <w:left w:val="none" w:sz="0" w:space="0" w:color="auto"/>
            <w:bottom w:val="none" w:sz="0" w:space="0" w:color="auto"/>
            <w:right w:val="none" w:sz="0" w:space="0" w:color="auto"/>
          </w:divBdr>
        </w:div>
        <w:div w:id="962492897">
          <w:marLeft w:val="0"/>
          <w:marRight w:val="0"/>
          <w:marTop w:val="0"/>
          <w:marBottom w:val="0"/>
          <w:divBdr>
            <w:top w:val="none" w:sz="0" w:space="0" w:color="auto"/>
            <w:left w:val="none" w:sz="0" w:space="0" w:color="auto"/>
            <w:bottom w:val="none" w:sz="0" w:space="0" w:color="auto"/>
            <w:right w:val="none" w:sz="0" w:space="0" w:color="auto"/>
          </w:divBdr>
        </w:div>
        <w:div w:id="1730499867">
          <w:marLeft w:val="0"/>
          <w:marRight w:val="0"/>
          <w:marTop w:val="0"/>
          <w:marBottom w:val="0"/>
          <w:divBdr>
            <w:top w:val="none" w:sz="0" w:space="0" w:color="auto"/>
            <w:left w:val="none" w:sz="0" w:space="0" w:color="auto"/>
            <w:bottom w:val="none" w:sz="0" w:space="0" w:color="auto"/>
            <w:right w:val="none" w:sz="0" w:space="0" w:color="auto"/>
          </w:divBdr>
        </w:div>
        <w:div w:id="297075043">
          <w:marLeft w:val="0"/>
          <w:marRight w:val="0"/>
          <w:marTop w:val="0"/>
          <w:marBottom w:val="0"/>
          <w:divBdr>
            <w:top w:val="none" w:sz="0" w:space="0" w:color="auto"/>
            <w:left w:val="none" w:sz="0" w:space="0" w:color="auto"/>
            <w:bottom w:val="none" w:sz="0" w:space="0" w:color="auto"/>
            <w:right w:val="none" w:sz="0" w:space="0" w:color="auto"/>
          </w:divBdr>
        </w:div>
        <w:div w:id="1053195553">
          <w:marLeft w:val="0"/>
          <w:marRight w:val="0"/>
          <w:marTop w:val="0"/>
          <w:marBottom w:val="0"/>
          <w:divBdr>
            <w:top w:val="none" w:sz="0" w:space="0" w:color="auto"/>
            <w:left w:val="none" w:sz="0" w:space="0" w:color="auto"/>
            <w:bottom w:val="none" w:sz="0" w:space="0" w:color="auto"/>
            <w:right w:val="none" w:sz="0" w:space="0" w:color="auto"/>
          </w:divBdr>
        </w:div>
        <w:div w:id="93748523">
          <w:marLeft w:val="0"/>
          <w:marRight w:val="0"/>
          <w:marTop w:val="0"/>
          <w:marBottom w:val="0"/>
          <w:divBdr>
            <w:top w:val="none" w:sz="0" w:space="0" w:color="auto"/>
            <w:left w:val="none" w:sz="0" w:space="0" w:color="auto"/>
            <w:bottom w:val="none" w:sz="0" w:space="0" w:color="auto"/>
            <w:right w:val="none" w:sz="0" w:space="0" w:color="auto"/>
          </w:divBdr>
        </w:div>
        <w:div w:id="395512768">
          <w:marLeft w:val="0"/>
          <w:marRight w:val="0"/>
          <w:marTop w:val="0"/>
          <w:marBottom w:val="0"/>
          <w:divBdr>
            <w:top w:val="none" w:sz="0" w:space="0" w:color="auto"/>
            <w:left w:val="none" w:sz="0" w:space="0" w:color="auto"/>
            <w:bottom w:val="none" w:sz="0" w:space="0" w:color="auto"/>
            <w:right w:val="none" w:sz="0" w:space="0" w:color="auto"/>
          </w:divBdr>
        </w:div>
        <w:div w:id="1562985955">
          <w:marLeft w:val="0"/>
          <w:marRight w:val="0"/>
          <w:marTop w:val="0"/>
          <w:marBottom w:val="0"/>
          <w:divBdr>
            <w:top w:val="none" w:sz="0" w:space="0" w:color="auto"/>
            <w:left w:val="none" w:sz="0" w:space="0" w:color="auto"/>
            <w:bottom w:val="none" w:sz="0" w:space="0" w:color="auto"/>
            <w:right w:val="none" w:sz="0" w:space="0" w:color="auto"/>
          </w:divBdr>
        </w:div>
        <w:div w:id="986974937">
          <w:marLeft w:val="0"/>
          <w:marRight w:val="0"/>
          <w:marTop w:val="0"/>
          <w:marBottom w:val="0"/>
          <w:divBdr>
            <w:top w:val="none" w:sz="0" w:space="0" w:color="auto"/>
            <w:left w:val="none" w:sz="0" w:space="0" w:color="auto"/>
            <w:bottom w:val="none" w:sz="0" w:space="0" w:color="auto"/>
            <w:right w:val="none" w:sz="0" w:space="0" w:color="auto"/>
          </w:divBdr>
        </w:div>
        <w:div w:id="619649732">
          <w:marLeft w:val="0"/>
          <w:marRight w:val="0"/>
          <w:marTop w:val="0"/>
          <w:marBottom w:val="0"/>
          <w:divBdr>
            <w:top w:val="none" w:sz="0" w:space="0" w:color="auto"/>
            <w:left w:val="none" w:sz="0" w:space="0" w:color="auto"/>
            <w:bottom w:val="none" w:sz="0" w:space="0" w:color="auto"/>
            <w:right w:val="none" w:sz="0" w:space="0" w:color="auto"/>
          </w:divBdr>
        </w:div>
        <w:div w:id="1738476654">
          <w:marLeft w:val="0"/>
          <w:marRight w:val="0"/>
          <w:marTop w:val="0"/>
          <w:marBottom w:val="0"/>
          <w:divBdr>
            <w:top w:val="none" w:sz="0" w:space="0" w:color="auto"/>
            <w:left w:val="none" w:sz="0" w:space="0" w:color="auto"/>
            <w:bottom w:val="none" w:sz="0" w:space="0" w:color="auto"/>
            <w:right w:val="none" w:sz="0" w:space="0" w:color="auto"/>
          </w:divBdr>
        </w:div>
        <w:div w:id="1441072600">
          <w:marLeft w:val="0"/>
          <w:marRight w:val="0"/>
          <w:marTop w:val="135"/>
          <w:marBottom w:val="0"/>
          <w:divBdr>
            <w:top w:val="none" w:sz="0" w:space="0" w:color="auto"/>
            <w:left w:val="none" w:sz="0" w:space="0" w:color="auto"/>
            <w:bottom w:val="none" w:sz="0" w:space="0" w:color="auto"/>
            <w:right w:val="none" w:sz="0" w:space="0" w:color="auto"/>
          </w:divBdr>
        </w:div>
        <w:div w:id="774252532">
          <w:marLeft w:val="0"/>
          <w:marRight w:val="0"/>
          <w:marTop w:val="0"/>
          <w:marBottom w:val="0"/>
          <w:divBdr>
            <w:top w:val="none" w:sz="0" w:space="0" w:color="auto"/>
            <w:left w:val="none" w:sz="0" w:space="0" w:color="auto"/>
            <w:bottom w:val="none" w:sz="0" w:space="0" w:color="auto"/>
            <w:right w:val="none" w:sz="0" w:space="0" w:color="auto"/>
          </w:divBdr>
        </w:div>
        <w:div w:id="1597784147">
          <w:marLeft w:val="0"/>
          <w:marRight w:val="0"/>
          <w:marTop w:val="0"/>
          <w:marBottom w:val="0"/>
          <w:divBdr>
            <w:top w:val="none" w:sz="0" w:space="0" w:color="auto"/>
            <w:left w:val="none" w:sz="0" w:space="0" w:color="auto"/>
            <w:bottom w:val="none" w:sz="0" w:space="0" w:color="auto"/>
            <w:right w:val="none" w:sz="0" w:space="0" w:color="auto"/>
          </w:divBdr>
        </w:div>
        <w:div w:id="1483692235">
          <w:marLeft w:val="0"/>
          <w:marRight w:val="0"/>
          <w:marTop w:val="0"/>
          <w:marBottom w:val="0"/>
          <w:divBdr>
            <w:top w:val="none" w:sz="0" w:space="0" w:color="auto"/>
            <w:left w:val="none" w:sz="0" w:space="0" w:color="auto"/>
            <w:bottom w:val="none" w:sz="0" w:space="0" w:color="auto"/>
            <w:right w:val="none" w:sz="0" w:space="0" w:color="auto"/>
          </w:divBdr>
        </w:div>
        <w:div w:id="2093962893">
          <w:marLeft w:val="0"/>
          <w:marRight w:val="0"/>
          <w:marTop w:val="0"/>
          <w:marBottom w:val="0"/>
          <w:divBdr>
            <w:top w:val="none" w:sz="0" w:space="0" w:color="auto"/>
            <w:left w:val="none" w:sz="0" w:space="0" w:color="auto"/>
            <w:bottom w:val="none" w:sz="0" w:space="0" w:color="auto"/>
            <w:right w:val="none" w:sz="0" w:space="0" w:color="auto"/>
          </w:divBdr>
        </w:div>
        <w:div w:id="1965311442">
          <w:marLeft w:val="0"/>
          <w:marRight w:val="0"/>
          <w:marTop w:val="0"/>
          <w:marBottom w:val="0"/>
          <w:divBdr>
            <w:top w:val="none" w:sz="0" w:space="0" w:color="auto"/>
            <w:left w:val="none" w:sz="0" w:space="0" w:color="auto"/>
            <w:bottom w:val="none" w:sz="0" w:space="0" w:color="auto"/>
            <w:right w:val="none" w:sz="0" w:space="0" w:color="auto"/>
          </w:divBdr>
        </w:div>
        <w:div w:id="436096210">
          <w:marLeft w:val="0"/>
          <w:marRight w:val="0"/>
          <w:marTop w:val="0"/>
          <w:marBottom w:val="0"/>
          <w:divBdr>
            <w:top w:val="none" w:sz="0" w:space="0" w:color="auto"/>
            <w:left w:val="none" w:sz="0" w:space="0" w:color="auto"/>
            <w:bottom w:val="none" w:sz="0" w:space="0" w:color="auto"/>
            <w:right w:val="none" w:sz="0" w:space="0" w:color="auto"/>
          </w:divBdr>
        </w:div>
        <w:div w:id="930747536">
          <w:marLeft w:val="0"/>
          <w:marRight w:val="0"/>
          <w:marTop w:val="0"/>
          <w:marBottom w:val="0"/>
          <w:divBdr>
            <w:top w:val="none" w:sz="0" w:space="0" w:color="auto"/>
            <w:left w:val="none" w:sz="0" w:space="0" w:color="auto"/>
            <w:bottom w:val="none" w:sz="0" w:space="0" w:color="auto"/>
            <w:right w:val="none" w:sz="0" w:space="0" w:color="auto"/>
          </w:divBdr>
        </w:div>
        <w:div w:id="1727289570">
          <w:marLeft w:val="0"/>
          <w:marRight w:val="0"/>
          <w:marTop w:val="0"/>
          <w:marBottom w:val="0"/>
          <w:divBdr>
            <w:top w:val="none" w:sz="0" w:space="0" w:color="auto"/>
            <w:left w:val="none" w:sz="0" w:space="0" w:color="auto"/>
            <w:bottom w:val="none" w:sz="0" w:space="0" w:color="auto"/>
            <w:right w:val="none" w:sz="0" w:space="0" w:color="auto"/>
          </w:divBdr>
        </w:div>
        <w:div w:id="2024893495">
          <w:marLeft w:val="0"/>
          <w:marRight w:val="0"/>
          <w:marTop w:val="0"/>
          <w:marBottom w:val="0"/>
          <w:divBdr>
            <w:top w:val="none" w:sz="0" w:space="0" w:color="auto"/>
            <w:left w:val="none" w:sz="0" w:space="0" w:color="auto"/>
            <w:bottom w:val="none" w:sz="0" w:space="0" w:color="auto"/>
            <w:right w:val="none" w:sz="0" w:space="0" w:color="auto"/>
          </w:divBdr>
        </w:div>
        <w:div w:id="612516235">
          <w:marLeft w:val="0"/>
          <w:marRight w:val="0"/>
          <w:marTop w:val="0"/>
          <w:marBottom w:val="0"/>
          <w:divBdr>
            <w:top w:val="none" w:sz="0" w:space="0" w:color="auto"/>
            <w:left w:val="none" w:sz="0" w:space="0" w:color="auto"/>
            <w:bottom w:val="none" w:sz="0" w:space="0" w:color="auto"/>
            <w:right w:val="none" w:sz="0" w:space="0" w:color="auto"/>
          </w:divBdr>
        </w:div>
        <w:div w:id="321783021">
          <w:marLeft w:val="0"/>
          <w:marRight w:val="0"/>
          <w:marTop w:val="0"/>
          <w:marBottom w:val="0"/>
          <w:divBdr>
            <w:top w:val="none" w:sz="0" w:space="0" w:color="auto"/>
            <w:left w:val="none" w:sz="0" w:space="0" w:color="auto"/>
            <w:bottom w:val="none" w:sz="0" w:space="0" w:color="auto"/>
            <w:right w:val="none" w:sz="0" w:space="0" w:color="auto"/>
          </w:divBdr>
        </w:div>
        <w:div w:id="90050436">
          <w:marLeft w:val="0"/>
          <w:marRight w:val="0"/>
          <w:marTop w:val="567"/>
          <w:marBottom w:val="0"/>
          <w:divBdr>
            <w:top w:val="none" w:sz="0" w:space="0" w:color="auto"/>
            <w:left w:val="none" w:sz="0" w:space="0" w:color="auto"/>
            <w:bottom w:val="none" w:sz="0" w:space="0" w:color="auto"/>
            <w:right w:val="none" w:sz="0" w:space="0" w:color="auto"/>
          </w:divBdr>
        </w:div>
        <w:div w:id="928198513">
          <w:marLeft w:val="0"/>
          <w:marRight w:val="0"/>
          <w:marTop w:val="240"/>
          <w:marBottom w:val="0"/>
          <w:divBdr>
            <w:top w:val="none" w:sz="0" w:space="0" w:color="auto"/>
            <w:left w:val="none" w:sz="0" w:space="0" w:color="auto"/>
            <w:bottom w:val="none" w:sz="0" w:space="0" w:color="auto"/>
            <w:right w:val="none" w:sz="0" w:space="0" w:color="auto"/>
          </w:divBdr>
        </w:div>
        <w:div w:id="7133074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B93A2-4956-4CAF-A32C-C706F1D8931D}">
  <ds:schemaRefs>
    <ds:schemaRef ds:uri="http://schemas.microsoft.com/sharepoint/v3/contenttype/forms"/>
  </ds:schemaRefs>
</ds:datastoreItem>
</file>

<file path=customXml/itemProps2.xml><?xml version="1.0" encoding="utf-8"?>
<ds:datastoreItem xmlns:ds="http://schemas.openxmlformats.org/officeDocument/2006/customXml" ds:itemID="{CBEA08A5-B73F-4E68-A5B6-26C47A0C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15315</Words>
  <Characters>8730</Characters>
  <Application>Microsoft Office Word</Application>
  <DocSecurity>0</DocSecurity>
  <Lines>72</Lines>
  <Paragraphs>47</Paragraphs>
  <ScaleCrop>false</ScaleCrop>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2023-03-30T13:47:00Z</dcterms:created>
  <dcterms:modified xsi:type="dcterms:W3CDTF">2023-05-08T05:38:00Z</dcterms:modified>
</cp:coreProperties>
</file>