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F392" w14:textId="2E576179" w:rsidR="008C5E0B" w:rsidRPr="00BC0F12" w:rsidRDefault="0014734C" w:rsidP="005429AA">
      <w:pPr>
        <w:pStyle w:val="Body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BB42D90" wp14:editId="79B21E66">
            <wp:extent cx="1806574" cy="662304"/>
            <wp:effectExtent l="0" t="0" r="0" b="0"/>
            <wp:docPr id="1" name="image1.png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4" cy="66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912D0" w14:textId="77777777" w:rsidR="0014734C" w:rsidRPr="00BC0F12" w:rsidRDefault="0014734C" w:rsidP="005429AA">
      <w:pPr>
        <w:jc w:val="both"/>
        <w:rPr>
          <w:rFonts w:ascii="Times New Roman" w:hAnsi="Times New Roman"/>
          <w:sz w:val="24"/>
          <w:lang w:val="en-GB"/>
        </w:rPr>
      </w:pPr>
    </w:p>
    <w:p w14:paraId="2E3D0582" w14:textId="1EFE41A5" w:rsidR="008C5E0B" w:rsidRPr="00BC0F12" w:rsidRDefault="008C5E0B" w:rsidP="0014734C">
      <w:pPr>
        <w:jc w:val="center"/>
        <w:rPr>
          <w:rFonts w:ascii="Times New Roman" w:hAnsi="Times New Roman"/>
          <w:b/>
          <w:bCs/>
          <w:sz w:val="32"/>
          <w:szCs w:val="26"/>
        </w:rPr>
      </w:pPr>
      <w:proofErr w:type="spellStart"/>
      <w:r>
        <w:rPr>
          <w:rFonts w:ascii="Times New Roman" w:hAnsi="Times New Roman"/>
          <w:b/>
          <w:i/>
          <w:iCs/>
          <w:sz w:val="32"/>
        </w:rPr>
        <w:t>WADA</w:t>
      </w:r>
      <w:proofErr w:type="spellEnd"/>
      <w:r>
        <w:rPr>
          <w:rFonts w:ascii="Times New Roman" w:hAnsi="Times New Roman"/>
          <w:b/>
          <w:sz w:val="32"/>
        </w:rPr>
        <w:t xml:space="preserve"> tehniskais dokuments – </w:t>
      </w:r>
      <w:proofErr w:type="spellStart"/>
      <w:r>
        <w:rPr>
          <w:rFonts w:ascii="Times New Roman" w:hAnsi="Times New Roman"/>
          <w:b/>
          <w:sz w:val="32"/>
        </w:rPr>
        <w:t>TD2023DBS</w:t>
      </w:r>
      <w:proofErr w:type="spellEnd"/>
    </w:p>
    <w:p w14:paraId="7B72CE99" w14:textId="63C87346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1941DB" w:rsidRPr="00BC0F12" w14:paraId="25A023BF" w14:textId="77777777" w:rsidTr="001941DB">
        <w:trPr>
          <w:trHeight w:val="258"/>
        </w:trPr>
        <w:tc>
          <w:tcPr>
            <w:tcW w:w="1250" w:type="pct"/>
          </w:tcPr>
          <w:p w14:paraId="2ADDED71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Dokumenta numurs:</w:t>
            </w:r>
          </w:p>
        </w:tc>
        <w:tc>
          <w:tcPr>
            <w:tcW w:w="1250" w:type="pct"/>
          </w:tcPr>
          <w:p w14:paraId="1EEAC3D9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TD2023DBS</w:t>
            </w:r>
            <w:proofErr w:type="spellEnd"/>
          </w:p>
        </w:tc>
        <w:tc>
          <w:tcPr>
            <w:tcW w:w="1250" w:type="pct"/>
          </w:tcPr>
          <w:p w14:paraId="2F680D5C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Versijas numurs:</w:t>
            </w:r>
          </w:p>
        </w:tc>
        <w:tc>
          <w:tcPr>
            <w:tcW w:w="1250" w:type="pct"/>
          </w:tcPr>
          <w:p w14:paraId="45D55EBC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1.0</w:t>
            </w:r>
          </w:p>
        </w:tc>
      </w:tr>
      <w:tr w:rsidR="00134C8E" w:rsidRPr="00BC0F12" w14:paraId="091B3FE4" w14:textId="77777777" w:rsidTr="00333D16">
        <w:trPr>
          <w:trHeight w:val="1932"/>
        </w:trPr>
        <w:tc>
          <w:tcPr>
            <w:tcW w:w="1250" w:type="pct"/>
          </w:tcPr>
          <w:p w14:paraId="34D5D52A" w14:textId="77777777" w:rsidR="00333D16" w:rsidRPr="00BC0F12" w:rsidRDefault="00333D16" w:rsidP="00333D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F5563C" w14:textId="444C0E85" w:rsidR="00134C8E" w:rsidRPr="00BC0F12" w:rsidRDefault="00134C8E" w:rsidP="0033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Sarakstījušas:</w:t>
            </w:r>
          </w:p>
          <w:p w14:paraId="7346A84D" w14:textId="77777777" w:rsidR="00134C8E" w:rsidRPr="00BC0F12" w:rsidRDefault="00134C8E" w:rsidP="00333D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767C3D" w14:textId="77777777" w:rsidR="00134C8E" w:rsidRPr="00BC0F12" w:rsidRDefault="00134C8E" w:rsidP="00333D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881AE0" w14:textId="65FA0BF8" w:rsidR="00134C8E" w:rsidRPr="00BC0F12" w:rsidRDefault="00134C8E" w:rsidP="0033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Pārskatījusi:</w:t>
            </w:r>
          </w:p>
        </w:tc>
        <w:tc>
          <w:tcPr>
            <w:tcW w:w="1250" w:type="pct"/>
            <w:vAlign w:val="center"/>
          </w:tcPr>
          <w:p w14:paraId="6460A528" w14:textId="5DF08F57" w:rsidR="00134C8E" w:rsidRPr="00BC0F12" w:rsidRDefault="00134C8E" w:rsidP="0013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DBS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darba grupas sadarbībā ar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WADA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Zinātnes departamentu</w:t>
            </w:r>
          </w:p>
          <w:p w14:paraId="0142883F" w14:textId="77777777" w:rsidR="00134C8E" w:rsidRPr="00BC0F12" w:rsidRDefault="00134C8E" w:rsidP="00134C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7BB799" w14:textId="722D3640" w:rsidR="00134C8E" w:rsidRPr="00BC0F12" w:rsidRDefault="00134C8E" w:rsidP="0013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WADA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Laboratoriju ekspertu konsultatīvā grupa</w:t>
            </w:r>
          </w:p>
        </w:tc>
        <w:tc>
          <w:tcPr>
            <w:tcW w:w="1250" w:type="pct"/>
            <w:vAlign w:val="center"/>
          </w:tcPr>
          <w:p w14:paraId="483F5993" w14:textId="7B21BA80" w:rsidR="00134C8E" w:rsidRPr="00BC0F12" w:rsidRDefault="00134C8E" w:rsidP="0013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Apstiprinājusi:</w:t>
            </w:r>
          </w:p>
        </w:tc>
        <w:tc>
          <w:tcPr>
            <w:tcW w:w="1250" w:type="pct"/>
            <w:vAlign w:val="center"/>
          </w:tcPr>
          <w:p w14:paraId="415C32F2" w14:textId="2A43DFFC" w:rsidR="00134C8E" w:rsidRPr="00BC0F12" w:rsidRDefault="00134C8E" w:rsidP="0013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WADA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izpildkomiteja</w:t>
            </w:r>
          </w:p>
        </w:tc>
      </w:tr>
      <w:tr w:rsidR="001941DB" w:rsidRPr="00BC0F12" w14:paraId="0B713843" w14:textId="77777777" w:rsidTr="001941DB">
        <w:trPr>
          <w:trHeight w:val="258"/>
        </w:trPr>
        <w:tc>
          <w:tcPr>
            <w:tcW w:w="1250" w:type="pct"/>
          </w:tcPr>
          <w:p w14:paraId="4EE9FD06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1250" w:type="pct"/>
          </w:tcPr>
          <w:p w14:paraId="019CA786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2022. gada 17. novembris</w:t>
            </w:r>
          </w:p>
        </w:tc>
        <w:tc>
          <w:tcPr>
            <w:tcW w:w="1250" w:type="pct"/>
          </w:tcPr>
          <w:p w14:paraId="71D37912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Spēkā stāšanās datums:</w:t>
            </w:r>
          </w:p>
        </w:tc>
        <w:tc>
          <w:tcPr>
            <w:tcW w:w="1250" w:type="pct"/>
          </w:tcPr>
          <w:p w14:paraId="58D8ACFD" w14:textId="77777777" w:rsidR="005429AA" w:rsidRPr="00BC0F12" w:rsidRDefault="005429AA" w:rsidP="0054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2023. gada 1. janvāris</w:t>
            </w:r>
          </w:p>
        </w:tc>
      </w:tr>
    </w:tbl>
    <w:p w14:paraId="7E6CCAC0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75512298" w14:textId="77777777" w:rsidR="008C5E0B" w:rsidRPr="00BC0F12" w:rsidRDefault="008C5E0B" w:rsidP="005429AA">
      <w:pPr>
        <w:jc w:val="both"/>
        <w:rPr>
          <w:rFonts w:ascii="Times New Roman" w:hAnsi="Times New Roman"/>
          <w:sz w:val="24"/>
          <w:lang w:val="en-GB"/>
        </w:rPr>
      </w:pPr>
    </w:p>
    <w:p w14:paraId="3662E7D1" w14:textId="58C3BA55" w:rsidR="00C91BB8" w:rsidRPr="00BC0F12" w:rsidRDefault="008C5E0B" w:rsidP="00C91BB8">
      <w:pPr>
        <w:jc w:val="center"/>
        <w:rPr>
          <w:rFonts w:ascii="Times New Roman" w:hAnsi="Times New Roman"/>
          <w:b/>
          <w:bCs/>
          <w:i/>
          <w:sz w:val="32"/>
          <w:szCs w:val="26"/>
        </w:rPr>
      </w:pPr>
      <w:r>
        <w:rPr>
          <w:rFonts w:ascii="Times New Roman" w:hAnsi="Times New Roman"/>
          <w:b/>
          <w:sz w:val="32"/>
        </w:rPr>
        <w:t>IZŽĀVĒTI ASINS PILIENI (</w:t>
      </w:r>
      <w:proofErr w:type="spellStart"/>
      <w:r>
        <w:rPr>
          <w:rFonts w:ascii="Times New Roman" w:hAnsi="Times New Roman"/>
          <w:b/>
          <w:i/>
          <w:iCs/>
          <w:sz w:val="32"/>
        </w:rPr>
        <w:t>DBS</w:t>
      </w:r>
      <w:proofErr w:type="spellEnd"/>
      <w:r>
        <w:rPr>
          <w:rFonts w:ascii="Times New Roman" w:hAnsi="Times New Roman"/>
          <w:b/>
          <w:sz w:val="32"/>
        </w:rPr>
        <w:t xml:space="preserve">) </w:t>
      </w:r>
      <w:r>
        <w:rPr>
          <w:rFonts w:ascii="Times New Roman" w:hAnsi="Times New Roman"/>
          <w:b/>
          <w:i/>
          <w:iCs/>
          <w:sz w:val="32"/>
        </w:rPr>
        <w:t>DOPINGA KONTROLEI</w:t>
      </w:r>
    </w:p>
    <w:p w14:paraId="263AAC28" w14:textId="77777777" w:rsidR="008C5E0B" w:rsidRPr="00BC0F12" w:rsidRDefault="008C5E0B" w:rsidP="00C91BB8">
      <w:pPr>
        <w:jc w:val="center"/>
        <w:rPr>
          <w:rFonts w:ascii="Times New Roman" w:hAnsi="Times New Roman"/>
          <w:b/>
          <w:bCs/>
          <w:sz w:val="32"/>
          <w:szCs w:val="26"/>
        </w:rPr>
      </w:pPr>
      <w:r>
        <w:rPr>
          <w:rFonts w:ascii="Times New Roman" w:hAnsi="Times New Roman"/>
          <w:b/>
          <w:sz w:val="32"/>
          <w:u w:val="single"/>
        </w:rPr>
        <w:t xml:space="preserve">Analītiskās </w:t>
      </w:r>
      <w:r>
        <w:rPr>
          <w:rFonts w:ascii="Times New Roman" w:hAnsi="Times New Roman"/>
          <w:b/>
          <w:i/>
          <w:iCs/>
          <w:sz w:val="32"/>
          <w:u w:val="single"/>
        </w:rPr>
        <w:t>pārbaudes</w:t>
      </w:r>
      <w:r>
        <w:rPr>
          <w:rFonts w:ascii="Times New Roman" w:hAnsi="Times New Roman"/>
          <w:b/>
          <w:sz w:val="32"/>
        </w:rPr>
        <w:t xml:space="preserve"> un glabāšanas prasības un procedūras</w:t>
      </w:r>
    </w:p>
    <w:p w14:paraId="33EB3055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60A9F063" w14:textId="67D02831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1.0. Ievads un darbības joma</w:t>
      </w:r>
    </w:p>
    <w:p w14:paraId="7BAF781B" w14:textId="77777777" w:rsidR="00C91BB8" w:rsidRPr="00BC0F12" w:rsidRDefault="00C91BB8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7277F90D" w14:textId="77777777" w:rsidR="008C5E0B" w:rsidRPr="00BC0F12" w:rsidRDefault="008C5E0B" w:rsidP="005429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Šis </w:t>
      </w:r>
      <w:r>
        <w:rPr>
          <w:rFonts w:ascii="Times New Roman" w:hAnsi="Times New Roman"/>
          <w:i/>
          <w:iCs/>
          <w:sz w:val="24"/>
        </w:rPr>
        <w:t>tehniskais dokuments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>) ir izstrādāts, lai saskaņotu izžāvēta asins piliena (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i/>
          <w:iCs/>
          <w:sz w:val="24"/>
        </w:rPr>
        <w:t>pārbaužu</w:t>
      </w:r>
      <w:r>
        <w:rPr>
          <w:rFonts w:ascii="Times New Roman" w:hAnsi="Times New Roman"/>
          <w:sz w:val="24"/>
        </w:rPr>
        <w:t xml:space="preserve"> veikšanu, nosakot īpašas prasības un procedūras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analītiskajai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/>
        </w:rPr>
        <w:t>pārbaudei</w:t>
      </w:r>
      <w:r>
        <w:rPr>
          <w:rFonts w:ascii="Times New Roman" w:hAnsi="Times New Roman"/>
          <w:sz w:val="24"/>
        </w:rPr>
        <w:t xml:space="preserve"> un glabāšanai.</w:t>
      </w:r>
    </w:p>
    <w:p w14:paraId="2641B169" w14:textId="77777777" w:rsidR="00C91BB8" w:rsidRPr="00BC0F12" w:rsidRDefault="00C91BB8" w:rsidP="005429AA">
      <w:pPr>
        <w:jc w:val="both"/>
        <w:rPr>
          <w:rFonts w:ascii="Times New Roman" w:hAnsi="Times New Roman"/>
          <w:sz w:val="24"/>
          <w:lang w:val="en-GB"/>
        </w:rPr>
      </w:pPr>
    </w:p>
    <w:p w14:paraId="7F9A67EC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paraugi</w:t>
      </w:r>
      <w:r>
        <w:rPr>
          <w:rFonts w:ascii="Times New Roman" w:hAnsi="Times New Roman"/>
          <w:sz w:val="24"/>
        </w:rPr>
        <w:t xml:space="preserve"> pēc definīcijas ir asins </w:t>
      </w:r>
      <w:r>
        <w:rPr>
          <w:rFonts w:ascii="Times New Roman" w:hAnsi="Times New Roman"/>
          <w:i/>
          <w:iCs/>
          <w:sz w:val="24"/>
        </w:rPr>
        <w:t>paraugi</w:t>
      </w:r>
      <w:r>
        <w:rPr>
          <w:rFonts w:ascii="Times New Roman" w:hAnsi="Times New Roman"/>
          <w:sz w:val="24"/>
        </w:rPr>
        <w:t xml:space="preserve">, un tie ir uzskatāmi par tādiem, ja vien šajā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 nav noteikts citādi.</w:t>
      </w:r>
    </w:p>
    <w:p w14:paraId="51FB91A5" w14:textId="77777777" w:rsidR="00C91BB8" w:rsidRPr="00BC0F12" w:rsidRDefault="00C91BB8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6191C0D8" w14:textId="063B221A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starptautiskais standarts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) nosaka vispārīgas prasības, kas </w:t>
      </w:r>
      <w:r>
        <w:rPr>
          <w:rFonts w:ascii="Times New Roman" w:hAnsi="Times New Roman"/>
          <w:sz w:val="24"/>
          <w:u w:val="single"/>
        </w:rPr>
        <w:t>laboratorijām</w:t>
      </w:r>
      <w:r>
        <w:rPr>
          <w:rFonts w:ascii="Times New Roman" w:hAnsi="Times New Roman"/>
          <w:sz w:val="24"/>
        </w:rPr>
        <w:t xml:space="preserve"> jāievēro attiecībā uz asins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 – un tādējādi arī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 – </w:t>
      </w:r>
      <w:r>
        <w:rPr>
          <w:rFonts w:ascii="Times New Roman" w:hAnsi="Times New Roman"/>
          <w:sz w:val="24"/>
          <w:u w:val="single"/>
        </w:rPr>
        <w:t xml:space="preserve">analītisko </w:t>
      </w:r>
      <w:r>
        <w:rPr>
          <w:rFonts w:ascii="Times New Roman" w:hAnsi="Times New Roman"/>
          <w:i/>
          <w:iCs/>
          <w:sz w:val="24"/>
          <w:u w:val="single"/>
        </w:rPr>
        <w:t>pārbaudi</w:t>
      </w:r>
      <w:r>
        <w:rPr>
          <w:rFonts w:ascii="Times New Roman" w:hAnsi="Times New Roman"/>
          <w:sz w:val="24"/>
        </w:rPr>
        <w:t xml:space="preserve"> un glabāšanu. Tomēr šajā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 ir aprakstītas īpašas tehniskās prasības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analītiskajai </w:t>
      </w:r>
      <w:r>
        <w:rPr>
          <w:rFonts w:ascii="Times New Roman" w:hAnsi="Times New Roman"/>
          <w:i/>
          <w:iCs/>
          <w:sz w:val="24"/>
          <w:u w:val="single"/>
        </w:rPr>
        <w:t>pārbaudei</w:t>
      </w:r>
      <w:r>
        <w:rPr>
          <w:rFonts w:ascii="Times New Roman" w:hAnsi="Times New Roman"/>
          <w:sz w:val="24"/>
        </w:rPr>
        <w:t xml:space="preserve"> un glabāšanai, un tādējādi tas aizstāj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un citus attiecīgā gadījumā piemērojamos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>.</w:t>
      </w:r>
    </w:p>
    <w:p w14:paraId="56542660" w14:textId="77777777" w:rsidR="00C91BB8" w:rsidRPr="00BC0F12" w:rsidRDefault="00C91BB8" w:rsidP="005429AA">
      <w:pPr>
        <w:pStyle w:val="BodyText"/>
        <w:jc w:val="both"/>
        <w:rPr>
          <w:rFonts w:ascii="Times New Roman" w:hAnsi="Times New Roman"/>
          <w:sz w:val="24"/>
          <w:u w:val="single"/>
          <w:lang w:val="en-GB"/>
        </w:rPr>
      </w:pPr>
    </w:p>
    <w:p w14:paraId="2F9FFEE7" w14:textId="77777777" w:rsidR="008C5E0B" w:rsidRPr="00BC0F12" w:rsidRDefault="008C5E0B" w:rsidP="005429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Šī </w:t>
      </w:r>
      <w:proofErr w:type="spellStart"/>
      <w:r>
        <w:rPr>
          <w:rFonts w:ascii="Times New Roman" w:hAnsi="Times New Roman"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 versija īpaši attiecas uz prasībām, kas noteiktas </w:t>
      </w: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procedūrām</w:t>
      </w:r>
      <w:r>
        <w:rPr>
          <w:rFonts w:ascii="Times New Roman" w:hAnsi="Times New Roman"/>
          <w:sz w:val="24"/>
        </w:rPr>
        <w:t xml:space="preserve">, kuras jāpiemēro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paraugiem</w:t>
      </w:r>
      <w:r>
        <w:rPr>
          <w:rFonts w:ascii="Times New Roman" w:hAnsi="Times New Roman"/>
          <w:sz w:val="24"/>
        </w:rPr>
        <w:t xml:space="preserve">, lai noteiktu tikai </w:t>
      </w:r>
      <w:r>
        <w:rPr>
          <w:rFonts w:ascii="Times New Roman" w:hAnsi="Times New Roman"/>
          <w:sz w:val="24"/>
          <w:u w:val="single"/>
        </w:rPr>
        <w:t>vielas, kas nav sliekšņa vielas</w:t>
      </w:r>
      <w:r>
        <w:rPr>
          <w:rFonts w:ascii="Times New Roman" w:hAnsi="Times New Roman"/>
          <w:sz w:val="24"/>
        </w:rPr>
        <w:t xml:space="preserve"> un attiecībā uz kurām nav </w:t>
      </w:r>
      <w:r>
        <w:rPr>
          <w:rFonts w:ascii="Times New Roman" w:hAnsi="Times New Roman"/>
          <w:i/>
          <w:iCs/>
          <w:sz w:val="24"/>
        </w:rPr>
        <w:t>minimālā ziņošanas līmeņa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</w:rPr>
        <w:t>MRL</w:t>
      </w:r>
      <w:proofErr w:type="spellEnd"/>
      <w:r>
        <w:rPr>
          <w:rFonts w:ascii="Times New Roman" w:hAnsi="Times New Roman"/>
          <w:sz w:val="24"/>
        </w:rPr>
        <w:t>).</w:t>
      </w:r>
    </w:p>
    <w:p w14:paraId="41CCD7E0" w14:textId="77777777" w:rsidR="00C91BB8" w:rsidRPr="00BC0F12" w:rsidRDefault="00C91BB8" w:rsidP="005429AA">
      <w:pPr>
        <w:jc w:val="both"/>
        <w:rPr>
          <w:rFonts w:ascii="Times New Roman" w:hAnsi="Times New Roman"/>
          <w:sz w:val="24"/>
          <w:lang w:val="en-GB"/>
        </w:rPr>
      </w:pPr>
    </w:p>
    <w:p w14:paraId="2802B4FE" w14:textId="5CCC9ED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</w:t>
      </w:r>
      <w:r w:rsidR="00C91BB8" w:rsidRPr="00BC0F12">
        <w:rPr>
          <w:rStyle w:val="FootnoteReference"/>
          <w:rFonts w:ascii="Times New Roman" w:hAnsi="Times New Roman"/>
          <w:i/>
          <w:sz w:val="24"/>
          <w:lang w:val="en-GB"/>
        </w:rPr>
        <w:footnoteReference w:id="1"/>
      </w:r>
      <w:r>
        <w:rPr>
          <w:rFonts w:ascii="Times New Roman" w:hAnsi="Times New Roman"/>
          <w:sz w:val="24"/>
        </w:rPr>
        <w:t xml:space="preserve"> tiek savākti, iedurot/iegriežot ādā, lai piekļūtu kapilārajiem asinsvadiem (mazajiem asinsvadiem). Vienu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veido virkne nelielu kapilāro asiņu pilienu, kas tiek savākti vienā un tajā pašā </w:t>
      </w:r>
      <w:r>
        <w:rPr>
          <w:rFonts w:ascii="Times New Roman" w:hAnsi="Times New Roman"/>
          <w:i/>
          <w:iCs/>
          <w:sz w:val="24"/>
          <w:u w:val="single"/>
        </w:rPr>
        <w:t>paraugu</w:t>
      </w:r>
      <w:r>
        <w:rPr>
          <w:rFonts w:ascii="Times New Roman" w:hAnsi="Times New Roman"/>
          <w:sz w:val="24"/>
          <w:u w:val="single"/>
        </w:rPr>
        <w:t xml:space="preserve"> savākšanas procesā</w:t>
      </w:r>
      <w:r>
        <w:rPr>
          <w:rFonts w:ascii="Times New Roman" w:hAnsi="Times New Roman"/>
          <w:sz w:val="24"/>
        </w:rPr>
        <w:t xml:space="preserve"> un kam ļauj nožūt uz paraugu </w:t>
      </w:r>
      <w:r>
        <w:rPr>
          <w:rFonts w:ascii="Times New Roman" w:hAnsi="Times New Roman"/>
          <w:sz w:val="24"/>
        </w:rPr>
        <w:lastRenderedPageBreak/>
        <w:t>absorbējoša materiāla.</w:t>
      </w:r>
    </w:p>
    <w:p w14:paraId="3DA35EFD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3F7FD8AA" w14:textId="741A11F1" w:rsidR="008C5E0B" w:rsidRPr="00BC0F12" w:rsidRDefault="00C91BB8" w:rsidP="00C91BB8">
      <w:pPr>
        <w:pStyle w:val="ListParagraph"/>
        <w:tabs>
          <w:tab w:val="left" w:pos="1317"/>
          <w:tab w:val="left" w:pos="1318"/>
        </w:tabs>
        <w:spacing w:before="0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2.0.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analītiskā </w:t>
      </w:r>
      <w:r>
        <w:rPr>
          <w:rFonts w:ascii="Times New Roman" w:hAnsi="Times New Roman"/>
          <w:i/>
          <w:iCs/>
          <w:sz w:val="24"/>
          <w:u w:val="single"/>
        </w:rPr>
        <w:t>pārbaude</w:t>
      </w:r>
    </w:p>
    <w:p w14:paraId="5D50947A" w14:textId="77777777" w:rsidR="00C91BB8" w:rsidRPr="00BC0F12" w:rsidRDefault="00C91BB8" w:rsidP="00C91BB8">
      <w:pPr>
        <w:pStyle w:val="ListParagraph"/>
        <w:tabs>
          <w:tab w:val="left" w:pos="1317"/>
          <w:tab w:val="left" w:pos="1318"/>
        </w:tabs>
        <w:spacing w:before="0"/>
        <w:ind w:left="0"/>
        <w:rPr>
          <w:rFonts w:ascii="Times New Roman" w:hAnsi="Times New Roman"/>
          <w:i/>
          <w:sz w:val="24"/>
          <w:lang w:val="en-GB"/>
        </w:rPr>
      </w:pPr>
    </w:p>
    <w:p w14:paraId="26A7D9E9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Jebkuras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</w:rPr>
        <w:t xml:space="preserve"> darbības veic saskaņā ar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 sadaļu un ar to saistītajiem attiecīgajiem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tehniskajām vēstulēm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sz w:val="24"/>
          <w:u w:val="single"/>
        </w:rPr>
        <w:t>laboratoriju vadlīnijām</w:t>
      </w:r>
      <w:r>
        <w:rPr>
          <w:rFonts w:ascii="Times New Roman" w:hAnsi="Times New Roman"/>
          <w:sz w:val="24"/>
        </w:rPr>
        <w:t xml:space="preserve">, ja vien šajā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 nav norādīts citādi.</w:t>
      </w:r>
    </w:p>
    <w:p w14:paraId="150274E0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63D57CA2" w14:textId="0066A8BE" w:rsidR="005F25CF" w:rsidRPr="00BC0F12" w:rsidRDefault="005F25CF" w:rsidP="003321FC">
      <w:pPr>
        <w:pStyle w:val="ListParagraph"/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pieņemšana analīzei</w:t>
      </w:r>
    </w:p>
    <w:p w14:paraId="7FF5784B" w14:textId="77777777" w:rsidR="005F25CF" w:rsidRPr="00BC0F12" w:rsidRDefault="005F25CF" w:rsidP="003321FC">
      <w:pPr>
        <w:pStyle w:val="ListParagraph"/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36EC9F1B" w14:textId="101B3CBA" w:rsidR="008C5E0B" w:rsidRPr="00BC0F12" w:rsidRDefault="008C5E0B" w:rsidP="003321FC">
      <w:pPr>
        <w:pStyle w:val="ListParagraph"/>
        <w:spacing w:before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analizē katru saņemto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, ja vien </w:t>
      </w: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neatbilst kādam no 2021. gada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5.3.3. pantā minētajiem nosacījumiem vai šādam nosacījumam:</w:t>
      </w:r>
    </w:p>
    <w:p w14:paraId="0630DBD8" w14:textId="77777777" w:rsidR="005F25CF" w:rsidRPr="00BC0F12" w:rsidRDefault="005F25CF" w:rsidP="003321FC">
      <w:pPr>
        <w:pStyle w:val="ListParagraph"/>
        <w:spacing w:before="0"/>
        <w:ind w:left="284"/>
        <w:rPr>
          <w:rFonts w:ascii="Times New Roman" w:hAnsi="Times New Roman"/>
          <w:sz w:val="24"/>
          <w:lang w:val="en-GB"/>
        </w:rPr>
      </w:pPr>
    </w:p>
    <w:p w14:paraId="2EA09A1D" w14:textId="77777777" w:rsidR="008C5E0B" w:rsidRPr="00BC0F12" w:rsidRDefault="008C5E0B" w:rsidP="003321FC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saņem divus (2) vai vairāk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paraugus</w:t>
      </w:r>
      <w:r>
        <w:rPr>
          <w:rFonts w:ascii="Times New Roman" w:hAnsi="Times New Roman"/>
          <w:sz w:val="24"/>
        </w:rPr>
        <w:t xml:space="preserve">, kas saskaņā ar </w:t>
      </w:r>
      <w:r>
        <w:rPr>
          <w:rFonts w:ascii="Times New Roman" w:hAnsi="Times New Roman"/>
          <w:i/>
          <w:iCs/>
          <w:sz w:val="24"/>
        </w:rPr>
        <w:t>dopinga kontroles</w:t>
      </w:r>
      <w:r>
        <w:rPr>
          <w:rFonts w:ascii="Times New Roman" w:hAnsi="Times New Roman"/>
          <w:sz w:val="24"/>
        </w:rPr>
        <w:t xml:space="preserve"> anketā sniegto informāciju ir savākti vienā </w:t>
      </w:r>
      <w:r>
        <w:rPr>
          <w:rFonts w:ascii="Times New Roman" w:hAnsi="Times New Roman"/>
          <w:i/>
          <w:iCs/>
          <w:sz w:val="24"/>
          <w:u w:val="single"/>
        </w:rPr>
        <w:t>paraugu</w:t>
      </w:r>
      <w:r>
        <w:rPr>
          <w:rFonts w:ascii="Times New Roman" w:hAnsi="Times New Roman"/>
          <w:sz w:val="24"/>
          <w:u w:val="single"/>
        </w:rPr>
        <w:t xml:space="preserve"> savākšanas procesā</w:t>
      </w:r>
      <w:r>
        <w:rPr>
          <w:rFonts w:ascii="Times New Roman" w:hAnsi="Times New Roman"/>
          <w:sz w:val="24"/>
        </w:rPr>
        <w:t xml:space="preserve"> no viena un tā paša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analizē tikai vienu (1) no savāktajiem </w:t>
      </w:r>
      <w:r>
        <w:rPr>
          <w:rFonts w:ascii="Times New Roman" w:hAnsi="Times New Roman"/>
          <w:i/>
          <w:iCs/>
          <w:sz w:val="24"/>
        </w:rPr>
        <w:t>paraugiem</w:t>
      </w:r>
      <w:r>
        <w:rPr>
          <w:rFonts w:ascii="Times New Roman" w:hAnsi="Times New Roman"/>
          <w:sz w:val="24"/>
        </w:rPr>
        <w:t xml:space="preserve">, ja vien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iestāde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) nav norādījusi citādi un/vai tas nav pieprasīts </w:t>
      </w: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procedūrā</w:t>
      </w:r>
      <w:r>
        <w:rPr>
          <w:rFonts w:ascii="Times New Roman" w:hAnsi="Times New Roman"/>
          <w:sz w:val="24"/>
        </w:rPr>
        <w:t>(-</w:t>
      </w:r>
      <w:proofErr w:type="spellStart"/>
      <w:r>
        <w:rPr>
          <w:rFonts w:ascii="Times New Roman" w:hAnsi="Times New Roman"/>
          <w:sz w:val="24"/>
        </w:rPr>
        <w:t>ās</w:t>
      </w:r>
      <w:proofErr w:type="spellEnd"/>
      <w:r>
        <w:rPr>
          <w:rFonts w:ascii="Times New Roman" w:hAnsi="Times New Roman"/>
          <w:sz w:val="24"/>
        </w:rPr>
        <w:t>), kā paskaidrots turpmāk sniegtajā piezīmē.</w:t>
      </w:r>
    </w:p>
    <w:p w14:paraId="7E43B408" w14:textId="77777777" w:rsidR="005F25CF" w:rsidRPr="00BC0F12" w:rsidRDefault="005F25CF" w:rsidP="003321FC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62451310" w14:textId="77777777" w:rsidR="008C5E0B" w:rsidRPr="00BC0F12" w:rsidRDefault="008C5E0B" w:rsidP="003321FC">
      <w:pPr>
        <w:ind w:left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[Piezīme. </w:t>
      </w:r>
      <w:r>
        <w:rPr>
          <w:rFonts w:ascii="Times New Roman" w:hAnsi="Times New Roman"/>
          <w:i/>
          <w:sz w:val="24"/>
          <w:u w:val="single"/>
        </w:rPr>
        <w:t>Laboratorijai</w:t>
      </w:r>
      <w:r>
        <w:rPr>
          <w:rFonts w:ascii="Times New Roman" w:hAnsi="Times New Roman"/>
          <w:i/>
          <w:sz w:val="24"/>
        </w:rPr>
        <w:t xml:space="preserve"> ieteicams izmantot paraugu ar lielāko skaitu pilnīgi piesūcinātu asins piliena apļu (vai līdzvērtīgu paraugu). Ja nepieciešams, </w:t>
      </w:r>
      <w:r>
        <w:rPr>
          <w:rFonts w:ascii="Times New Roman" w:hAnsi="Times New Roman"/>
          <w:i/>
          <w:sz w:val="24"/>
          <w:u w:val="single"/>
        </w:rPr>
        <w:t>laboratorija</w:t>
      </w:r>
      <w:r>
        <w:rPr>
          <w:rFonts w:ascii="Times New Roman" w:hAnsi="Times New Roman"/>
          <w:i/>
          <w:sz w:val="24"/>
        </w:rPr>
        <w:t xml:space="preserve"> var apvienot apļus no diviem (2) vai vairākiem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paraugiem, kas ir savākti vienā </w:t>
      </w:r>
      <w:r>
        <w:rPr>
          <w:rFonts w:ascii="Times New Roman" w:hAnsi="Times New Roman"/>
          <w:i/>
          <w:sz w:val="24"/>
          <w:u w:val="single"/>
        </w:rPr>
        <w:t>paraugu savākšanas procesā</w:t>
      </w:r>
      <w:r>
        <w:rPr>
          <w:rFonts w:ascii="Times New Roman" w:hAnsi="Times New Roman"/>
          <w:i/>
          <w:sz w:val="24"/>
        </w:rPr>
        <w:t xml:space="preserve"> no viena un tā paša sportista, lai būtu pietiekams materiāla daudzums nepieciešamās(-o) </w:t>
      </w:r>
      <w:r>
        <w:rPr>
          <w:rFonts w:ascii="Times New Roman" w:hAnsi="Times New Roman"/>
          <w:i/>
          <w:sz w:val="24"/>
          <w:u w:val="single"/>
        </w:rPr>
        <w:t>analītiskās pārbaudes procedūras</w:t>
      </w:r>
      <w:r>
        <w:rPr>
          <w:rFonts w:ascii="Times New Roman" w:hAnsi="Times New Roman"/>
          <w:i/>
          <w:sz w:val="24"/>
        </w:rPr>
        <w:t xml:space="preserve">(-u) veikšanai gan </w:t>
      </w:r>
      <w:r>
        <w:rPr>
          <w:rFonts w:ascii="Times New Roman" w:hAnsi="Times New Roman"/>
          <w:i/>
          <w:sz w:val="24"/>
          <w:u w:val="single"/>
        </w:rPr>
        <w:t>sākotnējās pārbaudes procedūrā</w:t>
      </w:r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u w:val="single"/>
        </w:rPr>
        <w:t>ITP</w:t>
      </w:r>
      <w:proofErr w:type="spellEnd"/>
      <w:r>
        <w:rPr>
          <w:rFonts w:ascii="Times New Roman" w:hAnsi="Times New Roman"/>
          <w:i/>
          <w:sz w:val="24"/>
        </w:rPr>
        <w:t xml:space="preserve">), gan </w:t>
      </w:r>
      <w:r>
        <w:rPr>
          <w:rFonts w:ascii="Times New Roman" w:hAnsi="Times New Roman"/>
          <w:i/>
          <w:sz w:val="24"/>
          <w:u w:val="single"/>
        </w:rPr>
        <w:t>apstiprināšanas procedūrā</w:t>
      </w:r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u w:val="single"/>
        </w:rPr>
        <w:t>CP</w:t>
      </w:r>
      <w:proofErr w:type="spellEnd"/>
      <w:r>
        <w:rPr>
          <w:rFonts w:ascii="Times New Roman" w:hAnsi="Times New Roman"/>
          <w:i/>
          <w:sz w:val="24"/>
        </w:rPr>
        <w:t>).]</w:t>
      </w:r>
    </w:p>
    <w:p w14:paraId="0AB9C2E3" w14:textId="77777777" w:rsidR="0062337E" w:rsidRPr="00BC0F12" w:rsidRDefault="0062337E" w:rsidP="005429AA">
      <w:pPr>
        <w:jc w:val="both"/>
        <w:rPr>
          <w:rFonts w:ascii="Times New Roman" w:hAnsi="Times New Roman"/>
          <w:iCs/>
          <w:sz w:val="24"/>
          <w:lang w:val="en-GB"/>
        </w:rPr>
      </w:pPr>
    </w:p>
    <w:p w14:paraId="0EF9466D" w14:textId="5E08BEA2" w:rsidR="008C5E0B" w:rsidRPr="00BC0F12" w:rsidRDefault="0062337E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2.1.1. </w:t>
      </w:r>
      <w:r>
        <w:rPr>
          <w:rFonts w:ascii="Times New Roman" w:hAnsi="Times New Roman"/>
          <w:i/>
          <w:sz w:val="24"/>
        </w:rPr>
        <w:t>Paraugi</w:t>
      </w:r>
      <w:r>
        <w:rPr>
          <w:rFonts w:ascii="Times New Roman" w:hAnsi="Times New Roman"/>
          <w:sz w:val="24"/>
        </w:rPr>
        <w:t>, kuriem ir neatbilstības</w:t>
      </w:r>
    </w:p>
    <w:p w14:paraId="364A5489" w14:textId="77777777" w:rsidR="0062337E" w:rsidRPr="00BC0F12" w:rsidRDefault="0062337E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  <w:lang w:val="en-GB"/>
        </w:rPr>
      </w:pPr>
    </w:p>
    <w:p w14:paraId="0C0F6F82" w14:textId="77777777" w:rsidR="008C5E0B" w:rsidRPr="00BC0F12" w:rsidRDefault="008C5E0B" w:rsidP="00260C01">
      <w:pPr>
        <w:pStyle w:val="BodyText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Saskaņā ar 2021. gada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5.3.3.1. pantu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novēro un dokumentē apstākļus, kas pastāv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saņemšanas vai reģistrēšanas brīdī un kas var nelabvēlīgi ietekmēt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viengabalainību vai </w:t>
      </w: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procedūru</w:t>
      </w:r>
      <w:r>
        <w:rPr>
          <w:rFonts w:ascii="Times New Roman" w:hAnsi="Times New Roman"/>
          <w:sz w:val="24"/>
        </w:rPr>
        <w:t xml:space="preserve"> veikšanu. Attiecībā jo īpaši uz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paraugiem</w:t>
      </w:r>
      <w:r>
        <w:rPr>
          <w:rFonts w:ascii="Times New Roman" w:hAnsi="Times New Roman"/>
          <w:sz w:val="24"/>
        </w:rPr>
        <w:t xml:space="preserve"> būtu jāņem vērā vismaz turpmāk sniegtajos piemēros ietvertās papildu neatbilstības:</w:t>
      </w:r>
    </w:p>
    <w:p w14:paraId="5A2EBE6F" w14:textId="77777777" w:rsidR="00E17523" w:rsidRPr="00BC0F12" w:rsidRDefault="00E17523" w:rsidP="00260C01">
      <w:pPr>
        <w:pStyle w:val="BodyText"/>
        <w:ind w:left="567"/>
        <w:jc w:val="both"/>
        <w:rPr>
          <w:rFonts w:ascii="Times New Roman" w:hAnsi="Times New Roman"/>
          <w:sz w:val="24"/>
          <w:lang w:val="en-GB"/>
        </w:rPr>
      </w:pPr>
    </w:p>
    <w:p w14:paraId="473592A3" w14:textId="77777777" w:rsidR="008C5E0B" w:rsidRPr="00BC0F12" w:rsidRDefault="008C5E0B" w:rsidP="00260C01">
      <w:pPr>
        <w:pStyle w:val="ListParagraph"/>
        <w:numPr>
          <w:ilvl w:val="0"/>
          <w:numId w:val="3"/>
        </w:numPr>
        <w:spacing w:before="0"/>
        <w:ind w:left="851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traukā nav </w:t>
      </w:r>
      <w:proofErr w:type="spellStart"/>
      <w:r>
        <w:rPr>
          <w:rFonts w:ascii="Times New Roman" w:hAnsi="Times New Roman"/>
          <w:sz w:val="24"/>
        </w:rPr>
        <w:t>desikantu</w:t>
      </w:r>
      <w:proofErr w:type="spellEnd"/>
      <w:r>
        <w:rPr>
          <w:rFonts w:ascii="Times New Roman" w:hAnsi="Times New Roman"/>
          <w:sz w:val="24"/>
        </w:rPr>
        <w:t>;</w:t>
      </w:r>
    </w:p>
    <w:p w14:paraId="6D474AD5" w14:textId="77777777" w:rsidR="008C5E0B" w:rsidRPr="00BC0F12" w:rsidRDefault="008C5E0B" w:rsidP="00260C01">
      <w:pPr>
        <w:pStyle w:val="ListParagraph"/>
        <w:numPr>
          <w:ilvl w:val="0"/>
          <w:numId w:val="3"/>
        </w:numPr>
        <w:spacing w:before="0"/>
        <w:ind w:left="851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nav izžuvis un</w:t>
      </w:r>
    </w:p>
    <w:p w14:paraId="630EC27D" w14:textId="77777777" w:rsidR="008C5E0B" w:rsidRPr="00BC0F12" w:rsidRDefault="008C5E0B" w:rsidP="00260C01">
      <w:pPr>
        <w:pStyle w:val="ListParagraph"/>
        <w:numPr>
          <w:ilvl w:val="0"/>
          <w:numId w:val="3"/>
        </w:numPr>
        <w:spacing w:before="0"/>
        <w:ind w:left="851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ir pielipis traukam.</w:t>
      </w:r>
    </w:p>
    <w:p w14:paraId="332B0474" w14:textId="77777777" w:rsidR="00E17523" w:rsidRPr="00BC0F12" w:rsidRDefault="00E17523" w:rsidP="00260C01">
      <w:pPr>
        <w:pStyle w:val="ListParagraph"/>
        <w:tabs>
          <w:tab w:val="left" w:pos="2227"/>
          <w:tab w:val="left" w:pos="2228"/>
        </w:tabs>
        <w:spacing w:before="0"/>
        <w:ind w:left="567"/>
        <w:rPr>
          <w:rFonts w:ascii="Times New Roman" w:hAnsi="Times New Roman"/>
          <w:sz w:val="24"/>
          <w:lang w:val="en-GB"/>
        </w:rPr>
      </w:pPr>
    </w:p>
    <w:p w14:paraId="48483204" w14:textId="77777777" w:rsidR="008C5E0B" w:rsidRPr="00BC0F12" w:rsidRDefault="008C5E0B" w:rsidP="00260C01">
      <w:pPr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[Piezīme. Atšķirībā no citiem asins paraugiem (piemēram, </w:t>
      </w:r>
      <w:proofErr w:type="spellStart"/>
      <w:r>
        <w:rPr>
          <w:rFonts w:ascii="Times New Roman" w:hAnsi="Times New Roman"/>
          <w:i/>
          <w:sz w:val="24"/>
        </w:rPr>
        <w:t>ABP</w:t>
      </w:r>
      <w:proofErr w:type="spellEnd"/>
      <w:r>
        <w:rPr>
          <w:rFonts w:ascii="Times New Roman" w:hAnsi="Times New Roman"/>
          <w:i/>
          <w:sz w:val="24"/>
        </w:rPr>
        <w:t xml:space="preserve"> asins paraugiem)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paraugu sasaldēšanu nevajadzētu uzskatīt par neatbilstību, jo tā neietekmē turpmāko </w:t>
      </w:r>
      <w:r>
        <w:rPr>
          <w:rFonts w:ascii="Times New Roman" w:hAnsi="Times New Roman"/>
          <w:i/>
          <w:sz w:val="24"/>
          <w:u w:val="single"/>
        </w:rPr>
        <w:t>analītiskās pārbaudes procedūru</w:t>
      </w:r>
      <w:r>
        <w:rPr>
          <w:rFonts w:ascii="Times New Roman" w:hAnsi="Times New Roman"/>
          <w:i/>
          <w:sz w:val="24"/>
        </w:rPr>
        <w:t xml:space="preserve"> veikšanu.]</w:t>
      </w:r>
    </w:p>
    <w:p w14:paraId="6C5A86B0" w14:textId="77777777" w:rsidR="00E17523" w:rsidRPr="00BC0F12" w:rsidRDefault="00E17523" w:rsidP="005429AA">
      <w:pPr>
        <w:jc w:val="both"/>
        <w:rPr>
          <w:rFonts w:ascii="Times New Roman" w:hAnsi="Times New Roman"/>
          <w:i/>
          <w:sz w:val="24"/>
          <w:lang w:val="en-GB"/>
        </w:rPr>
      </w:pPr>
    </w:p>
    <w:p w14:paraId="14B39FEB" w14:textId="56C5539A" w:rsidR="008C5E0B" w:rsidRPr="00BC0F12" w:rsidRDefault="00C762C3" w:rsidP="00260C01">
      <w:pPr>
        <w:pStyle w:val="ListParagraph"/>
        <w:tabs>
          <w:tab w:val="left" w:pos="1877"/>
        </w:tabs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Sākotnējā glabāšana un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alikvotēšana</w:t>
      </w:r>
      <w:proofErr w:type="spellEnd"/>
      <w:r>
        <w:rPr>
          <w:rFonts w:ascii="Times New Roman" w:hAnsi="Times New Roman"/>
          <w:sz w:val="24"/>
        </w:rPr>
        <w:t xml:space="preserve"> analīzes veikšanai</w:t>
      </w:r>
    </w:p>
    <w:p w14:paraId="358BA3E9" w14:textId="77777777" w:rsidR="00C762C3" w:rsidRPr="00BC0F12" w:rsidRDefault="00C762C3" w:rsidP="00260C01">
      <w:pPr>
        <w:pStyle w:val="ListParagraph"/>
        <w:tabs>
          <w:tab w:val="left" w:pos="1877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4A0AB364" w14:textId="77777777" w:rsidR="008C5E0B" w:rsidRPr="00BC0F12" w:rsidRDefault="008C5E0B" w:rsidP="00260C01">
      <w:pPr>
        <w:pStyle w:val="BodyText"/>
        <w:ind w:left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alikvotēšanā</w:t>
      </w:r>
      <w:proofErr w:type="spellEnd"/>
      <w:r>
        <w:rPr>
          <w:rFonts w:ascii="Times New Roman" w:hAnsi="Times New Roman"/>
          <w:sz w:val="24"/>
        </w:rPr>
        <w:t xml:space="preserve"> ievēro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vispārīgās prasības (sk.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5.3.4. pantu), ņemot vērā turpmāk minētās prasības attiecībā uz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paraugiem</w:t>
      </w:r>
      <w:r>
        <w:rPr>
          <w:rFonts w:ascii="Times New Roman" w:hAnsi="Times New Roman"/>
          <w:sz w:val="24"/>
        </w:rPr>
        <w:t>.</w:t>
      </w:r>
    </w:p>
    <w:p w14:paraId="035A1130" w14:textId="77777777" w:rsidR="00C762C3" w:rsidRPr="00BC0F12" w:rsidRDefault="00C762C3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23FAAB6C" w14:textId="78F58DB5" w:rsidR="008C5E0B" w:rsidRPr="00BC0F12" w:rsidRDefault="00C762C3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Līdz analīzes veikšanai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glabā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 daļu atdzesētā stāvoklī tumšā vietā. Pirms </w:t>
      </w:r>
      <w:proofErr w:type="spellStart"/>
      <w:r>
        <w:rPr>
          <w:rFonts w:ascii="Times New Roman" w:hAnsi="Times New Roman"/>
          <w:sz w:val="24"/>
        </w:rPr>
        <w:t>alikvotēšanas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paraugiem</w:t>
      </w:r>
      <w:r>
        <w:rPr>
          <w:rFonts w:ascii="Times New Roman" w:hAnsi="Times New Roman"/>
          <w:sz w:val="24"/>
        </w:rPr>
        <w:t xml:space="preserve"> ļauj sasilt līdz istabas temperatūrai </w:t>
      </w:r>
      <w:proofErr w:type="spellStart"/>
      <w:r>
        <w:rPr>
          <w:rFonts w:ascii="Times New Roman" w:hAnsi="Times New Roman"/>
          <w:sz w:val="24"/>
        </w:rPr>
        <w:t>gaisnecaurlaidīgā</w:t>
      </w:r>
      <w:proofErr w:type="spellEnd"/>
      <w:r>
        <w:rPr>
          <w:rFonts w:ascii="Times New Roman" w:hAnsi="Times New Roman"/>
          <w:sz w:val="24"/>
        </w:rPr>
        <w:t xml:space="preserve"> un sausā traukā (piemēram, eksikatorā, plastmasas kastē, kurā ir </w:t>
      </w:r>
      <w:proofErr w:type="spellStart"/>
      <w:r>
        <w:rPr>
          <w:rFonts w:ascii="Times New Roman" w:hAnsi="Times New Roman"/>
          <w:sz w:val="24"/>
        </w:rPr>
        <w:t>desikanti</w:t>
      </w:r>
      <w:proofErr w:type="spellEnd"/>
      <w:r>
        <w:rPr>
          <w:rFonts w:ascii="Times New Roman" w:hAnsi="Times New Roman"/>
          <w:sz w:val="24"/>
        </w:rPr>
        <w:t xml:space="preserve">), lai izvairītos no kondensāta veidošanās. Lai izvairītos no piesārņojuma, </w:t>
      </w:r>
      <w:r>
        <w:rPr>
          <w:rFonts w:ascii="Times New Roman" w:hAnsi="Times New Roman"/>
          <w:sz w:val="24"/>
          <w:u w:val="single"/>
        </w:rPr>
        <w:lastRenderedPageBreak/>
        <w:t>laboratorija</w:t>
      </w:r>
      <w:r>
        <w:rPr>
          <w:rFonts w:ascii="Times New Roman" w:hAnsi="Times New Roman"/>
          <w:sz w:val="24"/>
        </w:rPr>
        <w:t xml:space="preserve"> iegūst </w:t>
      </w:r>
      <w:proofErr w:type="spellStart"/>
      <w:r>
        <w:rPr>
          <w:rFonts w:ascii="Times New Roman" w:hAnsi="Times New Roman"/>
          <w:sz w:val="24"/>
          <w:u w:val="single"/>
        </w:rPr>
        <w:t>alikvotu</w:t>
      </w:r>
      <w:proofErr w:type="spellEnd"/>
      <w:r>
        <w:rPr>
          <w:rFonts w:ascii="Times New Roman" w:hAnsi="Times New Roman"/>
          <w:sz w:val="24"/>
        </w:rPr>
        <w:t>(-</w:t>
      </w:r>
      <w:proofErr w:type="spellStart"/>
      <w:r>
        <w:rPr>
          <w:rFonts w:ascii="Times New Roman" w:hAnsi="Times New Roman"/>
          <w:sz w:val="24"/>
        </w:rPr>
        <w:t>as</w:t>
      </w:r>
      <w:proofErr w:type="spellEnd"/>
      <w:r>
        <w:rPr>
          <w:rFonts w:ascii="Times New Roman" w:hAnsi="Times New Roman"/>
          <w:sz w:val="24"/>
        </w:rPr>
        <w:t xml:space="preserve">) no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trauka, izmantojot tīrus instrumentus (piemēram, perforatoru, pincetes). Paņemtajām </w:t>
      </w:r>
      <w:proofErr w:type="spellStart"/>
      <w:r>
        <w:rPr>
          <w:rFonts w:ascii="Times New Roman" w:hAnsi="Times New Roman"/>
          <w:sz w:val="24"/>
          <w:u w:val="single"/>
        </w:rPr>
        <w:t>alikvotām</w:t>
      </w:r>
      <w:proofErr w:type="spellEnd"/>
      <w:r>
        <w:rPr>
          <w:rFonts w:ascii="Times New Roman" w:hAnsi="Times New Roman"/>
          <w:sz w:val="24"/>
        </w:rPr>
        <w:t xml:space="preserve"> jābūt piesūcinātām ar asinīm. Ja pēc </w:t>
      </w:r>
      <w:proofErr w:type="spellStart"/>
      <w:r>
        <w:rPr>
          <w:rFonts w:ascii="Times New Roman" w:hAnsi="Times New Roman"/>
          <w:sz w:val="24"/>
          <w:u w:val="single"/>
        </w:rPr>
        <w:t>alikvotu</w:t>
      </w:r>
      <w:proofErr w:type="spellEnd"/>
      <w:r>
        <w:rPr>
          <w:rFonts w:ascii="Times New Roman" w:hAnsi="Times New Roman"/>
          <w:sz w:val="24"/>
        </w:rPr>
        <w:t xml:space="preserve"> paņemšanas analīzei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 daļā joprojām ir palikuši asins pilienu apļi, tā atkal jānovieto glabāšanai atdzesētā stāvoklī, līdz ir pabeigta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ITP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CP</w:t>
      </w:r>
      <w:proofErr w:type="spellEnd"/>
      <w:r>
        <w:rPr>
          <w:rFonts w:ascii="Times New Roman" w:hAnsi="Times New Roman"/>
          <w:sz w:val="24"/>
        </w:rPr>
        <w:t xml:space="preserve"> (ja piemērojams), un pēc tam jāglabā sasaldētā stāvoklī (aptuveni –20 °C), ja vien </w:t>
      </w:r>
      <w:proofErr w:type="spellStart"/>
      <w:r>
        <w:rPr>
          <w:rFonts w:ascii="Times New Roman" w:hAnsi="Times New Roman"/>
          <w:i/>
          <w:iCs/>
          <w:sz w:val="24"/>
        </w:rPr>
        <w:t>WADA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/>
        </w:rPr>
        <w:t>tehniskajā vēstulē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sz w:val="24"/>
          <w:u w:val="single"/>
        </w:rPr>
        <w:t>laboratoriju vadlīnijās</w:t>
      </w:r>
      <w:r>
        <w:rPr>
          <w:rFonts w:ascii="Times New Roman" w:hAnsi="Times New Roman"/>
          <w:sz w:val="24"/>
        </w:rPr>
        <w:t xml:space="preserve"> nav norādīts citādi.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“B” daļu pēc saņemšanas glabā sasaldētu (aptuveni –20 °C) līdz analīzei (ja piemērojams) vai līdz iznīcināšanai saskaņā ar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vai attiecīgo(-</w:t>
      </w:r>
      <w:proofErr w:type="spellStart"/>
      <w:r>
        <w:rPr>
          <w:rFonts w:ascii="Times New Roman" w:hAnsi="Times New Roman"/>
          <w:sz w:val="24"/>
        </w:rPr>
        <w:t>ajiem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>.</w:t>
      </w:r>
    </w:p>
    <w:p w14:paraId="60101A19" w14:textId="77777777" w:rsidR="00EC2116" w:rsidRPr="00BC0F12" w:rsidRDefault="00EC2116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628F1DA8" w14:textId="77777777" w:rsidR="008C5E0B" w:rsidRPr="00BC0F12" w:rsidRDefault="008C5E0B" w:rsidP="00260C01">
      <w:pPr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[Piezīme. Automatizētajā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analīzē </w:t>
      </w:r>
      <w:proofErr w:type="spellStart"/>
      <w:r>
        <w:rPr>
          <w:rFonts w:ascii="Times New Roman" w:hAnsi="Times New Roman"/>
          <w:i/>
          <w:sz w:val="24"/>
          <w:u w:val="single"/>
        </w:rPr>
        <w:t>alikvotas</w:t>
      </w:r>
      <w:proofErr w:type="spellEnd"/>
      <w:r>
        <w:rPr>
          <w:rFonts w:ascii="Times New Roman" w:hAnsi="Times New Roman"/>
          <w:i/>
          <w:sz w:val="24"/>
        </w:rPr>
        <w:t xml:space="preserve"> netiek fiziski perforētas no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kartes. Tāpēc visa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karte uzglabājama istabas temperatūrā, līdz ir pabeigta </w:t>
      </w:r>
      <w:proofErr w:type="spellStart"/>
      <w:r>
        <w:rPr>
          <w:rFonts w:ascii="Times New Roman" w:hAnsi="Times New Roman"/>
          <w:i/>
          <w:sz w:val="24"/>
          <w:u w:val="single"/>
        </w:rPr>
        <w:t>ITP</w:t>
      </w:r>
      <w:proofErr w:type="spellEnd"/>
      <w:r>
        <w:rPr>
          <w:rFonts w:ascii="Times New Roman" w:hAnsi="Times New Roman"/>
          <w:i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sz w:val="24"/>
          <w:u w:val="single"/>
        </w:rPr>
        <w:t>CP</w:t>
      </w:r>
      <w:proofErr w:type="spellEnd"/>
      <w:r>
        <w:rPr>
          <w:rFonts w:ascii="Times New Roman" w:hAnsi="Times New Roman"/>
          <w:i/>
          <w:sz w:val="24"/>
        </w:rPr>
        <w:t>.]</w:t>
      </w:r>
    </w:p>
    <w:p w14:paraId="1DEB4268" w14:textId="77777777" w:rsidR="00EC2116" w:rsidRPr="00BC0F12" w:rsidRDefault="00EC2116" w:rsidP="00260C01">
      <w:pPr>
        <w:ind w:left="567"/>
        <w:jc w:val="both"/>
        <w:rPr>
          <w:rFonts w:ascii="Times New Roman" w:hAnsi="Times New Roman"/>
          <w:i/>
          <w:sz w:val="24"/>
          <w:lang w:val="en-GB"/>
        </w:rPr>
      </w:pPr>
    </w:p>
    <w:p w14:paraId="2771A48D" w14:textId="00A841D9" w:rsidR="008C5E0B" w:rsidRPr="00BC0F12" w:rsidRDefault="00EC2116" w:rsidP="00260C01">
      <w:pPr>
        <w:pStyle w:val="ListParagraph"/>
        <w:tabs>
          <w:tab w:val="left" w:pos="2844"/>
        </w:tabs>
        <w:spacing w:before="0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Ja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“A” un “B” daļas atrodas vienā traukā,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“B” daļu var glabāt atdzesētā stāvoklī, līdz ir pabeigta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 daļas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ITP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CP</w:t>
      </w:r>
      <w:proofErr w:type="spellEnd"/>
      <w:r>
        <w:rPr>
          <w:rFonts w:ascii="Times New Roman" w:hAnsi="Times New Roman"/>
          <w:sz w:val="24"/>
        </w:rPr>
        <w:t xml:space="preserve"> (ja piemērojams).</w:t>
      </w:r>
    </w:p>
    <w:p w14:paraId="0958B0F7" w14:textId="77777777" w:rsidR="008F69E5" w:rsidRPr="00BC0F12" w:rsidRDefault="008F69E5" w:rsidP="00260C01">
      <w:pPr>
        <w:pStyle w:val="ListParagraph"/>
        <w:tabs>
          <w:tab w:val="left" w:pos="2844"/>
        </w:tabs>
        <w:spacing w:before="0"/>
        <w:ind w:left="567"/>
        <w:jc w:val="left"/>
        <w:rPr>
          <w:rFonts w:ascii="Times New Roman" w:hAnsi="Times New Roman"/>
          <w:sz w:val="24"/>
          <w:lang w:val="en-GB"/>
        </w:rPr>
      </w:pPr>
    </w:p>
    <w:p w14:paraId="4DC28BFD" w14:textId="77777777" w:rsidR="008C5E0B" w:rsidRPr="00BC0F12" w:rsidRDefault="008C5E0B" w:rsidP="00260C01">
      <w:pPr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[Piezīme. Visos gadījumos </w:t>
      </w:r>
      <w:r>
        <w:rPr>
          <w:rFonts w:ascii="Times New Roman" w:hAnsi="Times New Roman"/>
          <w:i/>
          <w:sz w:val="24"/>
          <w:u w:val="single"/>
        </w:rPr>
        <w:t>laboratorija</w:t>
      </w:r>
      <w:r>
        <w:rPr>
          <w:rFonts w:ascii="Times New Roman" w:hAnsi="Times New Roman"/>
          <w:i/>
          <w:sz w:val="24"/>
        </w:rPr>
        <w:t xml:space="preserve"> veic atbilstīgus pasākumus, lai nodrošinātu parauga(-u) viengabalainību.]</w:t>
      </w:r>
    </w:p>
    <w:p w14:paraId="7D9B7107" w14:textId="77777777" w:rsidR="008F69E5" w:rsidRPr="00BC0F12" w:rsidRDefault="008F69E5" w:rsidP="005429AA">
      <w:pPr>
        <w:jc w:val="both"/>
        <w:rPr>
          <w:rFonts w:ascii="Times New Roman" w:hAnsi="Times New Roman"/>
          <w:i/>
          <w:sz w:val="24"/>
          <w:lang w:val="en-GB"/>
        </w:rPr>
      </w:pPr>
    </w:p>
    <w:p w14:paraId="3B814FCA" w14:textId="6715E483" w:rsidR="008C5E0B" w:rsidRPr="00BC0F12" w:rsidRDefault="008C42AA" w:rsidP="00260C01">
      <w:pPr>
        <w:pStyle w:val="ListParagraph"/>
        <w:tabs>
          <w:tab w:val="left" w:pos="1877"/>
        </w:tabs>
        <w:spacing w:before="0"/>
        <w:ind w:left="284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  <w:u w:val="single"/>
        </w:rPr>
        <w:t>Analītiskās</w:t>
      </w:r>
      <w:r>
        <w:rPr>
          <w:rFonts w:ascii="Times New Roman" w:hAnsi="Times New Roman"/>
          <w:i/>
          <w:iCs/>
          <w:sz w:val="24"/>
          <w:u w:val="single"/>
        </w:rPr>
        <w:t xml:space="preserve"> pārbaudes</w:t>
      </w:r>
      <w:r>
        <w:rPr>
          <w:rFonts w:ascii="Times New Roman" w:hAnsi="Times New Roman"/>
          <w:sz w:val="24"/>
          <w:u w:val="single"/>
        </w:rPr>
        <w:t xml:space="preserve"> procedūru</w:t>
      </w:r>
      <w:r>
        <w:rPr>
          <w:rFonts w:ascii="Times New Roman" w:hAnsi="Times New Roman"/>
          <w:sz w:val="24"/>
        </w:rPr>
        <w:t xml:space="preserve"> izvēle un validācija</w:t>
      </w:r>
    </w:p>
    <w:p w14:paraId="7FD7E7CC" w14:textId="77777777" w:rsidR="008C42AA" w:rsidRPr="00BC0F12" w:rsidRDefault="008C42AA" w:rsidP="00260C01">
      <w:pPr>
        <w:pStyle w:val="ListParagraph"/>
        <w:tabs>
          <w:tab w:val="left" w:pos="1877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6ADEBAEB" w14:textId="77777777" w:rsidR="008C5E0B" w:rsidRPr="00BC0F12" w:rsidRDefault="008C5E0B" w:rsidP="00260C01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procedūru</w:t>
      </w:r>
      <w:r>
        <w:rPr>
          <w:rFonts w:ascii="Times New Roman" w:hAnsi="Times New Roman"/>
          <w:sz w:val="24"/>
        </w:rPr>
        <w:t xml:space="preserve"> izvēle un validācija notiek saskaņā ar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5.3.5. pantu, kas piemērojams </w:t>
      </w:r>
      <w:r>
        <w:rPr>
          <w:rFonts w:ascii="Times New Roman" w:hAnsi="Times New Roman"/>
          <w:sz w:val="24"/>
          <w:u w:val="single"/>
        </w:rPr>
        <w:t>vielām, kas nav sliekšņa vielas</w:t>
      </w:r>
      <w:r>
        <w:rPr>
          <w:rFonts w:ascii="Times New Roman" w:hAnsi="Times New Roman"/>
          <w:sz w:val="24"/>
        </w:rPr>
        <w:t xml:space="preserve"> un kurām nav </w:t>
      </w:r>
      <w:proofErr w:type="spellStart"/>
      <w:r>
        <w:rPr>
          <w:rFonts w:ascii="Times New Roman" w:hAnsi="Times New Roman"/>
          <w:i/>
          <w:iCs/>
          <w:sz w:val="24"/>
        </w:rPr>
        <w:t>MRL</w:t>
      </w:r>
      <w:proofErr w:type="spellEnd"/>
      <w:r>
        <w:rPr>
          <w:rFonts w:ascii="Times New Roman" w:hAnsi="Times New Roman"/>
          <w:sz w:val="24"/>
        </w:rPr>
        <w:t>, ņemot vērā turpmāk minētās specifikācijas.</w:t>
      </w:r>
    </w:p>
    <w:p w14:paraId="12BEDFC2" w14:textId="77777777" w:rsidR="008C42AA" w:rsidRPr="00BC0F12" w:rsidRDefault="008C42AA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7DB5AE99" w14:textId="1BE45FE2" w:rsidR="008C5E0B" w:rsidRPr="00BC0F12" w:rsidRDefault="00695507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</w:t>
      </w:r>
      <w:r>
        <w:rPr>
          <w:rFonts w:ascii="Times New Roman" w:hAnsi="Times New Roman"/>
          <w:sz w:val="24"/>
          <w:u w:val="single"/>
        </w:rPr>
        <w:t>Laboratorijai</w:t>
      </w:r>
      <w:r>
        <w:rPr>
          <w:rFonts w:ascii="Times New Roman" w:hAnsi="Times New Roman"/>
          <w:sz w:val="24"/>
        </w:rPr>
        <w:t xml:space="preserve"> ir izstrādāti kritēriji (tostarp riska novērtējums), lai noteiktu, vai jebkādas būtiskas izmaiņas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savākšanas ierīcē un/vai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absorbējošā materiālā (piemēram, cita materiāla izmantošana celulozes vietā) ir apstākļi, kuru dēļ būtu pilnīgi vai vismaz daļēji atkārtoti jāvalidē </w:t>
      </w:r>
      <w:r>
        <w:rPr>
          <w:rFonts w:ascii="Times New Roman" w:hAnsi="Times New Roman"/>
          <w:i/>
          <w:iCs/>
          <w:sz w:val="24"/>
          <w:u w:val="single"/>
        </w:rPr>
        <w:t>analītiskās pārbaudes</w:t>
      </w:r>
      <w:r>
        <w:rPr>
          <w:rFonts w:ascii="Times New Roman" w:hAnsi="Times New Roman"/>
          <w:sz w:val="24"/>
          <w:u w:val="single"/>
        </w:rPr>
        <w:t xml:space="preserve"> procedūra</w:t>
      </w:r>
      <w:r>
        <w:rPr>
          <w:rFonts w:ascii="Times New Roman" w:hAnsi="Times New Roman"/>
          <w:sz w:val="24"/>
        </w:rPr>
        <w:t>.</w:t>
      </w:r>
    </w:p>
    <w:p w14:paraId="6EE8094A" w14:textId="77777777" w:rsidR="008C42AA" w:rsidRPr="00BC0F12" w:rsidRDefault="008C42AA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3DF80CB5" w14:textId="403D2832" w:rsidR="008C5E0B" w:rsidRPr="00BC0F12" w:rsidRDefault="00695507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</w:t>
      </w:r>
      <w:r>
        <w:rPr>
          <w:rFonts w:ascii="Times New Roman" w:hAnsi="Times New Roman"/>
          <w:i/>
          <w:iCs/>
          <w:sz w:val="24"/>
          <w:u w:val="single"/>
        </w:rPr>
        <w:t>Analītiskās pārbaudes</w:t>
      </w:r>
      <w:r>
        <w:rPr>
          <w:rFonts w:ascii="Times New Roman" w:hAnsi="Times New Roman"/>
          <w:sz w:val="24"/>
          <w:u w:val="single"/>
        </w:rPr>
        <w:t xml:space="preserve"> procedūras</w:t>
      </w:r>
      <w:r>
        <w:rPr>
          <w:rFonts w:ascii="Times New Roman" w:hAnsi="Times New Roman"/>
          <w:sz w:val="24"/>
        </w:rPr>
        <w:t xml:space="preserve">, kas validētas noteiktai konkrētai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matricai (piemēram, urīnam, plazmai), atkārtoti validē, ja tās izmanto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paraugiem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u w:val="single"/>
        </w:rPr>
        <w:t>Elastīgā ISO/</w:t>
      </w:r>
      <w:proofErr w:type="spellStart"/>
      <w:r>
        <w:rPr>
          <w:rFonts w:ascii="Times New Roman" w:hAnsi="Times New Roman"/>
          <w:sz w:val="24"/>
          <w:u w:val="single"/>
        </w:rPr>
        <w:t>IEC</w:t>
      </w:r>
      <w:proofErr w:type="spellEnd"/>
      <w:r>
        <w:rPr>
          <w:rFonts w:ascii="Times New Roman" w:hAnsi="Times New Roman"/>
          <w:sz w:val="24"/>
          <w:u w:val="single"/>
        </w:rPr>
        <w:t> 17025 akreditācijas darbības joma</w:t>
      </w:r>
      <w:r>
        <w:rPr>
          <w:rFonts w:ascii="Times New Roman" w:hAnsi="Times New Roman"/>
          <w:sz w:val="24"/>
        </w:rPr>
        <w:t xml:space="preserve"> (sk.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4.4.2.2. pantu) nav piemērojama, ja tiek mainīta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matrica (piemēram, no plazmas uz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sz w:val="24"/>
        </w:rPr>
        <w:t>).</w:t>
      </w:r>
    </w:p>
    <w:p w14:paraId="5F7EAC91" w14:textId="77777777" w:rsidR="008C42AA" w:rsidRPr="00BC0F12" w:rsidRDefault="008C42AA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700C4F99" w14:textId="26ED1B69" w:rsidR="008C5E0B" w:rsidRPr="00BC0F12" w:rsidRDefault="00695507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paraugiem</w:t>
      </w:r>
      <w:r>
        <w:rPr>
          <w:rFonts w:ascii="Times New Roman" w:hAnsi="Times New Roman"/>
          <w:sz w:val="24"/>
        </w:rPr>
        <w:t xml:space="preserve"> piemērotās </w:t>
      </w:r>
      <w:r>
        <w:rPr>
          <w:rFonts w:ascii="Times New Roman" w:hAnsi="Times New Roman"/>
          <w:sz w:val="24"/>
          <w:u w:val="single"/>
        </w:rPr>
        <w:t xml:space="preserve">analītiskās </w:t>
      </w:r>
      <w:r>
        <w:rPr>
          <w:rFonts w:ascii="Times New Roman" w:hAnsi="Times New Roman"/>
          <w:i/>
          <w:iCs/>
          <w:sz w:val="24"/>
          <w:u w:val="single"/>
        </w:rPr>
        <w:t>pārbaudes</w:t>
      </w:r>
      <w:r>
        <w:rPr>
          <w:rFonts w:ascii="Times New Roman" w:hAnsi="Times New Roman"/>
          <w:sz w:val="24"/>
          <w:u w:val="single"/>
        </w:rPr>
        <w:t xml:space="preserve"> procedūras</w:t>
      </w:r>
      <w:r>
        <w:rPr>
          <w:rFonts w:ascii="Times New Roman" w:hAnsi="Times New Roman"/>
          <w:sz w:val="24"/>
        </w:rPr>
        <w:t xml:space="preserve"> var radīt papildu pārnešanas risku (piemēram, perforācijas posmā, automatizētā darbplūsmā), tāpēc metodes izstrādes laikā nosaka atbilstošus nosacījumus, kas nepieciešami, lai mazinātu </w:t>
      </w:r>
      <w:r>
        <w:rPr>
          <w:rFonts w:ascii="Times New Roman" w:hAnsi="Times New Roman"/>
          <w:sz w:val="24"/>
          <w:u w:val="single"/>
        </w:rPr>
        <w:t>analizējamo vielu</w:t>
      </w:r>
      <w:r>
        <w:rPr>
          <w:rFonts w:ascii="Times New Roman" w:hAnsi="Times New Roman"/>
          <w:sz w:val="24"/>
        </w:rPr>
        <w:t xml:space="preserve"> pārnesi no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uz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apstrādes vai instrumentālās analīzes laikā, un tos validē, lai apliecinātu </w:t>
      </w:r>
      <w:r>
        <w:rPr>
          <w:rFonts w:ascii="Times New Roman" w:hAnsi="Times New Roman"/>
          <w:sz w:val="24"/>
          <w:u w:val="single"/>
        </w:rPr>
        <w:t>atbilstību nolūkam</w:t>
      </w:r>
      <w:r>
        <w:rPr>
          <w:rFonts w:ascii="Times New Roman" w:hAnsi="Times New Roman"/>
          <w:sz w:val="24"/>
        </w:rPr>
        <w:t>.</w:t>
      </w:r>
    </w:p>
    <w:p w14:paraId="4B18F2B6" w14:textId="77777777" w:rsidR="008C42AA" w:rsidRPr="00BC0F12" w:rsidRDefault="008C42AA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2356843D" w14:textId="64174BCD" w:rsidR="008C5E0B" w:rsidRPr="00BC0F12" w:rsidRDefault="00695507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2.3.4. Visus validējamos parametrus (piemēram, izšķirtspēju, pārnešanu,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ITP</w:t>
      </w:r>
      <w:proofErr w:type="spellEnd"/>
      <w:r>
        <w:rPr>
          <w:rFonts w:ascii="Times New Roman" w:hAnsi="Times New Roman"/>
          <w:sz w:val="24"/>
        </w:rPr>
        <w:t xml:space="preserve"> noteikšanas robežu (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LOD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CP</w:t>
      </w:r>
      <w:proofErr w:type="spellEnd"/>
      <w:r>
        <w:rPr>
          <w:rFonts w:ascii="Times New Roman" w:hAnsi="Times New Roman"/>
          <w:sz w:val="24"/>
        </w:rPr>
        <w:t xml:space="preserve"> identificēšanas robežu (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LOI</w:t>
      </w:r>
      <w:proofErr w:type="spellEnd"/>
      <w:r>
        <w:rPr>
          <w:rFonts w:ascii="Times New Roman" w:hAnsi="Times New Roman"/>
          <w:sz w:val="24"/>
        </w:rPr>
        <w:t xml:space="preserve">)) novērtē reprezentatīvajos paraugos, kuriem lietota tāda pati vai līdzīga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savākšanas ierīce /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absorbējošais materiāls, kas tiks izmantoti </w:t>
      </w:r>
      <w:r>
        <w:rPr>
          <w:rFonts w:ascii="Times New Roman" w:hAnsi="Times New Roman"/>
          <w:i/>
          <w:iCs/>
          <w:sz w:val="24"/>
        </w:rPr>
        <w:t>paraugiem</w:t>
      </w:r>
      <w:r>
        <w:rPr>
          <w:rFonts w:ascii="Times New Roman" w:hAnsi="Times New Roman"/>
          <w:sz w:val="24"/>
        </w:rPr>
        <w:t>.</w:t>
      </w:r>
    </w:p>
    <w:p w14:paraId="54C586F9" w14:textId="77777777" w:rsidR="008C42AA" w:rsidRPr="00BC0F12" w:rsidRDefault="008C42AA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491BE21D" w14:textId="1B90E624" w:rsidR="008C5E0B" w:rsidRPr="00BC0F12" w:rsidRDefault="00695507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2.3.5. </w:t>
      </w:r>
      <w:proofErr w:type="spellStart"/>
      <w:r>
        <w:rPr>
          <w:rFonts w:ascii="Times New Roman" w:hAnsi="Times New Roman"/>
          <w:sz w:val="24"/>
        </w:rPr>
        <w:t>Kalibratorus</w:t>
      </w:r>
      <w:proofErr w:type="spellEnd"/>
      <w:r>
        <w:rPr>
          <w:rFonts w:ascii="Times New Roman" w:hAnsi="Times New Roman"/>
          <w:sz w:val="24"/>
        </w:rPr>
        <w:t>, kvalitātes kontroles paraugus (</w:t>
      </w:r>
      <w:proofErr w:type="spellStart"/>
      <w:r>
        <w:rPr>
          <w:rFonts w:ascii="Times New Roman" w:hAnsi="Times New Roman"/>
          <w:i/>
          <w:iCs/>
          <w:sz w:val="24"/>
        </w:rPr>
        <w:t>QC</w:t>
      </w:r>
      <w:proofErr w:type="spellEnd"/>
      <w:r>
        <w:rPr>
          <w:rFonts w:ascii="Times New Roman" w:hAnsi="Times New Roman"/>
          <w:sz w:val="24"/>
        </w:rPr>
        <w:t xml:space="preserve">) un cita veida references paraugus var iegūt no nesadalītām venozām asinīm, kas satur </w:t>
      </w:r>
      <w:proofErr w:type="spellStart"/>
      <w:r>
        <w:rPr>
          <w:rFonts w:ascii="Times New Roman" w:hAnsi="Times New Roman"/>
          <w:sz w:val="24"/>
        </w:rPr>
        <w:t>EDTA</w:t>
      </w:r>
      <w:proofErr w:type="spellEnd"/>
      <w:r>
        <w:rPr>
          <w:rFonts w:ascii="Times New Roman" w:hAnsi="Times New Roman"/>
          <w:sz w:val="24"/>
        </w:rPr>
        <w:t xml:space="preserve"> kā </w:t>
      </w:r>
      <w:proofErr w:type="spellStart"/>
      <w:r>
        <w:rPr>
          <w:rFonts w:ascii="Times New Roman" w:hAnsi="Times New Roman"/>
          <w:sz w:val="24"/>
        </w:rPr>
        <w:t>antikoagulantu</w:t>
      </w:r>
      <w:proofErr w:type="spellEnd"/>
      <w:r>
        <w:rPr>
          <w:rFonts w:ascii="Times New Roman" w:hAnsi="Times New Roman"/>
          <w:sz w:val="24"/>
        </w:rPr>
        <w:t xml:space="preserve">. Tomēr venozo asins paraugu novieto un tam ļauj izžūt atbilstošajā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savākšanas ierīcē / uz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absorbējošā materiāla, ko paredzēts izmantot analīzei.</w:t>
      </w:r>
    </w:p>
    <w:p w14:paraId="3FF0B302" w14:textId="77777777" w:rsidR="008C42AA" w:rsidRPr="00BC0F12" w:rsidRDefault="008C42AA" w:rsidP="00260C01">
      <w:pPr>
        <w:tabs>
          <w:tab w:val="left" w:pos="2844"/>
        </w:tabs>
        <w:ind w:left="567"/>
        <w:jc w:val="both"/>
        <w:rPr>
          <w:rFonts w:ascii="Times New Roman" w:hAnsi="Times New Roman"/>
          <w:sz w:val="24"/>
          <w:lang w:val="en-GB"/>
        </w:rPr>
      </w:pPr>
    </w:p>
    <w:p w14:paraId="40E435D5" w14:textId="2858028D" w:rsidR="008C5E0B" w:rsidRPr="00BC0F12" w:rsidRDefault="008C5E0B" w:rsidP="00317B9A">
      <w:pPr>
        <w:keepNext/>
        <w:keepLines/>
        <w:ind w:left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[Piezīme. References paraugi var būt arī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asins paraugi, kas izmantoti kontrolētas lietošanas pētījumos attiecībā uz pozitīviem </w:t>
      </w:r>
      <w:proofErr w:type="spellStart"/>
      <w:r>
        <w:rPr>
          <w:rFonts w:ascii="Times New Roman" w:hAnsi="Times New Roman"/>
          <w:i/>
          <w:sz w:val="24"/>
        </w:rPr>
        <w:t>QC</w:t>
      </w:r>
      <w:proofErr w:type="spellEnd"/>
      <w:r>
        <w:rPr>
          <w:rFonts w:ascii="Times New Roman" w:hAnsi="Times New Roman"/>
          <w:i/>
          <w:sz w:val="24"/>
        </w:rPr>
        <w:t xml:space="preserve"> paraugiem vai negatīviem (bez pievienotām vielām) </w:t>
      </w:r>
      <w:proofErr w:type="spellStart"/>
      <w:r>
        <w:rPr>
          <w:rFonts w:ascii="Times New Roman" w:hAnsi="Times New Roman"/>
          <w:i/>
          <w:sz w:val="24"/>
        </w:rPr>
        <w:t>QC</w:t>
      </w:r>
      <w:proofErr w:type="spellEnd"/>
      <w:r>
        <w:rPr>
          <w:rFonts w:ascii="Times New Roman" w:hAnsi="Times New Roman"/>
          <w:i/>
          <w:sz w:val="24"/>
        </w:rPr>
        <w:t xml:space="preserve"> paraugiem.]</w:t>
      </w:r>
    </w:p>
    <w:p w14:paraId="0DF1FD61" w14:textId="77777777" w:rsidR="008C5E0B" w:rsidRPr="00BC0F12" w:rsidRDefault="008C5E0B" w:rsidP="005429AA">
      <w:pPr>
        <w:pStyle w:val="BodyText"/>
        <w:jc w:val="both"/>
        <w:rPr>
          <w:rFonts w:ascii="Times New Roman" w:hAnsi="Times New Roman"/>
          <w:i/>
          <w:sz w:val="24"/>
          <w:lang w:val="en-GB"/>
        </w:rPr>
      </w:pPr>
    </w:p>
    <w:p w14:paraId="17923347" w14:textId="549AF661" w:rsidR="008C5E0B" w:rsidRPr="00BC0F12" w:rsidRDefault="00E828EA" w:rsidP="00260C01">
      <w:pPr>
        <w:pStyle w:val="ListParagraph"/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Paraugu analīze</w:t>
      </w:r>
    </w:p>
    <w:p w14:paraId="6676517C" w14:textId="77777777" w:rsidR="00E828EA" w:rsidRPr="00BC0F12" w:rsidRDefault="00E828EA" w:rsidP="00260C01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5EC5F7BE" w14:textId="57EAD18F" w:rsidR="008C5E0B" w:rsidRPr="00BC0F12" w:rsidRDefault="008C5E0B" w:rsidP="00260C01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Attiecībā uz </w:t>
      </w:r>
      <w:r>
        <w:rPr>
          <w:rFonts w:ascii="Times New Roman" w:hAnsi="Times New Roman"/>
          <w:sz w:val="24"/>
          <w:u w:val="single"/>
        </w:rPr>
        <w:t>vielām, kas nav sliekšņa vielas</w:t>
      </w:r>
      <w:r>
        <w:rPr>
          <w:rFonts w:ascii="Times New Roman" w:hAnsi="Times New Roman"/>
          <w:sz w:val="24"/>
        </w:rPr>
        <w:t xml:space="preserve"> un kam nav </w:t>
      </w:r>
      <w:proofErr w:type="spellStart"/>
      <w:r>
        <w:rPr>
          <w:rFonts w:ascii="Times New Roman" w:hAnsi="Times New Roman"/>
          <w:i/>
          <w:iCs/>
          <w:sz w:val="24"/>
        </w:rPr>
        <w:t>MRL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analīzi veic saskaņā ar attiecīgajiem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5.3.6. panta noteikumiem, ņemot vērā turpmāk minētās specifikācijas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analīzei.</w:t>
      </w:r>
    </w:p>
    <w:p w14:paraId="5DAB8D99" w14:textId="77777777" w:rsidR="00E828EA" w:rsidRPr="00BC0F12" w:rsidRDefault="00E828EA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61BE3278" w14:textId="77777777" w:rsidR="006C52E0" w:rsidRPr="00BC0F12" w:rsidRDefault="00E828EA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2.4.1. Parauga “A” daļas </w:t>
      </w:r>
      <w:r>
        <w:rPr>
          <w:rFonts w:ascii="Times New Roman" w:hAnsi="Times New Roman"/>
          <w:sz w:val="24"/>
          <w:u w:val="single"/>
        </w:rPr>
        <w:t>apstiprināšanas procedūra</w:t>
      </w:r>
    </w:p>
    <w:p w14:paraId="0378511C" w14:textId="77777777" w:rsidR="006C52E0" w:rsidRPr="00BC0F12" w:rsidRDefault="006C52E0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  <w:u w:val="single"/>
          <w:lang w:val="en-GB"/>
        </w:rPr>
      </w:pPr>
    </w:p>
    <w:p w14:paraId="6BBE22C4" w14:textId="58A31563" w:rsidR="008C5E0B" w:rsidRPr="00BC0F12" w:rsidRDefault="008C5E0B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  <w:u w:val="single"/>
        </w:rPr>
      </w:pPr>
      <w:proofErr w:type="spellStart"/>
      <w:r>
        <w:rPr>
          <w:rFonts w:ascii="Times New Roman" w:hAnsi="Times New Roman"/>
          <w:sz w:val="24"/>
          <w:u w:val="single"/>
        </w:rPr>
        <w:t>Alikvotas</w:t>
      </w:r>
      <w:proofErr w:type="spellEnd"/>
    </w:p>
    <w:p w14:paraId="5FA7A0BE" w14:textId="77777777" w:rsidR="00DA1723" w:rsidRPr="00BC0F12" w:rsidRDefault="00DA1723" w:rsidP="00260C01">
      <w:pPr>
        <w:pStyle w:val="ListParagraph"/>
        <w:tabs>
          <w:tab w:val="left" w:pos="2734"/>
        </w:tabs>
        <w:spacing w:before="0"/>
        <w:ind w:left="567"/>
        <w:jc w:val="left"/>
        <w:rPr>
          <w:rFonts w:ascii="Times New Roman" w:hAnsi="Times New Roman"/>
          <w:sz w:val="24"/>
          <w:lang w:val="en-GB"/>
        </w:rPr>
      </w:pPr>
    </w:p>
    <w:p w14:paraId="7848A4DF" w14:textId="77777777" w:rsidR="008C5E0B" w:rsidRPr="00BC0F12" w:rsidRDefault="008C5E0B" w:rsidP="00260C01">
      <w:pPr>
        <w:pStyle w:val="BodyText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izmantotajā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savākšanas ierīcē /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absorbējošā materiālā savāktā asins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tilpums pārsniedz (&gt;) 20 µL uz vienu izžuvuša asins piliena apli un šis aplis ir viendabīgs un piesūcināts ar asinīm, jauno parauga “A” daļas </w:t>
      </w:r>
      <w:proofErr w:type="spellStart"/>
      <w:r>
        <w:rPr>
          <w:rFonts w:ascii="Times New Roman" w:hAnsi="Times New Roman"/>
          <w:sz w:val="24"/>
          <w:u w:val="single"/>
        </w:rPr>
        <w:t>alikvotu</w:t>
      </w:r>
      <w:proofErr w:type="spellEnd"/>
      <w:r>
        <w:rPr>
          <w:rFonts w:ascii="Times New Roman" w:hAnsi="Times New Roman"/>
          <w:sz w:val="24"/>
        </w:rPr>
        <w:t xml:space="preserve">, kas nepieciešama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CP</w:t>
      </w:r>
      <w:proofErr w:type="spellEnd"/>
      <w:r>
        <w:rPr>
          <w:rFonts w:ascii="Times New Roman" w:hAnsi="Times New Roman"/>
          <w:sz w:val="24"/>
        </w:rPr>
        <w:t xml:space="preserve">, var perforēt no tā paša apļa, kas izmantots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ITP</w:t>
      </w:r>
      <w:proofErr w:type="spellEnd"/>
      <w:r>
        <w:rPr>
          <w:rFonts w:ascii="Times New Roman" w:hAnsi="Times New Roman"/>
          <w:sz w:val="24"/>
        </w:rPr>
        <w:t>, ja nav pieejams cits aplis.</w:t>
      </w:r>
    </w:p>
    <w:p w14:paraId="56D45D0F" w14:textId="77777777" w:rsidR="00DA1723" w:rsidRPr="00BC0F12" w:rsidRDefault="00DA1723" w:rsidP="005429AA">
      <w:pPr>
        <w:pStyle w:val="BodyText"/>
        <w:jc w:val="both"/>
        <w:rPr>
          <w:rFonts w:ascii="Times New Roman" w:hAnsi="Times New Roman"/>
          <w:sz w:val="24"/>
          <w:lang w:val="en-GB"/>
        </w:rPr>
      </w:pPr>
    </w:p>
    <w:p w14:paraId="15E9FFF7" w14:textId="53934CFB" w:rsidR="008C5E0B" w:rsidRPr="00BC0F12" w:rsidRDefault="006C52E0" w:rsidP="006C52E0">
      <w:pPr>
        <w:pStyle w:val="ListParagraph"/>
        <w:tabs>
          <w:tab w:val="left" w:pos="1299"/>
        </w:tabs>
        <w:spacing w:before="0"/>
        <w:ind w:left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3.0.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glabāšana</w:t>
      </w:r>
    </w:p>
    <w:p w14:paraId="6BBFBC2D" w14:textId="77777777" w:rsidR="006C52E0" w:rsidRPr="00BC0F12" w:rsidRDefault="006C52E0" w:rsidP="006C52E0">
      <w:pPr>
        <w:pStyle w:val="ListParagraph"/>
        <w:tabs>
          <w:tab w:val="left" w:pos="1299"/>
        </w:tabs>
        <w:spacing w:before="0"/>
        <w:ind w:left="0"/>
        <w:jc w:val="left"/>
        <w:rPr>
          <w:rFonts w:ascii="Times New Roman" w:hAnsi="Times New Roman"/>
          <w:i/>
          <w:sz w:val="24"/>
          <w:lang w:val="en-GB"/>
        </w:rPr>
      </w:pPr>
    </w:p>
    <w:p w14:paraId="4D0D716F" w14:textId="56CD5D5A" w:rsidR="008C5E0B" w:rsidRPr="00BC0F12" w:rsidRDefault="006C52E0" w:rsidP="00426016">
      <w:pPr>
        <w:pStyle w:val="ListParagraph"/>
        <w:spacing w:before="0"/>
        <w:ind w:left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sākotnējā glabāšana</w:t>
      </w:r>
    </w:p>
    <w:p w14:paraId="06E45F59" w14:textId="77777777" w:rsidR="006C52E0" w:rsidRPr="00BC0F12" w:rsidRDefault="006C52E0" w:rsidP="00426016">
      <w:pPr>
        <w:pStyle w:val="ListParagraph"/>
        <w:spacing w:before="0"/>
        <w:ind w:left="284"/>
        <w:jc w:val="left"/>
        <w:rPr>
          <w:rFonts w:ascii="Times New Roman" w:hAnsi="Times New Roman"/>
          <w:i/>
          <w:sz w:val="24"/>
          <w:lang w:val="en-GB"/>
        </w:rPr>
      </w:pPr>
    </w:p>
    <w:p w14:paraId="17C58CD6" w14:textId="77777777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Visus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paraugus</w:t>
      </w:r>
      <w:r>
        <w:rPr>
          <w:rFonts w:ascii="Times New Roman" w:hAnsi="Times New Roman"/>
          <w:sz w:val="24"/>
        </w:rPr>
        <w:t xml:space="preserve">, kas tiek paturēti glabāšanā </w:t>
      </w:r>
      <w:r>
        <w:rPr>
          <w:rFonts w:ascii="Times New Roman" w:hAnsi="Times New Roman"/>
          <w:sz w:val="24"/>
          <w:u w:val="single"/>
        </w:rPr>
        <w:t>laboratorijā</w:t>
      </w:r>
      <w:r>
        <w:rPr>
          <w:rFonts w:ascii="Times New Roman" w:hAnsi="Times New Roman"/>
          <w:sz w:val="24"/>
        </w:rPr>
        <w:t xml:space="preserve">, glabā sasaldētā veidā kopā ar </w:t>
      </w:r>
      <w:proofErr w:type="spellStart"/>
      <w:r>
        <w:rPr>
          <w:rFonts w:ascii="Times New Roman" w:hAnsi="Times New Roman"/>
          <w:sz w:val="24"/>
        </w:rPr>
        <w:t>desikantiem</w:t>
      </w:r>
      <w:proofErr w:type="spellEnd"/>
      <w:r>
        <w:rPr>
          <w:rFonts w:ascii="Times New Roman" w:hAnsi="Times New Roman"/>
          <w:sz w:val="24"/>
        </w:rPr>
        <w:t xml:space="preserve"> drošā vietā, nodrošinot nepārtrauktu uzraudzības ķēdi.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uztur visu uzraudzības ķēdi un citus datu ierakstus (cietās kopijas vai digitālā formātā) attiecībā uz šiem </w:t>
      </w:r>
      <w:r>
        <w:rPr>
          <w:rFonts w:ascii="Times New Roman" w:hAnsi="Times New Roman"/>
          <w:i/>
          <w:sz w:val="24"/>
        </w:rPr>
        <w:t>paraugiem</w:t>
      </w:r>
      <w:r>
        <w:rPr>
          <w:rFonts w:ascii="Times New Roman" w:hAnsi="Times New Roman"/>
          <w:sz w:val="24"/>
        </w:rPr>
        <w:t>.</w:t>
      </w:r>
    </w:p>
    <w:p w14:paraId="345D5EE6" w14:textId="77777777" w:rsidR="006C52E0" w:rsidRPr="00BC0F12" w:rsidRDefault="006C52E0" w:rsidP="00426016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10B8BB99" w14:textId="5446DB28" w:rsidR="008C5E0B" w:rsidRPr="00BC0F12" w:rsidRDefault="00D520C6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paraugs</w:t>
      </w:r>
      <w:r>
        <w:rPr>
          <w:rFonts w:ascii="Times New Roman" w:hAnsi="Times New Roman"/>
          <w:sz w:val="24"/>
        </w:rPr>
        <w:t>(-i), kuram(-</w:t>
      </w:r>
      <w:proofErr w:type="spellStart"/>
      <w:r>
        <w:rPr>
          <w:rFonts w:ascii="Times New Roman" w:hAnsi="Times New Roman"/>
          <w:sz w:val="24"/>
        </w:rPr>
        <w:t>iem</w:t>
      </w:r>
      <w:proofErr w:type="spellEnd"/>
      <w:r>
        <w:rPr>
          <w:rFonts w:ascii="Times New Roman" w:hAnsi="Times New Roman"/>
          <w:sz w:val="24"/>
        </w:rPr>
        <w:t xml:space="preserve">) nav </w:t>
      </w:r>
      <w:r>
        <w:rPr>
          <w:rFonts w:ascii="Times New Roman" w:hAnsi="Times New Roman"/>
          <w:i/>
          <w:sz w:val="24"/>
        </w:rPr>
        <w:t xml:space="preserve">nelabvēlīga analīžu rezultāta </w:t>
      </w:r>
      <w:r>
        <w:rPr>
          <w:rFonts w:ascii="Times New Roman" w:hAnsi="Times New Roman"/>
          <w:sz w:val="24"/>
        </w:rPr>
        <w:t xml:space="preserve">vai </w:t>
      </w:r>
      <w:r>
        <w:rPr>
          <w:rFonts w:ascii="Times New Roman" w:hAnsi="Times New Roman"/>
          <w:i/>
          <w:sz w:val="24"/>
        </w:rPr>
        <w:t xml:space="preserve">netipiskas </w:t>
      </w:r>
      <w:proofErr w:type="spellStart"/>
      <w:r>
        <w:rPr>
          <w:rFonts w:ascii="Times New Roman" w:hAnsi="Times New Roman"/>
          <w:i/>
          <w:sz w:val="24"/>
        </w:rPr>
        <w:t>atrades</w:t>
      </w:r>
      <w:proofErr w:type="spellEnd"/>
      <w:r>
        <w:rPr>
          <w:rFonts w:ascii="Times New Roman" w:hAnsi="Times New Roman"/>
          <w:sz w:val="24"/>
        </w:rPr>
        <w:t>:</w:t>
      </w:r>
    </w:p>
    <w:p w14:paraId="217C0956" w14:textId="77777777" w:rsidR="00D520C6" w:rsidRPr="00BC0F12" w:rsidRDefault="00D520C6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1A01857F" w14:textId="5D883335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patur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>(-u) “A” un “B” daļu(-</w:t>
      </w:r>
      <w:proofErr w:type="spellStart"/>
      <w:r>
        <w:rPr>
          <w:rFonts w:ascii="Times New Roman" w:hAnsi="Times New Roman"/>
          <w:sz w:val="24"/>
        </w:rPr>
        <w:t>as</w:t>
      </w:r>
      <w:proofErr w:type="spellEnd"/>
      <w:r>
        <w:rPr>
          <w:rFonts w:ascii="Times New Roman" w:hAnsi="Times New Roman"/>
          <w:sz w:val="24"/>
        </w:rPr>
        <w:t>), kurai(-</w:t>
      </w:r>
      <w:proofErr w:type="spellStart"/>
      <w:r>
        <w:rPr>
          <w:rFonts w:ascii="Times New Roman" w:hAnsi="Times New Roman"/>
          <w:sz w:val="24"/>
        </w:rPr>
        <w:t>ām</w:t>
      </w:r>
      <w:proofErr w:type="spellEnd"/>
      <w:r>
        <w:rPr>
          <w:rFonts w:ascii="Times New Roman" w:hAnsi="Times New Roman"/>
          <w:sz w:val="24"/>
        </w:rPr>
        <w:t xml:space="preserve">) nav </w:t>
      </w:r>
      <w:r>
        <w:rPr>
          <w:rFonts w:ascii="Times New Roman" w:hAnsi="Times New Roman"/>
          <w:i/>
          <w:iCs/>
          <w:sz w:val="24"/>
        </w:rPr>
        <w:t>nelabvēlīga analīžu rezultāta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 xml:space="preserve">netipiskas </w:t>
      </w:r>
      <w:proofErr w:type="spellStart"/>
      <w:r>
        <w:rPr>
          <w:rFonts w:ascii="Times New Roman" w:hAnsi="Times New Roman"/>
          <w:i/>
          <w:iCs/>
          <w:sz w:val="24"/>
        </w:rPr>
        <w:t>atrades</w:t>
      </w:r>
      <w:proofErr w:type="spellEnd"/>
      <w:r>
        <w:rPr>
          <w:rFonts w:ascii="Times New Roman" w:hAnsi="Times New Roman"/>
          <w:sz w:val="24"/>
        </w:rPr>
        <w:t xml:space="preserve">, vismaz trīs (3) mēnešus pēc galīgā analīžu rezultāta paziņošanas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vai ne ilgāk kā desmit (10) gadus pēc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savākšanas datuma, ja attiecīgā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</w:rPr>
        <w:t xml:space="preserve"> ir </w:t>
      </w:r>
      <w:proofErr w:type="spellStart"/>
      <w:r>
        <w:rPr>
          <w:rFonts w:ascii="Times New Roman" w:hAnsi="Times New Roman"/>
          <w:sz w:val="24"/>
        </w:rPr>
        <w:t>rakstveidā</w:t>
      </w:r>
      <w:proofErr w:type="spellEnd"/>
      <w:r>
        <w:rPr>
          <w:rFonts w:ascii="Times New Roman" w:hAnsi="Times New Roman"/>
          <w:sz w:val="24"/>
        </w:rPr>
        <w:t xml:space="preserve"> lūgusi paturēt šo(-</w:t>
      </w:r>
      <w:proofErr w:type="spellStart"/>
      <w:r>
        <w:rPr>
          <w:rFonts w:ascii="Times New Roman" w:hAnsi="Times New Roman"/>
          <w:sz w:val="24"/>
        </w:rPr>
        <w:t>os</w:t>
      </w:r>
      <w:proofErr w:type="spellEnd"/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>(-</w:t>
      </w:r>
      <w:proofErr w:type="spellStart"/>
      <w:r>
        <w:rPr>
          <w:rFonts w:ascii="Times New Roman" w:hAnsi="Times New Roman"/>
          <w:sz w:val="24"/>
        </w:rPr>
        <w:t>us</w:t>
      </w:r>
      <w:proofErr w:type="spellEnd"/>
      <w:r>
        <w:rPr>
          <w:rFonts w:ascii="Times New Roman" w:hAnsi="Times New Roman"/>
          <w:sz w:val="24"/>
        </w:rPr>
        <w:t>) ilgtermiņa glabāšanā.</w:t>
      </w:r>
    </w:p>
    <w:p w14:paraId="2BEE1F57" w14:textId="77777777" w:rsidR="00D520C6" w:rsidRPr="00BC0F12" w:rsidRDefault="00D520C6" w:rsidP="00426016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476B135B" w14:textId="2D61105E" w:rsidR="008C5E0B" w:rsidRPr="00BC0F12" w:rsidRDefault="00D520C6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paraugi</w:t>
      </w:r>
      <w:r>
        <w:rPr>
          <w:rFonts w:ascii="Times New Roman" w:hAnsi="Times New Roman"/>
          <w:sz w:val="24"/>
        </w:rPr>
        <w:t xml:space="preserve"> ar neatbilstībām:</w:t>
      </w:r>
    </w:p>
    <w:p w14:paraId="5524637A" w14:textId="77777777" w:rsidR="00D520C6" w:rsidRPr="00BC0F12" w:rsidRDefault="00D520C6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71D26911" w14:textId="2DDEB33D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patur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>(-u) “A” un “B” daļu(-</w:t>
      </w:r>
      <w:proofErr w:type="spellStart"/>
      <w:r>
        <w:rPr>
          <w:rFonts w:ascii="Times New Roman" w:hAnsi="Times New Roman"/>
          <w:sz w:val="24"/>
        </w:rPr>
        <w:t>as</w:t>
      </w:r>
      <w:proofErr w:type="spellEnd"/>
      <w:r>
        <w:rPr>
          <w:rFonts w:ascii="Times New Roman" w:hAnsi="Times New Roman"/>
          <w:sz w:val="24"/>
        </w:rPr>
        <w:t>), kurai(-</w:t>
      </w:r>
      <w:proofErr w:type="spellStart"/>
      <w:r>
        <w:rPr>
          <w:rFonts w:ascii="Times New Roman" w:hAnsi="Times New Roman"/>
          <w:sz w:val="24"/>
        </w:rPr>
        <w:t>ām</w:t>
      </w:r>
      <w:proofErr w:type="spellEnd"/>
      <w:r>
        <w:rPr>
          <w:rFonts w:ascii="Times New Roman" w:hAnsi="Times New Roman"/>
          <w:sz w:val="24"/>
        </w:rPr>
        <w:t xml:space="preserve">) ir neatbilstības, vismaz trīs (3) mēnešus pēc galīgā analīžu rezultāta paziņošanas </w:t>
      </w:r>
      <w:r>
        <w:rPr>
          <w:rFonts w:ascii="Times New Roman" w:hAnsi="Times New Roman"/>
          <w:i/>
          <w:iCs/>
          <w:sz w:val="24"/>
        </w:rPr>
        <w:t>ADAMS</w:t>
      </w:r>
      <w:r>
        <w:rPr>
          <w:rFonts w:ascii="Times New Roman" w:hAnsi="Times New Roman"/>
          <w:sz w:val="24"/>
        </w:rPr>
        <w:t xml:space="preserve"> vai ilgāku laiku, kā noteikusi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  <w:u w:val="single"/>
        </w:rPr>
        <w:t>rezultātu pārvaldības</w:t>
      </w:r>
      <w:r>
        <w:rPr>
          <w:rFonts w:ascii="Times New Roman" w:hAnsi="Times New Roman"/>
          <w:sz w:val="24"/>
          <w:u w:val="single"/>
        </w:rPr>
        <w:t xml:space="preserve"> iestāde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RMA</w:t>
      </w:r>
      <w:proofErr w:type="spellEnd"/>
      <w:r>
        <w:rPr>
          <w:rFonts w:ascii="Times New Roman" w:hAnsi="Times New Roman"/>
          <w:sz w:val="24"/>
        </w:rPr>
        <w:t xml:space="preserve">) vai </w:t>
      </w:r>
      <w:proofErr w:type="spellStart"/>
      <w:r>
        <w:rPr>
          <w:rFonts w:ascii="Times New Roman" w:hAnsi="Times New Roman"/>
          <w:i/>
          <w:sz w:val="24"/>
        </w:rPr>
        <w:t>WADA</w:t>
      </w:r>
      <w:proofErr w:type="spellEnd"/>
      <w:r w:rsidR="00D520C6" w:rsidRPr="00BC0F12">
        <w:rPr>
          <w:rStyle w:val="FootnoteReference"/>
          <w:rFonts w:ascii="Times New Roman" w:hAnsi="Times New Roman"/>
          <w:i/>
          <w:sz w:val="24"/>
          <w:lang w:val="en-GB"/>
        </w:rPr>
        <w:footnoteReference w:id="2"/>
      </w:r>
      <w:r>
        <w:rPr>
          <w:rFonts w:ascii="Times New Roman" w:hAnsi="Times New Roman"/>
          <w:sz w:val="24"/>
        </w:rPr>
        <w:t>.</w:t>
      </w:r>
    </w:p>
    <w:p w14:paraId="33EC8A2D" w14:textId="77777777" w:rsidR="00D520C6" w:rsidRPr="00BC0F12" w:rsidRDefault="00D520C6" w:rsidP="00426016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3015974E" w14:textId="45E3E88C" w:rsidR="008C5E0B" w:rsidRPr="00BC0F12" w:rsidRDefault="00D520C6" w:rsidP="00426016">
      <w:pPr>
        <w:pStyle w:val="ListParagraph"/>
        <w:tabs>
          <w:tab w:val="left" w:pos="2135"/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paraugs</w:t>
      </w:r>
      <w:r>
        <w:rPr>
          <w:rFonts w:ascii="Times New Roman" w:hAnsi="Times New Roman"/>
          <w:sz w:val="24"/>
        </w:rPr>
        <w:t>(-i), kuram(-</w:t>
      </w:r>
      <w:proofErr w:type="spellStart"/>
      <w:r>
        <w:rPr>
          <w:rFonts w:ascii="Times New Roman" w:hAnsi="Times New Roman"/>
          <w:sz w:val="24"/>
        </w:rPr>
        <w:t>iem</w:t>
      </w:r>
      <w:proofErr w:type="spellEnd"/>
      <w:r>
        <w:rPr>
          <w:rFonts w:ascii="Times New Roman" w:hAnsi="Times New Roman"/>
          <w:sz w:val="24"/>
        </w:rPr>
        <w:t xml:space="preserve">) ir </w:t>
      </w:r>
      <w:r>
        <w:rPr>
          <w:rFonts w:ascii="Times New Roman" w:hAnsi="Times New Roman"/>
          <w:i/>
          <w:sz w:val="24"/>
        </w:rPr>
        <w:t xml:space="preserve">nelabvēlīgs analīžu rezultāts </w:t>
      </w:r>
      <w:r>
        <w:rPr>
          <w:rFonts w:ascii="Times New Roman" w:hAnsi="Times New Roman"/>
          <w:sz w:val="24"/>
        </w:rPr>
        <w:t xml:space="preserve">vai </w:t>
      </w:r>
      <w:r>
        <w:rPr>
          <w:rFonts w:ascii="Times New Roman" w:hAnsi="Times New Roman"/>
          <w:i/>
          <w:sz w:val="24"/>
        </w:rPr>
        <w:t xml:space="preserve">netipiska </w:t>
      </w:r>
      <w:proofErr w:type="spellStart"/>
      <w:r>
        <w:rPr>
          <w:rFonts w:ascii="Times New Roman" w:hAnsi="Times New Roman"/>
          <w:i/>
          <w:sz w:val="24"/>
        </w:rPr>
        <w:t>atrade</w:t>
      </w:r>
      <w:proofErr w:type="spellEnd"/>
      <w:r>
        <w:rPr>
          <w:rFonts w:ascii="Times New Roman" w:hAnsi="Times New Roman"/>
          <w:sz w:val="24"/>
        </w:rPr>
        <w:t>:</w:t>
      </w:r>
    </w:p>
    <w:p w14:paraId="7FE8D6C7" w14:textId="77777777" w:rsidR="00D520C6" w:rsidRPr="00BC0F12" w:rsidRDefault="00D520C6" w:rsidP="00426016">
      <w:pPr>
        <w:pStyle w:val="ListParagraph"/>
        <w:tabs>
          <w:tab w:val="left" w:pos="2135"/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017F3865" w14:textId="453E47A6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patur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>(-u) “A” un “B” daļu(-</w:t>
      </w:r>
      <w:proofErr w:type="spellStart"/>
      <w:r>
        <w:rPr>
          <w:rFonts w:ascii="Times New Roman" w:hAnsi="Times New Roman"/>
          <w:sz w:val="24"/>
        </w:rPr>
        <w:t>as</w:t>
      </w:r>
      <w:proofErr w:type="spellEnd"/>
      <w:r>
        <w:rPr>
          <w:rFonts w:ascii="Times New Roman" w:hAnsi="Times New Roman"/>
          <w:sz w:val="24"/>
        </w:rPr>
        <w:t>), kurai(-</w:t>
      </w:r>
      <w:proofErr w:type="spellStart"/>
      <w:r>
        <w:rPr>
          <w:rFonts w:ascii="Times New Roman" w:hAnsi="Times New Roman"/>
          <w:sz w:val="24"/>
        </w:rPr>
        <w:t>ām</w:t>
      </w:r>
      <w:proofErr w:type="spellEnd"/>
      <w:r>
        <w:rPr>
          <w:rFonts w:ascii="Times New Roman" w:hAnsi="Times New Roman"/>
          <w:sz w:val="24"/>
        </w:rPr>
        <w:t xml:space="preserve">) ir nelabvēlīgs analīžu rezultāts vai </w:t>
      </w:r>
      <w:r>
        <w:rPr>
          <w:rFonts w:ascii="Times New Roman" w:hAnsi="Times New Roman"/>
          <w:i/>
          <w:iCs/>
          <w:sz w:val="24"/>
        </w:rPr>
        <w:t xml:space="preserve">netipiska </w:t>
      </w:r>
      <w:proofErr w:type="spellStart"/>
      <w:r>
        <w:rPr>
          <w:rFonts w:ascii="Times New Roman" w:hAnsi="Times New Roman"/>
          <w:i/>
          <w:iCs/>
          <w:sz w:val="24"/>
        </w:rPr>
        <w:t>atrade</w:t>
      </w:r>
      <w:proofErr w:type="spellEnd"/>
      <w:r>
        <w:rPr>
          <w:rFonts w:ascii="Times New Roman" w:hAnsi="Times New Roman"/>
          <w:sz w:val="24"/>
        </w:rPr>
        <w:t xml:space="preserve">, vismaz sešus (6) mēnešus pēc galīgā analīžu rezultāta </w:t>
      </w:r>
      <w:r>
        <w:rPr>
          <w:rFonts w:ascii="Times New Roman" w:hAnsi="Times New Roman"/>
          <w:sz w:val="24"/>
        </w:rPr>
        <w:lastRenderedPageBreak/>
        <w:t xml:space="preserve">(attiecīgi –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“A” vai “B” daļai) paziņošanas </w:t>
      </w:r>
      <w:r>
        <w:rPr>
          <w:rFonts w:ascii="Times New Roman" w:hAnsi="Times New Roman"/>
          <w:i/>
          <w:iCs/>
          <w:sz w:val="24"/>
        </w:rPr>
        <w:t>ADAMS</w:t>
      </w:r>
      <w:r w:rsidR="00B8115D" w:rsidRPr="00BC0F12">
        <w:rPr>
          <w:rStyle w:val="FootnoteReference"/>
          <w:rFonts w:ascii="Times New Roman" w:hAnsi="Times New Roman"/>
          <w:i/>
          <w:sz w:val="24"/>
          <w:lang w:val="en-GB"/>
        </w:rPr>
        <w:footnoteReference w:id="3"/>
      </w:r>
      <w:r>
        <w:rPr>
          <w:rFonts w:ascii="Times New Roman" w:hAnsi="Times New Roman"/>
          <w:sz w:val="24"/>
          <w:vertAlign w:val="superscript"/>
        </w:rPr>
        <w:t xml:space="preserve">, </w:t>
      </w:r>
      <w:r w:rsidR="00B8115D" w:rsidRPr="00BC0F12">
        <w:rPr>
          <w:rStyle w:val="FootnoteReference"/>
          <w:rFonts w:ascii="Times New Roman" w:hAnsi="Times New Roman"/>
          <w:i/>
          <w:sz w:val="24"/>
          <w:lang w:val="en-GB"/>
        </w:rPr>
        <w:footnoteReference w:id="4"/>
      </w:r>
      <w:r>
        <w:rPr>
          <w:rFonts w:ascii="Times New Roman" w:hAnsi="Times New Roman"/>
          <w:sz w:val="24"/>
        </w:rPr>
        <w:t xml:space="preserve"> vai ilgāku laiku, par ko </w:t>
      </w:r>
      <w:r>
        <w:rPr>
          <w:rFonts w:ascii="Times New Roman" w:hAnsi="Times New Roman"/>
          <w:sz w:val="24"/>
          <w:u w:val="single"/>
        </w:rPr>
        <w:t>laboratoriju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rakstveidā</w:t>
      </w:r>
      <w:proofErr w:type="spellEnd"/>
      <w:r>
        <w:rPr>
          <w:rFonts w:ascii="Times New Roman" w:hAnsi="Times New Roman"/>
          <w:sz w:val="24"/>
        </w:rPr>
        <w:t xml:space="preserve"> informē attiecīgā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RMA</w:t>
      </w:r>
      <w:proofErr w:type="spellEnd"/>
      <w:r>
        <w:rPr>
          <w:rFonts w:ascii="Times New Roman" w:hAnsi="Times New Roman"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iCs/>
          <w:sz w:val="24"/>
        </w:rPr>
        <w:t>WADA</w:t>
      </w:r>
      <w:r>
        <w:rPr>
          <w:rFonts w:ascii="Times New Roman" w:hAnsi="Times New Roman"/>
          <w:sz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</w:rPr>
        <w:t>.</w:t>
      </w:r>
    </w:p>
    <w:p w14:paraId="4708AAB1" w14:textId="77777777" w:rsidR="00D520C6" w:rsidRPr="00BC0F12" w:rsidRDefault="00D520C6" w:rsidP="00426016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08A33271" w14:textId="00EB3CA2" w:rsidR="008C5E0B" w:rsidRPr="00BC0F12" w:rsidRDefault="00AE29AD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</w:t>
      </w:r>
      <w:proofErr w:type="spellStart"/>
      <w:r>
        <w:rPr>
          <w:rFonts w:ascii="Times New Roman" w:hAnsi="Times New Roman"/>
          <w:i/>
          <w:sz w:val="24"/>
        </w:rPr>
        <w:t>DBS</w:t>
      </w:r>
      <w:proofErr w:type="spellEnd"/>
      <w:r>
        <w:rPr>
          <w:rFonts w:ascii="Times New Roman" w:hAnsi="Times New Roman"/>
          <w:i/>
          <w:sz w:val="24"/>
        </w:rPr>
        <w:t xml:space="preserve"> paraugi</w:t>
      </w:r>
      <w:r>
        <w:rPr>
          <w:rFonts w:ascii="Times New Roman" w:hAnsi="Times New Roman"/>
          <w:sz w:val="24"/>
        </w:rPr>
        <w:t>, kas tiek apstrīdēti, apspriesti vai izmeklēti:</w:t>
      </w:r>
    </w:p>
    <w:p w14:paraId="7E573F74" w14:textId="77777777" w:rsidR="00DA3A7C" w:rsidRPr="00BC0F12" w:rsidRDefault="00DA3A7C" w:rsidP="00426016">
      <w:pPr>
        <w:pStyle w:val="ListParagraph"/>
        <w:tabs>
          <w:tab w:val="left" w:pos="2136"/>
        </w:tabs>
        <w:spacing w:before="0"/>
        <w:ind w:left="284"/>
        <w:jc w:val="left"/>
        <w:rPr>
          <w:rFonts w:ascii="Times New Roman" w:hAnsi="Times New Roman"/>
          <w:sz w:val="24"/>
          <w:lang w:val="en-GB"/>
        </w:rPr>
      </w:pPr>
    </w:p>
    <w:p w14:paraId="77D2D1EB" w14:textId="77777777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RMA</w:t>
      </w:r>
      <w:proofErr w:type="spellEnd"/>
      <w:r>
        <w:rPr>
          <w:rFonts w:ascii="Times New Roman" w:hAnsi="Times New Roman"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iCs/>
          <w:sz w:val="24"/>
        </w:rPr>
        <w:t>WADA</w:t>
      </w:r>
      <w:proofErr w:type="spellEnd"/>
      <w:r>
        <w:rPr>
          <w:rFonts w:ascii="Times New Roman" w:hAnsi="Times New Roman"/>
          <w:sz w:val="24"/>
        </w:rPr>
        <w:t xml:space="preserve"> ir informējusi </w:t>
      </w:r>
      <w:r>
        <w:rPr>
          <w:rFonts w:ascii="Times New Roman" w:hAnsi="Times New Roman"/>
          <w:sz w:val="24"/>
          <w:u w:val="single"/>
        </w:rPr>
        <w:t>laboratoriju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rakstveidā</w:t>
      </w:r>
      <w:proofErr w:type="spellEnd"/>
      <w:r>
        <w:rPr>
          <w:rFonts w:ascii="Times New Roman" w:hAnsi="Times New Roman"/>
          <w:sz w:val="24"/>
        </w:rPr>
        <w:t xml:space="preserve"> un paredzētajā glabāšanas termiņā, kas noteikts šajā 3.1. pantā), ka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parauga</w:t>
      </w:r>
      <w:r>
        <w:rPr>
          <w:rFonts w:ascii="Times New Roman" w:hAnsi="Times New Roman"/>
          <w:sz w:val="24"/>
        </w:rPr>
        <w:t xml:space="preserve"> analīze tiek apstrīdēta, apspriesta vai izmeklēta, </w:t>
      </w:r>
      <w:r>
        <w:rPr>
          <w:rFonts w:ascii="Times New Roman" w:hAnsi="Times New Roman"/>
          <w:sz w:val="24"/>
          <w:u w:val="single"/>
        </w:rPr>
        <w:t>laboratorija</w:t>
      </w:r>
      <w:r>
        <w:rPr>
          <w:rFonts w:ascii="Times New Roman" w:hAnsi="Times New Roman"/>
          <w:sz w:val="24"/>
        </w:rPr>
        <w:t xml:space="preserve"> patur gan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“A”, gan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“B” daļu līdz turpmākam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RMA</w:t>
      </w:r>
      <w:proofErr w:type="spellEnd"/>
      <w:r>
        <w:rPr>
          <w:rFonts w:ascii="Times New Roman" w:hAnsi="Times New Roman"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iCs/>
          <w:sz w:val="24"/>
        </w:rPr>
        <w:t>WADA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paziņojumam</w:t>
      </w:r>
      <w:r>
        <w:rPr>
          <w:rFonts w:ascii="Times New Roman" w:hAnsi="Times New Roman"/>
          <w:sz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</w:rPr>
        <w:t>.</w:t>
      </w:r>
    </w:p>
    <w:p w14:paraId="2E56515E" w14:textId="77777777" w:rsidR="00782A7C" w:rsidRPr="00BC0F12" w:rsidRDefault="00782A7C" w:rsidP="00426016">
      <w:pPr>
        <w:pStyle w:val="BodyText"/>
        <w:ind w:left="284"/>
        <w:jc w:val="both"/>
        <w:rPr>
          <w:rFonts w:ascii="Times New Roman" w:hAnsi="Times New Roman"/>
          <w:sz w:val="24"/>
          <w:lang w:val="en-GB"/>
        </w:rPr>
      </w:pPr>
    </w:p>
    <w:p w14:paraId="6DCC2AE7" w14:textId="3D897E01" w:rsidR="008C5E0B" w:rsidRPr="00BC0F12" w:rsidRDefault="00782A7C" w:rsidP="00426016">
      <w:pPr>
        <w:pStyle w:val="ListParagraph"/>
        <w:spacing w:before="0"/>
        <w:ind w:left="28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ilgtermiņa glabāšana</w:t>
      </w:r>
    </w:p>
    <w:p w14:paraId="79FA7644" w14:textId="77777777" w:rsidR="00782A7C" w:rsidRPr="00BC0F12" w:rsidRDefault="00782A7C" w:rsidP="00426016">
      <w:pPr>
        <w:pStyle w:val="ListParagraph"/>
        <w:spacing w:before="0"/>
        <w:ind w:left="284"/>
        <w:jc w:val="left"/>
        <w:rPr>
          <w:rFonts w:ascii="Times New Roman" w:hAnsi="Times New Roman"/>
          <w:i/>
          <w:sz w:val="24"/>
          <w:lang w:val="en-GB"/>
        </w:rPr>
      </w:pPr>
    </w:p>
    <w:p w14:paraId="6F7DE481" w14:textId="34F21DF1" w:rsidR="008C5E0B" w:rsidRPr="00BC0F12" w:rsidRDefault="008C5E0B" w:rsidP="00426016">
      <w:pPr>
        <w:pStyle w:val="BodyTex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Pēc </w:t>
      </w:r>
      <w:proofErr w:type="spellStart"/>
      <w:r>
        <w:rPr>
          <w:rFonts w:ascii="Times New Roman" w:hAnsi="Times New Roman"/>
          <w:i/>
          <w:iCs/>
          <w:sz w:val="24"/>
          <w:u w:val="single"/>
        </w:rPr>
        <w:t>TA</w:t>
      </w:r>
      <w:proofErr w:type="spellEnd"/>
      <w:r>
        <w:rPr>
          <w:rFonts w:ascii="Times New Roman" w:hAnsi="Times New Roman"/>
          <w:sz w:val="24"/>
        </w:rPr>
        <w:t xml:space="preserve"> vai </w:t>
      </w:r>
      <w:proofErr w:type="spellStart"/>
      <w:r>
        <w:rPr>
          <w:rFonts w:ascii="Times New Roman" w:hAnsi="Times New Roman"/>
          <w:i/>
          <w:iCs/>
          <w:sz w:val="24"/>
        </w:rPr>
        <w:t>WADA</w:t>
      </w:r>
      <w:proofErr w:type="spellEnd"/>
      <w:r>
        <w:rPr>
          <w:rFonts w:ascii="Times New Roman" w:hAnsi="Times New Roman"/>
          <w:sz w:val="24"/>
        </w:rPr>
        <w:t xml:space="preserve"> norādījumiem jebkuru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 </w:t>
      </w:r>
      <w:r>
        <w:rPr>
          <w:rFonts w:ascii="Times New Roman" w:hAnsi="Times New Roman"/>
          <w:sz w:val="24"/>
        </w:rPr>
        <w:t xml:space="preserve">var glabāt ilgtermiņā līdz pat desmit (10) gadiem no brīža, kad </w:t>
      </w: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paņemts </w:t>
      </w:r>
      <w:r>
        <w:rPr>
          <w:rFonts w:ascii="Times New Roman" w:hAnsi="Times New Roman"/>
          <w:sz w:val="24"/>
          <w:u w:val="single"/>
        </w:rPr>
        <w:t>papildu analīzes</w:t>
      </w:r>
      <w:r>
        <w:rPr>
          <w:rFonts w:ascii="Times New Roman" w:hAnsi="Times New Roman"/>
          <w:sz w:val="24"/>
        </w:rPr>
        <w:t xml:space="preserve"> nolūkā, ievērojot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5.3.6.3. pantā un šā </w:t>
      </w:r>
      <w:proofErr w:type="spellStart"/>
      <w:r>
        <w:rPr>
          <w:rFonts w:ascii="Times New Roman" w:hAnsi="Times New Roman"/>
          <w:i/>
          <w:iCs/>
          <w:sz w:val="24"/>
        </w:rPr>
        <w:t>TD</w:t>
      </w:r>
      <w:proofErr w:type="spellEnd"/>
      <w:r>
        <w:rPr>
          <w:rFonts w:ascii="Times New Roman" w:hAnsi="Times New Roman"/>
          <w:sz w:val="24"/>
        </w:rPr>
        <w:t xml:space="preserve"> 3.1. pantā izklāstītos nosacījumus. Visas </w:t>
      </w:r>
      <w:proofErr w:type="spellStart"/>
      <w:r>
        <w:rPr>
          <w:rFonts w:ascii="Times New Roman" w:hAnsi="Times New Roman"/>
          <w:sz w:val="24"/>
        </w:rPr>
        <w:t>LSS</w:t>
      </w:r>
      <w:proofErr w:type="spellEnd"/>
      <w:r>
        <w:rPr>
          <w:rFonts w:ascii="Times New Roman" w:hAnsi="Times New Roman"/>
          <w:sz w:val="24"/>
        </w:rPr>
        <w:t xml:space="preserve"> 5.3.11.3. pantā norādītās prasības attiecas arī uz </w:t>
      </w:r>
      <w:proofErr w:type="spellStart"/>
      <w:r>
        <w:rPr>
          <w:rFonts w:ascii="Times New Roman" w:hAnsi="Times New Roman"/>
          <w:i/>
          <w:iCs/>
          <w:sz w:val="24"/>
        </w:rPr>
        <w:t>DBS</w:t>
      </w:r>
      <w:proofErr w:type="spellEnd"/>
      <w:r>
        <w:rPr>
          <w:rFonts w:ascii="Times New Roman" w:hAnsi="Times New Roman"/>
          <w:i/>
          <w:iCs/>
          <w:sz w:val="24"/>
        </w:rPr>
        <w:t xml:space="preserve"> paraugu</w:t>
      </w:r>
      <w:r>
        <w:rPr>
          <w:rFonts w:ascii="Times New Roman" w:hAnsi="Times New Roman"/>
          <w:sz w:val="24"/>
        </w:rPr>
        <w:t xml:space="preserve"> ilgtermiņa glabāšanu.</w:t>
      </w:r>
    </w:p>
    <w:sectPr w:rsidR="008C5E0B" w:rsidRPr="00BC0F12" w:rsidSect="00F70E1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FCF4" w14:textId="77777777" w:rsidR="0026631E" w:rsidRPr="008C5E0B" w:rsidRDefault="0026631E">
      <w:pPr>
        <w:rPr>
          <w:noProof/>
        </w:rPr>
      </w:pPr>
      <w:r w:rsidRPr="008C5E0B">
        <w:rPr>
          <w:noProof/>
        </w:rPr>
        <w:separator/>
      </w:r>
    </w:p>
  </w:endnote>
  <w:endnote w:type="continuationSeparator" w:id="0">
    <w:p w14:paraId="74BC2B49" w14:textId="77777777" w:rsidR="0026631E" w:rsidRPr="008C5E0B" w:rsidRDefault="0026631E">
      <w:pPr>
        <w:rPr>
          <w:noProof/>
        </w:rPr>
      </w:pPr>
      <w:r w:rsidRPr="008C5E0B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B443" w14:textId="77777777" w:rsidR="004130FC" w:rsidRPr="004130FC" w:rsidRDefault="004130FC" w:rsidP="004130FC">
    <w:pPr>
      <w:tabs>
        <w:tab w:val="right" w:leader="underscore" w:pos="9072"/>
      </w:tabs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ab/>
    </w:r>
  </w:p>
  <w:p w14:paraId="478B5391" w14:textId="77777777" w:rsidR="004130FC" w:rsidRPr="004130FC" w:rsidRDefault="004130FC" w:rsidP="004130FC">
    <w:pPr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  <w:p w14:paraId="7A1145DE" w14:textId="2FD53B60" w:rsidR="002C0EA3" w:rsidRPr="004130FC" w:rsidRDefault="004130FC" w:rsidP="004130FC">
    <w:pPr>
      <w:tabs>
        <w:tab w:val="center" w:pos="9072"/>
      </w:tabs>
      <w:jc w:val="both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Tulkojums </w: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begin"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separate"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>Ó</w: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end"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 xml:space="preserve"> Valsts valodas centrs, 2023</w: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ab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begin"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separate"/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t>2</w:t>
    </w:r>
    <w:r w:rsidRPr="004130FC">
      <w:rPr>
        <w:rFonts w:ascii="Times New Roman" w:eastAsia="Times New Roman" w:hAnsi="Times New Roman" w:cs="Times New Roman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80D6" w14:textId="77777777" w:rsidR="00444518" w:rsidRPr="00444518" w:rsidRDefault="00444518" w:rsidP="00444518">
    <w:pPr>
      <w:tabs>
        <w:tab w:val="left" w:leader="underscore" w:pos="9072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bookmarkStart w:id="16" w:name="_Hlk496261764"/>
    <w:bookmarkStart w:id="17" w:name="_Hlk496261765"/>
    <w:bookmarkStart w:id="18" w:name="_Hlk496261766"/>
    <w:bookmarkStart w:id="19" w:name="_Hlk30491075"/>
    <w:bookmarkStart w:id="20" w:name="_Hlk30491076"/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ab/>
    </w:r>
  </w:p>
  <w:p w14:paraId="23AA8E33" w14:textId="77777777" w:rsidR="00444518" w:rsidRPr="00444518" w:rsidRDefault="00444518" w:rsidP="00444518">
    <w:pPr>
      <w:tabs>
        <w:tab w:val="left" w:pos="1909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ab/>
    </w:r>
  </w:p>
  <w:p w14:paraId="5DF8AE91" w14:textId="50DE8F04" w:rsidR="00361EF7" w:rsidRPr="00444518" w:rsidRDefault="00444518" w:rsidP="00444518">
    <w:pPr>
      <w:tabs>
        <w:tab w:val="center" w:pos="4153"/>
        <w:tab w:val="right" w:pos="8306"/>
      </w:tabs>
      <w:jc w:val="both"/>
      <w:rPr>
        <w:rFonts w:ascii="Times New Roman" w:eastAsia="Times New Roman" w:hAnsi="Times New Roman" w:cs="Times New Roman"/>
        <w:noProof/>
        <w:sz w:val="20"/>
        <w:szCs w:val="18"/>
        <w:lang w:val="en-US"/>
      </w:rPr>
    </w:pP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 xml:space="preserve">Tulkojums </w:t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begin"/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instrText>symbol 211 \f "Symbol" \s 9</w:instrText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separate"/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>Ó</w:t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fldChar w:fldCharType="end"/>
    </w:r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 xml:space="preserve"> Valsts valodas centrs, 20</w:t>
    </w:r>
    <w:bookmarkEnd w:id="16"/>
    <w:bookmarkEnd w:id="17"/>
    <w:bookmarkEnd w:id="18"/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>2</w:t>
    </w:r>
    <w:bookmarkEnd w:id="19"/>
    <w:bookmarkEnd w:id="20"/>
    <w:r w:rsidRPr="00444518">
      <w:rPr>
        <w:rFonts w:ascii="Times New Roman" w:eastAsia="Times New Roman" w:hAnsi="Times New Roman" w:cs="Times New Roman"/>
        <w:noProof/>
        <w:sz w:val="20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76C3" w14:textId="77777777" w:rsidR="0026631E" w:rsidRPr="008C5E0B" w:rsidRDefault="0026631E">
      <w:pPr>
        <w:rPr>
          <w:noProof/>
        </w:rPr>
      </w:pPr>
      <w:r w:rsidRPr="008C5E0B">
        <w:rPr>
          <w:noProof/>
        </w:rPr>
        <w:separator/>
      </w:r>
    </w:p>
  </w:footnote>
  <w:footnote w:type="continuationSeparator" w:id="0">
    <w:p w14:paraId="04A64066" w14:textId="77777777" w:rsidR="0026631E" w:rsidRPr="008C5E0B" w:rsidRDefault="0026631E">
      <w:pPr>
        <w:rPr>
          <w:noProof/>
        </w:rPr>
      </w:pPr>
      <w:r w:rsidRPr="008C5E0B">
        <w:rPr>
          <w:noProof/>
        </w:rPr>
        <w:continuationSeparator/>
      </w:r>
    </w:p>
  </w:footnote>
  <w:footnote w:id="1">
    <w:p w14:paraId="3E275FD4" w14:textId="77777777" w:rsidR="00C91BB8" w:rsidRPr="00C91BB8" w:rsidRDefault="00C91BB8" w:rsidP="00C91BB8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Šajā kontekstā termins “</w:t>
      </w:r>
      <w:proofErr w:type="spellStart"/>
      <w:r>
        <w:rPr>
          <w:rFonts w:ascii="Times New Roman" w:hAnsi="Times New Roman"/>
          <w:i/>
          <w:iCs/>
          <w:sz w:val="20"/>
        </w:rPr>
        <w:t>DBS</w:t>
      </w:r>
      <w:proofErr w:type="spellEnd"/>
      <w:r>
        <w:rPr>
          <w:rFonts w:ascii="Times New Roman" w:hAnsi="Times New Roman"/>
          <w:sz w:val="20"/>
        </w:rPr>
        <w:t xml:space="preserve">” attiecas uz kapilāro asiņu </w:t>
      </w:r>
      <w:r>
        <w:rPr>
          <w:rFonts w:ascii="Times New Roman" w:hAnsi="Times New Roman"/>
          <w:i/>
          <w:iCs/>
          <w:sz w:val="20"/>
        </w:rPr>
        <w:t>paraugu</w:t>
      </w:r>
      <w:r>
        <w:rPr>
          <w:rFonts w:ascii="Times New Roman" w:hAnsi="Times New Roman"/>
          <w:sz w:val="20"/>
        </w:rPr>
        <w:t xml:space="preserve">, ko savāc un kam ļauj nožūt uz </w:t>
      </w:r>
      <w:r>
        <w:rPr>
          <w:rFonts w:ascii="Times New Roman" w:hAnsi="Times New Roman"/>
          <w:i/>
          <w:iCs/>
          <w:sz w:val="20"/>
        </w:rPr>
        <w:t>paraugu</w:t>
      </w:r>
      <w:r>
        <w:rPr>
          <w:rFonts w:ascii="Times New Roman" w:hAnsi="Times New Roman"/>
          <w:sz w:val="20"/>
        </w:rPr>
        <w:t xml:space="preserve"> absorbējoša materiāla, tostarp tie ir </w:t>
      </w:r>
      <w:r>
        <w:rPr>
          <w:rFonts w:ascii="Times New Roman" w:hAnsi="Times New Roman"/>
          <w:i/>
          <w:iCs/>
          <w:sz w:val="20"/>
        </w:rPr>
        <w:t>paraugi</w:t>
      </w:r>
      <w:r>
        <w:rPr>
          <w:rFonts w:ascii="Times New Roman" w:hAnsi="Times New Roman"/>
          <w:sz w:val="20"/>
        </w:rPr>
        <w:t xml:space="preserve">, kas savākti, “uzpilinot” kapilārās asinis tieši uz celulozes materiāla kartītes vai cita </w:t>
      </w:r>
      <w:r>
        <w:rPr>
          <w:rFonts w:ascii="Times New Roman" w:hAnsi="Times New Roman"/>
          <w:i/>
          <w:iCs/>
          <w:sz w:val="20"/>
        </w:rPr>
        <w:t>paraugu</w:t>
      </w:r>
      <w:r>
        <w:rPr>
          <w:rFonts w:ascii="Times New Roman" w:hAnsi="Times New Roman"/>
          <w:sz w:val="20"/>
        </w:rPr>
        <w:t xml:space="preserve"> absorbējoša materiāla, kas izgatavots no celulozes vai cita materiāla, kā arī tie </w:t>
      </w:r>
      <w:r>
        <w:rPr>
          <w:rFonts w:ascii="Times New Roman" w:hAnsi="Times New Roman"/>
          <w:i/>
          <w:iCs/>
          <w:sz w:val="20"/>
        </w:rPr>
        <w:t>paraugi</w:t>
      </w:r>
      <w:r>
        <w:rPr>
          <w:rFonts w:ascii="Times New Roman" w:hAnsi="Times New Roman"/>
          <w:sz w:val="20"/>
        </w:rPr>
        <w:t>, kas savākti, izmantojot īpašu ierīci, kurā ir ievietota(-</w:t>
      </w:r>
      <w:proofErr w:type="spellStart"/>
      <w:r>
        <w:rPr>
          <w:rFonts w:ascii="Times New Roman" w:hAnsi="Times New Roman"/>
          <w:sz w:val="20"/>
        </w:rPr>
        <w:t>as</w:t>
      </w:r>
      <w:proofErr w:type="spellEnd"/>
      <w:r>
        <w:rPr>
          <w:rFonts w:ascii="Times New Roman" w:hAnsi="Times New Roman"/>
          <w:sz w:val="20"/>
        </w:rPr>
        <w:t xml:space="preserve">) </w:t>
      </w:r>
      <w:proofErr w:type="spellStart"/>
      <w:r>
        <w:rPr>
          <w:rFonts w:ascii="Times New Roman" w:hAnsi="Times New Roman"/>
          <w:sz w:val="20"/>
        </w:rPr>
        <w:t>mikroadata</w:t>
      </w:r>
      <w:proofErr w:type="spellEnd"/>
      <w:r>
        <w:rPr>
          <w:rFonts w:ascii="Times New Roman" w:hAnsi="Times New Roman"/>
          <w:sz w:val="20"/>
        </w:rPr>
        <w:t>(-</w:t>
      </w:r>
      <w:proofErr w:type="spellStart"/>
      <w:r>
        <w:rPr>
          <w:rFonts w:ascii="Times New Roman" w:hAnsi="Times New Roman"/>
          <w:sz w:val="20"/>
        </w:rPr>
        <w:t>as</w:t>
      </w:r>
      <w:proofErr w:type="spellEnd"/>
      <w:r>
        <w:rPr>
          <w:rFonts w:ascii="Times New Roman" w:hAnsi="Times New Roman"/>
          <w:sz w:val="20"/>
        </w:rPr>
        <w:t>)/</w:t>
      </w:r>
      <w:proofErr w:type="spellStart"/>
      <w:r>
        <w:rPr>
          <w:rFonts w:ascii="Times New Roman" w:hAnsi="Times New Roman"/>
          <w:sz w:val="20"/>
        </w:rPr>
        <w:t>mikrolancete</w:t>
      </w:r>
      <w:proofErr w:type="spellEnd"/>
      <w:r>
        <w:rPr>
          <w:rFonts w:ascii="Times New Roman" w:hAnsi="Times New Roman"/>
          <w:sz w:val="20"/>
        </w:rPr>
        <w:t>(-es).</w:t>
      </w:r>
      <w:bookmarkStart w:id="0" w:name="_bookmark0"/>
      <w:bookmarkEnd w:id="0"/>
    </w:p>
    <w:p w14:paraId="30F67CBE" w14:textId="42881BB4" w:rsidR="00C91BB8" w:rsidRPr="00C91BB8" w:rsidRDefault="00C91BB8" w:rsidP="00C91BB8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0"/>
        </w:rPr>
        <w:t xml:space="preserve">No venozajām asinīm ņemts </w:t>
      </w:r>
      <w:r>
        <w:rPr>
          <w:rFonts w:ascii="Times New Roman" w:hAnsi="Times New Roman"/>
          <w:i/>
          <w:iCs/>
          <w:sz w:val="20"/>
        </w:rPr>
        <w:t>paraugs</w:t>
      </w:r>
      <w:r>
        <w:rPr>
          <w:rFonts w:ascii="Times New Roman" w:hAnsi="Times New Roman"/>
          <w:sz w:val="20"/>
        </w:rPr>
        <w:t xml:space="preserve">, kas tiek uzpilināts uz </w:t>
      </w:r>
      <w:r>
        <w:rPr>
          <w:rFonts w:ascii="Times New Roman" w:hAnsi="Times New Roman"/>
          <w:i/>
          <w:iCs/>
          <w:sz w:val="20"/>
        </w:rPr>
        <w:t>paraugu</w:t>
      </w:r>
      <w:r>
        <w:rPr>
          <w:rFonts w:ascii="Times New Roman" w:hAnsi="Times New Roman"/>
          <w:sz w:val="20"/>
        </w:rPr>
        <w:t xml:space="preserve"> absorbējoša materiāla (piemēram, celulozes papīra), kurā </w:t>
      </w:r>
      <w:r>
        <w:rPr>
          <w:rFonts w:ascii="Times New Roman" w:hAnsi="Times New Roman"/>
          <w:i/>
          <w:iCs/>
          <w:sz w:val="20"/>
        </w:rPr>
        <w:t>paraugam</w:t>
      </w:r>
      <w:r>
        <w:rPr>
          <w:rFonts w:ascii="Times New Roman" w:hAnsi="Times New Roman"/>
          <w:sz w:val="20"/>
        </w:rPr>
        <w:t xml:space="preserve"> ļauj nožūt, netiek uzskatīts par </w:t>
      </w:r>
      <w:proofErr w:type="spellStart"/>
      <w:r>
        <w:rPr>
          <w:rFonts w:ascii="Times New Roman" w:hAnsi="Times New Roman"/>
          <w:i/>
          <w:iCs/>
          <w:sz w:val="20"/>
        </w:rPr>
        <w:t>DBS</w:t>
      </w:r>
      <w:proofErr w:type="spellEnd"/>
      <w:r>
        <w:rPr>
          <w:rFonts w:ascii="Times New Roman" w:hAnsi="Times New Roman"/>
          <w:i/>
          <w:iCs/>
          <w:sz w:val="20"/>
        </w:rPr>
        <w:t xml:space="preserve"> paraugu</w:t>
      </w:r>
      <w:r>
        <w:rPr>
          <w:rFonts w:ascii="Times New Roman" w:hAnsi="Times New Roman"/>
          <w:sz w:val="20"/>
        </w:rPr>
        <w:t>.</w:t>
      </w:r>
    </w:p>
  </w:footnote>
  <w:footnote w:id="2">
    <w:p w14:paraId="538F02D3" w14:textId="7626DCA2" w:rsidR="00D520C6" w:rsidRPr="00DA3A7C" w:rsidRDefault="00D520C6" w:rsidP="002F28DC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Laboratorija</w:t>
      </w:r>
      <w:r>
        <w:rPr>
          <w:rFonts w:ascii="Times New Roman" w:hAnsi="Times New Roman"/>
        </w:rPr>
        <w:t xml:space="preserve"> attiecīgos gadījumos varētu ņemt glabāšanas maksu no </w:t>
      </w:r>
      <w:proofErr w:type="spellStart"/>
      <w:r>
        <w:rPr>
          <w:rFonts w:ascii="Times New Roman" w:hAnsi="Times New Roman"/>
          <w:i/>
          <w:iCs/>
          <w:u w:val="single"/>
        </w:rPr>
        <w:t>TA</w:t>
      </w:r>
      <w:proofErr w:type="spellEnd"/>
      <w:r>
        <w:rPr>
          <w:rFonts w:ascii="Times New Roman" w:hAnsi="Times New Roman"/>
        </w:rPr>
        <w:t xml:space="preserve"> vai </w:t>
      </w:r>
      <w:proofErr w:type="spellStart"/>
      <w:r>
        <w:rPr>
          <w:rFonts w:ascii="Times New Roman" w:hAnsi="Times New Roman"/>
          <w:i/>
          <w:iCs/>
        </w:rPr>
        <w:t>WADA</w:t>
      </w:r>
      <w:proofErr w:type="spellEnd"/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i/>
        </w:rPr>
        <w:t xml:space="preserve">paraugu </w:t>
      </w:r>
      <w:r>
        <w:rPr>
          <w:rFonts w:ascii="Times New Roman" w:hAnsi="Times New Roman"/>
        </w:rPr>
        <w:t xml:space="preserve">glabāšanu par laika posmu, kas ir ilgāks par norādīto minimālo glabāšanas laiku. Tomēr pēc saviem ieskatiem un par saviem līdzekļiem </w:t>
      </w:r>
      <w:r>
        <w:rPr>
          <w:rFonts w:ascii="Times New Roman" w:hAnsi="Times New Roman"/>
          <w:u w:val="single"/>
        </w:rPr>
        <w:t>laboratorija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paraugus</w:t>
      </w:r>
      <w:r>
        <w:rPr>
          <w:rFonts w:ascii="Times New Roman" w:hAnsi="Times New Roman"/>
        </w:rPr>
        <w:t xml:space="preserve"> var glabāt pēc piemērojamā minimālā glabāšanas termiņa beigām. Šādā gadījumā </w:t>
      </w:r>
      <w:r>
        <w:rPr>
          <w:rFonts w:ascii="Times New Roman" w:hAnsi="Times New Roman"/>
          <w:u w:val="single"/>
        </w:rPr>
        <w:t>laboratorija</w:t>
      </w:r>
      <w:r>
        <w:rPr>
          <w:rFonts w:ascii="Times New Roman" w:hAnsi="Times New Roman"/>
        </w:rPr>
        <w:t xml:space="preserve"> par to informē atbildīgo </w:t>
      </w:r>
      <w:proofErr w:type="spellStart"/>
      <w:r>
        <w:rPr>
          <w:rFonts w:ascii="Times New Roman" w:hAnsi="Times New Roman"/>
          <w:i/>
          <w:iCs/>
          <w:u w:val="single"/>
        </w:rPr>
        <w:t>TA</w:t>
      </w:r>
      <w:proofErr w:type="spellEnd"/>
      <w:r>
        <w:rPr>
          <w:rFonts w:ascii="Times New Roman" w:hAnsi="Times New Roman"/>
        </w:rPr>
        <w:t xml:space="preserve">. Lai šiem </w:t>
      </w:r>
      <w:r>
        <w:rPr>
          <w:rFonts w:ascii="Times New Roman" w:hAnsi="Times New Roman"/>
          <w:i/>
          <w:iCs/>
        </w:rPr>
        <w:t>paraugiem</w:t>
      </w:r>
      <w:r>
        <w:rPr>
          <w:rFonts w:ascii="Times New Roman" w:hAnsi="Times New Roman"/>
        </w:rPr>
        <w:t xml:space="preserve"> veiktu </w:t>
      </w:r>
      <w:r>
        <w:rPr>
          <w:rFonts w:ascii="Times New Roman" w:hAnsi="Times New Roman"/>
          <w:u w:val="single"/>
        </w:rPr>
        <w:t>papildu analīzi</w:t>
      </w:r>
      <w:r>
        <w:rPr>
          <w:rFonts w:ascii="Times New Roman" w:hAnsi="Times New Roman"/>
        </w:rPr>
        <w:t xml:space="preserve">, ir nepieciešams </w:t>
      </w:r>
      <w:proofErr w:type="spellStart"/>
      <w:r>
        <w:rPr>
          <w:rFonts w:ascii="Times New Roman" w:hAnsi="Times New Roman"/>
          <w:i/>
          <w:iCs/>
          <w:u w:val="single"/>
        </w:rPr>
        <w:t>TA</w:t>
      </w:r>
      <w:proofErr w:type="spellEnd"/>
      <w:r>
        <w:rPr>
          <w:rFonts w:ascii="Times New Roman" w:hAnsi="Times New Roman"/>
        </w:rPr>
        <w:t xml:space="preserve"> vai </w:t>
      </w:r>
      <w:proofErr w:type="spellStart"/>
      <w:r>
        <w:rPr>
          <w:rFonts w:ascii="Times New Roman" w:hAnsi="Times New Roman"/>
          <w:i/>
          <w:iCs/>
        </w:rPr>
        <w:t>WADA</w:t>
      </w:r>
      <w:proofErr w:type="spellEnd"/>
      <w:r>
        <w:rPr>
          <w:rFonts w:ascii="Times New Roman" w:hAnsi="Times New Roman"/>
        </w:rPr>
        <w:t xml:space="preserve"> apstiprinājums.</w:t>
      </w:r>
    </w:p>
  </w:footnote>
  <w:footnote w:id="3">
    <w:p w14:paraId="0B83E9B6" w14:textId="2BA4C090" w:rsidR="00B8115D" w:rsidRPr="002F28DC" w:rsidRDefault="00B8115D" w:rsidP="002F28DC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Ja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“B” daļas </w:t>
      </w:r>
      <w:proofErr w:type="spellStart"/>
      <w:r>
        <w:rPr>
          <w:rFonts w:ascii="Times New Roman" w:hAnsi="Times New Roman"/>
          <w:i/>
          <w:iCs/>
          <w:sz w:val="20"/>
          <w:u w:val="single"/>
        </w:rPr>
        <w:t>CP</w:t>
      </w:r>
      <w:proofErr w:type="spellEnd"/>
      <w:r>
        <w:rPr>
          <w:rFonts w:ascii="Times New Roman" w:hAnsi="Times New Roman"/>
          <w:sz w:val="20"/>
        </w:rPr>
        <w:t xml:space="preserve"> netiek veikta, </w:t>
      </w:r>
      <w:r>
        <w:rPr>
          <w:rFonts w:ascii="Times New Roman" w:hAnsi="Times New Roman"/>
          <w:sz w:val="20"/>
          <w:u w:val="single"/>
        </w:rPr>
        <w:t>laboratorija</w:t>
      </w:r>
      <w:r>
        <w:rPr>
          <w:rFonts w:ascii="Times New Roman" w:hAnsi="Times New Roman"/>
          <w:sz w:val="20"/>
        </w:rPr>
        <w:t xml:space="preserve"> var iznīcināt gan </w:t>
      </w:r>
      <w:r>
        <w:rPr>
          <w:rFonts w:ascii="Times New Roman" w:hAnsi="Times New Roman"/>
          <w:i/>
          <w:iCs/>
          <w:sz w:val="20"/>
        </w:rPr>
        <w:t xml:space="preserve">parauga </w:t>
      </w:r>
      <w:r>
        <w:rPr>
          <w:rFonts w:ascii="Times New Roman" w:hAnsi="Times New Roman"/>
          <w:sz w:val="20"/>
        </w:rPr>
        <w:t xml:space="preserve">“A”, gan </w:t>
      </w:r>
      <w:r>
        <w:rPr>
          <w:rFonts w:ascii="Times New Roman" w:hAnsi="Times New Roman"/>
          <w:i/>
          <w:iCs/>
          <w:sz w:val="20"/>
        </w:rPr>
        <w:t>parauga</w:t>
      </w:r>
      <w:r>
        <w:rPr>
          <w:rFonts w:ascii="Times New Roman" w:hAnsi="Times New Roman"/>
          <w:sz w:val="20"/>
        </w:rPr>
        <w:t xml:space="preserve"> “B” daļu sešus (6) mēnešus pēc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“A” daļas analīžu rezultāta paziņošanas. Tomēr, ja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“B” daļas </w:t>
      </w:r>
      <w:proofErr w:type="spellStart"/>
      <w:r>
        <w:rPr>
          <w:rFonts w:ascii="Times New Roman" w:hAnsi="Times New Roman"/>
          <w:i/>
          <w:iCs/>
          <w:sz w:val="20"/>
          <w:u w:val="single"/>
        </w:rPr>
        <w:t>CP</w:t>
      </w:r>
      <w:proofErr w:type="spellEnd"/>
      <w:r>
        <w:rPr>
          <w:rFonts w:ascii="Times New Roman" w:hAnsi="Times New Roman"/>
          <w:sz w:val="20"/>
        </w:rPr>
        <w:t xml:space="preserve"> tiek veikta, </w:t>
      </w:r>
      <w:r>
        <w:rPr>
          <w:rFonts w:ascii="Times New Roman" w:hAnsi="Times New Roman"/>
          <w:sz w:val="20"/>
          <w:u w:val="single"/>
        </w:rPr>
        <w:t>laboratorija</w:t>
      </w:r>
      <w:r>
        <w:rPr>
          <w:rFonts w:ascii="Times New Roman" w:hAnsi="Times New Roman"/>
          <w:sz w:val="20"/>
        </w:rPr>
        <w:t xml:space="preserve"> patur gan </w:t>
      </w:r>
      <w:r>
        <w:rPr>
          <w:rFonts w:ascii="Times New Roman" w:hAnsi="Times New Roman"/>
          <w:i/>
          <w:iCs/>
          <w:sz w:val="20"/>
        </w:rPr>
        <w:t>parauga</w:t>
      </w:r>
      <w:r>
        <w:rPr>
          <w:rFonts w:ascii="Times New Roman" w:hAnsi="Times New Roman"/>
          <w:sz w:val="20"/>
        </w:rPr>
        <w:t xml:space="preserve"> “A”, gan </w:t>
      </w:r>
      <w:r>
        <w:rPr>
          <w:rFonts w:ascii="Times New Roman" w:hAnsi="Times New Roman"/>
          <w:i/>
          <w:iCs/>
          <w:sz w:val="20"/>
        </w:rPr>
        <w:t>parauga</w:t>
      </w:r>
      <w:r>
        <w:rPr>
          <w:rFonts w:ascii="Times New Roman" w:hAnsi="Times New Roman"/>
          <w:sz w:val="20"/>
        </w:rPr>
        <w:t xml:space="preserve"> “B” daļu vismaz sešus (6) mēnešus pēc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“B” daļas analīžu rezultāta paziņošanas.</w:t>
      </w:r>
    </w:p>
  </w:footnote>
  <w:footnote w:id="4">
    <w:p w14:paraId="014F7BA2" w14:textId="3EFF1312" w:rsidR="00B8115D" w:rsidRPr="00B8115D" w:rsidRDefault="00B8115D" w:rsidP="002F28DC">
      <w:pPr>
        <w:pStyle w:val="FootnoteText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Pirms tādu </w:t>
      </w:r>
      <w:r>
        <w:rPr>
          <w:rFonts w:ascii="Times New Roman" w:hAnsi="Times New Roman"/>
          <w:i/>
          <w:iCs/>
        </w:rPr>
        <w:t>paraugu</w:t>
      </w:r>
      <w:r>
        <w:rPr>
          <w:rFonts w:ascii="Times New Roman" w:hAnsi="Times New Roman"/>
        </w:rPr>
        <w:t xml:space="preserve"> iznīcināšanas, kuriem ir </w:t>
      </w:r>
      <w:r>
        <w:rPr>
          <w:rFonts w:ascii="Times New Roman" w:hAnsi="Times New Roman"/>
          <w:i/>
          <w:iCs/>
        </w:rPr>
        <w:t>nelabvēlīgs analīžu rezultāts</w:t>
      </w:r>
      <w:r>
        <w:rPr>
          <w:rFonts w:ascii="Times New Roman" w:hAnsi="Times New Roman"/>
        </w:rPr>
        <w:t xml:space="preserve"> un attiecībā uz kuriem </w:t>
      </w:r>
      <w:proofErr w:type="spellStart"/>
      <w:r>
        <w:rPr>
          <w:rFonts w:ascii="Times New Roman" w:hAnsi="Times New Roman"/>
          <w:i/>
          <w:iCs/>
          <w:u w:val="single"/>
        </w:rPr>
        <w:t>TA</w:t>
      </w:r>
      <w:proofErr w:type="spellEnd"/>
      <w:r>
        <w:rPr>
          <w:rFonts w:ascii="Times New Roman" w:hAnsi="Times New Roman"/>
        </w:rPr>
        <w:t xml:space="preserve"> vai </w:t>
      </w:r>
      <w:proofErr w:type="spellStart"/>
      <w:r>
        <w:rPr>
          <w:rFonts w:ascii="Times New Roman" w:hAnsi="Times New Roman"/>
          <w:i/>
          <w:iCs/>
          <w:u w:val="single"/>
        </w:rPr>
        <w:t>RMA</w:t>
      </w:r>
      <w:proofErr w:type="spellEnd"/>
      <w:r>
        <w:rPr>
          <w:rFonts w:ascii="Times New Roman" w:hAnsi="Times New Roman"/>
        </w:rPr>
        <w:t xml:space="preserve"> (ja tās atšķiras) nav sniegusi norādījumus par to, vai veicama </w:t>
      </w:r>
      <w:r>
        <w:rPr>
          <w:rFonts w:ascii="Times New Roman" w:hAnsi="Times New Roman"/>
          <w:i/>
          <w:iCs/>
        </w:rPr>
        <w:t>parauga</w:t>
      </w:r>
      <w:r>
        <w:rPr>
          <w:rFonts w:ascii="Times New Roman" w:hAnsi="Times New Roman"/>
        </w:rPr>
        <w:t xml:space="preserve"> “B” daļas </w:t>
      </w:r>
      <w:proofErr w:type="spellStart"/>
      <w:r>
        <w:rPr>
          <w:rFonts w:ascii="Times New Roman" w:hAnsi="Times New Roman"/>
          <w:i/>
          <w:iCs/>
          <w:u w:val="single"/>
        </w:rPr>
        <w:t>CP</w:t>
      </w:r>
      <w:proofErr w:type="spellEnd"/>
      <w:r>
        <w:rPr>
          <w:rFonts w:ascii="Times New Roman" w:hAnsi="Times New Roman"/>
        </w:rPr>
        <w:t xml:space="preserve"> (sk. </w:t>
      </w:r>
      <w:proofErr w:type="spellStart"/>
      <w:r>
        <w:rPr>
          <w:rFonts w:ascii="Times New Roman" w:hAnsi="Times New Roman"/>
        </w:rPr>
        <w:t>LSS</w:t>
      </w:r>
      <w:proofErr w:type="spellEnd"/>
      <w:r>
        <w:rPr>
          <w:rFonts w:ascii="Times New Roman" w:hAnsi="Times New Roman"/>
        </w:rPr>
        <w:t xml:space="preserve"> 5.3.6.2.3. pantu), </w:t>
      </w:r>
      <w:r>
        <w:rPr>
          <w:rFonts w:ascii="Times New Roman" w:hAnsi="Times New Roman"/>
          <w:u w:val="single"/>
        </w:rPr>
        <w:t>laboratorija</w:t>
      </w:r>
      <w:r>
        <w:rPr>
          <w:rFonts w:ascii="Times New Roman" w:hAnsi="Times New Roman"/>
        </w:rPr>
        <w:t xml:space="preserve"> tomēr sazinās ar attiecīgo </w:t>
      </w:r>
      <w:proofErr w:type="spellStart"/>
      <w:r>
        <w:rPr>
          <w:rFonts w:ascii="Times New Roman" w:hAnsi="Times New Roman"/>
          <w:i/>
          <w:iCs/>
          <w:u w:val="single"/>
        </w:rPr>
        <w:t>TA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  <w:i/>
          <w:iCs/>
        </w:rPr>
        <w:t>WADA</w:t>
      </w:r>
      <w:proofErr w:type="spellEnd"/>
      <w:r>
        <w:rPr>
          <w:rFonts w:ascii="Times New Roman" w:hAnsi="Times New Roman"/>
        </w:rPr>
        <w:t xml:space="preserve"> un informē tās par situāciju</w:t>
      </w:r>
      <w:bookmarkStart w:id="1" w:name="_bookmark3"/>
      <w:bookmarkEnd w:id="1"/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F3A8" w14:textId="77777777" w:rsidR="0065423C" w:rsidRPr="003E62C2" w:rsidRDefault="0065423C" w:rsidP="0065423C">
    <w:pPr>
      <w:pStyle w:val="Header"/>
      <w:rPr>
        <w:rStyle w:val="PageNumber"/>
        <w:noProof/>
        <w:sz w:val="20"/>
        <w:szCs w:val="20"/>
        <w:lang w:val="en-US"/>
      </w:rPr>
    </w:pPr>
    <w:bookmarkStart w:id="2" w:name="_Hlk496261784"/>
    <w:bookmarkStart w:id="3" w:name="_Hlk496261785"/>
    <w:bookmarkStart w:id="4" w:name="_Hlk496261786"/>
    <w:bookmarkStart w:id="5" w:name="_Hlk502757728"/>
    <w:bookmarkStart w:id="6" w:name="_Hlk502757729"/>
    <w:bookmarkStart w:id="7" w:name="_Hlk502757738"/>
    <w:bookmarkStart w:id="8" w:name="_Hlk502757739"/>
    <w:bookmarkStart w:id="9" w:name="_Hlk30491084"/>
    <w:bookmarkStart w:id="10" w:name="_Hlk30491085"/>
  </w:p>
  <w:p w14:paraId="026A2CD5" w14:textId="77777777" w:rsidR="0065423C" w:rsidRDefault="0065423C" w:rsidP="0065423C">
    <w:pPr>
      <w:pStyle w:val="Header"/>
      <w:tabs>
        <w:tab w:val="clear" w:pos="4153"/>
        <w:tab w:val="clear" w:pos="8306"/>
        <w:tab w:val="right" w:leader="underscore" w:pos="9072"/>
      </w:tabs>
      <w:rPr>
        <w:rFonts w:ascii="Times New Roman" w:hAnsi="Times New Roman" w:cs="Times New Roman"/>
        <w:noProof/>
        <w:sz w:val="20"/>
        <w:szCs w:val="20"/>
        <w:lang w:val="en-US"/>
      </w:rPr>
    </w:pPr>
    <w:r w:rsidRPr="0065423C">
      <w:rPr>
        <w:rFonts w:ascii="Times New Roman" w:hAnsi="Times New Roman" w:cs="Times New Roman"/>
        <w:noProof/>
        <w:sz w:val="20"/>
        <w:szCs w:val="20"/>
        <w:lang w:val="en-US"/>
      </w:rPr>
      <w:tab/>
    </w:r>
  </w:p>
  <w:p w14:paraId="1F224116" w14:textId="77777777" w:rsidR="0065423C" w:rsidRPr="0065423C" w:rsidRDefault="0065423C" w:rsidP="0065423C">
    <w:pPr>
      <w:pStyle w:val="Header"/>
      <w:tabs>
        <w:tab w:val="clear" w:pos="4153"/>
        <w:tab w:val="clear" w:pos="8306"/>
        <w:tab w:val="right" w:leader="underscore" w:pos="9072"/>
      </w:tabs>
      <w:rPr>
        <w:rFonts w:ascii="Times New Roman" w:hAnsi="Times New Roman" w:cs="Times New Roman"/>
        <w:noProof/>
        <w:sz w:val="20"/>
        <w:szCs w:val="20"/>
        <w:lang w:val="en-US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7A1145DD" w14:textId="574D2770" w:rsidR="002C0EA3" w:rsidRPr="0065423C" w:rsidRDefault="002C0EA3">
    <w:pPr>
      <w:pStyle w:val="BodyText"/>
      <w:spacing w:line="14" w:lineRule="auto"/>
      <w:rPr>
        <w:rFonts w:ascii="Times New Roman" w:hAnsi="Times New Roman" w:cs="Times New Roman"/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1BE8" w14:textId="77777777" w:rsidR="000F3572" w:rsidRPr="003E62C2" w:rsidRDefault="000F3572" w:rsidP="000F3572">
    <w:pPr>
      <w:pBdr>
        <w:bottom w:val="single" w:sz="12" w:space="5" w:color="auto"/>
      </w:pBdr>
      <w:rPr>
        <w:noProof/>
        <w:sz w:val="20"/>
        <w:szCs w:val="20"/>
        <w:lang w:val="en-US"/>
      </w:rPr>
    </w:pPr>
    <w:bookmarkStart w:id="11" w:name="_Hlk496261745"/>
    <w:bookmarkStart w:id="12" w:name="_Hlk496261746"/>
    <w:bookmarkStart w:id="13" w:name="_Hlk496261747"/>
    <w:bookmarkStart w:id="14" w:name="_Hlk30491063"/>
    <w:bookmarkStart w:id="15" w:name="_Hlk30491064"/>
  </w:p>
  <w:bookmarkEnd w:id="11"/>
  <w:bookmarkEnd w:id="12"/>
  <w:bookmarkEnd w:id="13"/>
  <w:bookmarkEnd w:id="14"/>
  <w:bookmarkEnd w:id="15"/>
  <w:p w14:paraId="3C0D1850" w14:textId="77777777" w:rsidR="00361EF7" w:rsidRPr="008C5E0B" w:rsidRDefault="00361EF7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0E2"/>
    <w:multiLevelType w:val="hybridMultilevel"/>
    <w:tmpl w:val="37868642"/>
    <w:lvl w:ilvl="0" w:tplc="2B329F80">
      <w:start w:val="1"/>
      <w:numFmt w:val="lowerLetter"/>
      <w:lvlText w:val="%1)"/>
      <w:lvlJc w:val="left"/>
      <w:pPr>
        <w:ind w:left="2135" w:hanging="8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9B697D6">
      <w:numFmt w:val="bullet"/>
      <w:lvlText w:val="•"/>
      <w:lvlJc w:val="left"/>
      <w:pPr>
        <w:ind w:left="3150" w:hanging="838"/>
      </w:pPr>
      <w:rPr>
        <w:rFonts w:hint="default"/>
        <w:lang w:val="en-US" w:eastAsia="en-US" w:bidi="ar-SA"/>
      </w:rPr>
    </w:lvl>
    <w:lvl w:ilvl="2" w:tplc="7BB4197E">
      <w:numFmt w:val="bullet"/>
      <w:lvlText w:val="•"/>
      <w:lvlJc w:val="left"/>
      <w:pPr>
        <w:ind w:left="4160" w:hanging="838"/>
      </w:pPr>
      <w:rPr>
        <w:rFonts w:hint="default"/>
        <w:lang w:val="en-US" w:eastAsia="en-US" w:bidi="ar-SA"/>
      </w:rPr>
    </w:lvl>
    <w:lvl w:ilvl="3" w:tplc="3B70BFC2">
      <w:numFmt w:val="bullet"/>
      <w:lvlText w:val="•"/>
      <w:lvlJc w:val="left"/>
      <w:pPr>
        <w:ind w:left="5170" w:hanging="838"/>
      </w:pPr>
      <w:rPr>
        <w:rFonts w:hint="default"/>
        <w:lang w:val="en-US" w:eastAsia="en-US" w:bidi="ar-SA"/>
      </w:rPr>
    </w:lvl>
    <w:lvl w:ilvl="4" w:tplc="294829B4">
      <w:numFmt w:val="bullet"/>
      <w:lvlText w:val="•"/>
      <w:lvlJc w:val="left"/>
      <w:pPr>
        <w:ind w:left="6180" w:hanging="838"/>
      </w:pPr>
      <w:rPr>
        <w:rFonts w:hint="default"/>
        <w:lang w:val="en-US" w:eastAsia="en-US" w:bidi="ar-SA"/>
      </w:rPr>
    </w:lvl>
    <w:lvl w:ilvl="5" w:tplc="48EC07AA">
      <w:numFmt w:val="bullet"/>
      <w:lvlText w:val="•"/>
      <w:lvlJc w:val="left"/>
      <w:pPr>
        <w:ind w:left="7190" w:hanging="838"/>
      </w:pPr>
      <w:rPr>
        <w:rFonts w:hint="default"/>
        <w:lang w:val="en-US" w:eastAsia="en-US" w:bidi="ar-SA"/>
      </w:rPr>
    </w:lvl>
    <w:lvl w:ilvl="6" w:tplc="57D058CC">
      <w:numFmt w:val="bullet"/>
      <w:lvlText w:val="•"/>
      <w:lvlJc w:val="left"/>
      <w:pPr>
        <w:ind w:left="8200" w:hanging="838"/>
      </w:pPr>
      <w:rPr>
        <w:rFonts w:hint="default"/>
        <w:lang w:val="en-US" w:eastAsia="en-US" w:bidi="ar-SA"/>
      </w:rPr>
    </w:lvl>
    <w:lvl w:ilvl="7" w:tplc="DD18A1EC">
      <w:numFmt w:val="bullet"/>
      <w:lvlText w:val="•"/>
      <w:lvlJc w:val="left"/>
      <w:pPr>
        <w:ind w:left="9210" w:hanging="838"/>
      </w:pPr>
      <w:rPr>
        <w:rFonts w:hint="default"/>
        <w:lang w:val="en-US" w:eastAsia="en-US" w:bidi="ar-SA"/>
      </w:rPr>
    </w:lvl>
    <w:lvl w:ilvl="8" w:tplc="8D9C00A6">
      <w:numFmt w:val="bullet"/>
      <w:lvlText w:val="•"/>
      <w:lvlJc w:val="left"/>
      <w:pPr>
        <w:ind w:left="10220" w:hanging="838"/>
      </w:pPr>
      <w:rPr>
        <w:rFonts w:hint="default"/>
        <w:lang w:val="en-US" w:eastAsia="en-US" w:bidi="ar-SA"/>
      </w:rPr>
    </w:lvl>
  </w:abstractNum>
  <w:abstractNum w:abstractNumId="1" w15:restartNumberingAfterBreak="0">
    <w:nsid w:val="06077875"/>
    <w:multiLevelType w:val="multilevel"/>
    <w:tmpl w:val="F7E6F53A"/>
    <w:lvl w:ilvl="0">
      <w:start w:val="2"/>
      <w:numFmt w:val="decimal"/>
      <w:lvlText w:val="%1"/>
      <w:lvlJc w:val="left"/>
      <w:pPr>
        <w:ind w:left="1317" w:hanging="59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17" w:hanging="598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33" w:hanging="8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27" w:hanging="8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15" w:hanging="8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02" w:hanging="8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0" w:hanging="8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77" w:hanging="8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65" w:hanging="862"/>
      </w:pPr>
      <w:rPr>
        <w:rFonts w:hint="default"/>
        <w:lang w:val="en-US" w:eastAsia="en-US" w:bidi="ar-SA"/>
      </w:rPr>
    </w:lvl>
  </w:abstractNum>
  <w:abstractNum w:abstractNumId="2" w15:restartNumberingAfterBreak="0">
    <w:nsid w:val="3CAA73D8"/>
    <w:multiLevelType w:val="hybridMultilevel"/>
    <w:tmpl w:val="D390CF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E0B78"/>
    <w:multiLevelType w:val="multilevel"/>
    <w:tmpl w:val="74229B4C"/>
    <w:lvl w:ilvl="0">
      <w:start w:val="3"/>
      <w:numFmt w:val="decimal"/>
      <w:lvlText w:val="%1"/>
      <w:lvlJc w:val="left"/>
      <w:pPr>
        <w:ind w:left="1298" w:hanging="57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98" w:hanging="57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88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82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76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0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64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58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52" w:hanging="579"/>
      </w:pPr>
      <w:rPr>
        <w:rFonts w:hint="default"/>
        <w:lang w:val="en-US" w:eastAsia="en-US" w:bidi="ar-SA"/>
      </w:rPr>
    </w:lvl>
  </w:abstractNum>
  <w:abstractNum w:abstractNumId="4" w15:restartNumberingAfterBreak="0">
    <w:nsid w:val="533011DF"/>
    <w:multiLevelType w:val="hybridMultilevel"/>
    <w:tmpl w:val="ADE4A018"/>
    <w:lvl w:ilvl="0" w:tplc="6762986C">
      <w:numFmt w:val="bullet"/>
      <w:lvlText w:val=""/>
      <w:lvlJc w:val="left"/>
      <w:pPr>
        <w:ind w:left="2227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CA8364">
      <w:numFmt w:val="bullet"/>
      <w:lvlText w:val="•"/>
      <w:lvlJc w:val="left"/>
      <w:pPr>
        <w:ind w:left="3222" w:hanging="356"/>
      </w:pPr>
      <w:rPr>
        <w:rFonts w:hint="default"/>
        <w:lang w:val="en-US" w:eastAsia="en-US" w:bidi="ar-SA"/>
      </w:rPr>
    </w:lvl>
    <w:lvl w:ilvl="2" w:tplc="1944A68C">
      <w:numFmt w:val="bullet"/>
      <w:lvlText w:val="•"/>
      <w:lvlJc w:val="left"/>
      <w:pPr>
        <w:ind w:left="4224" w:hanging="356"/>
      </w:pPr>
      <w:rPr>
        <w:rFonts w:hint="default"/>
        <w:lang w:val="en-US" w:eastAsia="en-US" w:bidi="ar-SA"/>
      </w:rPr>
    </w:lvl>
    <w:lvl w:ilvl="3" w:tplc="DB68E032">
      <w:numFmt w:val="bullet"/>
      <w:lvlText w:val="•"/>
      <w:lvlJc w:val="left"/>
      <w:pPr>
        <w:ind w:left="5226" w:hanging="356"/>
      </w:pPr>
      <w:rPr>
        <w:rFonts w:hint="default"/>
        <w:lang w:val="en-US" w:eastAsia="en-US" w:bidi="ar-SA"/>
      </w:rPr>
    </w:lvl>
    <w:lvl w:ilvl="4" w:tplc="6D5AA028">
      <w:numFmt w:val="bullet"/>
      <w:lvlText w:val="•"/>
      <w:lvlJc w:val="left"/>
      <w:pPr>
        <w:ind w:left="6228" w:hanging="356"/>
      </w:pPr>
      <w:rPr>
        <w:rFonts w:hint="default"/>
        <w:lang w:val="en-US" w:eastAsia="en-US" w:bidi="ar-SA"/>
      </w:rPr>
    </w:lvl>
    <w:lvl w:ilvl="5" w:tplc="AFFCC6FA">
      <w:numFmt w:val="bullet"/>
      <w:lvlText w:val="•"/>
      <w:lvlJc w:val="left"/>
      <w:pPr>
        <w:ind w:left="7230" w:hanging="356"/>
      </w:pPr>
      <w:rPr>
        <w:rFonts w:hint="default"/>
        <w:lang w:val="en-US" w:eastAsia="en-US" w:bidi="ar-SA"/>
      </w:rPr>
    </w:lvl>
    <w:lvl w:ilvl="6" w:tplc="03727432">
      <w:numFmt w:val="bullet"/>
      <w:lvlText w:val="•"/>
      <w:lvlJc w:val="left"/>
      <w:pPr>
        <w:ind w:left="8232" w:hanging="356"/>
      </w:pPr>
      <w:rPr>
        <w:rFonts w:hint="default"/>
        <w:lang w:val="en-US" w:eastAsia="en-US" w:bidi="ar-SA"/>
      </w:rPr>
    </w:lvl>
    <w:lvl w:ilvl="7" w:tplc="24E271FE">
      <w:numFmt w:val="bullet"/>
      <w:lvlText w:val="•"/>
      <w:lvlJc w:val="left"/>
      <w:pPr>
        <w:ind w:left="9234" w:hanging="356"/>
      </w:pPr>
      <w:rPr>
        <w:rFonts w:hint="default"/>
        <w:lang w:val="en-US" w:eastAsia="en-US" w:bidi="ar-SA"/>
      </w:rPr>
    </w:lvl>
    <w:lvl w:ilvl="8" w:tplc="932CAA38">
      <w:numFmt w:val="bullet"/>
      <w:lvlText w:val="•"/>
      <w:lvlJc w:val="left"/>
      <w:pPr>
        <w:ind w:left="10236" w:hanging="356"/>
      </w:pPr>
      <w:rPr>
        <w:rFonts w:hint="default"/>
        <w:lang w:val="en-US" w:eastAsia="en-US" w:bidi="ar-SA"/>
      </w:rPr>
    </w:lvl>
  </w:abstractNum>
  <w:num w:numId="1" w16cid:durableId="765854800">
    <w:abstractNumId w:val="0"/>
  </w:num>
  <w:num w:numId="2" w16cid:durableId="245767554">
    <w:abstractNumId w:val="3"/>
  </w:num>
  <w:num w:numId="3" w16cid:durableId="1639453284">
    <w:abstractNumId w:val="4"/>
  </w:num>
  <w:num w:numId="4" w16cid:durableId="1382245093">
    <w:abstractNumId w:val="1"/>
  </w:num>
  <w:num w:numId="5" w16cid:durableId="94130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A3"/>
    <w:rsid w:val="000F09F6"/>
    <w:rsid w:val="000F3572"/>
    <w:rsid w:val="00134C8E"/>
    <w:rsid w:val="0014734C"/>
    <w:rsid w:val="00165921"/>
    <w:rsid w:val="001808C1"/>
    <w:rsid w:val="001941DB"/>
    <w:rsid w:val="00260C01"/>
    <w:rsid w:val="0026631E"/>
    <w:rsid w:val="00294662"/>
    <w:rsid w:val="002C0EA3"/>
    <w:rsid w:val="002C6031"/>
    <w:rsid w:val="002E0165"/>
    <w:rsid w:val="002F28DC"/>
    <w:rsid w:val="00317B9A"/>
    <w:rsid w:val="003321FC"/>
    <w:rsid w:val="00333D16"/>
    <w:rsid w:val="00361EF7"/>
    <w:rsid w:val="00373DD8"/>
    <w:rsid w:val="004130FC"/>
    <w:rsid w:val="00426016"/>
    <w:rsid w:val="00444518"/>
    <w:rsid w:val="005429AA"/>
    <w:rsid w:val="005B09DD"/>
    <w:rsid w:val="005F25CF"/>
    <w:rsid w:val="0062337E"/>
    <w:rsid w:val="0065423C"/>
    <w:rsid w:val="00662F77"/>
    <w:rsid w:val="00695507"/>
    <w:rsid w:val="006B57FE"/>
    <w:rsid w:val="006C52E0"/>
    <w:rsid w:val="00782A7C"/>
    <w:rsid w:val="007D1BC8"/>
    <w:rsid w:val="008C0A3B"/>
    <w:rsid w:val="008C42AA"/>
    <w:rsid w:val="008C5E0B"/>
    <w:rsid w:val="008F69E5"/>
    <w:rsid w:val="00947EC8"/>
    <w:rsid w:val="00967BFE"/>
    <w:rsid w:val="00A30F8B"/>
    <w:rsid w:val="00A66154"/>
    <w:rsid w:val="00AE29AD"/>
    <w:rsid w:val="00B249F7"/>
    <w:rsid w:val="00B8115D"/>
    <w:rsid w:val="00B83256"/>
    <w:rsid w:val="00B86E6F"/>
    <w:rsid w:val="00BC0F12"/>
    <w:rsid w:val="00BE180D"/>
    <w:rsid w:val="00C762C3"/>
    <w:rsid w:val="00C831FF"/>
    <w:rsid w:val="00C91BB8"/>
    <w:rsid w:val="00D520C6"/>
    <w:rsid w:val="00DA1723"/>
    <w:rsid w:val="00DA3A7C"/>
    <w:rsid w:val="00E065CF"/>
    <w:rsid w:val="00E17523"/>
    <w:rsid w:val="00E828EA"/>
    <w:rsid w:val="00EC2116"/>
    <w:rsid w:val="00F35D99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1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18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47E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7EC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47E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C8"/>
    <w:rPr>
      <w:rFonts w:ascii="Arial MT" w:eastAsia="Arial MT" w:hAnsi="Arial MT" w:cs="Arial 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B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BB8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BB8"/>
    <w:rPr>
      <w:vertAlign w:val="superscript"/>
    </w:rPr>
  </w:style>
  <w:style w:type="character" w:styleId="PageNumber">
    <w:name w:val="page number"/>
    <w:basedOn w:val="DefaultParagraphFont"/>
    <w:semiHidden/>
    <w:rsid w:val="0065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1" ma:contentTypeDescription="Izveidot jaunu dokumentu." ma:contentTypeScope="" ma:versionID="4b15588af3af4cc144dbf2adab711082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d495083fa836ab9ea1a4f0f1daa4a03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B791D369-796C-4CDA-98B2-1B2B24CD6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0C075-0860-4A56-A91A-1A8B203D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D74C1-15BD-4C2F-9B95-9E0E67721DFC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6643</Words>
  <Characters>3787</Characters>
  <Application>Microsoft Office Word</Application>
  <DocSecurity>0</DocSecurity>
  <Lines>31</Lines>
  <Paragraphs>20</Paragraphs>
  <ScaleCrop>false</ScaleCrop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2023-02-21T08:45:00Z</dcterms:created>
  <dcterms:modified xsi:type="dcterms:W3CDTF">2023-06-05T06:42:00Z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