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ACC8" w14:textId="77777777" w:rsidR="00EA3A08" w:rsidRPr="00B278A7" w:rsidRDefault="00EA3A08" w:rsidP="00EA3A08">
      <w:pPr>
        <w:jc w:val="both"/>
        <w:rPr>
          <w:noProof/>
          <w:sz w:val="20"/>
          <w:szCs w:val="20"/>
          <w:lang w:val="en-US"/>
        </w:rPr>
      </w:pPr>
    </w:p>
    <w:p w14:paraId="5A4F6E7D" w14:textId="77777777" w:rsidR="00EA3A08" w:rsidRPr="00B278A7" w:rsidRDefault="00EA3A08" w:rsidP="00EA3A08">
      <w:pPr>
        <w:jc w:val="both"/>
        <w:rPr>
          <w:noProof/>
          <w:sz w:val="20"/>
          <w:szCs w:val="20"/>
          <w:lang w:val="en-US"/>
        </w:rPr>
      </w:pPr>
      <w:r w:rsidRPr="00B278A7">
        <w:rPr>
          <w:noProof/>
          <w:sz w:val="20"/>
          <w:szCs w:val="20"/>
          <w:lang w:val="en-US"/>
        </w:rPr>
        <w:t>Text consolidated by Valsts valodas centrs (State Language Centre) with amending regulations of:</w:t>
      </w:r>
    </w:p>
    <w:p w14:paraId="344E9896" w14:textId="535A07FB" w:rsidR="00EA3A08" w:rsidRPr="00B278A7" w:rsidRDefault="001338B0" w:rsidP="00EA3A08">
      <w:pPr>
        <w:pStyle w:val="BlockText"/>
        <w:ind w:left="0" w:right="0"/>
        <w:jc w:val="center"/>
        <w:rPr>
          <w:noProof/>
          <w:lang w:val="en-US"/>
        </w:rPr>
      </w:pPr>
      <w:r>
        <w:rPr>
          <w:noProof/>
          <w:lang w:val="en-US"/>
        </w:rPr>
        <w:t>15 January 2013</w:t>
      </w:r>
      <w:r w:rsidR="00EA3A08" w:rsidRPr="00B278A7">
        <w:rPr>
          <w:noProof/>
          <w:lang w:val="en-US"/>
        </w:rPr>
        <w:t xml:space="preserve"> [shall come into force from </w:t>
      </w:r>
      <w:r>
        <w:rPr>
          <w:noProof/>
          <w:lang w:val="en-US"/>
        </w:rPr>
        <w:t>18 January 2013</w:t>
      </w:r>
      <w:r w:rsidR="00EA3A08" w:rsidRPr="00B278A7">
        <w:rPr>
          <w:noProof/>
          <w:lang w:val="en-US"/>
        </w:rPr>
        <w:t>];</w:t>
      </w:r>
    </w:p>
    <w:p w14:paraId="3603C2AA" w14:textId="01DB27D7" w:rsidR="00EA3A08" w:rsidRDefault="00517684" w:rsidP="00EA3A08">
      <w:pPr>
        <w:pStyle w:val="BlockText"/>
        <w:ind w:left="0" w:right="0"/>
        <w:jc w:val="center"/>
        <w:rPr>
          <w:noProof/>
          <w:lang w:val="en-US"/>
        </w:rPr>
      </w:pPr>
      <w:r>
        <w:rPr>
          <w:noProof/>
          <w:lang w:val="en-US"/>
        </w:rPr>
        <w:t>8 September 2015</w:t>
      </w:r>
      <w:r w:rsidR="00EA3A08" w:rsidRPr="00B278A7">
        <w:rPr>
          <w:noProof/>
          <w:lang w:val="en-US"/>
        </w:rPr>
        <w:t xml:space="preserve"> [shall come into force from </w:t>
      </w:r>
      <w:r w:rsidR="002E5856">
        <w:rPr>
          <w:noProof/>
          <w:lang w:val="en-US"/>
        </w:rPr>
        <w:t>12 September 2019</w:t>
      </w:r>
      <w:r w:rsidR="00EA3A08" w:rsidRPr="00B278A7">
        <w:rPr>
          <w:noProof/>
          <w:lang w:val="en-US"/>
        </w:rPr>
        <w:t>];</w:t>
      </w:r>
    </w:p>
    <w:p w14:paraId="51095C3E" w14:textId="5FC77968" w:rsidR="00E93903" w:rsidRPr="00B278A7" w:rsidRDefault="00E93903" w:rsidP="00EA3A08">
      <w:pPr>
        <w:pStyle w:val="BlockText"/>
        <w:ind w:left="0" w:right="0"/>
        <w:jc w:val="center"/>
        <w:rPr>
          <w:noProof/>
          <w:lang w:val="en-US"/>
        </w:rPr>
      </w:pPr>
      <w:r>
        <w:rPr>
          <w:noProof/>
          <w:lang w:val="en-US"/>
        </w:rPr>
        <w:t>5 February 2019</w:t>
      </w:r>
      <w:r w:rsidRPr="00B278A7">
        <w:rPr>
          <w:noProof/>
          <w:lang w:val="en-US"/>
        </w:rPr>
        <w:t xml:space="preserve"> [shall come into force from </w:t>
      </w:r>
      <w:r>
        <w:rPr>
          <w:noProof/>
          <w:lang w:val="en-US"/>
        </w:rPr>
        <w:t>8 February 2019</w:t>
      </w:r>
      <w:r w:rsidRPr="00B278A7">
        <w:rPr>
          <w:noProof/>
          <w:lang w:val="en-US"/>
        </w:rPr>
        <w:t>];</w:t>
      </w:r>
    </w:p>
    <w:p w14:paraId="34F0649A" w14:textId="53B83113" w:rsidR="00EA3A08" w:rsidRPr="00B278A7" w:rsidRDefault="002E5856" w:rsidP="00EA3A08">
      <w:pPr>
        <w:pStyle w:val="BlockText"/>
        <w:ind w:left="0" w:right="0"/>
        <w:jc w:val="center"/>
        <w:rPr>
          <w:noProof/>
          <w:lang w:val="en-US"/>
        </w:rPr>
      </w:pPr>
      <w:r>
        <w:rPr>
          <w:noProof/>
          <w:lang w:val="en-US"/>
        </w:rPr>
        <w:t>30</w:t>
      </w:r>
      <w:r w:rsidR="00281159">
        <w:rPr>
          <w:noProof/>
          <w:lang w:val="en-US"/>
        </w:rPr>
        <w:t> </w:t>
      </w:r>
      <w:r w:rsidR="0033532A">
        <w:rPr>
          <w:noProof/>
          <w:lang w:val="en-US"/>
        </w:rPr>
        <w:t>August</w:t>
      </w:r>
      <w:r w:rsidR="00281159">
        <w:rPr>
          <w:noProof/>
          <w:lang w:val="en-US"/>
        </w:rPr>
        <w:t> 202</w:t>
      </w:r>
      <w:r w:rsidR="00DC6AAF">
        <w:rPr>
          <w:noProof/>
          <w:lang w:val="en-US"/>
        </w:rPr>
        <w:t>2</w:t>
      </w:r>
      <w:r w:rsidR="00EA3A08" w:rsidRPr="00B278A7">
        <w:rPr>
          <w:noProof/>
          <w:lang w:val="en-US"/>
        </w:rPr>
        <w:t xml:space="preserve"> [shall come into force from </w:t>
      </w:r>
      <w:r w:rsidR="00DC6AAF">
        <w:rPr>
          <w:noProof/>
          <w:lang w:val="en-US"/>
        </w:rPr>
        <w:t>2 September 2022</w:t>
      </w:r>
      <w:r w:rsidR="00EA3A08" w:rsidRPr="00B278A7">
        <w:rPr>
          <w:noProof/>
          <w:lang w:val="en-US"/>
        </w:rPr>
        <w:t>].</w:t>
      </w:r>
    </w:p>
    <w:p w14:paraId="05503CFE" w14:textId="77777777" w:rsidR="00EA3A08" w:rsidRPr="00B278A7" w:rsidRDefault="00EA3A08" w:rsidP="00EA3A08">
      <w:pPr>
        <w:jc w:val="both"/>
        <w:rPr>
          <w:noProof/>
          <w:sz w:val="20"/>
          <w:szCs w:val="20"/>
          <w:lang w:val="en-US"/>
        </w:rPr>
      </w:pPr>
      <w:r w:rsidRPr="00B278A7">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24095F7" w14:textId="77777777" w:rsidR="00EA3A08" w:rsidRPr="00B278A7" w:rsidRDefault="00EA3A08" w:rsidP="00EA3A08">
      <w:pPr>
        <w:jc w:val="center"/>
        <w:rPr>
          <w:noProof/>
          <w:szCs w:val="20"/>
          <w:lang w:val="en-US"/>
        </w:rPr>
      </w:pPr>
    </w:p>
    <w:p w14:paraId="32C61FB0" w14:textId="77777777" w:rsidR="00EA3A08" w:rsidRPr="00B278A7" w:rsidRDefault="00EA3A08" w:rsidP="00EA3A08">
      <w:pPr>
        <w:jc w:val="center"/>
        <w:rPr>
          <w:noProof/>
          <w:szCs w:val="20"/>
          <w:lang w:val="en-US"/>
        </w:rPr>
      </w:pPr>
    </w:p>
    <w:p w14:paraId="75BA7F9F" w14:textId="77777777" w:rsidR="00EA3A08" w:rsidRDefault="00EA3A08" w:rsidP="00EA3A08">
      <w:pPr>
        <w:jc w:val="center"/>
        <w:rPr>
          <w:noProof/>
          <w:szCs w:val="20"/>
          <w:lang w:val="en-US"/>
        </w:rPr>
      </w:pPr>
      <w:r w:rsidRPr="00B278A7">
        <w:rPr>
          <w:noProof/>
          <w:szCs w:val="20"/>
          <w:lang w:val="en-US"/>
        </w:rPr>
        <w:t>Republic of Latvia</w:t>
      </w:r>
    </w:p>
    <w:p w14:paraId="07011A6B" w14:textId="77777777" w:rsidR="000E032A" w:rsidRDefault="000E032A" w:rsidP="003D2F26">
      <w:pPr>
        <w:jc w:val="center"/>
      </w:pPr>
    </w:p>
    <w:p w14:paraId="04FFC9E6" w14:textId="0CD94A39" w:rsidR="003D2F26" w:rsidRPr="003D2F26" w:rsidRDefault="000605FA" w:rsidP="003D2F26">
      <w:pPr>
        <w:jc w:val="center"/>
      </w:pPr>
      <w:r>
        <w:t>Cabinet</w:t>
      </w:r>
    </w:p>
    <w:p w14:paraId="2303BEC3" w14:textId="3D23CBA1" w:rsidR="000605FA" w:rsidRPr="003D2F26" w:rsidRDefault="000605FA" w:rsidP="003D2F26">
      <w:pPr>
        <w:jc w:val="center"/>
      </w:pPr>
      <w:r>
        <w:t>Regulation No. 554</w:t>
      </w:r>
    </w:p>
    <w:p w14:paraId="163D7FBF" w14:textId="62C17516" w:rsidR="000605FA" w:rsidRPr="000605FA" w:rsidRDefault="000605FA" w:rsidP="003D2F26">
      <w:pPr>
        <w:jc w:val="center"/>
      </w:pPr>
      <w:r>
        <w:t>Adopted 21 June 2010</w:t>
      </w:r>
    </w:p>
    <w:p w14:paraId="523F115C" w14:textId="77777777" w:rsidR="003D2F26" w:rsidRPr="003D2F26" w:rsidRDefault="003D2F26" w:rsidP="003D2F26">
      <w:pPr>
        <w:jc w:val="both"/>
        <w:rPr>
          <w:b/>
          <w:bCs/>
          <w:lang w:val="lv-LV"/>
        </w:rPr>
      </w:pPr>
    </w:p>
    <w:p w14:paraId="3B661C3C" w14:textId="77777777" w:rsidR="003D2F26" w:rsidRPr="003D2F26" w:rsidRDefault="003D2F26" w:rsidP="003D2F26">
      <w:pPr>
        <w:jc w:val="both"/>
        <w:rPr>
          <w:b/>
          <w:bCs/>
          <w:lang w:val="lv-LV"/>
        </w:rPr>
      </w:pPr>
    </w:p>
    <w:p w14:paraId="505A6DFF" w14:textId="6A47072C" w:rsidR="000605FA" w:rsidRPr="000605FA" w:rsidRDefault="000605FA" w:rsidP="003D2F26">
      <w:pPr>
        <w:jc w:val="center"/>
        <w:rPr>
          <w:b/>
          <w:bCs/>
          <w:sz w:val="28"/>
          <w:szCs w:val="28"/>
        </w:rPr>
      </w:pPr>
      <w:r>
        <w:rPr>
          <w:b/>
          <w:sz w:val="28"/>
        </w:rPr>
        <w:t>Regulation Regarding the Countries for the Citizens of which an Additional Assessment shall be Performed when Issuing a Visa or a Residence Permit</w:t>
      </w:r>
    </w:p>
    <w:p w14:paraId="406B04A0" w14:textId="77777777" w:rsidR="003D2F26" w:rsidRPr="003D2F26" w:rsidRDefault="003D2F26" w:rsidP="003D2F26">
      <w:pPr>
        <w:jc w:val="both"/>
        <w:rPr>
          <w:i/>
          <w:iCs/>
          <w:lang w:val="lv-LV"/>
        </w:rPr>
      </w:pPr>
    </w:p>
    <w:p w14:paraId="1929DDA6" w14:textId="77777777" w:rsidR="003D2F26" w:rsidRPr="003D2F26" w:rsidRDefault="003D2F26" w:rsidP="003D2F26">
      <w:pPr>
        <w:jc w:val="both"/>
        <w:rPr>
          <w:i/>
          <w:iCs/>
          <w:lang w:val="lv-LV"/>
        </w:rPr>
      </w:pPr>
    </w:p>
    <w:p w14:paraId="3CCAFF8B" w14:textId="279C4CD5" w:rsidR="003D2F26" w:rsidRPr="003D2F26" w:rsidRDefault="000605FA" w:rsidP="003D2F26">
      <w:pPr>
        <w:jc w:val="right"/>
        <w:rPr>
          <w:i/>
          <w:iCs/>
        </w:rPr>
      </w:pPr>
      <w:r>
        <w:rPr>
          <w:i/>
        </w:rPr>
        <w:t>Issued in accordance with</w:t>
      </w:r>
    </w:p>
    <w:p w14:paraId="383A9E89" w14:textId="6FDE73E9" w:rsidR="000605FA" w:rsidRPr="000605FA" w:rsidRDefault="000605FA" w:rsidP="003D2F26">
      <w:pPr>
        <w:jc w:val="right"/>
        <w:rPr>
          <w:i/>
          <w:iCs/>
        </w:rPr>
      </w:pPr>
      <w:r>
        <w:rPr>
          <w:i/>
        </w:rPr>
        <w:t>Section 4, Paragraph nine of the Immigration Law</w:t>
      </w:r>
    </w:p>
    <w:p w14:paraId="252E6B32" w14:textId="77777777" w:rsidR="003D2F26" w:rsidRPr="003D2F26" w:rsidRDefault="003D2F26" w:rsidP="003D2F26">
      <w:pPr>
        <w:jc w:val="both"/>
      </w:pPr>
      <w:bookmarkStart w:id="0" w:name="p1"/>
      <w:bookmarkStart w:id="1" w:name="p-345968"/>
      <w:bookmarkEnd w:id="0"/>
      <w:bookmarkEnd w:id="1"/>
    </w:p>
    <w:p w14:paraId="3BE0D1E0" w14:textId="24E0DCFB" w:rsidR="000605FA" w:rsidRPr="000605FA" w:rsidRDefault="000605FA" w:rsidP="003D2F26">
      <w:pPr>
        <w:jc w:val="both"/>
      </w:pPr>
      <w:r>
        <w:t>1. This Regulation prescribes the list of the countries for the citizens of which an additional assessment shall be performed when issuing a visa or a residence permit.</w:t>
      </w:r>
    </w:p>
    <w:p w14:paraId="4B5E119C" w14:textId="77777777" w:rsidR="003D2F26" w:rsidRPr="003D2F26" w:rsidRDefault="003D2F26" w:rsidP="003D2F26">
      <w:pPr>
        <w:jc w:val="both"/>
      </w:pPr>
      <w:bookmarkStart w:id="2" w:name="p2"/>
      <w:bookmarkStart w:id="3" w:name="p-345969"/>
      <w:bookmarkEnd w:id="2"/>
      <w:bookmarkEnd w:id="3"/>
    </w:p>
    <w:p w14:paraId="3AE04BA0" w14:textId="733010A0" w:rsidR="000605FA" w:rsidRPr="000605FA" w:rsidRDefault="000605FA" w:rsidP="003D2F26">
      <w:pPr>
        <w:jc w:val="both"/>
      </w:pPr>
      <w:r>
        <w:t>2. When issuing a visa or a residence permit, an additional assessment shall be performed for the citizens of the countries referred to in the Annex to this Regulation.</w:t>
      </w:r>
    </w:p>
    <w:p w14:paraId="30D87143" w14:textId="77777777" w:rsidR="003D2F26" w:rsidRPr="003D2F26" w:rsidRDefault="003D2F26" w:rsidP="003D2F26">
      <w:pPr>
        <w:jc w:val="both"/>
      </w:pPr>
      <w:bookmarkStart w:id="4" w:name="p2_1"/>
      <w:bookmarkStart w:id="5" w:name="p-680736"/>
      <w:bookmarkEnd w:id="4"/>
      <w:bookmarkEnd w:id="5"/>
    </w:p>
    <w:p w14:paraId="49C21D61" w14:textId="59B9F1D6" w:rsidR="000605FA" w:rsidRPr="000605FA" w:rsidRDefault="000605FA" w:rsidP="003D2F26">
      <w:pPr>
        <w:jc w:val="both"/>
      </w:pPr>
      <w:r>
        <w:t>2.</w:t>
      </w:r>
      <w:r>
        <w:rPr>
          <w:vertAlign w:val="superscript"/>
        </w:rPr>
        <w:t>1</w:t>
      </w:r>
      <w:r>
        <w:t xml:space="preserve"> The State Security Service shall, in cooperation with the Constitution Protection Bureau, review the list of countries in the Annex to this Regulation at least once in every three years and inform the Minister for the Interior of the changes needed therein.</w:t>
      </w:r>
    </w:p>
    <w:p w14:paraId="36EDED6D" w14:textId="38B2C3E5" w:rsidR="000605FA" w:rsidRPr="000605FA" w:rsidRDefault="000605FA" w:rsidP="003D2F26">
      <w:pPr>
        <w:jc w:val="both"/>
      </w:pPr>
      <w:r>
        <w:t>[</w:t>
      </w:r>
      <w:r>
        <w:rPr>
          <w:i/>
          <w:iCs/>
        </w:rPr>
        <w:t>15 January 2013; 5 February 2019</w:t>
      </w:r>
      <w:r>
        <w:t>]</w:t>
      </w:r>
    </w:p>
    <w:p w14:paraId="0BF01494" w14:textId="77777777" w:rsidR="003D2F26" w:rsidRPr="003D2F26" w:rsidRDefault="003D2F26" w:rsidP="003D2F26">
      <w:pPr>
        <w:jc w:val="both"/>
      </w:pPr>
      <w:bookmarkStart w:id="6" w:name="p3"/>
      <w:bookmarkStart w:id="7" w:name="p-345970"/>
      <w:bookmarkEnd w:id="6"/>
      <w:bookmarkEnd w:id="7"/>
    </w:p>
    <w:p w14:paraId="60BA4A9C" w14:textId="4260CFA0" w:rsidR="000605FA" w:rsidRPr="000605FA" w:rsidRDefault="000605FA" w:rsidP="003D2F26">
      <w:pPr>
        <w:jc w:val="both"/>
      </w:pPr>
      <w:r>
        <w:t>3. Cabinet Regulation No. 149 of 14 February 2006, Regulation Regarding the Countries for the Citizens of which an Additional Examination shall be Performed when Issuing a Visa or Residence Permit and to which a Visa is Necessary in Order to Enter the Republic of Latvia in the Status of a Cruise Ship Passenger (</w:t>
      </w:r>
      <w:proofErr w:type="spellStart"/>
      <w:r>
        <w:rPr>
          <w:i/>
          <w:iCs/>
        </w:rPr>
        <w:t>Latvijas</w:t>
      </w:r>
      <w:proofErr w:type="spellEnd"/>
      <w:r>
        <w:rPr>
          <w:i/>
          <w:iCs/>
        </w:rPr>
        <w:t xml:space="preserve"> </w:t>
      </w:r>
      <w:proofErr w:type="spellStart"/>
      <w:r>
        <w:rPr>
          <w:i/>
          <w:iCs/>
        </w:rPr>
        <w:t>Vēstnesis</w:t>
      </w:r>
      <w:proofErr w:type="spellEnd"/>
      <w:r>
        <w:t>, 2006, No. 31; 2007, No. 177), is repealed.</w:t>
      </w:r>
    </w:p>
    <w:p w14:paraId="399029F5" w14:textId="77777777" w:rsidR="003D2F26" w:rsidRPr="003D2F26" w:rsidRDefault="003D2F26" w:rsidP="003D2F26">
      <w:pPr>
        <w:jc w:val="both"/>
        <w:rPr>
          <w:lang w:val="lv-LV"/>
        </w:rPr>
      </w:pPr>
    </w:p>
    <w:p w14:paraId="37F063D0" w14:textId="53444B18" w:rsidR="000605FA" w:rsidRPr="003D2F26" w:rsidRDefault="000605FA" w:rsidP="00464877">
      <w:pPr>
        <w:tabs>
          <w:tab w:val="left" w:pos="6663"/>
        </w:tabs>
        <w:jc w:val="both"/>
      </w:pPr>
      <w:r>
        <w:t>Prime Minister</w:t>
      </w:r>
      <w:r w:rsidR="00464877">
        <w:tab/>
      </w:r>
      <w:r>
        <w:t>V. Dombrovskis</w:t>
      </w:r>
    </w:p>
    <w:p w14:paraId="0957D8F8" w14:textId="77777777" w:rsidR="003D2F26" w:rsidRPr="003D2F26" w:rsidRDefault="003D2F26" w:rsidP="003D2F26">
      <w:pPr>
        <w:jc w:val="both"/>
        <w:rPr>
          <w:lang w:val="lv-LV"/>
        </w:rPr>
      </w:pPr>
    </w:p>
    <w:p w14:paraId="65CD1E9B" w14:textId="77C07982" w:rsidR="000605FA" w:rsidRPr="000605FA" w:rsidRDefault="000605FA" w:rsidP="00464877">
      <w:pPr>
        <w:tabs>
          <w:tab w:val="left" w:pos="7088"/>
        </w:tabs>
        <w:jc w:val="both"/>
      </w:pPr>
      <w:r>
        <w:t>Minister for the Interior</w:t>
      </w:r>
      <w:r w:rsidR="00464877">
        <w:tab/>
      </w:r>
      <w:r>
        <w:t>L. </w:t>
      </w:r>
      <w:proofErr w:type="spellStart"/>
      <w:r>
        <w:t>Mūrniece</w:t>
      </w:r>
      <w:proofErr w:type="spellEnd"/>
    </w:p>
    <w:p w14:paraId="577E062B" w14:textId="77777777" w:rsidR="003D2F26" w:rsidRDefault="003D2F26">
      <w:pPr>
        <w:widowControl/>
        <w:spacing w:after="160" w:line="259" w:lineRule="auto"/>
      </w:pPr>
      <w:bookmarkStart w:id="8" w:name="piel0"/>
      <w:bookmarkEnd w:id="8"/>
      <w:r>
        <w:br w:type="page"/>
      </w:r>
    </w:p>
    <w:p w14:paraId="54CBEB40" w14:textId="728E4871" w:rsidR="000605FA" w:rsidRPr="0060748B" w:rsidRDefault="000605FA" w:rsidP="003D2F26">
      <w:pPr>
        <w:jc w:val="right"/>
        <w:rPr>
          <w:b/>
          <w:bCs/>
        </w:rPr>
      </w:pPr>
      <w:r>
        <w:rPr>
          <w:b/>
        </w:rPr>
        <w:lastRenderedPageBreak/>
        <w:t>Annex</w:t>
      </w:r>
    </w:p>
    <w:p w14:paraId="3F6393D3" w14:textId="0915790C" w:rsidR="000605FA" w:rsidRPr="003D2F26" w:rsidRDefault="000605FA" w:rsidP="003D2F26">
      <w:pPr>
        <w:jc w:val="right"/>
      </w:pPr>
      <w:r>
        <w:t>Cabinet</w:t>
      </w:r>
    </w:p>
    <w:p w14:paraId="091C1BA5" w14:textId="4B549C81" w:rsidR="000605FA" w:rsidRPr="000605FA" w:rsidRDefault="000605FA" w:rsidP="003D2F26">
      <w:pPr>
        <w:jc w:val="right"/>
      </w:pPr>
      <w:r>
        <w:t>Regulation No. 554</w:t>
      </w:r>
      <w:r>
        <w:br/>
        <w:t>21 June 2010</w:t>
      </w:r>
      <w:bookmarkStart w:id="9" w:name="piel-1127765"/>
      <w:bookmarkEnd w:id="9"/>
    </w:p>
    <w:p w14:paraId="165D3BAC" w14:textId="6DACC87C" w:rsidR="000605FA" w:rsidRPr="006C64F3" w:rsidRDefault="000605FA" w:rsidP="003D2F26">
      <w:pPr>
        <w:jc w:val="right"/>
      </w:pPr>
      <w:r>
        <w:t>[</w:t>
      </w:r>
      <w:r>
        <w:rPr>
          <w:i/>
          <w:iCs/>
        </w:rPr>
        <w:t>30 August 2022</w:t>
      </w:r>
      <w:r>
        <w:t>]</w:t>
      </w:r>
    </w:p>
    <w:p w14:paraId="06CB5CB6" w14:textId="77777777" w:rsidR="003D2F26" w:rsidRDefault="003D2F26" w:rsidP="003D2F26">
      <w:pPr>
        <w:jc w:val="both"/>
        <w:rPr>
          <w:b/>
          <w:bCs/>
        </w:rPr>
      </w:pPr>
      <w:bookmarkStart w:id="10" w:name="1127766"/>
      <w:bookmarkStart w:id="11" w:name="n-1127766"/>
      <w:bookmarkEnd w:id="10"/>
      <w:bookmarkEnd w:id="11"/>
    </w:p>
    <w:p w14:paraId="064CF1D7" w14:textId="77777777" w:rsidR="003D2F26" w:rsidRDefault="003D2F26" w:rsidP="003D2F26">
      <w:pPr>
        <w:jc w:val="both"/>
        <w:rPr>
          <w:b/>
          <w:bCs/>
          <w:lang w:val="lv-LV"/>
        </w:rPr>
      </w:pPr>
    </w:p>
    <w:p w14:paraId="11C6E7D7" w14:textId="43C439EA" w:rsidR="000605FA" w:rsidRPr="000605FA" w:rsidRDefault="000605FA" w:rsidP="003D2F26">
      <w:pPr>
        <w:jc w:val="center"/>
        <w:rPr>
          <w:b/>
          <w:bCs/>
          <w:sz w:val="28"/>
          <w:szCs w:val="24"/>
        </w:rPr>
      </w:pPr>
      <w:r>
        <w:rPr>
          <w:b/>
          <w:sz w:val="28"/>
        </w:rPr>
        <w:t>Countries for the Citizens of which an Additional Assessment shall be Performed when Issuing a Visa or Residence Permit</w:t>
      </w:r>
    </w:p>
    <w:p w14:paraId="34B83D49" w14:textId="77777777" w:rsidR="003D2F26" w:rsidRDefault="003D2F26" w:rsidP="003D2F26">
      <w:pPr>
        <w:jc w:val="both"/>
        <w:rPr>
          <w:lang w:val="lv-LV"/>
        </w:rPr>
      </w:pPr>
    </w:p>
    <w:p w14:paraId="64E23F52" w14:textId="77777777" w:rsidR="003D2F26" w:rsidRDefault="003D2F26" w:rsidP="003D2F26">
      <w:pPr>
        <w:jc w:val="both"/>
        <w:rPr>
          <w:lang w:val="lv-LV"/>
        </w:rPr>
      </w:pPr>
    </w:p>
    <w:p w14:paraId="16B8D8FB" w14:textId="5A5AFB29" w:rsidR="000605FA" w:rsidRPr="000605FA" w:rsidRDefault="000605FA" w:rsidP="003D2F26">
      <w:pPr>
        <w:jc w:val="both"/>
      </w:pPr>
      <w:r>
        <w:t>1. Islamic Republic of Afghanistan</w:t>
      </w:r>
    </w:p>
    <w:p w14:paraId="4C68DFA9" w14:textId="6CB03B80" w:rsidR="000605FA" w:rsidRPr="000605FA" w:rsidRDefault="000605FA" w:rsidP="003D2F26">
      <w:pPr>
        <w:jc w:val="both"/>
      </w:pPr>
      <w:r>
        <w:t>2. People’s Democratic Republic of Algeria</w:t>
      </w:r>
    </w:p>
    <w:p w14:paraId="6E59455C" w14:textId="1F5A1D73" w:rsidR="000605FA" w:rsidRPr="006C64F3" w:rsidRDefault="000605FA" w:rsidP="003D2F26">
      <w:pPr>
        <w:jc w:val="both"/>
      </w:pPr>
      <w:r>
        <w:t>3. [8 September 2015]</w:t>
      </w:r>
    </w:p>
    <w:p w14:paraId="71C6DAFF" w14:textId="6B80AB7C" w:rsidR="000605FA" w:rsidRPr="000605FA" w:rsidRDefault="000605FA" w:rsidP="003D2F26">
      <w:pPr>
        <w:jc w:val="both"/>
      </w:pPr>
      <w:r>
        <w:t>4. Kingdom of Bahrain</w:t>
      </w:r>
    </w:p>
    <w:p w14:paraId="74CC5D26" w14:textId="66AFD338" w:rsidR="000605FA" w:rsidRPr="000605FA" w:rsidRDefault="000605FA" w:rsidP="003D2F26">
      <w:pPr>
        <w:jc w:val="both"/>
      </w:pPr>
      <w:r>
        <w:t>4.</w:t>
      </w:r>
      <w:r>
        <w:rPr>
          <w:vertAlign w:val="superscript"/>
        </w:rPr>
        <w:t>1</w:t>
      </w:r>
      <w:r>
        <w:t xml:space="preserve"> Republic of Belarus</w:t>
      </w:r>
    </w:p>
    <w:p w14:paraId="5F1E6607" w14:textId="0E7AFCE7" w:rsidR="000605FA" w:rsidRPr="000605FA" w:rsidRDefault="000605FA" w:rsidP="003D2F26">
      <w:pPr>
        <w:jc w:val="both"/>
      </w:pPr>
      <w:r>
        <w:t>5. People’s Republic of Bangladesh</w:t>
      </w:r>
    </w:p>
    <w:p w14:paraId="2C3CF1B0" w14:textId="09FA570A" w:rsidR="000605FA" w:rsidRPr="000605FA" w:rsidRDefault="000605FA" w:rsidP="003D2F26">
      <w:pPr>
        <w:jc w:val="both"/>
      </w:pPr>
      <w:r>
        <w:t>5.</w:t>
      </w:r>
      <w:r>
        <w:rPr>
          <w:vertAlign w:val="superscript"/>
        </w:rPr>
        <w:t>1</w:t>
      </w:r>
      <w:r>
        <w:t xml:space="preserve"> Republic of South Sudan</w:t>
      </w:r>
    </w:p>
    <w:p w14:paraId="3910A9EE" w14:textId="341BACC7" w:rsidR="000605FA" w:rsidRPr="000605FA" w:rsidRDefault="000605FA" w:rsidP="003D2F26">
      <w:pPr>
        <w:jc w:val="both"/>
      </w:pPr>
      <w:r>
        <w:t>5.</w:t>
      </w:r>
      <w:r>
        <w:rPr>
          <w:vertAlign w:val="superscript"/>
        </w:rPr>
        <w:t>2</w:t>
      </w:r>
      <w:r>
        <w:t xml:space="preserve"> Georgia (Abkhazia and South </w:t>
      </w:r>
      <w:proofErr w:type="gramStart"/>
      <w:r>
        <w:t>Ossetia)*</w:t>
      </w:r>
      <w:proofErr w:type="gramEnd"/>
    </w:p>
    <w:p w14:paraId="4F53E3C1" w14:textId="1FF80C68" w:rsidR="000605FA" w:rsidRPr="000605FA" w:rsidRDefault="000605FA" w:rsidP="003D2F26">
      <w:pPr>
        <w:jc w:val="both"/>
      </w:pPr>
      <w:r>
        <w:t>6. Arab Republic of Egypt</w:t>
      </w:r>
    </w:p>
    <w:p w14:paraId="60554A37" w14:textId="4B616CCD" w:rsidR="000605FA" w:rsidRPr="000605FA" w:rsidRDefault="000605FA" w:rsidP="003D2F26">
      <w:pPr>
        <w:jc w:val="both"/>
      </w:pPr>
      <w:r>
        <w:t>7. Republic of Indonesia</w:t>
      </w:r>
    </w:p>
    <w:p w14:paraId="430CF76C" w14:textId="3734BE56" w:rsidR="000605FA" w:rsidRPr="000605FA" w:rsidRDefault="000605FA" w:rsidP="003D2F26">
      <w:pPr>
        <w:jc w:val="both"/>
      </w:pPr>
      <w:r>
        <w:t>8. Republic of Iraq</w:t>
      </w:r>
    </w:p>
    <w:p w14:paraId="637CC319" w14:textId="703A9984" w:rsidR="000605FA" w:rsidRPr="000605FA" w:rsidRDefault="000605FA" w:rsidP="003D2F26">
      <w:pPr>
        <w:jc w:val="both"/>
      </w:pPr>
      <w:r>
        <w:t>9. Islamic Republic of Iran</w:t>
      </w:r>
    </w:p>
    <w:p w14:paraId="44558041" w14:textId="7294BAB5" w:rsidR="000605FA" w:rsidRPr="000605FA" w:rsidRDefault="000605FA" w:rsidP="003D2F26">
      <w:pPr>
        <w:jc w:val="both"/>
      </w:pPr>
      <w:r>
        <w:t>10. Republic of Yemen</w:t>
      </w:r>
    </w:p>
    <w:p w14:paraId="1F262637" w14:textId="6BAECFB1" w:rsidR="000605FA" w:rsidRPr="000605FA" w:rsidRDefault="000605FA" w:rsidP="003D2F26">
      <w:pPr>
        <w:jc w:val="both"/>
      </w:pPr>
      <w:r>
        <w:t>11. Hashemite Kingdom of Jordan</w:t>
      </w:r>
    </w:p>
    <w:p w14:paraId="1594D557" w14:textId="2E2F3A8D" w:rsidR="000605FA" w:rsidRPr="000605FA" w:rsidRDefault="000605FA" w:rsidP="003D2F26">
      <w:pPr>
        <w:jc w:val="both"/>
      </w:pPr>
      <w:r>
        <w:t>11.</w:t>
      </w:r>
      <w:r>
        <w:rPr>
          <w:vertAlign w:val="superscript"/>
        </w:rPr>
        <w:t>1</w:t>
      </w:r>
      <w:r>
        <w:t xml:space="preserve"> Republic of Cameroon</w:t>
      </w:r>
    </w:p>
    <w:p w14:paraId="09C9176B" w14:textId="10B2BE72" w:rsidR="000605FA" w:rsidRPr="000605FA" w:rsidRDefault="000605FA" w:rsidP="003D2F26">
      <w:pPr>
        <w:jc w:val="both"/>
      </w:pPr>
      <w:r>
        <w:t>12. State of Qatar</w:t>
      </w:r>
    </w:p>
    <w:p w14:paraId="029408D1" w14:textId="3E24C67A" w:rsidR="000605FA" w:rsidRPr="000605FA" w:rsidRDefault="000605FA" w:rsidP="003D2F26">
      <w:pPr>
        <w:jc w:val="both"/>
      </w:pPr>
      <w:r>
        <w:t>13. Republic of Kenya</w:t>
      </w:r>
    </w:p>
    <w:p w14:paraId="0422DC19" w14:textId="63E86100" w:rsidR="000605FA" w:rsidRPr="000605FA" w:rsidRDefault="000605FA" w:rsidP="003D2F26">
      <w:pPr>
        <w:jc w:val="both"/>
      </w:pPr>
      <w:r>
        <w:t>14. Democratic People’s Republic of Korea</w:t>
      </w:r>
    </w:p>
    <w:p w14:paraId="486257F7" w14:textId="01D4F953" w:rsidR="000605FA" w:rsidRPr="000605FA" w:rsidRDefault="000605FA" w:rsidP="003D2F26">
      <w:pPr>
        <w:jc w:val="both"/>
      </w:pPr>
      <w:r>
        <w:t>15. Russian Federation</w:t>
      </w:r>
    </w:p>
    <w:p w14:paraId="7FD587FE" w14:textId="2A8ACDBC" w:rsidR="000605FA" w:rsidRPr="000605FA" w:rsidRDefault="000605FA" w:rsidP="003D2F26">
      <w:pPr>
        <w:jc w:val="both"/>
      </w:pPr>
      <w:r>
        <w:t>16. State of Kuwait</w:t>
      </w:r>
    </w:p>
    <w:p w14:paraId="3DCF140F" w14:textId="582EE85A" w:rsidR="000605FA" w:rsidRPr="000605FA" w:rsidRDefault="000605FA" w:rsidP="003D2F26">
      <w:pPr>
        <w:jc w:val="both"/>
      </w:pPr>
      <w:r>
        <w:t>17. Lebanese Republic</w:t>
      </w:r>
    </w:p>
    <w:p w14:paraId="4C4155CC" w14:textId="10A88EA0" w:rsidR="000605FA" w:rsidRPr="000605FA" w:rsidRDefault="000605FA" w:rsidP="003D2F26">
      <w:pPr>
        <w:jc w:val="both"/>
      </w:pPr>
      <w:r>
        <w:t>18. Socialist People’s Libyan Arab Jamahiriya</w:t>
      </w:r>
    </w:p>
    <w:p w14:paraId="01853E7E" w14:textId="55FCE344" w:rsidR="000605FA" w:rsidRPr="000605FA" w:rsidRDefault="000605FA" w:rsidP="003D2F26">
      <w:pPr>
        <w:jc w:val="both"/>
      </w:pPr>
      <w:r>
        <w:t>18.</w:t>
      </w:r>
      <w:r>
        <w:rPr>
          <w:vertAlign w:val="superscript"/>
        </w:rPr>
        <w:t>1</w:t>
      </w:r>
      <w:r>
        <w:t xml:space="preserve"> Republic of Mali</w:t>
      </w:r>
    </w:p>
    <w:p w14:paraId="6FBB10E8" w14:textId="7836CC1B" w:rsidR="000605FA" w:rsidRPr="000605FA" w:rsidRDefault="000605FA" w:rsidP="003D2F26">
      <w:pPr>
        <w:jc w:val="both"/>
      </w:pPr>
      <w:r>
        <w:t>19. Kingdom of Morocco</w:t>
      </w:r>
    </w:p>
    <w:p w14:paraId="768489C4" w14:textId="0EB2E523" w:rsidR="000605FA" w:rsidRPr="000605FA" w:rsidRDefault="000605FA" w:rsidP="003D2F26">
      <w:pPr>
        <w:jc w:val="both"/>
      </w:pPr>
      <w:r>
        <w:t>20. Federal Republic of Nigeria</w:t>
      </w:r>
    </w:p>
    <w:p w14:paraId="55A628C0" w14:textId="6865785D" w:rsidR="000605FA" w:rsidRPr="000605FA" w:rsidRDefault="000605FA" w:rsidP="003D2F26">
      <w:pPr>
        <w:jc w:val="both"/>
      </w:pPr>
      <w:r>
        <w:t>21. Sultanate of Oman</w:t>
      </w:r>
    </w:p>
    <w:p w14:paraId="62763406" w14:textId="01A45B52" w:rsidR="000605FA" w:rsidRPr="000605FA" w:rsidRDefault="000605FA" w:rsidP="003D2F26">
      <w:pPr>
        <w:jc w:val="both"/>
      </w:pPr>
      <w:r>
        <w:t>22. Islamic Republic of Pakistan</w:t>
      </w:r>
    </w:p>
    <w:p w14:paraId="6BB6C80F" w14:textId="010C89C8" w:rsidR="000605FA" w:rsidRPr="000605FA" w:rsidRDefault="000605FA" w:rsidP="003D2F26">
      <w:pPr>
        <w:jc w:val="both"/>
      </w:pPr>
      <w:r>
        <w:t>23. Palestinian Authority*</w:t>
      </w:r>
    </w:p>
    <w:p w14:paraId="5E25C748" w14:textId="2885841A" w:rsidR="000605FA" w:rsidRPr="000605FA" w:rsidRDefault="000605FA" w:rsidP="003D2F26">
      <w:pPr>
        <w:jc w:val="both"/>
      </w:pPr>
      <w:r>
        <w:t>24. Kingdom of Saudi Arabia</w:t>
      </w:r>
    </w:p>
    <w:p w14:paraId="6A5AFB48" w14:textId="1EE14BD7" w:rsidR="000605FA" w:rsidRPr="000605FA" w:rsidRDefault="000605FA" w:rsidP="003D2F26">
      <w:pPr>
        <w:jc w:val="both"/>
      </w:pPr>
      <w:r>
        <w:t>25. Syrian Arab Republic</w:t>
      </w:r>
    </w:p>
    <w:p w14:paraId="3F66E919" w14:textId="2E6E1E3B" w:rsidR="000605FA" w:rsidRPr="000605FA" w:rsidRDefault="000605FA" w:rsidP="003D2F26">
      <w:pPr>
        <w:jc w:val="both"/>
      </w:pPr>
      <w:r>
        <w:t>26. Somalia</w:t>
      </w:r>
    </w:p>
    <w:p w14:paraId="6A094C28" w14:textId="6CB92405" w:rsidR="000605FA" w:rsidRPr="000605FA" w:rsidRDefault="000605FA" w:rsidP="003D2F26">
      <w:pPr>
        <w:jc w:val="both"/>
      </w:pPr>
      <w:r>
        <w:t>27. Republic of Sudan</w:t>
      </w:r>
    </w:p>
    <w:p w14:paraId="01BB7FD7" w14:textId="43E00545" w:rsidR="000605FA" w:rsidRPr="006C64F3" w:rsidRDefault="000605FA" w:rsidP="003D2F26">
      <w:pPr>
        <w:jc w:val="both"/>
      </w:pPr>
      <w:r>
        <w:t>28. [8 September 2015]</w:t>
      </w:r>
    </w:p>
    <w:p w14:paraId="1123FE66" w14:textId="74791E4A" w:rsidR="000605FA" w:rsidRPr="000605FA" w:rsidRDefault="000605FA" w:rsidP="003D2F26">
      <w:pPr>
        <w:jc w:val="both"/>
      </w:pPr>
      <w:r>
        <w:t>29. Republic of Tunisia</w:t>
      </w:r>
    </w:p>
    <w:p w14:paraId="2CE357BD" w14:textId="52D942B2" w:rsidR="000605FA" w:rsidRPr="000605FA" w:rsidRDefault="000605FA" w:rsidP="003D2F26">
      <w:pPr>
        <w:jc w:val="both"/>
      </w:pPr>
      <w:r>
        <w:t xml:space="preserve">30. Ukraine (Autonomous Republic of Crimea, Luhansk region and Donetsk </w:t>
      </w:r>
      <w:proofErr w:type="gramStart"/>
      <w:r>
        <w:t>region)*</w:t>
      </w:r>
      <w:proofErr w:type="gramEnd"/>
    </w:p>
    <w:p w14:paraId="28A9BF7C" w14:textId="77777777" w:rsidR="000605FA" w:rsidRPr="000605FA" w:rsidRDefault="000605FA" w:rsidP="003D2F26">
      <w:pPr>
        <w:jc w:val="both"/>
      </w:pPr>
      <w:r>
        <w:t>Note.</w:t>
      </w:r>
    </w:p>
    <w:p w14:paraId="10638ABD" w14:textId="72FC6A2D" w:rsidR="009D6404" w:rsidRPr="003D2F26" w:rsidRDefault="000605FA" w:rsidP="003D2F26">
      <w:pPr>
        <w:jc w:val="both"/>
      </w:pPr>
      <w:r>
        <w:t>* Applicable to a person whose address of the place of residence or place of birth is in the indicated territory.</w:t>
      </w:r>
    </w:p>
    <w:sectPr w:rsidR="009D6404" w:rsidRPr="003D2F26" w:rsidSect="00B1563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646A" w14:textId="77777777" w:rsidR="00BB7312" w:rsidRDefault="00BB7312" w:rsidP="00BB7312">
      <w:r>
        <w:separator/>
      </w:r>
    </w:p>
  </w:endnote>
  <w:endnote w:type="continuationSeparator" w:id="0">
    <w:p w14:paraId="44ACAAFB" w14:textId="77777777" w:rsidR="00BB7312" w:rsidRDefault="00BB7312" w:rsidP="00BB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5680" w14:textId="77777777" w:rsidR="00484B1B" w:rsidRPr="00B278A7" w:rsidRDefault="00484B1B" w:rsidP="00484B1B">
    <w:pPr>
      <w:pStyle w:val="Footer"/>
      <w:tabs>
        <w:tab w:val="right" w:pos="9072"/>
      </w:tabs>
      <w:rPr>
        <w:noProof/>
        <w:sz w:val="20"/>
        <w:szCs w:val="20"/>
        <w:lang w:val="en-US"/>
      </w:rPr>
    </w:pPr>
  </w:p>
  <w:p w14:paraId="2148226F" w14:textId="0735F8A1" w:rsidR="00BB7312" w:rsidRPr="00484B1B" w:rsidRDefault="00484B1B" w:rsidP="00484B1B">
    <w:pPr>
      <w:pStyle w:val="Footer"/>
      <w:tabs>
        <w:tab w:val="right" w:pos="9072"/>
      </w:tabs>
      <w:rPr>
        <w:noProof/>
        <w:sz w:val="20"/>
        <w:szCs w:val="20"/>
        <w:lang w:val="en-US"/>
      </w:rPr>
    </w:pPr>
    <w:r w:rsidRPr="00B278A7">
      <w:rPr>
        <w:noProof/>
        <w:sz w:val="20"/>
        <w:szCs w:val="20"/>
        <w:lang w:val="en-US"/>
      </w:rPr>
      <w:t xml:space="preserve">Translation </w:t>
    </w:r>
    <w:r w:rsidRPr="00B278A7">
      <w:rPr>
        <w:noProof/>
        <w:sz w:val="20"/>
        <w:szCs w:val="20"/>
        <w:lang w:val="en-US"/>
      </w:rPr>
      <w:fldChar w:fldCharType="begin"/>
    </w:r>
    <w:r w:rsidRPr="00B278A7">
      <w:rPr>
        <w:noProof/>
        <w:sz w:val="20"/>
        <w:szCs w:val="20"/>
        <w:lang w:val="en-US"/>
      </w:rPr>
      <w:instrText>symbol 169 \f "UnivrstyRoman TL" \s 8</w:instrText>
    </w:r>
    <w:r w:rsidRPr="00B278A7">
      <w:rPr>
        <w:noProof/>
        <w:sz w:val="20"/>
        <w:szCs w:val="20"/>
        <w:lang w:val="en-US"/>
      </w:rPr>
      <w:fldChar w:fldCharType="separate"/>
    </w:r>
    <w:r w:rsidRPr="00B278A7">
      <w:rPr>
        <w:noProof/>
        <w:sz w:val="20"/>
        <w:szCs w:val="20"/>
        <w:lang w:val="en-US"/>
      </w:rPr>
      <w:t>©</w:t>
    </w:r>
    <w:r w:rsidRPr="00B278A7">
      <w:rPr>
        <w:noProof/>
        <w:sz w:val="20"/>
        <w:szCs w:val="20"/>
        <w:lang w:val="en-US"/>
      </w:rPr>
      <w:fldChar w:fldCharType="end"/>
    </w:r>
    <w:r w:rsidRPr="00B278A7">
      <w:rPr>
        <w:noProof/>
        <w:sz w:val="20"/>
        <w:szCs w:val="20"/>
        <w:lang w:val="en-US"/>
      </w:rPr>
      <w:t xml:space="preserve"> 2023 Valsts valodas centrs (State Language Centre)</w:t>
    </w:r>
    <w:r w:rsidRPr="00B278A7">
      <w:rPr>
        <w:noProof/>
        <w:sz w:val="20"/>
        <w:szCs w:val="20"/>
        <w:lang w:val="en-US"/>
      </w:rPr>
      <w:tab/>
    </w:r>
    <w:r w:rsidRPr="00B278A7">
      <w:rPr>
        <w:rStyle w:val="PageNumber"/>
        <w:noProof/>
        <w:sz w:val="20"/>
        <w:szCs w:val="20"/>
        <w:lang w:val="en-US"/>
      </w:rPr>
      <w:fldChar w:fldCharType="begin"/>
    </w:r>
    <w:r w:rsidRPr="00B278A7">
      <w:rPr>
        <w:rStyle w:val="PageNumber"/>
        <w:noProof/>
        <w:sz w:val="20"/>
        <w:szCs w:val="20"/>
        <w:lang w:val="en-US"/>
      </w:rPr>
      <w:instrText xml:space="preserve"> PAGE </w:instrText>
    </w:r>
    <w:r w:rsidRPr="00B278A7">
      <w:rPr>
        <w:rStyle w:val="PageNumber"/>
        <w:noProof/>
        <w:sz w:val="20"/>
        <w:szCs w:val="20"/>
        <w:lang w:val="en-US"/>
      </w:rPr>
      <w:fldChar w:fldCharType="separate"/>
    </w:r>
    <w:r>
      <w:rPr>
        <w:rStyle w:val="PageNumber"/>
        <w:noProof/>
        <w:sz w:val="20"/>
        <w:szCs w:val="20"/>
        <w:lang w:val="en-US"/>
      </w:rPr>
      <w:t>2</w:t>
    </w:r>
    <w:r w:rsidRPr="00B278A7">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1333" w14:textId="77777777" w:rsidR="007334C0" w:rsidRPr="00B278A7" w:rsidRDefault="007334C0" w:rsidP="007334C0">
    <w:pPr>
      <w:pStyle w:val="Footer"/>
      <w:rPr>
        <w:noProof/>
        <w:sz w:val="20"/>
        <w:szCs w:val="20"/>
        <w:lang w:val="en-US"/>
      </w:rPr>
    </w:pPr>
  </w:p>
  <w:p w14:paraId="6DB3AE50" w14:textId="57834AAF" w:rsidR="007334C0" w:rsidRPr="007334C0" w:rsidRDefault="007334C0">
    <w:pPr>
      <w:pStyle w:val="Footer"/>
      <w:rPr>
        <w:noProof/>
        <w:sz w:val="20"/>
        <w:szCs w:val="20"/>
        <w:lang w:val="en-US"/>
      </w:rPr>
    </w:pPr>
    <w:r w:rsidRPr="00B278A7">
      <w:rPr>
        <w:noProof/>
        <w:sz w:val="20"/>
        <w:szCs w:val="20"/>
        <w:lang w:val="en-US"/>
      </w:rPr>
      <w:t xml:space="preserve">Translation </w:t>
    </w:r>
    <w:r w:rsidRPr="00B278A7">
      <w:rPr>
        <w:noProof/>
        <w:sz w:val="20"/>
        <w:szCs w:val="20"/>
        <w:lang w:val="en-US"/>
      </w:rPr>
      <w:fldChar w:fldCharType="begin"/>
    </w:r>
    <w:r w:rsidRPr="00B278A7">
      <w:rPr>
        <w:noProof/>
        <w:sz w:val="20"/>
        <w:szCs w:val="20"/>
        <w:lang w:val="en-US"/>
      </w:rPr>
      <w:instrText>symbol 169 \f "UnivrstyRoman TL" \s 8</w:instrText>
    </w:r>
    <w:r w:rsidRPr="00B278A7">
      <w:rPr>
        <w:noProof/>
        <w:sz w:val="20"/>
        <w:szCs w:val="20"/>
        <w:lang w:val="en-US"/>
      </w:rPr>
      <w:fldChar w:fldCharType="separate"/>
    </w:r>
    <w:r w:rsidRPr="00B278A7">
      <w:rPr>
        <w:noProof/>
        <w:sz w:val="20"/>
        <w:szCs w:val="20"/>
        <w:lang w:val="en-US"/>
      </w:rPr>
      <w:t>©</w:t>
    </w:r>
    <w:r w:rsidRPr="00B278A7">
      <w:rPr>
        <w:noProof/>
        <w:sz w:val="20"/>
        <w:szCs w:val="20"/>
        <w:lang w:val="en-US"/>
      </w:rPr>
      <w:fldChar w:fldCharType="end"/>
    </w:r>
    <w:r w:rsidRPr="00B278A7">
      <w:rPr>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87A5" w14:textId="77777777" w:rsidR="00BB7312" w:rsidRDefault="00BB7312" w:rsidP="00BB7312">
      <w:r>
        <w:separator/>
      </w:r>
    </w:p>
  </w:footnote>
  <w:footnote w:type="continuationSeparator" w:id="0">
    <w:p w14:paraId="557274FD" w14:textId="77777777" w:rsidR="00BB7312" w:rsidRDefault="00BB7312" w:rsidP="00BB7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D7"/>
    <w:rsid w:val="000605FA"/>
    <w:rsid w:val="000E032A"/>
    <w:rsid w:val="001338B0"/>
    <w:rsid w:val="001B0B31"/>
    <w:rsid w:val="00281159"/>
    <w:rsid w:val="002E5856"/>
    <w:rsid w:val="0033532A"/>
    <w:rsid w:val="003D2F26"/>
    <w:rsid w:val="00464877"/>
    <w:rsid w:val="00484B1B"/>
    <w:rsid w:val="00517684"/>
    <w:rsid w:val="0060748B"/>
    <w:rsid w:val="00607C38"/>
    <w:rsid w:val="006C64F3"/>
    <w:rsid w:val="006F2994"/>
    <w:rsid w:val="007334C0"/>
    <w:rsid w:val="00780809"/>
    <w:rsid w:val="007C1B55"/>
    <w:rsid w:val="007F0999"/>
    <w:rsid w:val="008E36CC"/>
    <w:rsid w:val="009D6404"/>
    <w:rsid w:val="00B15631"/>
    <w:rsid w:val="00B40E66"/>
    <w:rsid w:val="00BB7312"/>
    <w:rsid w:val="00CD62D7"/>
    <w:rsid w:val="00DC6AAF"/>
    <w:rsid w:val="00E93903"/>
    <w:rsid w:val="00EA3A08"/>
    <w:rsid w:val="00F2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B31B"/>
  <w15:chartTrackingRefBased/>
  <w15:docId w15:val="{55960D8B-8670-4B1D-975D-B71E04BA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kern w:val="0"/>
      <w:sz w:val="24"/>
      <w14:ligatures w14:val="none"/>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0605FA"/>
    <w:rPr>
      <w:color w:val="0563C1" w:themeColor="hyperlink"/>
      <w:u w:val="single"/>
    </w:rPr>
  </w:style>
  <w:style w:type="character" w:styleId="UnresolvedMention">
    <w:name w:val="Unresolved Mention"/>
    <w:basedOn w:val="DefaultParagraphFont"/>
    <w:uiPriority w:val="99"/>
    <w:semiHidden/>
    <w:unhideWhenUsed/>
    <w:rsid w:val="000605FA"/>
    <w:rPr>
      <w:color w:val="605E5C"/>
      <w:shd w:val="clear" w:color="auto" w:fill="E1DFDD"/>
    </w:rPr>
  </w:style>
  <w:style w:type="paragraph" w:styleId="BlockText">
    <w:name w:val="Block Text"/>
    <w:basedOn w:val="Normal"/>
    <w:rsid w:val="00EA3A08"/>
    <w:pPr>
      <w:ind w:left="540" w:right="2546"/>
      <w:jc w:val="both"/>
    </w:pPr>
    <w:rPr>
      <w:rFonts w:eastAsia="Times New Roman" w:cs="Times New Roman"/>
      <w:snapToGrid w:val="0"/>
      <w:sz w:val="20"/>
      <w:szCs w:val="20"/>
    </w:rPr>
  </w:style>
  <w:style w:type="paragraph" w:styleId="Header">
    <w:name w:val="header"/>
    <w:basedOn w:val="Normal"/>
    <w:link w:val="HeaderChar"/>
    <w:uiPriority w:val="99"/>
    <w:unhideWhenUsed/>
    <w:rsid w:val="00BB7312"/>
    <w:pPr>
      <w:tabs>
        <w:tab w:val="center" w:pos="4153"/>
        <w:tab w:val="right" w:pos="8306"/>
      </w:tabs>
    </w:pPr>
  </w:style>
  <w:style w:type="character" w:customStyle="1" w:styleId="HeaderChar">
    <w:name w:val="Header Char"/>
    <w:basedOn w:val="DefaultParagraphFont"/>
    <w:link w:val="Header"/>
    <w:uiPriority w:val="99"/>
    <w:rsid w:val="00BB7312"/>
    <w:rPr>
      <w:rFonts w:ascii="Times New Roman" w:hAnsi="Times New Roman"/>
      <w:kern w:val="0"/>
      <w:sz w:val="24"/>
      <w14:ligatures w14:val="none"/>
    </w:rPr>
  </w:style>
  <w:style w:type="paragraph" w:styleId="Footer">
    <w:name w:val="footer"/>
    <w:basedOn w:val="Normal"/>
    <w:link w:val="FooterChar"/>
    <w:unhideWhenUsed/>
    <w:rsid w:val="00BB7312"/>
    <w:pPr>
      <w:tabs>
        <w:tab w:val="center" w:pos="4153"/>
        <w:tab w:val="right" w:pos="8306"/>
      </w:tabs>
    </w:pPr>
  </w:style>
  <w:style w:type="character" w:customStyle="1" w:styleId="FooterChar">
    <w:name w:val="Footer Char"/>
    <w:basedOn w:val="DefaultParagraphFont"/>
    <w:link w:val="Footer"/>
    <w:uiPriority w:val="99"/>
    <w:rsid w:val="00BB7312"/>
    <w:rPr>
      <w:rFonts w:ascii="Times New Roman" w:hAnsi="Times New Roman"/>
      <w:kern w:val="0"/>
      <w:sz w:val="24"/>
      <w14:ligatures w14:val="none"/>
    </w:rPr>
  </w:style>
  <w:style w:type="character" w:styleId="PageNumber">
    <w:name w:val="page number"/>
    <w:rsid w:val="00484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78442">
      <w:bodyDiv w:val="1"/>
      <w:marLeft w:val="0"/>
      <w:marRight w:val="0"/>
      <w:marTop w:val="0"/>
      <w:marBottom w:val="0"/>
      <w:divBdr>
        <w:top w:val="none" w:sz="0" w:space="0" w:color="auto"/>
        <w:left w:val="none" w:sz="0" w:space="0" w:color="auto"/>
        <w:bottom w:val="none" w:sz="0" w:space="0" w:color="auto"/>
        <w:right w:val="none" w:sz="0" w:space="0" w:color="auto"/>
      </w:divBdr>
      <w:divsChild>
        <w:div w:id="1496873203">
          <w:marLeft w:val="0"/>
          <w:marRight w:val="0"/>
          <w:marTop w:val="480"/>
          <w:marBottom w:val="240"/>
          <w:divBdr>
            <w:top w:val="none" w:sz="0" w:space="0" w:color="auto"/>
            <w:left w:val="none" w:sz="0" w:space="0" w:color="auto"/>
            <w:bottom w:val="none" w:sz="0" w:space="0" w:color="auto"/>
            <w:right w:val="none" w:sz="0" w:space="0" w:color="auto"/>
          </w:divBdr>
        </w:div>
        <w:div w:id="1003778223">
          <w:marLeft w:val="0"/>
          <w:marRight w:val="0"/>
          <w:marTop w:val="0"/>
          <w:marBottom w:val="567"/>
          <w:divBdr>
            <w:top w:val="none" w:sz="0" w:space="0" w:color="auto"/>
            <w:left w:val="none" w:sz="0" w:space="0" w:color="auto"/>
            <w:bottom w:val="none" w:sz="0" w:space="0" w:color="auto"/>
            <w:right w:val="none" w:sz="0" w:space="0" w:color="auto"/>
          </w:divBdr>
        </w:div>
        <w:div w:id="498810818">
          <w:marLeft w:val="0"/>
          <w:marRight w:val="0"/>
          <w:marTop w:val="0"/>
          <w:marBottom w:val="567"/>
          <w:divBdr>
            <w:top w:val="none" w:sz="0" w:space="0" w:color="auto"/>
            <w:left w:val="none" w:sz="0" w:space="0" w:color="auto"/>
            <w:bottom w:val="none" w:sz="0" w:space="0" w:color="auto"/>
            <w:right w:val="none" w:sz="0" w:space="0" w:color="auto"/>
          </w:divBdr>
        </w:div>
        <w:div w:id="461926078">
          <w:marLeft w:val="0"/>
          <w:marRight w:val="0"/>
          <w:marTop w:val="0"/>
          <w:marBottom w:val="0"/>
          <w:divBdr>
            <w:top w:val="none" w:sz="0" w:space="0" w:color="auto"/>
            <w:left w:val="none" w:sz="0" w:space="0" w:color="auto"/>
            <w:bottom w:val="none" w:sz="0" w:space="0" w:color="auto"/>
            <w:right w:val="none" w:sz="0" w:space="0" w:color="auto"/>
          </w:divBdr>
        </w:div>
        <w:div w:id="182867844">
          <w:marLeft w:val="0"/>
          <w:marRight w:val="0"/>
          <w:marTop w:val="0"/>
          <w:marBottom w:val="0"/>
          <w:divBdr>
            <w:top w:val="none" w:sz="0" w:space="0" w:color="auto"/>
            <w:left w:val="none" w:sz="0" w:space="0" w:color="auto"/>
            <w:bottom w:val="none" w:sz="0" w:space="0" w:color="auto"/>
            <w:right w:val="none" w:sz="0" w:space="0" w:color="auto"/>
          </w:divBdr>
        </w:div>
        <w:div w:id="1941571784">
          <w:marLeft w:val="0"/>
          <w:marRight w:val="0"/>
          <w:marTop w:val="0"/>
          <w:marBottom w:val="0"/>
          <w:divBdr>
            <w:top w:val="none" w:sz="0" w:space="0" w:color="auto"/>
            <w:left w:val="none" w:sz="0" w:space="0" w:color="auto"/>
            <w:bottom w:val="none" w:sz="0" w:space="0" w:color="auto"/>
            <w:right w:val="none" w:sz="0" w:space="0" w:color="auto"/>
          </w:divBdr>
        </w:div>
        <w:div w:id="1515536368">
          <w:marLeft w:val="0"/>
          <w:marRight w:val="0"/>
          <w:marTop w:val="0"/>
          <w:marBottom w:val="0"/>
          <w:divBdr>
            <w:top w:val="none" w:sz="0" w:space="0" w:color="auto"/>
            <w:left w:val="none" w:sz="0" w:space="0" w:color="auto"/>
            <w:bottom w:val="none" w:sz="0" w:space="0" w:color="auto"/>
            <w:right w:val="none" w:sz="0" w:space="0" w:color="auto"/>
          </w:divBdr>
        </w:div>
        <w:div w:id="36318113">
          <w:marLeft w:val="0"/>
          <w:marRight w:val="0"/>
          <w:marTop w:val="240"/>
          <w:marBottom w:val="0"/>
          <w:divBdr>
            <w:top w:val="none" w:sz="0" w:space="0" w:color="auto"/>
            <w:left w:val="none" w:sz="0" w:space="0" w:color="auto"/>
            <w:bottom w:val="none" w:sz="0" w:space="0" w:color="auto"/>
            <w:right w:val="none" w:sz="0" w:space="0" w:color="auto"/>
          </w:divBdr>
        </w:div>
        <w:div w:id="1380662315">
          <w:marLeft w:val="150"/>
          <w:marRight w:val="150"/>
          <w:marTop w:val="480"/>
          <w:marBottom w:val="0"/>
          <w:divBdr>
            <w:top w:val="none" w:sz="0" w:space="0" w:color="auto"/>
            <w:left w:val="none" w:sz="0" w:space="0" w:color="auto"/>
            <w:bottom w:val="none" w:sz="0" w:space="0" w:color="auto"/>
            <w:right w:val="none" w:sz="0" w:space="0" w:color="auto"/>
          </w:divBdr>
        </w:div>
        <w:div w:id="1625115040">
          <w:marLeft w:val="0"/>
          <w:marRight w:val="0"/>
          <w:marTop w:val="240"/>
          <w:marBottom w:val="0"/>
          <w:divBdr>
            <w:top w:val="none" w:sz="0" w:space="0" w:color="auto"/>
            <w:left w:val="none" w:sz="0" w:space="0" w:color="auto"/>
            <w:bottom w:val="none" w:sz="0" w:space="0" w:color="auto"/>
            <w:right w:val="none" w:sz="0" w:space="0" w:color="auto"/>
          </w:divBdr>
          <w:divsChild>
            <w:div w:id="140064042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B45E5-558E-40BA-91D6-B057E32D35DF}">
  <ds:schemaRefs>
    <ds:schemaRef ds:uri="http://schemas.microsoft.com/sharepoint/v3/contenttype/forms"/>
  </ds:schemaRefs>
</ds:datastoreItem>
</file>

<file path=customXml/itemProps2.xml><?xml version="1.0" encoding="utf-8"?>
<ds:datastoreItem xmlns:ds="http://schemas.openxmlformats.org/officeDocument/2006/customXml" ds:itemID="{A95CFB4F-985E-4CAA-807D-A3A55BD1799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4ADDC4B-9764-4767-95FE-6352404A17B6}"/>
</file>

<file path=docProps/app.xml><?xml version="1.0" encoding="utf-8"?>
<Properties xmlns="http://schemas.openxmlformats.org/officeDocument/2006/extended-properties" xmlns:vt="http://schemas.openxmlformats.org/officeDocument/2006/docPropsVTypes">
  <Template>Normal.dotm</Template>
  <TotalTime>38</TotalTime>
  <Pages>2</Pages>
  <Words>2124</Words>
  <Characters>1211</Characters>
  <Application>Microsoft Office Word</Application>
  <DocSecurity>0</DocSecurity>
  <Lines>10</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Cīrule</dc:creator>
  <cp:keywords/>
  <dc:description/>
  <cp:lastModifiedBy>Agnese Cīrule</cp:lastModifiedBy>
  <cp:revision>22</cp:revision>
  <dcterms:created xsi:type="dcterms:W3CDTF">2023-06-27T07:35:00Z</dcterms:created>
  <dcterms:modified xsi:type="dcterms:W3CDTF">2023-07-04T09:24:00Z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