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3146" w14:textId="77777777" w:rsidR="007F1209" w:rsidRDefault="007F1209" w:rsidP="007F120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CB799B">
        <w:rPr>
          <w:rFonts w:ascii="Times New Roman" w:hAnsi="Times New Roman"/>
          <w:i/>
          <w:iCs/>
          <w:sz w:val="24"/>
          <w:szCs w:val="24"/>
        </w:rPr>
        <w:t>Saeima</w:t>
      </w:r>
      <w:r>
        <w:rPr>
          <w:rFonts w:ascii="Times New Roman" w:hAnsi="Times New Roman"/>
          <w:sz w:val="24"/>
          <w:szCs w:val="24"/>
        </w:rPr>
        <w:t> </w:t>
      </w:r>
      <w:r w:rsidRPr="00CB799B">
        <w:rPr>
          <w:rFonts w:ascii="Times New Roman" w:hAnsi="Times New Roman"/>
          <w:sz w:val="24"/>
          <w:szCs w:val="24"/>
          <w:vertAlign w:val="superscript"/>
        </w:rPr>
        <w:t>1</w:t>
      </w:r>
      <w:r>
        <w:rPr>
          <w:rFonts w:ascii="Times New Roman" w:hAnsi="Times New Roman"/>
          <w:sz w:val="24"/>
          <w:szCs w:val="24"/>
        </w:rPr>
        <w:t xml:space="preserve"> has adopted and</w:t>
      </w:r>
    </w:p>
    <w:p w14:paraId="416C97A9" w14:textId="747D9ACF" w:rsidR="00FB57D8" w:rsidRDefault="00FB57D8" w:rsidP="00446A7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7481D46"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0F9DBE99" w14:textId="77777777" w:rsidR="00446A7A" w:rsidRPr="00A77CFD" w:rsidRDefault="00446A7A" w:rsidP="00446A7A">
      <w:pPr>
        <w:spacing w:after="0" w:line="240" w:lineRule="auto"/>
        <w:jc w:val="both"/>
        <w:rPr>
          <w:rFonts w:ascii="Times New Roman" w:eastAsia="Times New Roman" w:hAnsi="Times New Roman" w:cs="Times New Roman"/>
          <w:noProof/>
          <w:sz w:val="24"/>
          <w:szCs w:val="24"/>
          <w:lang w:eastAsia="lv-LV"/>
        </w:rPr>
      </w:pPr>
    </w:p>
    <w:p w14:paraId="7E02F62C" w14:textId="77777777" w:rsidR="00FB57D8" w:rsidRPr="00446A7A" w:rsidRDefault="00FB57D8" w:rsidP="00446A7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Assistance for Mitigating the Economic Consequences Caused by the Sanctions and Countermeasures Imposed due to the Military Aggression of Russia against Ukraine</w:t>
      </w:r>
    </w:p>
    <w:p w14:paraId="3BD892AE"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0F0D15B3" w14:textId="77777777" w:rsidR="00446A7A" w:rsidRPr="00A77CFD" w:rsidRDefault="00446A7A" w:rsidP="00446A7A">
      <w:pPr>
        <w:spacing w:after="0" w:line="240" w:lineRule="auto"/>
        <w:jc w:val="both"/>
        <w:rPr>
          <w:rFonts w:ascii="Times New Roman" w:eastAsia="Times New Roman" w:hAnsi="Times New Roman" w:cs="Times New Roman"/>
          <w:noProof/>
          <w:sz w:val="24"/>
          <w:szCs w:val="24"/>
          <w:lang w:eastAsia="lv-LV"/>
        </w:rPr>
      </w:pPr>
    </w:p>
    <w:p w14:paraId="52AAF6A3" w14:textId="77777777" w:rsidR="00FB57D8" w:rsidRPr="00A77CFD" w:rsidRDefault="00FB57D8" w:rsidP="00446A7A">
      <w:pPr>
        <w:spacing w:after="0" w:line="240" w:lineRule="auto"/>
        <w:jc w:val="both"/>
        <w:rPr>
          <w:rFonts w:ascii="Times New Roman" w:eastAsia="Times New Roman" w:hAnsi="Times New Roman" w:cs="Times New Roman"/>
          <w:b/>
          <w:bCs/>
          <w:noProof/>
          <w:sz w:val="24"/>
          <w:szCs w:val="24"/>
        </w:rPr>
      </w:pPr>
      <w:bookmarkStart w:id="0" w:name="p-1096456"/>
      <w:bookmarkEnd w:id="0"/>
      <w:r>
        <w:rPr>
          <w:rFonts w:ascii="Times New Roman" w:hAnsi="Times New Roman"/>
          <w:b/>
          <w:sz w:val="24"/>
        </w:rPr>
        <w:t>Section 1. Purpose and Scope of Application of the Law</w:t>
      </w:r>
      <w:bookmarkStart w:id="1" w:name="p1"/>
      <w:bookmarkEnd w:id="1"/>
    </w:p>
    <w:p w14:paraId="7AC495EE"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03C4A06A" w14:textId="040624F6"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provide assistance to performers of economic activity who have been affected by the economic consequences caused by the sanctions and countermeasures imposed due to the military aggression of Russia against Ukraine (hereinafter – the consequences of the military aggression).</w:t>
      </w:r>
    </w:p>
    <w:p w14:paraId="294AA3C7"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determines the range of persons who may apply for assistance, the types of, conditions and procedures for the provision of such assistance, the financing of assistance measures, and also the conditions for the implementation of assistance measures.</w:t>
      </w:r>
    </w:p>
    <w:p w14:paraId="6459224C" w14:textId="77777777" w:rsidR="00446A7A" w:rsidRDefault="00446A7A" w:rsidP="00446A7A">
      <w:pPr>
        <w:spacing w:after="0" w:line="240" w:lineRule="auto"/>
        <w:jc w:val="both"/>
        <w:rPr>
          <w:rFonts w:ascii="Times New Roman" w:eastAsia="Times New Roman" w:hAnsi="Times New Roman" w:cs="Times New Roman"/>
          <w:b/>
          <w:bCs/>
          <w:noProof/>
          <w:sz w:val="24"/>
          <w:szCs w:val="24"/>
        </w:rPr>
      </w:pPr>
      <w:bookmarkStart w:id="2" w:name="p-1096457"/>
      <w:bookmarkEnd w:id="2"/>
    </w:p>
    <w:p w14:paraId="2F79D5A5" w14:textId="62B8BDE0" w:rsidR="00FB57D8" w:rsidRPr="00A77CFD" w:rsidRDefault="00FB57D8" w:rsidP="00446A7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Recipients of Assistance and Types of Assistance</w:t>
      </w:r>
      <w:bookmarkStart w:id="3" w:name="p2"/>
      <w:bookmarkEnd w:id="3"/>
    </w:p>
    <w:p w14:paraId="0770CA82"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7005F84D" w14:textId="4A85BB5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performers of economic activity who have been affected by the consequences of the military aggression in the form of decrease in demand and turnover, discontinuation of the operation of current contracts, disturbances in supply chains, increase in prices, and restriction of further investments may apply for assistance.</w:t>
      </w:r>
    </w:p>
    <w:p w14:paraId="30138840"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performers of economic activity referred to in Paragraph one of this Section may apply for assistance in the form of loans, guarantees, or own funds investments.</w:t>
      </w:r>
    </w:p>
    <w:p w14:paraId="785ED6D7"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scope of this Law, assistance shall not be granted to the performers of economic activity on whom international or national sanctions are being imposed.</w:t>
      </w:r>
    </w:p>
    <w:p w14:paraId="0CAE19FA" w14:textId="77777777" w:rsidR="00446A7A" w:rsidRDefault="00446A7A" w:rsidP="00446A7A">
      <w:pPr>
        <w:spacing w:after="0" w:line="240" w:lineRule="auto"/>
        <w:jc w:val="both"/>
        <w:rPr>
          <w:rFonts w:ascii="Times New Roman" w:eastAsia="Times New Roman" w:hAnsi="Times New Roman" w:cs="Times New Roman"/>
          <w:b/>
          <w:bCs/>
          <w:noProof/>
          <w:sz w:val="24"/>
          <w:szCs w:val="24"/>
        </w:rPr>
      </w:pPr>
      <w:bookmarkStart w:id="4" w:name="p-1096458"/>
      <w:bookmarkEnd w:id="4"/>
    </w:p>
    <w:p w14:paraId="6964DCE8" w14:textId="0D157ECC" w:rsidR="00FB57D8" w:rsidRPr="00A77CFD" w:rsidRDefault="00FB57D8" w:rsidP="00446A7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Alternative Investment Fund</w:t>
      </w:r>
      <w:bookmarkStart w:id="5" w:name="p3"/>
      <w:bookmarkEnd w:id="5"/>
    </w:p>
    <w:p w14:paraId="10C2CEA8"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5D7B9236" w14:textId="0E273256"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i/>
          <w:iCs/>
          <w:sz w:val="24"/>
        </w:rPr>
        <w:t>Akciju sabiedrība “Attīstības finanšu institūcija Altum”</w:t>
      </w:r>
      <w:r>
        <w:rPr>
          <w:rFonts w:ascii="Times New Roman" w:hAnsi="Times New Roman"/>
          <w:sz w:val="24"/>
        </w:rPr>
        <w:t xml:space="preserve"> [joint-stock company Development Financial Institution Altum] which has been registered with the Financial and Capital Market Commission as the alternative investment fund manager and, in accordance with the Law on the Suppression of Consequences of the Spread of COVID-19 Infection, is managing the alternative investment fund founded for the suppression of the consequences of the spread of COVID-19 infection shall, within the scope of the management thereof, also implement activities for mitigating the consequences of the military aggression, adjusting the model of operation of undertakings, improving the export capacity, and optimising processes. In managing the abovementioned alternative investment fund, the manager shall operate in accordance with the Law on Alternative Investment Funds and Managers Thereof, except for Section 5, Paragraph six and Section 6, Paragraphs three and six thereof. The explanation of the term “alternative investment fund manager” used in Section 1, Clause 3 of the Law on Alternative Investment Funds and Managers Thereof shall not be applied to the abovementioned manager.</w:t>
      </w:r>
    </w:p>
    <w:p w14:paraId="68A50AF7"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registered alternative investment fund manager referred to in Paragraph one of this Section shall provide the information and documents specified in the Law on Alternative Investment Funds and Managers Thereof to the Financial and Capital Market Commission and make payments for financing the operation of the Financial and Capital Market Commission, and also fulfil other obligations specified in the Law on Alternative Investment Funds and Managers Thereof.</w:t>
      </w:r>
    </w:p>
    <w:p w14:paraId="1EA28E68"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fund referred to in Paragraph one of this Section shall be liquidated in accordance with the procedures laid down in the Law on Alternative Investment Funds and Managers Thereof.</w:t>
      </w:r>
    </w:p>
    <w:p w14:paraId="5D3DFC1A"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relation to the alternative investment fund referred to in Paragraph one of this Section, the limits specified in the second and third sentence of Section 12, Paragraph two, Clause 7.</w:t>
      </w:r>
      <w:r>
        <w:rPr>
          <w:rFonts w:ascii="Times New Roman" w:hAnsi="Times New Roman"/>
          <w:sz w:val="24"/>
          <w:vertAlign w:val="superscript"/>
        </w:rPr>
        <w:t>1</w:t>
      </w:r>
      <w:r>
        <w:rPr>
          <w:rFonts w:ascii="Times New Roman" w:hAnsi="Times New Roman"/>
          <w:sz w:val="24"/>
        </w:rPr>
        <w:t xml:space="preserve"> and in Section 14 of the Law on State Funded Pensions shall not be applied to the fund managers of the State funded pension schemes from the beginning of the operation of the fund until its liquidation.</w:t>
      </w:r>
    </w:p>
    <w:p w14:paraId="2DFD66DC"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 of Section 12.</w:t>
      </w:r>
      <w:r>
        <w:rPr>
          <w:rFonts w:ascii="Times New Roman" w:hAnsi="Times New Roman"/>
          <w:sz w:val="24"/>
          <w:vertAlign w:val="superscript"/>
        </w:rPr>
        <w:t>1</w:t>
      </w:r>
      <w:r>
        <w:rPr>
          <w:rFonts w:ascii="Times New Roman" w:hAnsi="Times New Roman"/>
          <w:sz w:val="24"/>
        </w:rPr>
        <w:t>, Paragraph three of the Law on State Funded Pensions shall not be applied to investments which are made by the fund manager of the State funded pension scheme into the abovementioned fund within the time period from the beginning of its operation until its liquidation.</w:t>
      </w:r>
    </w:p>
    <w:p w14:paraId="6D5FD199" w14:textId="77777777"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relation to the activity of an alternative investment fund referred to in Paragraph one of this Section, amendments need to be made to the prospectus of the investment plan in accordance with the laws and regulations, the Financial and Capital Market Commission shall examine the abovementioned amendments within five working days after the day of their receipt and send a notification to the State Social Insurance Agency on the registration of such amendments or refusal to register them. Amendments to the prospectus of the investment plan shall enter into effect on the day following their registration. The State Social Insurance Agency shall, within three working days from the day of receipt of the notification of the Financial and Capital Market Commission, decide whether to enter into an agreement with the fund manager of the State funded pension scheme on amendments to the contract for the management of such funds. Section 11, Paragraph 4.</w:t>
      </w:r>
      <w:r>
        <w:rPr>
          <w:rFonts w:ascii="Times New Roman" w:hAnsi="Times New Roman"/>
          <w:sz w:val="24"/>
          <w:vertAlign w:val="superscript"/>
        </w:rPr>
        <w:t>1</w:t>
      </w:r>
      <w:r>
        <w:rPr>
          <w:rFonts w:ascii="Times New Roman" w:hAnsi="Times New Roman"/>
          <w:sz w:val="24"/>
        </w:rPr>
        <w:t xml:space="preserve"> of the Law on State Funded Pensions and the legal norms included in the laws and regulations issued on the basis of this Law regarding the procedures for amending such contracts which have been entered into to by and between the State Social Insurance Agency and the fund manager of the State funded pension scheme shall not be applied to such amendments to the contract.</w:t>
      </w:r>
    </w:p>
    <w:p w14:paraId="2EBA278D" w14:textId="77777777" w:rsidR="00446A7A" w:rsidRDefault="00446A7A" w:rsidP="00446A7A">
      <w:pPr>
        <w:spacing w:after="0" w:line="240" w:lineRule="auto"/>
        <w:jc w:val="both"/>
        <w:rPr>
          <w:rFonts w:ascii="Times New Roman" w:eastAsia="Times New Roman" w:hAnsi="Times New Roman" w:cs="Times New Roman"/>
          <w:b/>
          <w:bCs/>
          <w:noProof/>
          <w:sz w:val="24"/>
          <w:szCs w:val="24"/>
        </w:rPr>
      </w:pPr>
      <w:bookmarkStart w:id="6" w:name="p-1096460"/>
      <w:bookmarkEnd w:id="6"/>
    </w:p>
    <w:p w14:paraId="0FF8C5F5" w14:textId="2DA504E9" w:rsidR="00FB57D8" w:rsidRPr="00A77CFD" w:rsidRDefault="00FB57D8" w:rsidP="00446A7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Conditions and Procedures for the Granting and Administration of Assistance</w:t>
      </w:r>
      <w:bookmarkStart w:id="7" w:name="p4"/>
      <w:bookmarkEnd w:id="7"/>
    </w:p>
    <w:p w14:paraId="3818F6F2"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55CF06B8" w14:textId="368C1BF2" w:rsidR="00FB57D8" w:rsidRPr="00A77CFD" w:rsidRDefault="00FB57D8" w:rsidP="00446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conditions and procedures for the granting and administration of assistance specified in this Law.</w:t>
      </w:r>
    </w:p>
    <w:p w14:paraId="46982E8A" w14:textId="77777777" w:rsidR="00446A7A" w:rsidRDefault="00446A7A" w:rsidP="00446A7A">
      <w:pPr>
        <w:spacing w:after="0" w:line="240" w:lineRule="auto"/>
        <w:jc w:val="both"/>
        <w:rPr>
          <w:rFonts w:ascii="Times New Roman" w:eastAsia="Times New Roman" w:hAnsi="Times New Roman" w:cs="Times New Roman"/>
          <w:b/>
          <w:bCs/>
          <w:noProof/>
          <w:sz w:val="24"/>
          <w:szCs w:val="24"/>
        </w:rPr>
      </w:pPr>
      <w:bookmarkStart w:id="8" w:name="p-1096461"/>
      <w:bookmarkEnd w:id="8"/>
    </w:p>
    <w:p w14:paraId="02419BF6" w14:textId="30C66833" w:rsidR="00FB57D8" w:rsidRPr="00A77CFD" w:rsidRDefault="00FB57D8" w:rsidP="00446A7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Financing of Assistance</w:t>
      </w:r>
      <w:bookmarkStart w:id="9" w:name="p5"/>
      <w:bookmarkEnd w:id="9"/>
    </w:p>
    <w:p w14:paraId="0A01A974"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2A08DB0D" w14:textId="573E3EF2"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used for the implementation of the assistance measures specified in this Law:</w:t>
      </w:r>
    </w:p>
    <w:p w14:paraId="30C83B6C" w14:textId="77777777" w:rsidR="00FB57D8" w:rsidRPr="00A77CFD" w:rsidRDefault="00FB57D8" w:rsidP="00446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funding from the State budget which has been allocated to the joint-stock company Development Financial Institution Altum in accordance with the Law on the Suppression of Consequences of the Spread of COVID-19 Infection if the Cabinet has taken a relevant decision and the Budget and Finance (Taxation) Committee of the </w:t>
      </w:r>
      <w:r>
        <w:rPr>
          <w:rFonts w:ascii="Times New Roman" w:hAnsi="Times New Roman"/>
          <w:i/>
          <w:iCs/>
          <w:sz w:val="24"/>
        </w:rPr>
        <w:t>Saeima</w:t>
      </w:r>
      <w:r>
        <w:rPr>
          <w:rFonts w:ascii="Times New Roman" w:hAnsi="Times New Roman"/>
          <w:sz w:val="24"/>
        </w:rPr>
        <w:t xml:space="preserve"> has, within five working days from receipt of the relevant information, examined it and has not objected against it;</w:t>
      </w:r>
    </w:p>
    <w:p w14:paraId="0C9C6379" w14:textId="77777777" w:rsidR="00FB57D8" w:rsidRPr="00A77CFD" w:rsidRDefault="00FB57D8" w:rsidP="00446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funding repaid within the scope of the crisis loan programme for the suppression of consequences of the spread of COVID-19 infection;</w:t>
      </w:r>
    </w:p>
    <w:p w14:paraId="66A0C623" w14:textId="77777777" w:rsidR="00FB57D8" w:rsidRPr="00A77CFD" w:rsidRDefault="00FB57D8" w:rsidP="00446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funding repaid within the scope of the short-term export credit guarantee programme.</w:t>
      </w:r>
    </w:p>
    <w:p w14:paraId="40DE1ADC" w14:textId="77777777" w:rsidR="00FB57D8" w:rsidRPr="00A77CFD" w:rsidRDefault="00FB57D8" w:rsidP="002A622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implementation of assistance measures within the scope of the alternative investment fund, the Minister for Finance has the right to increase the appropriation specified in the law On the State Budget for 2022 in the programme 02.00.00 “Funds for Unforeseen Events” of the budget unit “74. Funding to be Reallocated in the Process of Implementation of the Annual State Budget” by an amount which does not exceed EUR 25 000 000, and also to make, within the scope of the appropriation specified in the law to a ministry or another central State institution, the necessary reallocation of the appropriation between programmes, sub-programmes, and codes of expenditures according to economic categories.</w:t>
      </w:r>
    </w:p>
    <w:p w14:paraId="7AA30105" w14:textId="77777777" w:rsidR="00446A7A"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Appropriation for the abovementioned purpose may be increased if the Cabinet has taken a decision and the Budget and Finance (Taxation) Committee of the </w:t>
      </w:r>
      <w:r>
        <w:rPr>
          <w:rFonts w:ascii="Times New Roman" w:hAnsi="Times New Roman"/>
          <w:i/>
          <w:iCs/>
          <w:sz w:val="24"/>
        </w:rPr>
        <w:t>Saeima</w:t>
      </w:r>
      <w:r>
        <w:rPr>
          <w:rFonts w:ascii="Times New Roman" w:hAnsi="Times New Roman"/>
          <w:sz w:val="24"/>
        </w:rPr>
        <w:t xml:space="preserve"> has, within five working days from receipt of the relevant information, examined it and has not objected against increase in appropriation.</w:t>
      </w:r>
    </w:p>
    <w:p w14:paraId="157AA0BD" w14:textId="5B8AE5E9"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funding provided for within the scope of this Law shall be used until the end of the time period for the implementation of assistance measures.</w:t>
      </w:r>
    </w:p>
    <w:p w14:paraId="2287AAA2" w14:textId="77777777" w:rsidR="00446A7A" w:rsidRDefault="00446A7A" w:rsidP="00446A7A">
      <w:pPr>
        <w:spacing w:after="0" w:line="240" w:lineRule="auto"/>
        <w:jc w:val="both"/>
        <w:rPr>
          <w:rFonts w:ascii="Times New Roman" w:eastAsia="Times New Roman" w:hAnsi="Times New Roman" w:cs="Times New Roman"/>
          <w:b/>
          <w:bCs/>
          <w:noProof/>
          <w:sz w:val="24"/>
          <w:szCs w:val="24"/>
        </w:rPr>
      </w:pPr>
      <w:bookmarkStart w:id="10" w:name="p-1096462"/>
      <w:bookmarkEnd w:id="10"/>
    </w:p>
    <w:p w14:paraId="1C753353" w14:textId="3912D524" w:rsidR="00FB57D8" w:rsidRPr="00A77CFD" w:rsidRDefault="00FB57D8" w:rsidP="00446A7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Conditions for the Provision of Assistance</w:t>
      </w:r>
      <w:bookmarkStart w:id="11" w:name="p6"/>
      <w:bookmarkEnd w:id="11"/>
    </w:p>
    <w:p w14:paraId="140BC1C1"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573EC7A0" w14:textId="49A9D98D" w:rsidR="00FB57D8" w:rsidRPr="00A77CFD" w:rsidRDefault="00FB57D8" w:rsidP="00446A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implementing the assistance measures referred to in this Law which conform to the features specified in Section 5 of the Law on Control of Aid for Commercial Activity, the requirements for the regulation of control of aid for commercial activity shall be conformed to.</w:t>
      </w:r>
    </w:p>
    <w:p w14:paraId="111DB853"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56AEEC48"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631224E0" w14:textId="3C34F52F" w:rsidR="00446A7A"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6CA5849C"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1E7D221D" w14:textId="4A1D99E3"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June 2022.</w:t>
      </w:r>
    </w:p>
    <w:p w14:paraId="3DDBFC4F"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1946AB1B" w14:textId="77777777" w:rsid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419275F9" w14:textId="2D268959" w:rsidR="00FB57D8" w:rsidRPr="00A77CFD" w:rsidRDefault="00FB57D8" w:rsidP="002A6229">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A6229">
        <w:rPr>
          <w:rFonts w:ascii="Times New Roman" w:hAnsi="Times New Roman"/>
          <w:sz w:val="24"/>
        </w:rPr>
        <w:tab/>
      </w:r>
      <w:r>
        <w:rPr>
          <w:rFonts w:ascii="Times New Roman" w:hAnsi="Times New Roman"/>
          <w:sz w:val="24"/>
        </w:rPr>
        <w:t>E. Levits</w:t>
      </w:r>
    </w:p>
    <w:p w14:paraId="062B693B" w14:textId="77777777" w:rsidR="00446A7A" w:rsidRPr="00446A7A" w:rsidRDefault="00446A7A" w:rsidP="00446A7A">
      <w:pPr>
        <w:spacing w:after="0" w:line="240" w:lineRule="auto"/>
        <w:jc w:val="both"/>
        <w:rPr>
          <w:rFonts w:ascii="Times New Roman" w:eastAsia="Times New Roman" w:hAnsi="Times New Roman" w:cs="Times New Roman"/>
          <w:noProof/>
          <w:sz w:val="24"/>
          <w:szCs w:val="24"/>
          <w:lang w:eastAsia="lv-LV"/>
        </w:rPr>
      </w:pPr>
    </w:p>
    <w:p w14:paraId="2AC49738" w14:textId="471EDDAF" w:rsidR="00FB57D8" w:rsidRPr="00A77CFD" w:rsidRDefault="00FB57D8" w:rsidP="00446A7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8 June 2022</w:t>
      </w:r>
    </w:p>
    <w:p w14:paraId="52E9F6F1" w14:textId="77777777" w:rsidR="00FB57D8" w:rsidRPr="00446A7A" w:rsidRDefault="00FB57D8" w:rsidP="00446A7A">
      <w:pPr>
        <w:spacing w:after="0" w:line="240" w:lineRule="auto"/>
        <w:jc w:val="both"/>
        <w:rPr>
          <w:rFonts w:ascii="Times New Roman" w:hAnsi="Times New Roman" w:cs="Times New Roman"/>
          <w:noProof/>
        </w:rPr>
      </w:pPr>
    </w:p>
    <w:sectPr w:rsidR="00FB57D8" w:rsidRPr="00446A7A" w:rsidSect="00446A7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BF1D" w14:textId="77777777" w:rsidR="00FB57D8" w:rsidRPr="00FB57D8" w:rsidRDefault="00FB57D8" w:rsidP="00FB57D8">
      <w:pPr>
        <w:spacing w:after="0" w:line="240" w:lineRule="auto"/>
        <w:rPr>
          <w:noProof/>
          <w:lang w:val="en-US"/>
        </w:rPr>
      </w:pPr>
      <w:r w:rsidRPr="00FB57D8">
        <w:rPr>
          <w:noProof/>
          <w:lang w:val="en-US"/>
        </w:rPr>
        <w:separator/>
      </w:r>
    </w:p>
  </w:endnote>
  <w:endnote w:type="continuationSeparator" w:id="0">
    <w:p w14:paraId="2F65B3DD" w14:textId="77777777" w:rsidR="00FB57D8" w:rsidRPr="00FB57D8" w:rsidRDefault="00FB57D8" w:rsidP="00FB57D8">
      <w:pPr>
        <w:spacing w:after="0" w:line="240" w:lineRule="auto"/>
        <w:rPr>
          <w:noProof/>
          <w:lang w:val="en-US"/>
        </w:rPr>
      </w:pPr>
      <w:r w:rsidRPr="00FB57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8361" w14:textId="77777777" w:rsidR="00E50062" w:rsidRPr="005C7BBD" w:rsidRDefault="00E50062" w:rsidP="00E50062">
    <w:pPr>
      <w:pStyle w:val="Footer"/>
      <w:rPr>
        <w:rFonts w:ascii="Times New Roman" w:hAnsi="Times New Roman" w:cs="Times New Roman"/>
        <w:noProof/>
        <w:sz w:val="20"/>
        <w:szCs w:val="20"/>
        <w:lang w:val="en-US"/>
      </w:rPr>
    </w:pPr>
  </w:p>
  <w:p w14:paraId="48010EE9" w14:textId="77777777" w:rsidR="00E50062" w:rsidRPr="005C7BBD" w:rsidRDefault="00E50062" w:rsidP="00E50062">
    <w:pPr>
      <w:pStyle w:val="Footer"/>
      <w:framePr w:wrap="around" w:vAnchor="text" w:hAnchor="margin" w:xAlign="right" w:y="1"/>
      <w:jc w:val="right"/>
      <w:rPr>
        <w:rStyle w:val="PageNumber"/>
        <w:rFonts w:ascii="Times New Roman" w:hAnsi="Times New Roman" w:cs="Times New Roman"/>
        <w:noProof/>
        <w:sz w:val="20"/>
        <w:szCs w:val="20"/>
        <w:lang w:val="en-US"/>
      </w:rPr>
    </w:pPr>
    <w:r w:rsidRPr="005C7BBD">
      <w:rPr>
        <w:rStyle w:val="PageNumber"/>
        <w:rFonts w:ascii="Times New Roman" w:hAnsi="Times New Roman" w:cs="Times New Roman"/>
        <w:noProof/>
        <w:sz w:val="20"/>
        <w:szCs w:val="20"/>
        <w:lang w:val="en-US"/>
      </w:rPr>
      <w:fldChar w:fldCharType="begin"/>
    </w:r>
    <w:r w:rsidRPr="005C7BBD">
      <w:rPr>
        <w:rStyle w:val="PageNumber"/>
        <w:rFonts w:ascii="Times New Roman" w:hAnsi="Times New Roman" w:cs="Times New Roman"/>
        <w:noProof/>
        <w:sz w:val="20"/>
        <w:szCs w:val="20"/>
        <w:lang w:val="en-US"/>
      </w:rPr>
      <w:instrText xml:space="preserve"> PAGE </w:instrText>
    </w:r>
    <w:r w:rsidRPr="005C7BBD">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5C7BBD">
      <w:rPr>
        <w:rStyle w:val="PageNumber"/>
        <w:rFonts w:ascii="Times New Roman" w:hAnsi="Times New Roman" w:cs="Times New Roman"/>
        <w:noProof/>
        <w:sz w:val="20"/>
        <w:szCs w:val="20"/>
        <w:lang w:val="en-US"/>
      </w:rPr>
      <w:fldChar w:fldCharType="end"/>
    </w:r>
    <w:r w:rsidRPr="005C7BBD">
      <w:rPr>
        <w:rStyle w:val="PageNumber"/>
        <w:rFonts w:ascii="Times New Roman" w:hAnsi="Times New Roman" w:cs="Times New Roman"/>
        <w:noProof/>
        <w:sz w:val="20"/>
        <w:szCs w:val="20"/>
        <w:lang w:val="en-US"/>
      </w:rPr>
      <w:t xml:space="preserve"> </w:t>
    </w:r>
  </w:p>
  <w:p w14:paraId="3099725A" w14:textId="3CF79842" w:rsidR="007F1209" w:rsidRPr="00E50062" w:rsidRDefault="00E50062">
    <w:pPr>
      <w:pStyle w:val="Footer"/>
      <w:rPr>
        <w:rFonts w:ascii="Times New Roman" w:hAnsi="Times New Roman" w:cs="Times New Roman"/>
        <w:noProof/>
        <w:sz w:val="20"/>
        <w:szCs w:val="20"/>
        <w:lang w:val="en-US"/>
      </w:rPr>
    </w:pPr>
    <w:r w:rsidRPr="005C7BBD">
      <w:rPr>
        <w:rFonts w:ascii="Times New Roman" w:hAnsi="Times New Roman" w:cs="Times New Roman"/>
        <w:noProof/>
        <w:sz w:val="20"/>
        <w:szCs w:val="20"/>
        <w:lang w:val="en-US"/>
      </w:rPr>
      <w:t xml:space="preserve">Translation </w:t>
    </w:r>
    <w:r w:rsidRPr="005C7BBD">
      <w:rPr>
        <w:rFonts w:ascii="Times New Roman" w:hAnsi="Times New Roman" w:cs="Times New Roman"/>
        <w:noProof/>
        <w:sz w:val="20"/>
        <w:szCs w:val="20"/>
        <w:lang w:val="en-US"/>
      </w:rPr>
      <w:fldChar w:fldCharType="begin"/>
    </w:r>
    <w:r w:rsidRPr="005C7BBD">
      <w:rPr>
        <w:rFonts w:ascii="Times New Roman" w:hAnsi="Times New Roman" w:cs="Times New Roman"/>
        <w:noProof/>
        <w:sz w:val="20"/>
        <w:szCs w:val="20"/>
        <w:lang w:val="en-US"/>
      </w:rPr>
      <w:instrText>symbol 169 \f "UnivrstyRoman TL" \s 8</w:instrText>
    </w:r>
    <w:r w:rsidRPr="005C7BBD">
      <w:rPr>
        <w:rFonts w:ascii="Times New Roman" w:hAnsi="Times New Roman" w:cs="Times New Roman"/>
        <w:noProof/>
        <w:sz w:val="20"/>
        <w:szCs w:val="20"/>
        <w:lang w:val="en-US"/>
      </w:rPr>
      <w:fldChar w:fldCharType="separate"/>
    </w:r>
    <w:r w:rsidRPr="005C7BBD">
      <w:rPr>
        <w:rFonts w:ascii="Times New Roman" w:hAnsi="Times New Roman" w:cs="Times New Roman"/>
        <w:noProof/>
        <w:sz w:val="20"/>
        <w:szCs w:val="20"/>
        <w:lang w:val="en-US"/>
      </w:rPr>
      <w:t>©</w:t>
    </w:r>
    <w:r w:rsidRPr="005C7BBD">
      <w:rPr>
        <w:rFonts w:ascii="Times New Roman" w:hAnsi="Times New Roman" w:cs="Times New Roman"/>
        <w:noProof/>
        <w:sz w:val="20"/>
        <w:szCs w:val="20"/>
        <w:lang w:val="en-US"/>
      </w:rPr>
      <w:fldChar w:fldCharType="end"/>
    </w:r>
    <w:r w:rsidRPr="005C7BBD">
      <w:rPr>
        <w:rFonts w:ascii="Times New Roman" w:hAnsi="Times New Roman" w:cs="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6F54" w14:textId="77777777" w:rsidR="00171D6F" w:rsidRPr="005C7BBD" w:rsidRDefault="00171D6F" w:rsidP="00171D6F">
    <w:pPr>
      <w:pStyle w:val="Footer"/>
      <w:rPr>
        <w:rFonts w:ascii="Times New Roman" w:hAnsi="Times New Roman" w:cs="Times New Roman"/>
        <w:noProof/>
        <w:sz w:val="20"/>
        <w:szCs w:val="20"/>
        <w:vertAlign w:val="superscript"/>
        <w:lang w:val="en-US"/>
      </w:rPr>
    </w:pPr>
  </w:p>
  <w:p w14:paraId="4216EA05" w14:textId="77777777" w:rsidR="00171D6F" w:rsidRPr="005C7BBD" w:rsidRDefault="00171D6F" w:rsidP="00171D6F">
    <w:pPr>
      <w:pStyle w:val="Footer"/>
      <w:rPr>
        <w:rFonts w:ascii="Times New Roman" w:hAnsi="Times New Roman" w:cs="Times New Roman"/>
        <w:noProof/>
        <w:sz w:val="20"/>
        <w:szCs w:val="20"/>
        <w:lang w:val="en-US"/>
      </w:rPr>
    </w:pPr>
    <w:r w:rsidRPr="005C7BBD">
      <w:rPr>
        <w:rFonts w:ascii="Times New Roman" w:hAnsi="Times New Roman" w:cs="Times New Roman"/>
        <w:noProof/>
        <w:sz w:val="20"/>
        <w:szCs w:val="20"/>
        <w:vertAlign w:val="superscript"/>
        <w:lang w:val="en-US"/>
      </w:rPr>
      <w:t xml:space="preserve">1 </w:t>
    </w:r>
    <w:r w:rsidRPr="005C7BBD">
      <w:rPr>
        <w:rFonts w:ascii="Times New Roman" w:hAnsi="Times New Roman" w:cs="Times New Roman"/>
        <w:noProof/>
        <w:sz w:val="20"/>
        <w:szCs w:val="20"/>
        <w:lang w:val="en-US"/>
      </w:rPr>
      <w:t>The Parliament of the Republic of Latvia</w:t>
    </w:r>
  </w:p>
  <w:p w14:paraId="041C8914" w14:textId="77777777" w:rsidR="00171D6F" w:rsidRPr="005C7BBD" w:rsidRDefault="00171D6F" w:rsidP="00171D6F">
    <w:pPr>
      <w:pStyle w:val="Footer"/>
      <w:rPr>
        <w:rFonts w:ascii="Times New Roman" w:hAnsi="Times New Roman" w:cs="Times New Roman"/>
        <w:noProof/>
        <w:sz w:val="20"/>
        <w:szCs w:val="20"/>
        <w:lang w:val="en-US"/>
      </w:rPr>
    </w:pPr>
  </w:p>
  <w:p w14:paraId="203DD272" w14:textId="53449558" w:rsidR="007F1209" w:rsidRPr="00171D6F" w:rsidRDefault="00171D6F">
    <w:pPr>
      <w:pStyle w:val="Footer"/>
      <w:rPr>
        <w:rFonts w:ascii="Times New Roman" w:hAnsi="Times New Roman" w:cs="Times New Roman"/>
        <w:noProof/>
        <w:sz w:val="20"/>
        <w:szCs w:val="20"/>
        <w:lang w:val="en-US"/>
      </w:rPr>
    </w:pPr>
    <w:r w:rsidRPr="005C7BBD">
      <w:rPr>
        <w:rFonts w:ascii="Times New Roman" w:hAnsi="Times New Roman" w:cs="Times New Roman"/>
        <w:noProof/>
        <w:sz w:val="20"/>
        <w:szCs w:val="20"/>
        <w:lang w:val="en-US"/>
      </w:rPr>
      <w:t xml:space="preserve">Translation </w:t>
    </w:r>
    <w:r w:rsidRPr="005C7BBD">
      <w:rPr>
        <w:rFonts w:ascii="Times New Roman" w:hAnsi="Times New Roman" w:cs="Times New Roman"/>
        <w:noProof/>
        <w:sz w:val="20"/>
        <w:szCs w:val="20"/>
        <w:lang w:val="en-US"/>
      </w:rPr>
      <w:fldChar w:fldCharType="begin"/>
    </w:r>
    <w:r w:rsidRPr="005C7BBD">
      <w:rPr>
        <w:rFonts w:ascii="Times New Roman" w:hAnsi="Times New Roman" w:cs="Times New Roman"/>
        <w:noProof/>
        <w:sz w:val="20"/>
        <w:szCs w:val="20"/>
        <w:lang w:val="en-US"/>
      </w:rPr>
      <w:instrText>symbol 169 \f "UnivrstyRoman TL" \s 8</w:instrText>
    </w:r>
    <w:r w:rsidRPr="005C7BBD">
      <w:rPr>
        <w:rFonts w:ascii="Times New Roman" w:hAnsi="Times New Roman" w:cs="Times New Roman"/>
        <w:noProof/>
        <w:sz w:val="20"/>
        <w:szCs w:val="20"/>
        <w:lang w:val="en-US"/>
      </w:rPr>
      <w:fldChar w:fldCharType="separate"/>
    </w:r>
    <w:r w:rsidRPr="005C7BBD">
      <w:rPr>
        <w:rFonts w:ascii="Times New Roman" w:hAnsi="Times New Roman" w:cs="Times New Roman"/>
        <w:noProof/>
        <w:sz w:val="20"/>
        <w:szCs w:val="20"/>
        <w:lang w:val="en-US"/>
      </w:rPr>
      <w:t>©</w:t>
    </w:r>
    <w:r w:rsidRPr="005C7BBD">
      <w:rPr>
        <w:rFonts w:ascii="Times New Roman" w:hAnsi="Times New Roman" w:cs="Times New Roman"/>
        <w:noProof/>
        <w:sz w:val="20"/>
        <w:szCs w:val="20"/>
        <w:lang w:val="en-US"/>
      </w:rPr>
      <w:fldChar w:fldCharType="end"/>
    </w:r>
    <w:r w:rsidRPr="005C7BBD">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2923" w14:textId="77777777" w:rsidR="00FB57D8" w:rsidRPr="00FB57D8" w:rsidRDefault="00FB57D8" w:rsidP="00FB57D8">
      <w:pPr>
        <w:spacing w:after="0" w:line="240" w:lineRule="auto"/>
        <w:rPr>
          <w:noProof/>
          <w:lang w:val="en-US"/>
        </w:rPr>
      </w:pPr>
      <w:r w:rsidRPr="00FB57D8">
        <w:rPr>
          <w:noProof/>
          <w:lang w:val="en-US"/>
        </w:rPr>
        <w:separator/>
      </w:r>
    </w:p>
  </w:footnote>
  <w:footnote w:type="continuationSeparator" w:id="0">
    <w:p w14:paraId="66169B30" w14:textId="77777777" w:rsidR="00FB57D8" w:rsidRPr="00FB57D8" w:rsidRDefault="00FB57D8" w:rsidP="00FB57D8">
      <w:pPr>
        <w:spacing w:after="0" w:line="240" w:lineRule="auto"/>
        <w:rPr>
          <w:noProof/>
          <w:lang w:val="en-US"/>
        </w:rPr>
      </w:pPr>
      <w:r w:rsidRPr="00FB57D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01"/>
    <w:rsid w:val="00072101"/>
    <w:rsid w:val="00171D6F"/>
    <w:rsid w:val="002A6229"/>
    <w:rsid w:val="00446A7A"/>
    <w:rsid w:val="005F6180"/>
    <w:rsid w:val="00612425"/>
    <w:rsid w:val="007F1209"/>
    <w:rsid w:val="00921840"/>
    <w:rsid w:val="00A77CFD"/>
    <w:rsid w:val="00E50062"/>
    <w:rsid w:val="00FB57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76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77C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77CFD"/>
    <w:rPr>
      <w:color w:val="0000FF"/>
      <w:u w:val="single"/>
    </w:rPr>
  </w:style>
  <w:style w:type="paragraph" w:styleId="Header">
    <w:name w:val="header"/>
    <w:basedOn w:val="Normal"/>
    <w:link w:val="HeaderChar"/>
    <w:uiPriority w:val="99"/>
    <w:unhideWhenUsed/>
    <w:rsid w:val="00FB5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D8"/>
  </w:style>
  <w:style w:type="paragraph" w:styleId="Footer">
    <w:name w:val="footer"/>
    <w:basedOn w:val="Normal"/>
    <w:link w:val="FooterChar"/>
    <w:unhideWhenUsed/>
    <w:rsid w:val="00FB57D8"/>
    <w:pPr>
      <w:tabs>
        <w:tab w:val="center" w:pos="4513"/>
        <w:tab w:val="right" w:pos="9026"/>
      </w:tabs>
      <w:spacing w:after="0" w:line="240" w:lineRule="auto"/>
    </w:pPr>
  </w:style>
  <w:style w:type="character" w:customStyle="1" w:styleId="FooterChar">
    <w:name w:val="Footer Char"/>
    <w:basedOn w:val="DefaultParagraphFont"/>
    <w:link w:val="Footer"/>
    <w:rsid w:val="00FB57D8"/>
  </w:style>
  <w:style w:type="character" w:styleId="PageNumber">
    <w:name w:val="page number"/>
    <w:basedOn w:val="DefaultParagraphFont"/>
    <w:rsid w:val="00E5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93451">
      <w:bodyDiv w:val="1"/>
      <w:marLeft w:val="0"/>
      <w:marRight w:val="0"/>
      <w:marTop w:val="0"/>
      <w:marBottom w:val="0"/>
      <w:divBdr>
        <w:top w:val="none" w:sz="0" w:space="0" w:color="auto"/>
        <w:left w:val="none" w:sz="0" w:space="0" w:color="auto"/>
        <w:bottom w:val="none" w:sz="0" w:space="0" w:color="auto"/>
        <w:right w:val="none" w:sz="0" w:space="0" w:color="auto"/>
      </w:divBdr>
      <w:divsChild>
        <w:div w:id="312565676">
          <w:marLeft w:val="0"/>
          <w:marRight w:val="0"/>
          <w:marTop w:val="0"/>
          <w:marBottom w:val="0"/>
          <w:divBdr>
            <w:top w:val="none" w:sz="0" w:space="0" w:color="auto"/>
            <w:left w:val="none" w:sz="0" w:space="0" w:color="auto"/>
            <w:bottom w:val="none" w:sz="0" w:space="0" w:color="auto"/>
            <w:right w:val="none" w:sz="0" w:space="0" w:color="auto"/>
          </w:divBdr>
          <w:divsChild>
            <w:div w:id="2093115615">
              <w:marLeft w:val="0"/>
              <w:marRight w:val="0"/>
              <w:marTop w:val="0"/>
              <w:marBottom w:val="0"/>
              <w:divBdr>
                <w:top w:val="none" w:sz="0" w:space="0" w:color="auto"/>
                <w:left w:val="none" w:sz="0" w:space="0" w:color="auto"/>
                <w:bottom w:val="none" w:sz="0" w:space="0" w:color="auto"/>
                <w:right w:val="none" w:sz="0" w:space="0" w:color="auto"/>
              </w:divBdr>
            </w:div>
            <w:div w:id="1816095761">
              <w:marLeft w:val="0"/>
              <w:marRight w:val="0"/>
              <w:marTop w:val="0"/>
              <w:marBottom w:val="0"/>
              <w:divBdr>
                <w:top w:val="none" w:sz="0" w:space="0" w:color="auto"/>
                <w:left w:val="none" w:sz="0" w:space="0" w:color="auto"/>
                <w:bottom w:val="none" w:sz="0" w:space="0" w:color="auto"/>
                <w:right w:val="none" w:sz="0" w:space="0" w:color="auto"/>
              </w:divBdr>
            </w:div>
            <w:div w:id="1968192846">
              <w:marLeft w:val="0"/>
              <w:marRight w:val="0"/>
              <w:marTop w:val="0"/>
              <w:marBottom w:val="0"/>
              <w:divBdr>
                <w:top w:val="none" w:sz="0" w:space="0" w:color="auto"/>
                <w:left w:val="none" w:sz="0" w:space="0" w:color="auto"/>
                <w:bottom w:val="none" w:sz="0" w:space="0" w:color="auto"/>
                <w:right w:val="none" w:sz="0" w:space="0" w:color="auto"/>
              </w:divBdr>
            </w:div>
            <w:div w:id="1712266913">
              <w:marLeft w:val="0"/>
              <w:marRight w:val="0"/>
              <w:marTop w:val="0"/>
              <w:marBottom w:val="0"/>
              <w:divBdr>
                <w:top w:val="none" w:sz="0" w:space="0" w:color="auto"/>
                <w:left w:val="none" w:sz="0" w:space="0" w:color="auto"/>
                <w:bottom w:val="none" w:sz="0" w:space="0" w:color="auto"/>
                <w:right w:val="none" w:sz="0" w:space="0" w:color="auto"/>
              </w:divBdr>
            </w:div>
            <w:div w:id="645282410">
              <w:marLeft w:val="0"/>
              <w:marRight w:val="0"/>
              <w:marTop w:val="0"/>
              <w:marBottom w:val="0"/>
              <w:divBdr>
                <w:top w:val="none" w:sz="0" w:space="0" w:color="auto"/>
                <w:left w:val="none" w:sz="0" w:space="0" w:color="auto"/>
                <w:bottom w:val="none" w:sz="0" w:space="0" w:color="auto"/>
                <w:right w:val="none" w:sz="0" w:space="0" w:color="auto"/>
              </w:divBdr>
            </w:div>
            <w:div w:id="297536598">
              <w:marLeft w:val="0"/>
              <w:marRight w:val="0"/>
              <w:marTop w:val="0"/>
              <w:marBottom w:val="0"/>
              <w:divBdr>
                <w:top w:val="none" w:sz="0" w:space="0" w:color="auto"/>
                <w:left w:val="none" w:sz="0" w:space="0" w:color="auto"/>
                <w:bottom w:val="none" w:sz="0" w:space="0" w:color="auto"/>
                <w:right w:val="none" w:sz="0" w:space="0" w:color="auto"/>
              </w:divBdr>
            </w:div>
            <w:div w:id="1292322523">
              <w:marLeft w:val="0"/>
              <w:marRight w:val="0"/>
              <w:marTop w:val="0"/>
              <w:marBottom w:val="0"/>
              <w:divBdr>
                <w:top w:val="none" w:sz="0" w:space="0" w:color="auto"/>
                <w:left w:val="none" w:sz="0" w:space="0" w:color="auto"/>
                <w:bottom w:val="none" w:sz="0" w:space="0" w:color="auto"/>
                <w:right w:val="none" w:sz="0" w:space="0" w:color="auto"/>
              </w:divBdr>
            </w:div>
            <w:div w:id="1276596330">
              <w:marLeft w:val="0"/>
              <w:marRight w:val="0"/>
              <w:marTop w:val="0"/>
              <w:marBottom w:val="0"/>
              <w:divBdr>
                <w:top w:val="none" w:sz="0" w:space="0" w:color="auto"/>
                <w:left w:val="none" w:sz="0" w:space="0" w:color="auto"/>
                <w:bottom w:val="none" w:sz="0" w:space="0" w:color="auto"/>
                <w:right w:val="none" w:sz="0" w:space="0" w:color="auto"/>
              </w:divBdr>
            </w:div>
            <w:div w:id="473568864">
              <w:marLeft w:val="0"/>
              <w:marRight w:val="0"/>
              <w:marTop w:val="0"/>
              <w:marBottom w:val="0"/>
              <w:divBdr>
                <w:top w:val="none" w:sz="0" w:space="0" w:color="auto"/>
                <w:left w:val="none" w:sz="0" w:space="0" w:color="auto"/>
                <w:bottom w:val="none" w:sz="0" w:space="0" w:color="auto"/>
                <w:right w:val="none" w:sz="0" w:space="0" w:color="auto"/>
              </w:divBdr>
            </w:div>
            <w:div w:id="2007856768">
              <w:marLeft w:val="0"/>
              <w:marRight w:val="0"/>
              <w:marTop w:val="0"/>
              <w:marBottom w:val="0"/>
              <w:divBdr>
                <w:top w:val="none" w:sz="0" w:space="0" w:color="auto"/>
                <w:left w:val="none" w:sz="0" w:space="0" w:color="auto"/>
                <w:bottom w:val="none" w:sz="0" w:space="0" w:color="auto"/>
                <w:right w:val="none" w:sz="0" w:space="0" w:color="auto"/>
              </w:divBdr>
            </w:div>
            <w:div w:id="10973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EB854-E5DA-425A-9AED-09E3A05CF7A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B2597FA-C255-4793-9F04-6078BF3A26C2}">
  <ds:schemaRefs>
    <ds:schemaRef ds:uri="http://schemas.microsoft.com/sharepoint/v3/contenttype/forms"/>
  </ds:schemaRefs>
</ds:datastoreItem>
</file>

<file path=customXml/itemProps3.xml><?xml version="1.0" encoding="utf-8"?>
<ds:datastoreItem xmlns:ds="http://schemas.openxmlformats.org/officeDocument/2006/customXml" ds:itemID="{5F7A2A7D-0EAA-4081-A208-58B193AC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5252</Words>
  <Characters>2994</Characters>
  <Application>Microsoft Office Word</Application>
  <DocSecurity>0</DocSecurity>
  <Lines>24</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2022-06-28T06:50:00Z</dcterms:created>
  <dcterms:modified xsi:type="dcterms:W3CDTF">2022-07-05T11:53:00Z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