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D9470" w14:textId="77777777" w:rsidR="00287FF3" w:rsidRPr="00287FF3" w:rsidRDefault="00287FF3" w:rsidP="00427A57">
      <w:pPr>
        <w:widowControl w:val="0"/>
        <w:jc w:val="both"/>
        <w:rPr>
          <w:rFonts w:ascii="Times New Roman" w:eastAsia="Times New Roman" w:hAnsi="Times New Roman" w:cs="Times New Roman"/>
          <w:noProof/>
          <w:sz w:val="24"/>
          <w:szCs w:val="24"/>
        </w:rPr>
      </w:pPr>
      <w:bookmarkStart w:id="0" w:name="page2"/>
      <w:bookmarkEnd w:id="0"/>
    </w:p>
    <w:p w14:paraId="7ED324F4" w14:textId="58A604E0" w:rsidR="00287FF3" w:rsidRPr="00427A57" w:rsidRDefault="00287FF3" w:rsidP="00427A57">
      <w:pPr>
        <w:widowControl w:val="0"/>
        <w:jc w:val="both"/>
        <w:rPr>
          <w:rFonts w:ascii="Times New Roman" w:eastAsia="Times New Roman" w:hAnsi="Times New Roman" w:cs="Times New Roman"/>
          <w:noProof/>
          <w:sz w:val="32"/>
          <w:szCs w:val="32"/>
        </w:rPr>
      </w:pPr>
      <w:r>
        <w:rPr>
          <w:rFonts w:ascii="Times New Roman" w:hAnsi="Times New Roman"/>
          <w:sz w:val="32"/>
        </w:rPr>
        <w:t>Līgums par Eiropas Molekulārās bioloģijas konferences izveidošanu</w:t>
      </w:r>
    </w:p>
    <w:p w14:paraId="053D9EED" w14:textId="77777777" w:rsidR="00287FF3" w:rsidRDefault="00287FF3" w:rsidP="00427A57">
      <w:pPr>
        <w:widowControl w:val="0"/>
        <w:jc w:val="both"/>
        <w:rPr>
          <w:rFonts w:ascii="Times New Roman" w:eastAsia="Times New Roman" w:hAnsi="Times New Roman" w:cs="Times New Roman"/>
          <w:noProof/>
          <w:sz w:val="24"/>
          <w:szCs w:val="24"/>
          <w:lang w:val="en-US"/>
        </w:rPr>
      </w:pPr>
    </w:p>
    <w:p w14:paraId="3801A8FA" w14:textId="77777777" w:rsidR="00BF3CA0" w:rsidRPr="00287FF3" w:rsidRDefault="00BF3CA0" w:rsidP="00427A57">
      <w:pPr>
        <w:widowControl w:val="0"/>
        <w:jc w:val="both"/>
        <w:rPr>
          <w:rFonts w:ascii="Times New Roman" w:eastAsia="Times New Roman" w:hAnsi="Times New Roman" w:cs="Times New Roman"/>
          <w:noProof/>
          <w:sz w:val="24"/>
          <w:szCs w:val="24"/>
          <w:lang w:val="en-US"/>
        </w:rPr>
      </w:pPr>
    </w:p>
    <w:p w14:paraId="2806AE5C" w14:textId="77777777" w:rsidR="00287FF3" w:rsidRPr="00287FF3" w:rsidRDefault="00287FF3" w:rsidP="00427A57">
      <w:pPr>
        <w:widowControl w:val="0"/>
        <w:jc w:val="both"/>
        <w:rPr>
          <w:rFonts w:ascii="Times New Roman" w:eastAsia="Times New Roman" w:hAnsi="Times New Roman" w:cs="Times New Roman"/>
          <w:i/>
          <w:noProof/>
          <w:sz w:val="24"/>
          <w:szCs w:val="24"/>
        </w:rPr>
      </w:pPr>
      <w:r>
        <w:rPr>
          <w:rFonts w:ascii="Times New Roman" w:hAnsi="Times New Roman"/>
          <w:i/>
          <w:sz w:val="24"/>
        </w:rPr>
        <w:t>Šā līguma dalībvalstis,</w:t>
      </w:r>
    </w:p>
    <w:p w14:paraId="235BC51B"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7BD8B5E"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apzinoties molekulārās bioloģijas būtisko nozīmi zinātnes attīstībā un cilvēces labklājībā;</w:t>
      </w:r>
      <w:bookmarkStart w:id="1" w:name="page8"/>
      <w:bookmarkEnd w:id="1"/>
    </w:p>
    <w:p w14:paraId="0D985537"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809DE12"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uzskatot, ka, izmantojot starpvaldību pasākumus, ir jāpilnveido un jāpastiprina starptautiskā sadarbība, kas jau pastāv šajā jomā;</w:t>
      </w:r>
    </w:p>
    <w:p w14:paraId="1D99302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18D848CB"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vēloties attīstīt Eiropas mēroga sadarbību molekulārās bioloģijas jomā, lai veicinātu darbības, kurām ir īpaša zinātniska vērtība;</w:t>
      </w:r>
    </w:p>
    <w:p w14:paraId="3C6D4F51"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8889969"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atzīmējot to, ka Eiropas Molekulārās bioloģijas organizācija (turpmāk tekstā – EMBO) ir pieņēmusi tos šā līguma noteikumus, kas uz to attiecas,</w:t>
      </w:r>
    </w:p>
    <w:p w14:paraId="3B7239D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820FD9D" w14:textId="77777777" w:rsidR="00287FF3" w:rsidRPr="00287FF3" w:rsidRDefault="00287FF3" w:rsidP="00427A57">
      <w:pPr>
        <w:widowControl w:val="0"/>
        <w:jc w:val="both"/>
        <w:rPr>
          <w:rFonts w:ascii="Times New Roman" w:eastAsia="Times New Roman" w:hAnsi="Times New Roman" w:cs="Times New Roman"/>
          <w:i/>
          <w:noProof/>
          <w:sz w:val="24"/>
          <w:szCs w:val="24"/>
        </w:rPr>
      </w:pPr>
      <w:r>
        <w:rPr>
          <w:rFonts w:ascii="Times New Roman" w:hAnsi="Times New Roman"/>
          <w:i/>
          <w:sz w:val="24"/>
        </w:rPr>
        <w:t>ir vienojušās par turpmāko.</w:t>
      </w:r>
    </w:p>
    <w:p w14:paraId="14AE3F16" w14:textId="77777777" w:rsidR="00287FF3" w:rsidRDefault="00287FF3" w:rsidP="00427A57">
      <w:pPr>
        <w:widowControl w:val="0"/>
        <w:jc w:val="both"/>
        <w:rPr>
          <w:rFonts w:ascii="Times New Roman" w:eastAsia="Times New Roman" w:hAnsi="Times New Roman" w:cs="Times New Roman"/>
          <w:noProof/>
          <w:sz w:val="24"/>
          <w:szCs w:val="24"/>
          <w:lang w:val="en-US"/>
        </w:rPr>
      </w:pPr>
    </w:p>
    <w:p w14:paraId="6081FE03" w14:textId="77777777" w:rsidR="004D4C75" w:rsidRPr="00287FF3" w:rsidRDefault="004D4C75" w:rsidP="00427A57">
      <w:pPr>
        <w:widowControl w:val="0"/>
        <w:jc w:val="both"/>
        <w:rPr>
          <w:rFonts w:ascii="Times New Roman" w:eastAsia="Times New Roman" w:hAnsi="Times New Roman" w:cs="Times New Roman"/>
          <w:noProof/>
          <w:sz w:val="24"/>
          <w:szCs w:val="24"/>
          <w:lang w:val="en-US"/>
        </w:rPr>
      </w:pPr>
    </w:p>
    <w:p w14:paraId="7BB6FAAB" w14:textId="089C1036"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I pants.</w:t>
      </w:r>
      <w:r>
        <w:rPr>
          <w:rFonts w:ascii="Times New Roman" w:hAnsi="Times New Roman"/>
          <w:sz w:val="24"/>
        </w:rPr>
        <w:t xml:space="preserve"> Konferences izveidošana</w:t>
      </w:r>
    </w:p>
    <w:p w14:paraId="35BB5D7F"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FFE8FD9"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Ar šo tiek izveidota Eiropas Molekulārās bioloģijas konference (turpmāk tekstā – Konference).</w:t>
      </w:r>
    </w:p>
    <w:p w14:paraId="13E17950"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BF7A0BE" w14:textId="2EA994C7"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 xml:space="preserve">II pants. </w:t>
      </w:r>
      <w:r>
        <w:rPr>
          <w:rFonts w:ascii="Times New Roman" w:hAnsi="Times New Roman"/>
          <w:sz w:val="24"/>
        </w:rPr>
        <w:t>Mērķi</w:t>
      </w:r>
    </w:p>
    <w:p w14:paraId="75DE7914"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72D7EF38" w14:textId="5A0D1254"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1. Konference nodrošina sadarbību starp Eiropas valstīm fundamentālu pētījumu veikšanai molekulārās bioloģijas jomā, kā arī citās ar to cieši saistītās pētniecības jomās.</w:t>
      </w:r>
    </w:p>
    <w:p w14:paraId="61013A64"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72A02B2" w14:textId="771F25BB"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2. Vispārējā programma, kas ir jāīsteno Konferences pārziņā, pirmām kārtām ietver:</w:t>
      </w:r>
    </w:p>
    <w:p w14:paraId="71B61D8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729702ED" w14:textId="598A0313"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a) mācību, mācīšanas un pētniecības stipendiju nodrošināšanu;</w:t>
      </w:r>
    </w:p>
    <w:p w14:paraId="2658444C"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2340D760" w14:textId="487EC31D" w:rsidR="00287FF3" w:rsidRPr="00287FF3" w:rsidRDefault="00427A57" w:rsidP="00427A57">
      <w:pPr>
        <w:widowControl w:val="0"/>
        <w:tabs>
          <w:tab w:val="left" w:pos="800"/>
        </w:tabs>
        <w:ind w:left="284"/>
        <w:jc w:val="both"/>
        <w:rPr>
          <w:rFonts w:ascii="Times New Roman" w:eastAsia="Times New Roman" w:hAnsi="Times New Roman" w:cs="Times New Roman"/>
          <w:noProof/>
          <w:sz w:val="24"/>
          <w:szCs w:val="24"/>
        </w:rPr>
      </w:pPr>
      <w:r>
        <w:rPr>
          <w:rFonts w:ascii="Times New Roman" w:hAnsi="Times New Roman"/>
          <w:sz w:val="24"/>
        </w:rPr>
        <w:t>b) palīdzību universitātēm un citām augstākās izglītības iestādēm, kas vēlas uzņemt viesprofesorus;</w:t>
      </w:r>
    </w:p>
    <w:p w14:paraId="09934775"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72291537" w14:textId="000057B9" w:rsidR="00287FF3" w:rsidRPr="00287FF3" w:rsidRDefault="00427A57" w:rsidP="00427A57">
      <w:pPr>
        <w:widowControl w:val="0"/>
        <w:tabs>
          <w:tab w:val="left" w:pos="799"/>
        </w:tabs>
        <w:ind w:left="284"/>
        <w:jc w:val="both"/>
        <w:rPr>
          <w:rFonts w:ascii="Times New Roman" w:eastAsia="Times New Roman" w:hAnsi="Times New Roman" w:cs="Times New Roman"/>
          <w:noProof/>
          <w:sz w:val="24"/>
          <w:szCs w:val="24"/>
        </w:rPr>
      </w:pPr>
      <w:r>
        <w:rPr>
          <w:rFonts w:ascii="Times New Roman" w:hAnsi="Times New Roman"/>
          <w:sz w:val="24"/>
        </w:rPr>
        <w:t>c) kursu programmu izveidošanu un mācību sanāksmju organizēšanu saskaņoti ar universitāšu un citu augstākās izglītības un pētniecības iestāžu programmām.</w:t>
      </w:r>
    </w:p>
    <w:p w14:paraId="2D1FC449"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36B9EE2D"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Vispārējās programmas īstenošanu Konference uztic EMBO.</w:t>
      </w:r>
    </w:p>
    <w:p w14:paraId="15F2FD0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5E1D6BA"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Vispārējo programmu vai tās īstenošanas līdzekļus var grozīt ar Konferences lēmumu, ko vienprātīgi pieņem klātesošie un balsojošie dalībnieki.</w:t>
      </w:r>
    </w:p>
    <w:p w14:paraId="63F76799"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54E441B" w14:textId="30E3EFB7"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3. Konferences pētītos projektus, kurus plāno īstenot tikai daži dalībnieki, dēvē par īpašajiem projektiem. Jebkuru īpašo projektu Konference apstiprina ar klātesošo un balsojošo dalībnieku divu trešdaļu balsu vairākumu. Īpašo projektu īsteno, pamatojoties uz īpašu līgumu starp valstīm, kas tajā piedalās. Ikviens dalībnieks ir tiesīgs vēlāk jebkurā laikā piedalīties īpašajā projektā, kas jau ir apstiprināts.</w:t>
      </w:r>
    </w:p>
    <w:p w14:paraId="46978C63"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3EF17DDE" w14:textId="113B91C0" w:rsidR="00287FF3" w:rsidRPr="00287FF3" w:rsidRDefault="00287FF3" w:rsidP="007F19E1">
      <w:pPr>
        <w:keepNext/>
        <w:keepLines/>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lastRenderedPageBreak/>
        <w:t>III pants.</w:t>
      </w:r>
      <w:r>
        <w:rPr>
          <w:rFonts w:ascii="Times New Roman" w:hAnsi="Times New Roman"/>
          <w:sz w:val="24"/>
        </w:rPr>
        <w:t xml:space="preserve"> Konference</w:t>
      </w:r>
    </w:p>
    <w:p w14:paraId="51768790" w14:textId="77777777" w:rsidR="00287FF3" w:rsidRPr="00287FF3" w:rsidRDefault="00287FF3" w:rsidP="007F19E1">
      <w:pPr>
        <w:keepNext/>
        <w:keepLines/>
        <w:widowControl w:val="0"/>
        <w:jc w:val="both"/>
        <w:rPr>
          <w:rFonts w:ascii="Times New Roman" w:eastAsia="Times New Roman" w:hAnsi="Times New Roman" w:cs="Times New Roman"/>
          <w:noProof/>
          <w:sz w:val="24"/>
          <w:szCs w:val="24"/>
          <w:lang w:val="en-US"/>
        </w:rPr>
      </w:pPr>
    </w:p>
    <w:p w14:paraId="2B088ABC" w14:textId="7CB71945"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1. Konferences dalībnieki ir šā līguma dalībvalstis.</w:t>
      </w:r>
    </w:p>
    <w:p w14:paraId="3B7CA9C7" w14:textId="77777777" w:rsidR="00427A57" w:rsidRDefault="00427A57" w:rsidP="00427A57">
      <w:pPr>
        <w:widowControl w:val="0"/>
        <w:jc w:val="both"/>
        <w:rPr>
          <w:rFonts w:ascii="Times New Roman" w:eastAsia="Times New Roman" w:hAnsi="Times New Roman" w:cs="Times New Roman"/>
          <w:noProof/>
          <w:sz w:val="24"/>
          <w:szCs w:val="24"/>
          <w:lang w:val="en-US"/>
        </w:rPr>
      </w:pPr>
    </w:p>
    <w:p w14:paraId="1AF854F8" w14:textId="6C6C82E1"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2. Konference ar lēmumu, kas pieņemts ar klātesošo un balsojošo dalībnieku vienprātīgu balsojumu, var atļaut citām Eiropas valstīm, kā arī valstīm, kuras ir devušas būtisku ieguldījumu EMBO darbā no tās dibināšanas brīža, kļūt par dalībniekiem, pievienojoties šim līgumam pēc tā stāšanās spēkā.</w:t>
      </w:r>
      <w:bookmarkStart w:id="2" w:name="page9"/>
      <w:bookmarkEnd w:id="2"/>
    </w:p>
    <w:p w14:paraId="43E07D8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163C367A" w14:textId="7F0C90A5"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3. Konference ar klātesošo un balsojošo dalībnieku vienprātīgu balsojumu var uzsākt sadarbību ar valstīm, kas nav dalībvalstis, valstu iestādēm vai starptautiskām valstiskām vai nevalstiskām organizācijām. Šādas sadarbības noteikumus Konference nosaka ar klātesošo un balsojošo dalībnieku vienprātīgu balsojumu, katrā gadījumā ņemot vērā pastāvošos apstākļus.</w:t>
      </w:r>
    </w:p>
    <w:p w14:paraId="1F02B406"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5C10B84" w14:textId="5295093E"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IV pants.</w:t>
      </w:r>
      <w:r>
        <w:rPr>
          <w:rFonts w:ascii="Times New Roman" w:hAnsi="Times New Roman"/>
          <w:sz w:val="24"/>
        </w:rPr>
        <w:t xml:space="preserve"> Konferences procedūra un funkcijas</w:t>
      </w:r>
    </w:p>
    <w:p w14:paraId="19E3AFC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EDB438D" w14:textId="4CE40BAE"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1. Konference sanāk kārtējā sesijā vienu reizi gadā. Tā var sanākt arī ārkārtas sesijā, ja to ir pieprasījušas divas trešdaļas no visiem dalībniekiem.</w:t>
      </w:r>
    </w:p>
    <w:p w14:paraId="4CBB656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C2DA01E" w14:textId="2A4DC8DE"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2. Katru dalībnieku pārstāv ne vairāk kā divi pārstāvji, kurus var pavadīt padomdevēji. Konference ievēlē priekšsēdētāju un divus priekšsēdētāja vietniekus uz laiku līdz nākamajai kārtējai sesijai.</w:t>
      </w:r>
    </w:p>
    <w:p w14:paraId="0D64833B"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40B2A39" w14:textId="2EE348DE"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3. Konference:</w:t>
      </w:r>
    </w:p>
    <w:p w14:paraId="1B5FCAF7"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4FA1BAE" w14:textId="48E26F42"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a) pieņem lēmumus, kas nepieciešami II pantā noteiktā mērķa sasniegšanai;</w:t>
      </w:r>
    </w:p>
    <w:p w14:paraId="4A04B3A8"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316D1EE1" w14:textId="7B6A272F"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b) lemj par savas sanāksmes vietu;</w:t>
      </w:r>
    </w:p>
    <w:p w14:paraId="42467854"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2482F925" w14:textId="3A8F7C84"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c) ir pilnvarota turēt finanšu līdzekļus un slēgt līgumus;</w:t>
      </w:r>
    </w:p>
    <w:p w14:paraId="4F9CD6FC"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4EF05385" w14:textId="39A1B662"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d) pieņem savu reglamentu;</w:t>
      </w:r>
    </w:p>
    <w:p w14:paraId="74C0E437"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26FFF616" w14:textId="52289E94" w:rsidR="00287FF3" w:rsidRPr="00287FF3" w:rsidRDefault="00427A57" w:rsidP="00427A57">
      <w:pPr>
        <w:widowControl w:val="0"/>
        <w:tabs>
          <w:tab w:val="left" w:pos="799"/>
        </w:tabs>
        <w:ind w:left="284"/>
        <w:jc w:val="both"/>
        <w:rPr>
          <w:rFonts w:ascii="Times New Roman" w:eastAsia="Times New Roman" w:hAnsi="Times New Roman" w:cs="Times New Roman"/>
          <w:noProof/>
          <w:sz w:val="24"/>
          <w:szCs w:val="24"/>
        </w:rPr>
      </w:pPr>
      <w:r>
        <w:rPr>
          <w:rFonts w:ascii="Times New Roman" w:hAnsi="Times New Roman"/>
          <w:sz w:val="24"/>
        </w:rPr>
        <w:t>e) ar klātesošo un balsojošo dalībnieku divu trešdaļu balsu vairākumu izveido nepieciešamās padotības struktūras;</w:t>
      </w:r>
    </w:p>
    <w:p w14:paraId="4490773E"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753B69C6" w14:textId="2BA9143C" w:rsidR="00287FF3" w:rsidRPr="00287FF3" w:rsidRDefault="00427A57" w:rsidP="00427A57">
      <w:pPr>
        <w:widowControl w:val="0"/>
        <w:tabs>
          <w:tab w:val="left" w:pos="801"/>
        </w:tabs>
        <w:ind w:left="284"/>
        <w:jc w:val="both"/>
        <w:rPr>
          <w:rFonts w:ascii="Times New Roman" w:eastAsia="Times New Roman" w:hAnsi="Times New Roman" w:cs="Times New Roman"/>
          <w:noProof/>
          <w:sz w:val="24"/>
          <w:szCs w:val="24"/>
        </w:rPr>
      </w:pPr>
      <w:r>
        <w:rPr>
          <w:rFonts w:ascii="Times New Roman" w:hAnsi="Times New Roman"/>
          <w:sz w:val="24"/>
        </w:rPr>
        <w:t>f) apstiprina indikatīvu shēmu II panta 2. </w:t>
      </w:r>
      <w:r w:rsidR="007F286C">
        <w:rPr>
          <w:rFonts w:ascii="Times New Roman" w:hAnsi="Times New Roman"/>
          <w:sz w:val="24"/>
        </w:rPr>
        <w:t>daļā</w:t>
      </w:r>
      <w:r>
        <w:rPr>
          <w:rFonts w:ascii="Times New Roman" w:hAnsi="Times New Roman"/>
          <w:sz w:val="24"/>
        </w:rPr>
        <w:t xml:space="preserve"> minētās vispārējās programmas īstenošanai un precizē tās ilgumu. Apstiprinot šo shēmu, Konference ar klātesošo un balsojošo dalībnieku vienprātīgu balsojumu nosaka maksimālos kredītus, kas var tikt piešķirti šajā laika posmā. Šo summu vēlāk drīkst mainīt tikai tad, ja tā nolemj Konference ar klātesošo un balsojošo dalībvalstu vienprātīgu balsojumu;</w:t>
      </w:r>
    </w:p>
    <w:p w14:paraId="0355D27C"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0E7894C6" w14:textId="36D1B103" w:rsidR="00287FF3" w:rsidRPr="00287FF3" w:rsidRDefault="00427A57" w:rsidP="00427A57">
      <w:pPr>
        <w:widowControl w:val="0"/>
        <w:tabs>
          <w:tab w:val="left" w:pos="800"/>
        </w:tabs>
        <w:ind w:left="284"/>
        <w:jc w:val="both"/>
        <w:rPr>
          <w:rFonts w:ascii="Times New Roman" w:eastAsia="Times New Roman" w:hAnsi="Times New Roman" w:cs="Times New Roman"/>
          <w:noProof/>
          <w:sz w:val="24"/>
          <w:szCs w:val="24"/>
        </w:rPr>
      </w:pPr>
      <w:r>
        <w:rPr>
          <w:rFonts w:ascii="Times New Roman" w:hAnsi="Times New Roman"/>
          <w:sz w:val="24"/>
        </w:rPr>
        <w:t>g) pieņem kārtējo gada budžetu ar klātesošo un balsojošo dalībnieku divu trešdaļu balsu vairākumu un veic nepieciešamos finanšu pasākumus;</w:t>
      </w:r>
    </w:p>
    <w:p w14:paraId="42F02C79"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12E6EECF" w14:textId="4FB09B41"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h) apstiprina provizoriskās izdevumu tāmes diviem turpmākajiem gadiem;</w:t>
      </w:r>
    </w:p>
    <w:p w14:paraId="40642E4D"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5E51152A" w14:textId="13093B7F" w:rsidR="00287FF3" w:rsidRPr="00287FF3" w:rsidRDefault="00427A57" w:rsidP="00427A57">
      <w:pPr>
        <w:widowControl w:val="0"/>
        <w:tabs>
          <w:tab w:val="left" w:pos="799"/>
        </w:tabs>
        <w:ind w:left="284"/>
        <w:jc w:val="both"/>
        <w:rPr>
          <w:rFonts w:ascii="Times New Roman" w:eastAsia="Times New Roman" w:hAnsi="Times New Roman" w:cs="Times New Roman"/>
          <w:noProof/>
          <w:sz w:val="24"/>
          <w:szCs w:val="24"/>
        </w:rPr>
      </w:pPr>
      <w:r>
        <w:rPr>
          <w:rFonts w:ascii="Times New Roman" w:hAnsi="Times New Roman"/>
          <w:sz w:val="24"/>
        </w:rPr>
        <w:t>i) ņem vērā īpašos finanšu noteikumus, kas attiecas uz kādu īpašo projektu, kuru iepriekš pieņēmuši dalībnieki, kas piedalās šajā projektā;</w:t>
      </w:r>
    </w:p>
    <w:p w14:paraId="67A5DA40"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60B2BBF7" w14:textId="2B31BDC1" w:rsidR="00287FF3" w:rsidRPr="00287FF3" w:rsidRDefault="00427A57" w:rsidP="007F19E1">
      <w:pPr>
        <w:keepNext/>
        <w:keepLines/>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lastRenderedPageBreak/>
        <w:t>j) pieņem finanšu noteikumus ar klātesošo un balsojošo dalībnieku divu trešdaļu balsu vairākumu;</w:t>
      </w:r>
    </w:p>
    <w:p w14:paraId="43E1D017"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48F8E8A2" w14:textId="7072CE73"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k) apstiprina un publicē savus revidētos gada pārskatus;</w:t>
      </w:r>
    </w:p>
    <w:p w14:paraId="1001665F"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20C103FC" w14:textId="02AADCF9"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l) apstiprina ģenerālsekretāra iesniegto gada ziņojumu.</w:t>
      </w:r>
    </w:p>
    <w:p w14:paraId="168CA125" w14:textId="77777777" w:rsidR="00427A57" w:rsidRDefault="00427A57" w:rsidP="00427A57">
      <w:pPr>
        <w:widowControl w:val="0"/>
        <w:jc w:val="both"/>
        <w:rPr>
          <w:rFonts w:ascii="Times New Roman" w:eastAsia="Times New Roman" w:hAnsi="Times New Roman" w:cs="Times New Roman"/>
          <w:noProof/>
          <w:sz w:val="24"/>
          <w:szCs w:val="24"/>
          <w:lang w:val="en-US"/>
        </w:rPr>
      </w:pPr>
    </w:p>
    <w:p w14:paraId="33F9522E" w14:textId="68001945" w:rsidR="00287FF3" w:rsidRPr="00287FF3" w:rsidRDefault="00287FF3" w:rsidP="00427A57">
      <w:pPr>
        <w:widowControl w:val="0"/>
        <w:tabs>
          <w:tab w:val="left" w:pos="851"/>
          <w:tab w:val="left" w:pos="1320"/>
        </w:tabs>
        <w:jc w:val="both"/>
        <w:rPr>
          <w:rFonts w:ascii="Times New Roman" w:eastAsia="Times New Roman" w:hAnsi="Times New Roman" w:cs="Times New Roman"/>
          <w:noProof/>
          <w:sz w:val="24"/>
          <w:szCs w:val="24"/>
        </w:rPr>
      </w:pPr>
      <w:r>
        <w:rPr>
          <w:rFonts w:ascii="Times New Roman" w:hAnsi="Times New Roman"/>
          <w:sz w:val="24"/>
        </w:rPr>
        <w:t>4. a) i) Konferencē katram dalībniekam ir viena balss.</w:t>
      </w:r>
      <w:bookmarkStart w:id="3" w:name="page10"/>
      <w:bookmarkEnd w:id="3"/>
    </w:p>
    <w:p w14:paraId="7ED289E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E011890" w14:textId="3BEA4728" w:rsidR="00287FF3" w:rsidRPr="00287FF3" w:rsidRDefault="00427A57" w:rsidP="00427A57">
      <w:pPr>
        <w:widowControl w:val="0"/>
        <w:tabs>
          <w:tab w:val="left" w:pos="1339"/>
        </w:tabs>
        <w:ind w:left="567"/>
        <w:jc w:val="both"/>
        <w:rPr>
          <w:rFonts w:ascii="Times New Roman" w:eastAsia="Times New Roman" w:hAnsi="Times New Roman" w:cs="Times New Roman"/>
          <w:noProof/>
          <w:sz w:val="24"/>
          <w:szCs w:val="24"/>
        </w:rPr>
      </w:pPr>
      <w:r>
        <w:rPr>
          <w:rFonts w:ascii="Times New Roman" w:hAnsi="Times New Roman"/>
          <w:sz w:val="24"/>
        </w:rPr>
        <w:t>ii) Tomēr dalībniekam nav tiesību balsot par īpašā projekta izpildi, ja tas nav piekritis piedalīties šajā projektā.</w:t>
      </w:r>
    </w:p>
    <w:p w14:paraId="3B184E9D" w14:textId="77777777" w:rsidR="00287FF3" w:rsidRPr="00287FF3" w:rsidRDefault="00287FF3" w:rsidP="00427A57">
      <w:pPr>
        <w:widowControl w:val="0"/>
        <w:ind w:left="567"/>
        <w:jc w:val="both"/>
        <w:rPr>
          <w:rFonts w:ascii="Times New Roman" w:eastAsia="Times New Roman" w:hAnsi="Times New Roman" w:cs="Times New Roman"/>
          <w:noProof/>
          <w:sz w:val="24"/>
          <w:szCs w:val="24"/>
          <w:lang w:val="en-US"/>
        </w:rPr>
      </w:pPr>
    </w:p>
    <w:p w14:paraId="2E8CB215" w14:textId="5709FC1D" w:rsidR="00287FF3" w:rsidRPr="00287FF3" w:rsidRDefault="00427A57" w:rsidP="00427A57">
      <w:pPr>
        <w:widowControl w:val="0"/>
        <w:tabs>
          <w:tab w:val="left" w:pos="1339"/>
        </w:tabs>
        <w:ind w:left="567"/>
        <w:jc w:val="both"/>
        <w:rPr>
          <w:rFonts w:ascii="Times New Roman" w:eastAsia="Times New Roman" w:hAnsi="Times New Roman" w:cs="Times New Roman"/>
          <w:noProof/>
          <w:sz w:val="24"/>
          <w:szCs w:val="24"/>
        </w:rPr>
      </w:pPr>
      <w:r>
        <w:rPr>
          <w:rFonts w:ascii="Times New Roman" w:hAnsi="Times New Roman"/>
          <w:sz w:val="24"/>
        </w:rPr>
        <w:t>iii) Valstis, kas ir parakstījušas, bet vēl nav ratificējušas, pieņēmušas vai apstiprinājušas šo līgumu, divus gadus pēc līguma stāšanās spēkā var tikt pārstāvētas Konferencē un piedalīties tās darbā bez balsstiesībām.</w:t>
      </w:r>
    </w:p>
    <w:p w14:paraId="66988952" w14:textId="77777777" w:rsidR="00287FF3" w:rsidRPr="00287FF3" w:rsidRDefault="00287FF3" w:rsidP="00427A57">
      <w:pPr>
        <w:widowControl w:val="0"/>
        <w:ind w:left="567"/>
        <w:jc w:val="both"/>
        <w:rPr>
          <w:rFonts w:ascii="Times New Roman" w:eastAsia="Times New Roman" w:hAnsi="Times New Roman" w:cs="Times New Roman"/>
          <w:noProof/>
          <w:sz w:val="24"/>
          <w:szCs w:val="24"/>
          <w:lang w:val="en-US"/>
        </w:rPr>
      </w:pPr>
    </w:p>
    <w:p w14:paraId="04D909C0" w14:textId="61430DCC" w:rsidR="00287FF3" w:rsidRPr="00287FF3" w:rsidRDefault="00427A57" w:rsidP="00427A57">
      <w:pPr>
        <w:widowControl w:val="0"/>
        <w:tabs>
          <w:tab w:val="left" w:pos="1339"/>
        </w:tabs>
        <w:ind w:left="567"/>
        <w:jc w:val="both"/>
        <w:rPr>
          <w:rFonts w:ascii="Times New Roman" w:eastAsia="Times New Roman" w:hAnsi="Times New Roman" w:cs="Times New Roman"/>
          <w:noProof/>
          <w:sz w:val="24"/>
          <w:szCs w:val="24"/>
        </w:rPr>
      </w:pPr>
      <w:r>
        <w:rPr>
          <w:rFonts w:ascii="Times New Roman" w:hAnsi="Times New Roman"/>
          <w:sz w:val="24"/>
        </w:rPr>
        <w:t>iv) Dalībniekam nav balsstiesību Konferencē, ja tas nav veicis savas iemaksas divus finanšu gadus pēc kārtas.</w:t>
      </w:r>
    </w:p>
    <w:p w14:paraId="1557C100"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293E3F5" w14:textId="3AC1EF97" w:rsidR="00287FF3" w:rsidRPr="00287FF3" w:rsidRDefault="00427A57" w:rsidP="00427A57">
      <w:pPr>
        <w:widowControl w:val="0"/>
        <w:tabs>
          <w:tab w:val="left" w:pos="800"/>
        </w:tabs>
        <w:ind w:left="142"/>
        <w:jc w:val="both"/>
        <w:rPr>
          <w:rFonts w:ascii="Times New Roman" w:eastAsia="Times New Roman" w:hAnsi="Times New Roman" w:cs="Times New Roman"/>
          <w:noProof/>
          <w:sz w:val="24"/>
          <w:szCs w:val="24"/>
        </w:rPr>
      </w:pPr>
      <w:r>
        <w:rPr>
          <w:rFonts w:ascii="Times New Roman" w:hAnsi="Times New Roman"/>
          <w:sz w:val="24"/>
        </w:rPr>
        <w:t>b) Ja vien šajā līgumā nav noteikts citādi, Konferences lēmumi tiek pieņemti ar klātesošo un balsojošo dalībnieku balsu vairākumu.</w:t>
      </w:r>
    </w:p>
    <w:p w14:paraId="5E9D085E" w14:textId="77777777" w:rsidR="00287FF3" w:rsidRPr="00287FF3" w:rsidRDefault="00287FF3" w:rsidP="00427A57">
      <w:pPr>
        <w:widowControl w:val="0"/>
        <w:ind w:left="142"/>
        <w:jc w:val="both"/>
        <w:rPr>
          <w:rFonts w:ascii="Times New Roman" w:eastAsia="Times New Roman" w:hAnsi="Times New Roman" w:cs="Times New Roman"/>
          <w:noProof/>
          <w:sz w:val="24"/>
          <w:szCs w:val="24"/>
          <w:lang w:val="en-US"/>
        </w:rPr>
      </w:pPr>
    </w:p>
    <w:p w14:paraId="4956DA3C" w14:textId="24366353" w:rsidR="00287FF3" w:rsidRPr="00287FF3" w:rsidRDefault="00427A57" w:rsidP="00427A57">
      <w:pPr>
        <w:widowControl w:val="0"/>
        <w:tabs>
          <w:tab w:val="left" w:pos="800"/>
        </w:tabs>
        <w:ind w:left="142"/>
        <w:jc w:val="both"/>
        <w:rPr>
          <w:rFonts w:ascii="Times New Roman" w:eastAsia="Times New Roman" w:hAnsi="Times New Roman" w:cs="Times New Roman"/>
          <w:noProof/>
          <w:sz w:val="24"/>
          <w:szCs w:val="24"/>
        </w:rPr>
      </w:pPr>
      <w:r>
        <w:rPr>
          <w:rFonts w:ascii="Times New Roman" w:hAnsi="Times New Roman"/>
          <w:sz w:val="24"/>
        </w:rPr>
        <w:t>c) Lai nodrošinātu kvorumu Konferences sanāksmē, nepieciešama visu dalībnieku pārstāvju vairākuma klātbūtne.</w:t>
      </w:r>
    </w:p>
    <w:p w14:paraId="23FF12B4"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B7D543E" w14:textId="4B1B63B4"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V pants.</w:t>
      </w:r>
      <w:r>
        <w:rPr>
          <w:rFonts w:ascii="Times New Roman" w:hAnsi="Times New Roman"/>
          <w:sz w:val="24"/>
        </w:rPr>
        <w:t xml:space="preserve"> Ģenerālsekretārs</w:t>
      </w:r>
    </w:p>
    <w:p w14:paraId="6215819F"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E1AAC51" w14:textId="2D796D0D"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1. Konference ar visu dalībnieku divu trešdaļu balsu vairākumu ieceļ ģenerālsekretāru uz noteiktu laiku. Viņš paliek amatā līdz viņa pēcteča iecelšanai. Ģenerālsekretārs palīdz Konferences priekšsēdētājam un nodrošina darba nepārtrauktību sesiju starplaikā. Viņš var veikt visas darbības, kas nepieciešamas Konferences kārtējo pienākumu izpildei.</w:t>
      </w:r>
    </w:p>
    <w:p w14:paraId="10518D6C"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3AB3497" w14:textId="302E03B6"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2. Ģenerālsekretārs iesniedz Konferencei:</w:t>
      </w:r>
    </w:p>
    <w:p w14:paraId="7A0D3BDA"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77B2400D" w14:textId="485ACBEE" w:rsidR="008F5E5C" w:rsidRDefault="0085145D" w:rsidP="00427A57">
      <w:pPr>
        <w:widowControl w:val="0"/>
        <w:ind w:left="284"/>
        <w:jc w:val="both"/>
        <w:rPr>
          <w:rFonts w:ascii="Times New Roman" w:hAnsi="Times New Roman"/>
          <w:sz w:val="24"/>
        </w:rPr>
      </w:pPr>
      <w:r w:rsidRPr="0085145D">
        <w:rPr>
          <w:rFonts w:ascii="Times New Roman" w:hAnsi="Times New Roman"/>
          <w:sz w:val="24"/>
        </w:rPr>
        <w:t>a) IV panta 3. daļas f) punktā minēto indikatīvās shēmas projektu;</w:t>
      </w:r>
    </w:p>
    <w:p w14:paraId="7D6FBC02" w14:textId="77777777" w:rsidR="0085145D" w:rsidRPr="00287FF3" w:rsidRDefault="0085145D" w:rsidP="00427A57">
      <w:pPr>
        <w:widowControl w:val="0"/>
        <w:ind w:left="284"/>
        <w:jc w:val="both"/>
        <w:rPr>
          <w:rFonts w:ascii="Times New Roman" w:eastAsia="Times New Roman" w:hAnsi="Times New Roman" w:cs="Times New Roman"/>
          <w:noProof/>
          <w:sz w:val="24"/>
          <w:szCs w:val="24"/>
          <w:lang w:val="en-US"/>
        </w:rPr>
      </w:pPr>
    </w:p>
    <w:p w14:paraId="69B77353" w14:textId="14EC0E6C" w:rsidR="00287FF3" w:rsidRDefault="00CB5157" w:rsidP="00427A57">
      <w:pPr>
        <w:widowControl w:val="0"/>
        <w:ind w:left="284"/>
        <w:jc w:val="both"/>
        <w:rPr>
          <w:rFonts w:ascii="Times New Roman" w:hAnsi="Times New Roman"/>
          <w:sz w:val="24"/>
        </w:rPr>
      </w:pPr>
      <w:r w:rsidRPr="00CB5157">
        <w:rPr>
          <w:rFonts w:ascii="Times New Roman" w:hAnsi="Times New Roman"/>
          <w:sz w:val="24"/>
        </w:rPr>
        <w:t>b) kārtējo budžetu un provizorisko tāmi, kas paredzēta IV panta 3. daļas g) un h) punktā;</w:t>
      </w:r>
    </w:p>
    <w:p w14:paraId="63B9D178" w14:textId="77777777" w:rsidR="00CB5157" w:rsidRPr="00287FF3" w:rsidRDefault="00CB5157" w:rsidP="00427A57">
      <w:pPr>
        <w:widowControl w:val="0"/>
        <w:ind w:left="284"/>
        <w:jc w:val="both"/>
        <w:rPr>
          <w:rFonts w:ascii="Times New Roman" w:eastAsia="Times New Roman" w:hAnsi="Times New Roman" w:cs="Times New Roman"/>
          <w:noProof/>
          <w:sz w:val="24"/>
          <w:szCs w:val="24"/>
          <w:lang w:val="en-US"/>
        </w:rPr>
      </w:pPr>
    </w:p>
    <w:p w14:paraId="2B71B6BC" w14:textId="77777777" w:rsidR="00316004" w:rsidRDefault="00042BA8" w:rsidP="00316004">
      <w:pPr>
        <w:widowControl w:val="0"/>
        <w:ind w:left="284"/>
        <w:jc w:val="both"/>
        <w:rPr>
          <w:rFonts w:ascii="Times New Roman" w:hAnsi="Times New Roman"/>
          <w:sz w:val="24"/>
        </w:rPr>
      </w:pPr>
      <w:r w:rsidRPr="00042BA8">
        <w:rPr>
          <w:rFonts w:ascii="Times New Roman" w:hAnsi="Times New Roman"/>
          <w:sz w:val="24"/>
        </w:rPr>
        <w:t>c) katra īpašā projekta finanšu noteikumus saskaņā ar IV panta 3. daļas i) punktu;</w:t>
      </w:r>
    </w:p>
    <w:p w14:paraId="674CDDDD" w14:textId="77777777" w:rsidR="00316004" w:rsidRDefault="00316004" w:rsidP="00316004">
      <w:pPr>
        <w:widowControl w:val="0"/>
        <w:ind w:left="284"/>
        <w:jc w:val="both"/>
        <w:rPr>
          <w:rFonts w:ascii="Times New Roman" w:hAnsi="Times New Roman"/>
          <w:sz w:val="24"/>
        </w:rPr>
      </w:pPr>
    </w:p>
    <w:p w14:paraId="2C92DA89" w14:textId="447C1560" w:rsidR="00287FF3" w:rsidRDefault="00316004" w:rsidP="00316004">
      <w:pPr>
        <w:widowControl w:val="0"/>
        <w:ind w:left="284"/>
        <w:jc w:val="both"/>
        <w:rPr>
          <w:rFonts w:ascii="Times New Roman" w:hAnsi="Times New Roman"/>
          <w:sz w:val="24"/>
        </w:rPr>
      </w:pPr>
      <w:r w:rsidRPr="00316004">
        <w:rPr>
          <w:rFonts w:ascii="Times New Roman" w:hAnsi="Times New Roman"/>
          <w:sz w:val="24"/>
        </w:rPr>
        <w:t>d) revidētos gada pārskatus un gada ziņojumu, kas prasīts IV panta 3. daļas k) un l) punktā.</w:t>
      </w:r>
    </w:p>
    <w:p w14:paraId="42AC867F" w14:textId="77777777" w:rsidR="00316004" w:rsidRPr="00287FF3" w:rsidRDefault="00316004" w:rsidP="00427A57">
      <w:pPr>
        <w:widowControl w:val="0"/>
        <w:jc w:val="both"/>
        <w:rPr>
          <w:rFonts w:ascii="Times New Roman" w:eastAsia="Times New Roman" w:hAnsi="Times New Roman" w:cs="Times New Roman"/>
          <w:noProof/>
          <w:sz w:val="24"/>
          <w:szCs w:val="24"/>
          <w:lang w:val="en-US"/>
        </w:rPr>
      </w:pPr>
    </w:p>
    <w:p w14:paraId="18D68573" w14:textId="18CC9B84"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3. Savu pienākumu īstenošanā ģenerālsekretārs izmanto EMBO pakalpojumus.</w:t>
      </w:r>
    </w:p>
    <w:p w14:paraId="78CA51C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4B07107" w14:textId="7034C291"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VI pants.</w:t>
      </w:r>
      <w:r>
        <w:rPr>
          <w:rFonts w:ascii="Times New Roman" w:hAnsi="Times New Roman"/>
          <w:sz w:val="24"/>
        </w:rPr>
        <w:t xml:space="preserve"> Budžets</w:t>
      </w:r>
    </w:p>
    <w:p w14:paraId="7FECC75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12761508" w14:textId="759FACDF" w:rsidR="00287FF3" w:rsidRPr="00287FF3" w:rsidRDefault="00427A57" w:rsidP="00427A57">
      <w:pPr>
        <w:widowControl w:val="0"/>
        <w:tabs>
          <w:tab w:val="left" w:pos="422"/>
        </w:tabs>
        <w:jc w:val="both"/>
        <w:rPr>
          <w:rFonts w:ascii="Times New Roman" w:eastAsia="Times New Roman" w:hAnsi="Times New Roman" w:cs="Times New Roman"/>
          <w:noProof/>
          <w:sz w:val="24"/>
          <w:szCs w:val="24"/>
        </w:rPr>
      </w:pPr>
      <w:r>
        <w:rPr>
          <w:rFonts w:ascii="Times New Roman" w:hAnsi="Times New Roman"/>
          <w:sz w:val="24"/>
        </w:rPr>
        <w:t>1. Ģenerālsekretārs katru gadu ne vēlāk kā 1. oktobrī iesniedz Konferencei kārtējo gada budžetu nākamajam finanšu gadam, kurš ilgst no 1. janvāra līdz 31. decembrim un kurā kopā ar aplēstajiem ienākumiem norādīti gan izdevumi, kas radušies, īstenojot vispārējo programmu, gan izdevumi, kas saistīti ar Konferences darbību.</w:t>
      </w:r>
    </w:p>
    <w:p w14:paraId="571196AB"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8CDF1E4" w14:textId="25A3F503"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lastRenderedPageBreak/>
        <w:t>2. Kārtējā budžeta izdevumus sedz, izmantojot:</w:t>
      </w:r>
    </w:p>
    <w:p w14:paraId="6FC59483"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9DF59E2" w14:textId="5E7BE1EC"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a) dalībnieku finanšu iemaksas;</w:t>
      </w:r>
    </w:p>
    <w:p w14:paraId="5887E2FB"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48E9D305" w14:textId="59E00283" w:rsidR="00427A57" w:rsidRDefault="00427A57" w:rsidP="00427A57">
      <w:pPr>
        <w:widowControl w:val="0"/>
        <w:tabs>
          <w:tab w:val="left" w:pos="800"/>
        </w:tabs>
        <w:ind w:left="284"/>
        <w:jc w:val="both"/>
        <w:rPr>
          <w:rFonts w:ascii="Times New Roman" w:eastAsia="Times New Roman" w:hAnsi="Times New Roman" w:cs="Times New Roman"/>
          <w:noProof/>
          <w:sz w:val="24"/>
          <w:szCs w:val="24"/>
        </w:rPr>
      </w:pPr>
      <w:r>
        <w:rPr>
          <w:rFonts w:ascii="Times New Roman" w:hAnsi="Times New Roman"/>
          <w:sz w:val="24"/>
        </w:rPr>
        <w:t>b) dāvinājumus, ko dalībnieki sniedz papildus savām finanšu iemaksām, ar nosacījumu, ka tie atbilst Konferences mērķiem;</w:t>
      </w:r>
    </w:p>
    <w:p w14:paraId="393406E0" w14:textId="77777777" w:rsidR="00427A57" w:rsidRDefault="00427A57" w:rsidP="00427A57">
      <w:pPr>
        <w:widowControl w:val="0"/>
        <w:tabs>
          <w:tab w:val="left" w:pos="800"/>
        </w:tabs>
        <w:ind w:left="284"/>
        <w:jc w:val="both"/>
        <w:rPr>
          <w:rFonts w:ascii="Times New Roman" w:eastAsia="Times New Roman" w:hAnsi="Times New Roman" w:cs="Times New Roman"/>
          <w:noProof/>
          <w:sz w:val="24"/>
          <w:szCs w:val="24"/>
          <w:lang w:val="en-US"/>
        </w:rPr>
      </w:pPr>
    </w:p>
    <w:p w14:paraId="191FAB7C" w14:textId="6F4121F0" w:rsidR="00287FF3" w:rsidRPr="00287FF3" w:rsidRDefault="00427A57" w:rsidP="00427A57">
      <w:pPr>
        <w:widowControl w:val="0"/>
        <w:tabs>
          <w:tab w:val="left" w:pos="799"/>
        </w:tabs>
        <w:ind w:left="284"/>
        <w:jc w:val="both"/>
        <w:rPr>
          <w:rFonts w:ascii="Times New Roman" w:eastAsia="Times New Roman" w:hAnsi="Times New Roman" w:cs="Times New Roman"/>
          <w:noProof/>
          <w:sz w:val="24"/>
          <w:szCs w:val="24"/>
        </w:rPr>
      </w:pPr>
      <w:r>
        <w:rPr>
          <w:rFonts w:ascii="Times New Roman" w:hAnsi="Times New Roman"/>
          <w:sz w:val="24"/>
        </w:rPr>
        <w:t>c) citus resursus, jo īpaši dāvinājumus, ko piedāvā privātas organizācijas vai privātpersonas, ar nosacījumu, ka Konference to iepriekš apstiprina ar klātesošo un balsojošo dalībnieku divu trešdaļu balsu vairākumu.</w:t>
      </w:r>
      <w:bookmarkStart w:id="4" w:name="page11"/>
      <w:bookmarkEnd w:id="4"/>
    </w:p>
    <w:p w14:paraId="6F02772F"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CA32D53" w14:textId="6878F435"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VII pants.</w:t>
      </w:r>
      <w:r>
        <w:rPr>
          <w:rFonts w:ascii="Times New Roman" w:hAnsi="Times New Roman"/>
          <w:sz w:val="24"/>
        </w:rPr>
        <w:t xml:space="preserve"> Iemaksas un revīzija</w:t>
      </w:r>
    </w:p>
    <w:p w14:paraId="2B0EAEAF"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D5027C5" w14:textId="32D42EF8"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1. Katrs dalībnieks sedz gan izdevumus, kas rodas, īstenojot vispārējo programmu, gan izdevumus, kas saistīti ar Konferences darbību, saskaņā ar iemaksu skalu, par kuru Konference lemj vienu reizi trijos gados ar visu dalībnieku divu trešdaļu balsu vairākumu un kuras pamatā ir katra dalībnieka vidējie nacionālie neto ienākumi pēc faktoru izmaksām par pēdējiem trim iepriekšējiem gadiem, par kuriem ir pieejama statistika.</w:t>
      </w:r>
    </w:p>
    <w:p w14:paraId="3712933F"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EA7BA44" w14:textId="794BB215"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2. Konference ar visu dalībnieku divu trešdaļu balsu vairākumu var nolemt ņemt vērā visus īpašos apstākļus, kas ietekmē dalībnieku, un attiecīgi grozīt tā iemaksas. Piemērojot šo noteikumu, jēdziens “īpaši apstākļi” it īpaši ietver situāciju, kad dalībvalsts nacionālais ienākums uz vienu iedzīvotāju ir mazāks par summu, ko Konference nosaka ar divu trešdaļu balsu vairākumu.</w:t>
      </w:r>
    </w:p>
    <w:p w14:paraId="63A1AF7F"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CD69173" w14:textId="217767BD"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3. Ja valsts kļūst par līguma dalībvalsti vai pārstāj būt par līguma dalībvalsti, tiek grozīta 1. </w:t>
      </w:r>
      <w:r w:rsidR="00CF0239">
        <w:rPr>
          <w:rFonts w:ascii="Times New Roman" w:hAnsi="Times New Roman"/>
          <w:sz w:val="24"/>
        </w:rPr>
        <w:t>daļā</w:t>
      </w:r>
      <w:r>
        <w:rPr>
          <w:rFonts w:ascii="Times New Roman" w:hAnsi="Times New Roman"/>
          <w:sz w:val="24"/>
        </w:rPr>
        <w:t xml:space="preserve"> minēto iemaksu skala. Jaunā skala ir spēkā no nākamā finanšu gada.</w:t>
      </w:r>
    </w:p>
    <w:p w14:paraId="5E96BB59"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79E259D" w14:textId="4F611C8D"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4. Ģenerālsekretārs paziņo dalībniekiem viņu iemaksu summu uzskaites vienībās, kuras atbilst 0,88867088 gramiem tīra zelta, kā arī datumus, kad veicami maksājumi.</w:t>
      </w:r>
    </w:p>
    <w:p w14:paraId="6915E18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77A1506" w14:textId="6CEA530C"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5. Ģenerālsekretārs sīki uzskaita visus ieņēmumus un izmaksas. Konference ieceļ revidentus, lai revidētu savus pārskatus un lai saskaņā ar Finanšu noteikumiem pārbaudītu EMBO pārskatus. Ģenerālsekretārs un EMBO sniedz revidentiem tādu informāciju un palīdzību, kāda tiem var būt nepieciešama pienākumu veikšanai.</w:t>
      </w:r>
    </w:p>
    <w:p w14:paraId="718528E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1C7ECF5B" w14:textId="6B342B57"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VIII pants.</w:t>
      </w:r>
      <w:r>
        <w:rPr>
          <w:rFonts w:ascii="Times New Roman" w:hAnsi="Times New Roman"/>
          <w:sz w:val="24"/>
        </w:rPr>
        <w:t xml:space="preserve"> Strīdu izšķiršana</w:t>
      </w:r>
    </w:p>
    <w:p w14:paraId="47E59AC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E6F40B2"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Jebkāds strīds starp diviem vai vairākiem dalībniekiem par šā līguma interpretāciju vai piemērošanu, kas netiek izšķirts ar Konferences starpniecību, pēc jebkuras strīdā iesaistītās puses lūguma tiek iesniegts Starptautiskajai tiesai, ja vien attiecīgie dalībnieki pieņemamā termiņā nevienojas par citu strīda izšķiršanas veidu.</w:t>
      </w:r>
    </w:p>
    <w:p w14:paraId="1D11D14C"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F9701E9" w14:textId="12507C9F"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IX pants.</w:t>
      </w:r>
      <w:r>
        <w:rPr>
          <w:rFonts w:ascii="Times New Roman" w:hAnsi="Times New Roman"/>
          <w:sz w:val="24"/>
        </w:rPr>
        <w:t xml:space="preserve"> Grozījumi</w:t>
      </w:r>
    </w:p>
    <w:p w14:paraId="6F313569"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DDB0151" w14:textId="0DDD4E5B"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1. Šis līgums var tikt grozīts, ja to pieprasa vismaz divas trešdaļas no visiem dalībniekiem.</w:t>
      </w:r>
    </w:p>
    <w:p w14:paraId="65CE6A26"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3ACB18F5" w14:textId="5C97A85F" w:rsidR="00287FF3" w:rsidRPr="00287FF3" w:rsidRDefault="00427A57" w:rsidP="006C3050">
      <w:pPr>
        <w:keepNext/>
        <w:keepLines/>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2. Grozījumu priekšlikumu iekļauj tās kārtējās sesijas darba kārtībā, kas notiek uzreiz pēc šā priekšlikuma iesniegšanas ģenerālsekretāram. Šāds priekšlikums var būt arī ārkārtas sesijā izskatāms jautājums.</w:t>
      </w:r>
    </w:p>
    <w:p w14:paraId="1C895116"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AF889EA" w14:textId="3156709E"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lastRenderedPageBreak/>
        <w:t>3. Visus šā līguma grozījumus vienprātīgi pieņem visi Konferences dalībnieki, kas par to pieņemšanu rakstiski paziņo Šveices valdībai.</w:t>
      </w:r>
    </w:p>
    <w:p w14:paraId="0BCFB67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3A96DE20" w14:textId="06DBBCE6"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4. Grozījumi stājas spēkā 30 dienas pēc pēdējā rakstiskā pieņemšanas paziņojuma iesniegšanas.</w:t>
      </w:r>
    </w:p>
    <w:p w14:paraId="7886625A" w14:textId="77777777" w:rsidR="00427A57" w:rsidRDefault="00427A57" w:rsidP="00427A57">
      <w:pPr>
        <w:widowControl w:val="0"/>
        <w:jc w:val="both"/>
        <w:rPr>
          <w:rFonts w:ascii="Times New Roman" w:eastAsia="Times New Roman" w:hAnsi="Times New Roman" w:cs="Times New Roman"/>
          <w:noProof/>
          <w:sz w:val="24"/>
          <w:szCs w:val="24"/>
          <w:lang w:val="en-US"/>
        </w:rPr>
      </w:pPr>
    </w:p>
    <w:p w14:paraId="28DA9208" w14:textId="346FF957"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X pants.</w:t>
      </w:r>
      <w:r>
        <w:rPr>
          <w:rFonts w:ascii="Times New Roman" w:hAnsi="Times New Roman"/>
          <w:sz w:val="24"/>
        </w:rPr>
        <w:t xml:space="preserve"> Likvidācija</w:t>
      </w:r>
      <w:bookmarkStart w:id="5" w:name="page12"/>
      <w:bookmarkEnd w:id="5"/>
    </w:p>
    <w:p w14:paraId="64210270"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167721B"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Ievērojot jebkādu līgumu, kas var tikt noslēgts starp dalībniekiem attiecībā uz Konferences likvidāciju, ģenerālsekretāram uztic visus jautājumus, kas izriet no Konferences likvidēšanas. Ja vien Konference nav noteikusi citādi, pārpalikumu sadala starp dalībniekiem proporcionāli iemaksām, ko tie veikuši kopš dienas, kad kļuva par šā līguma pusēm. Deficīta gadījumā dalībnieki to sedz atbilstoši tādam pašam proporcionālajam sadalījumam, kāds piemērots, lai noteiktu to iemaksas kārtējam finanšu gadam.</w:t>
      </w:r>
    </w:p>
    <w:p w14:paraId="5891537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A3BFE61" w14:textId="69783944"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XI pants.</w:t>
      </w:r>
      <w:r>
        <w:rPr>
          <w:rFonts w:ascii="Times New Roman" w:hAnsi="Times New Roman"/>
          <w:sz w:val="24"/>
        </w:rPr>
        <w:t xml:space="preserve"> Nobeiguma noteikumi</w:t>
      </w:r>
    </w:p>
    <w:p w14:paraId="4A9ABCA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D43742F" w14:textId="445FE69A"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1. Šis līgums ir pieejams parakstīšanai valstīm, kas to ir izstrādājušas.</w:t>
      </w:r>
    </w:p>
    <w:p w14:paraId="0FCD070B"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4793EDEA" w14:textId="069C3A00"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2. Šis līgums ir jāratificē, jāpieņem vai jāapstiprina. Atbilstošus norādījumus iesniedz Šveices valdībai.</w:t>
      </w:r>
    </w:p>
    <w:p w14:paraId="111AF756"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28F631A" w14:textId="7A07E78F"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3. Ikviena valsts, kas nav šā līguma parakstītāja, var pievienoties, ja vien tā atbilst III panta 2. </w:t>
      </w:r>
      <w:r w:rsidR="00876AB9">
        <w:rPr>
          <w:rFonts w:ascii="Times New Roman" w:hAnsi="Times New Roman"/>
          <w:sz w:val="24"/>
        </w:rPr>
        <w:t>daļai</w:t>
      </w:r>
      <w:r>
        <w:rPr>
          <w:rFonts w:ascii="Times New Roman" w:hAnsi="Times New Roman"/>
          <w:sz w:val="24"/>
        </w:rPr>
        <w:t>. Pievienošanās dokumentus iesniedz Šveices valdībai.</w:t>
      </w:r>
    </w:p>
    <w:p w14:paraId="61D9B383"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77C884F9" w14:textId="34BB8A24" w:rsidR="00287FF3" w:rsidRPr="00287FF3" w:rsidRDefault="00427A57" w:rsidP="00427A57">
      <w:pPr>
        <w:widowControl w:val="0"/>
        <w:tabs>
          <w:tab w:val="left" w:pos="421"/>
        </w:tabs>
        <w:ind w:left="284" w:hanging="284"/>
        <w:jc w:val="both"/>
        <w:rPr>
          <w:rFonts w:ascii="Times New Roman" w:eastAsia="Times New Roman" w:hAnsi="Times New Roman" w:cs="Times New Roman"/>
          <w:noProof/>
          <w:sz w:val="24"/>
          <w:szCs w:val="24"/>
        </w:rPr>
      </w:pPr>
      <w:r>
        <w:rPr>
          <w:rFonts w:ascii="Times New Roman" w:hAnsi="Times New Roman"/>
          <w:sz w:val="24"/>
        </w:rPr>
        <w:t>4. a) Šis līgums stājas spēkā pēc tam, kad to ratificē, pieņem vai apstiprina lielākā daļa valstu, kas to ir izstrādājušas, ar nosacījumu, ka šo valstu kopējās iemaksas veido vismaz 70 % no kopējām iemaksām, kas norādītas šim līgumam pievienotajā iemaksu skalā.</w:t>
      </w:r>
    </w:p>
    <w:p w14:paraId="62A2433C"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05FA3B87" w14:textId="63EC99FB"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b) Ikvienai citai parakstītājvalstij vai valstij, kas pievienojas, līgums stājas spēkā tā ratifikācijas, pieņemšanas, apstiprināšanas vai pievienošanās dokumenta iesniegšanas dienā.</w:t>
      </w:r>
    </w:p>
    <w:p w14:paraId="6BCA5EA4"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4D9DA70C" w14:textId="3F2DBA9A"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c) Šis līgums sākotnēji ir spēkā piecus gadus. Ne vēlāk kā vienu gadu pirms minētā termiņa beigām Konference satiekas, lai ar visu dalībnieku divu trešdaļu balsu vairākumu nolemtu vai nu pagarināt līgumu bez izmaiņām, vai arī grozīt to, vai pārtraukt Eiropas sadarbību molekulārās bioloģijas jomā saskaņā ar šo līgumu.</w:t>
      </w:r>
    </w:p>
    <w:p w14:paraId="341E5FBC"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C4B8A1D" w14:textId="34F094A5"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5. Pēc tam, kad šis līgums ir bijis spēkā piecus gadus, līguma dalībvalsts var to denonsēt, paziņojot par to Šveices valdībai. Šāda denonsēšana stājas spēkā:</w:t>
      </w:r>
    </w:p>
    <w:p w14:paraId="48FE33B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B1270EE" w14:textId="4FC85D68" w:rsidR="00287FF3" w:rsidRPr="00287FF3" w:rsidRDefault="00427A57" w:rsidP="00427A57">
      <w:pPr>
        <w:widowControl w:val="0"/>
        <w:tabs>
          <w:tab w:val="left" w:pos="819"/>
        </w:tabs>
        <w:ind w:left="284"/>
        <w:jc w:val="both"/>
        <w:rPr>
          <w:rFonts w:ascii="Times New Roman" w:eastAsia="Times New Roman" w:hAnsi="Times New Roman" w:cs="Times New Roman"/>
          <w:noProof/>
          <w:sz w:val="24"/>
          <w:szCs w:val="24"/>
        </w:rPr>
      </w:pPr>
      <w:r>
        <w:rPr>
          <w:rFonts w:ascii="Times New Roman" w:hAnsi="Times New Roman"/>
          <w:sz w:val="24"/>
        </w:rPr>
        <w:t>a) kārtējā finanšu gada beigās, ja paziņojums ir sniegts šā finanšu gada pirmajos deviņos mēnešos;</w:t>
      </w:r>
    </w:p>
    <w:p w14:paraId="6D8353EB"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62374911" w14:textId="6570808B"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b) nākamā finanšu gada beigās, ja paziņojums ir sniegts kārtējā finanšu gada pēdējos trijos mēnešos.</w:t>
      </w:r>
    </w:p>
    <w:p w14:paraId="7DFB0430"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1DC9EAC" w14:textId="0C1C60B1" w:rsidR="00287FF3" w:rsidRPr="00287FF3" w:rsidRDefault="00427A57" w:rsidP="00C40348">
      <w:pPr>
        <w:keepNext/>
        <w:keepLines/>
        <w:widowControl w:val="0"/>
        <w:tabs>
          <w:tab w:val="left" w:pos="407"/>
        </w:tabs>
        <w:jc w:val="both"/>
        <w:rPr>
          <w:rFonts w:ascii="Times New Roman" w:eastAsia="Times New Roman" w:hAnsi="Times New Roman" w:cs="Times New Roman"/>
          <w:noProof/>
          <w:sz w:val="24"/>
          <w:szCs w:val="24"/>
        </w:rPr>
      </w:pPr>
      <w:r>
        <w:rPr>
          <w:rFonts w:ascii="Times New Roman" w:hAnsi="Times New Roman"/>
          <w:sz w:val="24"/>
        </w:rPr>
        <w:t>6. Ja dalībnieks nepilda savas saistības saskaņā ar šo līgumu, tam ar Konferences lēmumu, ko pieņēmis visu dalībnieku divu trešdaļu vairākums, var atņemt dalībnieka statusu. Ģenerālsekretārs par šādu lēmumu paziņo parakstītājvalstīm un valstīm, kas pievienojas.</w:t>
      </w:r>
    </w:p>
    <w:p w14:paraId="27C0026E"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C29F68D" w14:textId="5FD9CD7D" w:rsidR="00287FF3" w:rsidRPr="00287FF3" w:rsidRDefault="00427A57" w:rsidP="00427A57">
      <w:pPr>
        <w:widowControl w:val="0"/>
        <w:tabs>
          <w:tab w:val="left" w:pos="420"/>
        </w:tabs>
        <w:jc w:val="both"/>
        <w:rPr>
          <w:rFonts w:ascii="Times New Roman" w:eastAsia="Times New Roman" w:hAnsi="Times New Roman" w:cs="Times New Roman"/>
          <w:noProof/>
          <w:sz w:val="24"/>
          <w:szCs w:val="24"/>
        </w:rPr>
      </w:pPr>
      <w:r>
        <w:rPr>
          <w:rFonts w:ascii="Times New Roman" w:hAnsi="Times New Roman"/>
          <w:sz w:val="24"/>
        </w:rPr>
        <w:t>7. Šveices valdība paziņo parakstītājvalstīm un valstīm, kas pievienojas:</w:t>
      </w:r>
    </w:p>
    <w:p w14:paraId="40E448BA"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96B2CB5" w14:textId="340796F7"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lastRenderedPageBreak/>
        <w:t>a) visus parakstus;</w:t>
      </w:r>
    </w:p>
    <w:p w14:paraId="656333C7" w14:textId="77777777" w:rsidR="00427A57" w:rsidRDefault="00427A57" w:rsidP="00427A57">
      <w:pPr>
        <w:widowControl w:val="0"/>
        <w:tabs>
          <w:tab w:val="left" w:pos="4560"/>
        </w:tabs>
        <w:ind w:left="284"/>
        <w:jc w:val="both"/>
        <w:rPr>
          <w:rFonts w:ascii="Times New Roman" w:eastAsia="Times New Roman" w:hAnsi="Times New Roman" w:cs="Times New Roman"/>
          <w:noProof/>
          <w:sz w:val="24"/>
          <w:szCs w:val="24"/>
          <w:lang w:val="en-US"/>
        </w:rPr>
      </w:pPr>
    </w:p>
    <w:p w14:paraId="13F52F37" w14:textId="2A9FF96E"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b) ikviena ratifikācijas, pieņemšanas, apstiprināšanas vai pievienošanās dokumenta iesniegšanu;</w:t>
      </w:r>
      <w:bookmarkStart w:id="6" w:name="page13"/>
      <w:bookmarkEnd w:id="6"/>
    </w:p>
    <w:p w14:paraId="40211923"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50CE2A7B" w14:textId="371DA46D"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c) šā līguma stāšanos spēkā;</w:t>
      </w:r>
    </w:p>
    <w:p w14:paraId="10409790"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190331DA" w14:textId="25EE24A1"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d) visus rakstiskos pieņemšanas aktus, kas paziņoti saskaņā ar IX panta 3. </w:t>
      </w:r>
      <w:r w:rsidR="00876AB9">
        <w:rPr>
          <w:rFonts w:ascii="Times New Roman" w:hAnsi="Times New Roman"/>
          <w:sz w:val="24"/>
        </w:rPr>
        <w:t>daļu</w:t>
      </w:r>
      <w:r>
        <w:rPr>
          <w:rFonts w:ascii="Times New Roman" w:hAnsi="Times New Roman"/>
          <w:sz w:val="24"/>
        </w:rPr>
        <w:t>;</w:t>
      </w:r>
    </w:p>
    <w:p w14:paraId="2A9C3710"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45F92380" w14:textId="72C9F5BA"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e) ikviena grozījuma stāšanos spēkā un</w:t>
      </w:r>
    </w:p>
    <w:p w14:paraId="01D3B24E" w14:textId="77777777" w:rsidR="00287FF3" w:rsidRPr="00287FF3" w:rsidRDefault="00287FF3" w:rsidP="00427A57">
      <w:pPr>
        <w:widowControl w:val="0"/>
        <w:ind w:left="284"/>
        <w:jc w:val="both"/>
        <w:rPr>
          <w:rFonts w:ascii="Times New Roman" w:eastAsia="Times New Roman" w:hAnsi="Times New Roman" w:cs="Times New Roman"/>
          <w:noProof/>
          <w:sz w:val="24"/>
          <w:szCs w:val="24"/>
          <w:lang w:val="en-US"/>
        </w:rPr>
      </w:pPr>
    </w:p>
    <w:p w14:paraId="316C14C8" w14:textId="3A06CE81" w:rsidR="00287FF3" w:rsidRPr="00287FF3" w:rsidRDefault="00427A57" w:rsidP="00427A57">
      <w:pPr>
        <w:widowControl w:val="0"/>
        <w:tabs>
          <w:tab w:val="left" w:pos="820"/>
        </w:tabs>
        <w:ind w:left="284"/>
        <w:jc w:val="both"/>
        <w:rPr>
          <w:rFonts w:ascii="Times New Roman" w:eastAsia="Times New Roman" w:hAnsi="Times New Roman" w:cs="Times New Roman"/>
          <w:noProof/>
          <w:sz w:val="24"/>
          <w:szCs w:val="24"/>
        </w:rPr>
      </w:pPr>
      <w:r>
        <w:rPr>
          <w:rFonts w:ascii="Times New Roman" w:hAnsi="Times New Roman"/>
          <w:sz w:val="24"/>
        </w:rPr>
        <w:t>f) ikvienu denonsēšanu, kas paziņota saskaņā ar XI panta 5. </w:t>
      </w:r>
      <w:r w:rsidR="00876AB9">
        <w:rPr>
          <w:rFonts w:ascii="Times New Roman" w:hAnsi="Times New Roman"/>
          <w:sz w:val="24"/>
        </w:rPr>
        <w:t>daļu</w:t>
      </w:r>
      <w:r>
        <w:rPr>
          <w:rFonts w:ascii="Times New Roman" w:hAnsi="Times New Roman"/>
          <w:sz w:val="24"/>
        </w:rPr>
        <w:t>.</w:t>
      </w:r>
    </w:p>
    <w:p w14:paraId="1A660A36"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7A28405" w14:textId="5FED400D"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8. Šveices valdība, stājoties spēkā šim līgumam, to reģistrē pie Apvienoto Nāciju Organizācijas ģenerālsekretāra saskaņā ar Apvienoto Nāciju Organizācijas Statūtu 102. pantu.</w:t>
      </w:r>
    </w:p>
    <w:p w14:paraId="10AF9BD2"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3BF97F43" w14:textId="77591EF3" w:rsidR="00287FF3" w:rsidRPr="00287FF3" w:rsidRDefault="00287FF3" w:rsidP="00427A57">
      <w:pPr>
        <w:widowControl w:val="0"/>
        <w:tabs>
          <w:tab w:val="left" w:pos="1320"/>
        </w:tabs>
        <w:jc w:val="both"/>
        <w:rPr>
          <w:rFonts w:ascii="Times New Roman" w:eastAsia="Times New Roman" w:hAnsi="Times New Roman" w:cs="Times New Roman"/>
          <w:noProof/>
          <w:sz w:val="24"/>
          <w:szCs w:val="24"/>
        </w:rPr>
      </w:pPr>
      <w:r>
        <w:rPr>
          <w:rFonts w:ascii="Times New Roman" w:hAnsi="Times New Roman"/>
          <w:b/>
          <w:bCs/>
          <w:sz w:val="24"/>
        </w:rPr>
        <w:t>XII pants.</w:t>
      </w:r>
      <w:r>
        <w:rPr>
          <w:rFonts w:ascii="Times New Roman" w:hAnsi="Times New Roman"/>
          <w:sz w:val="24"/>
        </w:rPr>
        <w:t xml:space="preserve"> Pārejas noteikumi</w:t>
      </w:r>
    </w:p>
    <w:p w14:paraId="6D93FB1D"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1157634" w14:textId="6D25D3F7"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 xml:space="preserve">1. Attiecībā uz laika posmu no līguma stāšanās spēkā līdz nākamajam 31. decembrim Konference veic budžeta pasākumus, un izdevumi tiek segti atbilstoši dalībvalstu iemaksu novērtējumiem, kas izveidoti saskaņā ar </w:t>
      </w:r>
      <w:r w:rsidR="00AA3F72" w:rsidRPr="00AA3F72">
        <w:rPr>
          <w:rFonts w:ascii="Times New Roman" w:hAnsi="Times New Roman"/>
          <w:sz w:val="24"/>
        </w:rPr>
        <w:t>turpmākajām divām daļām</w:t>
      </w:r>
      <w:r>
        <w:rPr>
          <w:rFonts w:ascii="Times New Roman" w:hAnsi="Times New Roman"/>
          <w:sz w:val="24"/>
        </w:rPr>
        <w:t>.</w:t>
      </w:r>
    </w:p>
    <w:p w14:paraId="0F648DAC"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34F0A4BC" w14:textId="0BF54E44"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2. Līguma dalībvalstis dienā, kad līgums stājas spēkā, un valstis, kas var kļūt par dalībvalstīm līdz nākamajam 31. decembrim pēc līguma stāšanās spēkā, kopā uzņemas visus izdevumus, kas paredzēti provizoriskajos budžeta pasākumos, kurus Konference var pieņemt saskaņā ar šā panta 1. </w:t>
      </w:r>
      <w:r w:rsidR="007643DD">
        <w:rPr>
          <w:rFonts w:ascii="Times New Roman" w:hAnsi="Times New Roman"/>
          <w:sz w:val="24"/>
        </w:rPr>
        <w:t>daļu</w:t>
      </w:r>
      <w:r>
        <w:rPr>
          <w:rFonts w:ascii="Times New Roman" w:hAnsi="Times New Roman"/>
          <w:sz w:val="24"/>
        </w:rPr>
        <w:t>.</w:t>
      </w:r>
    </w:p>
    <w:p w14:paraId="0EEC9EDC"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6971A3E" w14:textId="3F012546" w:rsidR="00287FF3" w:rsidRPr="00287FF3" w:rsidRDefault="00427A57" w:rsidP="00427A57">
      <w:pPr>
        <w:widowControl w:val="0"/>
        <w:tabs>
          <w:tab w:val="left" w:pos="408"/>
        </w:tabs>
        <w:jc w:val="both"/>
        <w:rPr>
          <w:rFonts w:ascii="Times New Roman" w:eastAsia="Times New Roman" w:hAnsi="Times New Roman" w:cs="Times New Roman"/>
          <w:noProof/>
          <w:sz w:val="24"/>
          <w:szCs w:val="24"/>
        </w:rPr>
      </w:pPr>
      <w:r>
        <w:rPr>
          <w:rFonts w:ascii="Times New Roman" w:hAnsi="Times New Roman"/>
          <w:sz w:val="24"/>
        </w:rPr>
        <w:t>3. Iemaksu novērtējumus valstīm, uz kurām attiecas 2. </w:t>
      </w:r>
      <w:r w:rsidR="007643DD">
        <w:rPr>
          <w:rFonts w:ascii="Times New Roman" w:hAnsi="Times New Roman"/>
          <w:sz w:val="24"/>
        </w:rPr>
        <w:t>daļa</w:t>
      </w:r>
      <w:r>
        <w:rPr>
          <w:rFonts w:ascii="Times New Roman" w:hAnsi="Times New Roman"/>
          <w:sz w:val="24"/>
        </w:rPr>
        <w:t>, nosaka provizoriski, atbilstoši nepieciešamībai un saskaņā ar VII panta 1. </w:t>
      </w:r>
      <w:r w:rsidR="006501AB">
        <w:rPr>
          <w:rFonts w:ascii="Times New Roman" w:hAnsi="Times New Roman"/>
          <w:sz w:val="24"/>
        </w:rPr>
        <w:t>daļu</w:t>
      </w:r>
      <w:r>
        <w:rPr>
          <w:rFonts w:ascii="Times New Roman" w:hAnsi="Times New Roman"/>
          <w:sz w:val="24"/>
        </w:rPr>
        <w:t>. Beidzoties 1. </w:t>
      </w:r>
      <w:r w:rsidR="007643DD">
        <w:rPr>
          <w:rFonts w:ascii="Times New Roman" w:hAnsi="Times New Roman"/>
          <w:sz w:val="24"/>
        </w:rPr>
        <w:t>daļā</w:t>
      </w:r>
      <w:r>
        <w:rPr>
          <w:rFonts w:ascii="Times New Roman" w:hAnsi="Times New Roman"/>
          <w:sz w:val="24"/>
        </w:rPr>
        <w:t xml:space="preserve"> norādītajam termiņam, galīgo izmaksu sadali starp šīm valstīm veic, pamatojoties uz faktiskajiem izdevumiem. Visus valsts virsmaksājumus, kas pārsniedz tai noteikto galīgo daļu, ieskaita tās kredītā.</w:t>
      </w:r>
    </w:p>
    <w:p w14:paraId="0DD6787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77D8530E"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i/>
          <w:iCs/>
          <w:sz w:val="24"/>
        </w:rPr>
        <w:t>To apliecinot</w:t>
      </w:r>
      <w:r>
        <w:rPr>
          <w:rFonts w:ascii="Times New Roman" w:hAnsi="Times New Roman"/>
          <w:sz w:val="24"/>
        </w:rPr>
        <w:t>, pienācīgi pilnvaroti pārstāvji ir parakstījuši šo līgumu.</w:t>
      </w:r>
    </w:p>
    <w:p w14:paraId="40F73A8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678CD2A9" w14:textId="7777777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Parakstīts vienā oriģināleksemplārā Ženēvā 1969. gada 13. februārī angļu, franču un vācu valodā, visiem trim tekstiem ir vienāds spēks; oriģināleksemplārs tiek iesniegts Šveices valdības arhīvā, kurš nosūta apstiprinātas kopijas visām parakstītājvalstīm un valstīm, kas pievienojas.</w:t>
      </w:r>
    </w:p>
    <w:p w14:paraId="207A8F23"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271D5B17" w14:textId="5EE713D8" w:rsidR="00427A57" w:rsidRDefault="00287FF3" w:rsidP="00534C03">
      <w:pPr>
        <w:widowControl w:val="0"/>
        <w:jc w:val="both"/>
        <w:rPr>
          <w:rFonts w:ascii="Times New Roman" w:eastAsia="Times New Roman" w:hAnsi="Times New Roman" w:cs="Times New Roman"/>
          <w:i/>
          <w:noProof/>
          <w:sz w:val="24"/>
          <w:szCs w:val="24"/>
        </w:rPr>
      </w:pPr>
      <w:r>
        <w:rPr>
          <w:rFonts w:ascii="Times New Roman" w:hAnsi="Times New Roman"/>
          <w:i/>
          <w:sz w:val="24"/>
        </w:rPr>
        <w:t>(Turpinājumā seko paraksti)</w:t>
      </w:r>
      <w:r>
        <w:rPr>
          <w:rFonts w:ascii="Times New Roman" w:hAnsi="Times New Roman"/>
          <w:i/>
          <w:sz w:val="24"/>
        </w:rPr>
        <w:br w:type="page"/>
      </w:r>
    </w:p>
    <w:p w14:paraId="62D1F49C" w14:textId="1DAA3E1B" w:rsidR="00287FF3" w:rsidRPr="00427A57" w:rsidRDefault="00287FF3" w:rsidP="00427A57">
      <w:pPr>
        <w:jc w:val="right"/>
        <w:rPr>
          <w:rFonts w:ascii="Times New Roman" w:eastAsia="Times New Roman" w:hAnsi="Times New Roman" w:cs="Times New Roman"/>
          <w:noProof/>
          <w:sz w:val="24"/>
          <w:szCs w:val="24"/>
        </w:rPr>
      </w:pPr>
      <w:r>
        <w:rPr>
          <w:rFonts w:ascii="Times New Roman" w:hAnsi="Times New Roman"/>
          <w:i/>
          <w:sz w:val="24"/>
        </w:rPr>
        <w:lastRenderedPageBreak/>
        <w:t>Pielikums</w:t>
      </w:r>
      <w:bookmarkStart w:id="7" w:name="page22"/>
      <w:bookmarkEnd w:id="7"/>
    </w:p>
    <w:p w14:paraId="2BA1F105"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7EA81951" w14:textId="77777777" w:rsidR="00287FF3" w:rsidRPr="00427A57" w:rsidRDefault="00287FF3" w:rsidP="00427A57">
      <w:pPr>
        <w:widowControl w:val="0"/>
        <w:jc w:val="both"/>
        <w:rPr>
          <w:rFonts w:ascii="Times New Roman" w:eastAsia="Times New Roman" w:hAnsi="Times New Roman" w:cs="Times New Roman"/>
          <w:b/>
          <w:noProof/>
          <w:sz w:val="28"/>
          <w:szCs w:val="28"/>
        </w:rPr>
      </w:pPr>
      <w:r>
        <w:rPr>
          <w:rFonts w:ascii="Times New Roman" w:hAnsi="Times New Roman"/>
          <w:b/>
          <w:sz w:val="28"/>
        </w:rPr>
        <w:t xml:space="preserve">Iemaksu skala, ko </w:t>
      </w:r>
      <w:r>
        <w:rPr>
          <w:rFonts w:ascii="Times New Roman" w:hAnsi="Times New Roman"/>
          <w:b/>
          <w:i/>
          <w:iCs/>
          <w:sz w:val="28"/>
        </w:rPr>
        <w:t>CERN</w:t>
      </w:r>
      <w:r>
        <w:rPr>
          <w:rFonts w:ascii="Times New Roman" w:hAnsi="Times New Roman"/>
          <w:b/>
          <w:sz w:val="28"/>
        </w:rPr>
        <w:t xml:space="preserve"> sagatavojis 1967. gadam, pamatojoties uz vidējiem nacionālajiem ienākumiem 1962.–1964. gadā</w:t>
      </w:r>
    </w:p>
    <w:p w14:paraId="11E023BA"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5EC74E3E" w14:textId="65633731"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Šī skala ir sniegta tikai šā līguma XI panta 4. </w:t>
      </w:r>
      <w:r w:rsidR="006501AB">
        <w:rPr>
          <w:rFonts w:ascii="Times New Roman" w:hAnsi="Times New Roman"/>
          <w:sz w:val="24"/>
        </w:rPr>
        <w:t>daļas</w:t>
      </w:r>
      <w:r>
        <w:rPr>
          <w:rFonts w:ascii="Times New Roman" w:hAnsi="Times New Roman"/>
          <w:sz w:val="24"/>
        </w:rPr>
        <w:t xml:space="preserve"> a) punktā minētajā nolūkā. Tā nekādi neietekmē lēmumus, kas Padomei būs jāpieņem saskaņā ar VII panta 1. </w:t>
      </w:r>
      <w:r w:rsidR="001A6E01">
        <w:rPr>
          <w:rFonts w:ascii="Times New Roman" w:hAnsi="Times New Roman"/>
          <w:sz w:val="24"/>
        </w:rPr>
        <w:t>daļu</w:t>
      </w:r>
      <w:r>
        <w:rPr>
          <w:rFonts w:ascii="Times New Roman" w:hAnsi="Times New Roman"/>
          <w:sz w:val="24"/>
        </w:rPr>
        <w:t xml:space="preserve"> par turpmākajām iemaksu skalām.</w:t>
      </w:r>
    </w:p>
    <w:p w14:paraId="32809931"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p w14:paraId="0A81B329"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tbl>
      <w:tblPr>
        <w:tblW w:w="5000" w:type="pct"/>
        <w:tblCellMar>
          <w:top w:w="28" w:type="dxa"/>
          <w:left w:w="28" w:type="dxa"/>
          <w:bottom w:w="28" w:type="dxa"/>
          <w:right w:w="28" w:type="dxa"/>
        </w:tblCellMar>
        <w:tblLook w:val="0000" w:firstRow="0" w:lastRow="0" w:firstColumn="0" w:lastColumn="0" w:noHBand="0" w:noVBand="0"/>
      </w:tblPr>
      <w:tblGrid>
        <w:gridCol w:w="8350"/>
        <w:gridCol w:w="722"/>
      </w:tblGrid>
      <w:tr w:rsidR="00287FF3" w:rsidRPr="00287FF3" w14:paraId="7D90C815" w14:textId="77777777" w:rsidTr="00D91937">
        <w:tc>
          <w:tcPr>
            <w:tcW w:w="4602" w:type="pct"/>
            <w:tcBorders>
              <w:top w:val="single" w:sz="8" w:space="0" w:color="auto"/>
              <w:bottom w:val="single" w:sz="8" w:space="0" w:color="auto"/>
            </w:tcBorders>
            <w:shd w:val="clear" w:color="auto" w:fill="auto"/>
            <w:vAlign w:val="bottom"/>
          </w:tcPr>
          <w:p w14:paraId="2CC2F4E0"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tc>
        <w:tc>
          <w:tcPr>
            <w:tcW w:w="398" w:type="pct"/>
            <w:tcBorders>
              <w:top w:val="single" w:sz="8" w:space="0" w:color="auto"/>
              <w:bottom w:val="single" w:sz="8" w:space="0" w:color="auto"/>
            </w:tcBorders>
            <w:shd w:val="clear" w:color="auto" w:fill="auto"/>
            <w:vAlign w:val="bottom"/>
          </w:tcPr>
          <w:p w14:paraId="4E390C11"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w:t>
            </w:r>
          </w:p>
        </w:tc>
      </w:tr>
      <w:tr w:rsidR="00287FF3" w:rsidRPr="00287FF3" w14:paraId="060865FA" w14:textId="77777777" w:rsidTr="00D91937">
        <w:tc>
          <w:tcPr>
            <w:tcW w:w="4602" w:type="pct"/>
            <w:shd w:val="clear" w:color="auto" w:fill="auto"/>
            <w:vAlign w:val="bottom"/>
          </w:tcPr>
          <w:p w14:paraId="3658BAA7" w14:textId="164B66AE"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Austrija....……………………………..………………………………….…………</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04FD573D"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1,87</w:t>
            </w:r>
          </w:p>
        </w:tc>
      </w:tr>
      <w:tr w:rsidR="00287FF3" w:rsidRPr="00287FF3" w14:paraId="00DEDE85" w14:textId="77777777" w:rsidTr="00D91937">
        <w:tc>
          <w:tcPr>
            <w:tcW w:w="4602" w:type="pct"/>
            <w:shd w:val="clear" w:color="auto" w:fill="auto"/>
            <w:vAlign w:val="bottom"/>
          </w:tcPr>
          <w:p w14:paraId="0B3CDEBF" w14:textId="7A5B2946"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Beļģija.....………………………….….…………………………………………….</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3939FE55"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3,51</w:t>
            </w:r>
          </w:p>
        </w:tc>
      </w:tr>
      <w:tr w:rsidR="00287FF3" w:rsidRPr="00287FF3" w14:paraId="51C6DB8F" w14:textId="77777777" w:rsidTr="00D91937">
        <w:tc>
          <w:tcPr>
            <w:tcW w:w="4602" w:type="pct"/>
            <w:shd w:val="clear" w:color="auto" w:fill="auto"/>
            <w:vAlign w:val="bottom"/>
          </w:tcPr>
          <w:p w14:paraId="010B4D6A" w14:textId="55AA1E59"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Dānija....……………………….……………………………………………….…</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29A59EB9"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2,02</w:t>
            </w:r>
          </w:p>
        </w:tc>
      </w:tr>
      <w:tr w:rsidR="00287FF3" w:rsidRPr="00287FF3" w14:paraId="2645C4AE" w14:textId="77777777" w:rsidTr="00D91937">
        <w:tc>
          <w:tcPr>
            <w:tcW w:w="4602" w:type="pct"/>
            <w:shd w:val="clear" w:color="auto" w:fill="auto"/>
            <w:vAlign w:val="bottom"/>
          </w:tcPr>
          <w:p w14:paraId="54E1DEEB" w14:textId="6C73FBAF"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Vācijas Federatīvā Republika.. ………………….….……………………………</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7831B6FB"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22,96</w:t>
            </w:r>
          </w:p>
        </w:tc>
      </w:tr>
      <w:tr w:rsidR="00287FF3" w:rsidRPr="00287FF3" w14:paraId="2DC57F92" w14:textId="77777777" w:rsidTr="00D91937">
        <w:tc>
          <w:tcPr>
            <w:tcW w:w="4602" w:type="pct"/>
            <w:shd w:val="clear" w:color="auto" w:fill="auto"/>
            <w:vAlign w:val="bottom"/>
          </w:tcPr>
          <w:p w14:paraId="5D9706AC" w14:textId="7E8209EE"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Francija.…….…………………….………………………………….……….……</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05E7EEEC"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19,06</w:t>
            </w:r>
          </w:p>
        </w:tc>
      </w:tr>
      <w:tr w:rsidR="00287FF3" w:rsidRPr="00287FF3" w14:paraId="35C51AF9" w14:textId="77777777" w:rsidTr="00D91937">
        <w:tc>
          <w:tcPr>
            <w:tcW w:w="4602" w:type="pct"/>
            <w:shd w:val="clear" w:color="auto" w:fill="auto"/>
            <w:vAlign w:val="bottom"/>
          </w:tcPr>
          <w:p w14:paraId="0CBBC17C" w14:textId="403F9F91"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Grieķija.………………………………………………………………………….……</w:t>
            </w:r>
          </w:p>
        </w:tc>
        <w:tc>
          <w:tcPr>
            <w:tcW w:w="398" w:type="pct"/>
            <w:shd w:val="clear" w:color="auto" w:fill="auto"/>
            <w:vAlign w:val="bottom"/>
          </w:tcPr>
          <w:p w14:paraId="19FA636D"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1,16</w:t>
            </w:r>
          </w:p>
        </w:tc>
      </w:tr>
      <w:tr w:rsidR="00287FF3" w:rsidRPr="00287FF3" w14:paraId="5EC28CC3" w14:textId="77777777" w:rsidTr="00D91937">
        <w:tc>
          <w:tcPr>
            <w:tcW w:w="4602" w:type="pct"/>
            <w:shd w:val="clear" w:color="auto" w:fill="auto"/>
            <w:vAlign w:val="bottom"/>
          </w:tcPr>
          <w:p w14:paraId="65A89C25" w14:textId="6941BA14"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Itālija.....….……………………………………………………………………………</w:t>
            </w:r>
          </w:p>
        </w:tc>
        <w:tc>
          <w:tcPr>
            <w:tcW w:w="398" w:type="pct"/>
            <w:shd w:val="clear" w:color="auto" w:fill="auto"/>
            <w:vAlign w:val="bottom"/>
          </w:tcPr>
          <w:p w14:paraId="107B218B"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11,08</w:t>
            </w:r>
          </w:p>
        </w:tc>
      </w:tr>
      <w:tr w:rsidR="00287FF3" w:rsidRPr="00287FF3" w14:paraId="4417F18D" w14:textId="77777777" w:rsidTr="00D91937">
        <w:tc>
          <w:tcPr>
            <w:tcW w:w="4602" w:type="pct"/>
            <w:shd w:val="clear" w:color="auto" w:fill="auto"/>
            <w:vAlign w:val="bottom"/>
          </w:tcPr>
          <w:p w14:paraId="689F08AD" w14:textId="38057D07"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Nīderlande.………………………………………………………………….…………</w:t>
            </w:r>
          </w:p>
        </w:tc>
        <w:tc>
          <w:tcPr>
            <w:tcW w:w="398" w:type="pct"/>
            <w:shd w:val="clear" w:color="auto" w:fill="auto"/>
            <w:vAlign w:val="bottom"/>
          </w:tcPr>
          <w:p w14:paraId="381CCE02"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3,82</w:t>
            </w:r>
          </w:p>
        </w:tc>
      </w:tr>
      <w:tr w:rsidR="00287FF3" w:rsidRPr="00287FF3" w14:paraId="7AA7649F" w14:textId="77777777" w:rsidTr="00D91937">
        <w:tc>
          <w:tcPr>
            <w:tcW w:w="4602" w:type="pct"/>
            <w:shd w:val="clear" w:color="auto" w:fill="auto"/>
            <w:vAlign w:val="bottom"/>
          </w:tcPr>
          <w:p w14:paraId="659A8B5B" w14:textId="2E9A0D9B"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Norvēģija.………………………………………………………………….……….</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74E119CB"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1,39</w:t>
            </w:r>
          </w:p>
        </w:tc>
      </w:tr>
      <w:tr w:rsidR="00287FF3" w:rsidRPr="00287FF3" w14:paraId="54147577" w14:textId="77777777" w:rsidTr="00D91937">
        <w:tc>
          <w:tcPr>
            <w:tcW w:w="4602" w:type="pct"/>
            <w:shd w:val="clear" w:color="auto" w:fill="auto"/>
            <w:vAlign w:val="bottom"/>
          </w:tcPr>
          <w:p w14:paraId="02CC2CEA" w14:textId="04870BA0"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Spānija.…….…………………….…………………..……………………………</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6DE3B7F0"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4,26</w:t>
            </w:r>
          </w:p>
        </w:tc>
      </w:tr>
      <w:tr w:rsidR="00287FF3" w:rsidRPr="00287FF3" w14:paraId="204DD631" w14:textId="77777777" w:rsidTr="00D91937">
        <w:tc>
          <w:tcPr>
            <w:tcW w:w="4602" w:type="pct"/>
            <w:shd w:val="clear" w:color="auto" w:fill="auto"/>
            <w:vAlign w:val="bottom"/>
          </w:tcPr>
          <w:p w14:paraId="2FEB29C7" w14:textId="7AFE38B3"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Zviedrija..……………………………………………………………………...………</w:t>
            </w:r>
          </w:p>
        </w:tc>
        <w:tc>
          <w:tcPr>
            <w:tcW w:w="398" w:type="pct"/>
            <w:shd w:val="clear" w:color="auto" w:fill="auto"/>
            <w:vAlign w:val="bottom"/>
          </w:tcPr>
          <w:p w14:paraId="6BAE7F12"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3,96</w:t>
            </w:r>
          </w:p>
        </w:tc>
      </w:tr>
      <w:tr w:rsidR="00287FF3" w:rsidRPr="00287FF3" w14:paraId="5C59236B" w14:textId="77777777" w:rsidTr="00D91937">
        <w:tc>
          <w:tcPr>
            <w:tcW w:w="4602" w:type="pct"/>
            <w:shd w:val="clear" w:color="auto" w:fill="auto"/>
            <w:vAlign w:val="bottom"/>
          </w:tcPr>
          <w:p w14:paraId="651EEAFE" w14:textId="461825E2"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Šveice.…..……………………………………………………………….…..……</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6E2A0044"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3,07</w:t>
            </w:r>
          </w:p>
        </w:tc>
      </w:tr>
      <w:tr w:rsidR="00287FF3" w:rsidRPr="00287FF3" w14:paraId="1DF67587" w14:textId="77777777" w:rsidTr="00D91937">
        <w:tc>
          <w:tcPr>
            <w:tcW w:w="4602" w:type="pct"/>
            <w:shd w:val="clear" w:color="auto" w:fill="auto"/>
            <w:vAlign w:val="bottom"/>
          </w:tcPr>
          <w:p w14:paraId="62B09D4E" w14:textId="61E153FD" w:rsidR="00287FF3" w:rsidRPr="00287FF3" w:rsidRDefault="00287FF3" w:rsidP="00427A57">
            <w:pPr>
              <w:widowControl w:val="0"/>
              <w:jc w:val="both"/>
              <w:rPr>
                <w:rFonts w:ascii="Times New Roman" w:eastAsia="Times New Roman" w:hAnsi="Times New Roman" w:cs="Times New Roman"/>
                <w:noProof/>
                <w:sz w:val="24"/>
                <w:szCs w:val="24"/>
              </w:rPr>
            </w:pPr>
            <w:r>
              <w:rPr>
                <w:rFonts w:ascii="Times New Roman" w:hAnsi="Times New Roman"/>
                <w:sz w:val="24"/>
              </w:rPr>
              <w:t>Lielbritānijas un Ziemeļīrijas Apvienotā Karaliste....……….…………..….……</w:t>
            </w:r>
            <w:r w:rsidR="00D91937">
              <w:rPr>
                <w:rFonts w:ascii="Times New Roman" w:hAnsi="Times New Roman"/>
                <w:sz w:val="24"/>
              </w:rPr>
              <w:t>..</w:t>
            </w:r>
            <w:r>
              <w:rPr>
                <w:rFonts w:ascii="Times New Roman" w:hAnsi="Times New Roman"/>
                <w:sz w:val="24"/>
              </w:rPr>
              <w:t>…</w:t>
            </w:r>
          </w:p>
        </w:tc>
        <w:tc>
          <w:tcPr>
            <w:tcW w:w="398" w:type="pct"/>
            <w:shd w:val="clear" w:color="auto" w:fill="auto"/>
            <w:vAlign w:val="bottom"/>
          </w:tcPr>
          <w:p w14:paraId="2C8FA695" w14:textId="77777777" w:rsidR="00287FF3" w:rsidRPr="00427A57" w:rsidRDefault="00287FF3" w:rsidP="00427A57">
            <w:pPr>
              <w:widowControl w:val="0"/>
              <w:jc w:val="right"/>
              <w:rPr>
                <w:rFonts w:ascii="Times New Roman" w:eastAsia="Times New Roman" w:hAnsi="Times New Roman" w:cs="Times New Roman"/>
                <w:noProof/>
                <w:sz w:val="24"/>
                <w:szCs w:val="24"/>
                <w:u w:val="single"/>
              </w:rPr>
            </w:pPr>
            <w:r>
              <w:rPr>
                <w:rFonts w:ascii="Times New Roman" w:hAnsi="Times New Roman"/>
                <w:sz w:val="24"/>
                <w:u w:val="single"/>
              </w:rPr>
              <w:t>21,84</w:t>
            </w:r>
          </w:p>
        </w:tc>
      </w:tr>
      <w:tr w:rsidR="00287FF3" w:rsidRPr="00287FF3" w14:paraId="5668A507" w14:textId="77777777" w:rsidTr="00D91937">
        <w:tc>
          <w:tcPr>
            <w:tcW w:w="4602" w:type="pct"/>
            <w:shd w:val="clear" w:color="auto" w:fill="auto"/>
            <w:vAlign w:val="bottom"/>
          </w:tcPr>
          <w:p w14:paraId="30AAC8C8"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tc>
        <w:tc>
          <w:tcPr>
            <w:tcW w:w="398" w:type="pct"/>
            <w:shd w:val="clear" w:color="auto" w:fill="auto"/>
            <w:vAlign w:val="bottom"/>
          </w:tcPr>
          <w:p w14:paraId="22E56BE3" w14:textId="77777777" w:rsidR="00287FF3" w:rsidRPr="00287FF3" w:rsidRDefault="00287FF3" w:rsidP="00427A57">
            <w:pPr>
              <w:widowControl w:val="0"/>
              <w:jc w:val="right"/>
              <w:rPr>
                <w:rFonts w:ascii="Times New Roman" w:eastAsia="Times New Roman" w:hAnsi="Times New Roman" w:cs="Times New Roman"/>
                <w:noProof/>
                <w:sz w:val="24"/>
                <w:szCs w:val="24"/>
              </w:rPr>
            </w:pPr>
            <w:r>
              <w:rPr>
                <w:rFonts w:ascii="Times New Roman" w:hAnsi="Times New Roman"/>
                <w:sz w:val="24"/>
              </w:rPr>
              <w:t>100,00</w:t>
            </w:r>
          </w:p>
        </w:tc>
      </w:tr>
    </w:tbl>
    <w:p w14:paraId="078FD4EA" w14:textId="77777777" w:rsidR="00287FF3" w:rsidRPr="00287FF3" w:rsidRDefault="00287FF3" w:rsidP="00427A57">
      <w:pPr>
        <w:widowControl w:val="0"/>
        <w:jc w:val="both"/>
        <w:rPr>
          <w:rFonts w:ascii="Times New Roman" w:eastAsia="Times New Roman" w:hAnsi="Times New Roman" w:cs="Times New Roman"/>
          <w:noProof/>
          <w:sz w:val="24"/>
          <w:szCs w:val="24"/>
          <w:lang w:val="en-US"/>
        </w:rPr>
      </w:pPr>
    </w:p>
    <w:sectPr w:rsidR="00287FF3" w:rsidRPr="00287FF3" w:rsidSect="00427A57">
      <w:headerReference w:type="default" r:id="rId10"/>
      <w:footerReference w:type="default" r:id="rId11"/>
      <w:headerReference w:type="first" r:id="rId12"/>
      <w:footerReference w:type="first" r:id="rId13"/>
      <w:pgSz w:w="11907" w:h="16840"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E879" w14:textId="77777777" w:rsidR="00CD07F1" w:rsidRPr="00287FF3" w:rsidRDefault="00CD07F1" w:rsidP="00287FF3">
      <w:pPr>
        <w:rPr>
          <w:noProof/>
          <w:lang w:val="en-US"/>
        </w:rPr>
      </w:pPr>
      <w:r w:rsidRPr="00287FF3">
        <w:rPr>
          <w:noProof/>
          <w:lang w:val="en-US"/>
        </w:rPr>
        <w:separator/>
      </w:r>
    </w:p>
  </w:endnote>
  <w:endnote w:type="continuationSeparator" w:id="0">
    <w:p w14:paraId="231A3746" w14:textId="77777777" w:rsidR="00CD07F1" w:rsidRPr="00287FF3" w:rsidRDefault="00CD07F1" w:rsidP="00287FF3">
      <w:pPr>
        <w:rPr>
          <w:noProof/>
          <w:lang w:val="en-US"/>
        </w:rPr>
      </w:pPr>
      <w:r w:rsidRPr="00287FF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1AD9" w14:textId="77777777" w:rsidR="00D256A4" w:rsidRPr="003E62C2" w:rsidRDefault="00D256A4" w:rsidP="00D256A4">
    <w:pPr>
      <w:pStyle w:val="Header"/>
      <w:tabs>
        <w:tab w:val="left" w:pos="9072"/>
      </w:tabs>
      <w:jc w:val="both"/>
      <w:rPr>
        <w:rStyle w:val="PageNumber"/>
        <w:rFonts w:ascii="Times New Roman" w:hAnsi="Times New Roman"/>
        <w:noProof/>
        <w:szCs w:val="18"/>
        <w:lang w:val="en-US"/>
      </w:rPr>
    </w:pPr>
  </w:p>
  <w:p w14:paraId="080AB9D2" w14:textId="77777777" w:rsidR="00D256A4" w:rsidRPr="003E62C2" w:rsidRDefault="00D256A4" w:rsidP="00D256A4">
    <w:pPr>
      <w:pStyle w:val="Header"/>
      <w:tabs>
        <w:tab w:val="clear" w:pos="4153"/>
        <w:tab w:val="clear" w:pos="8306"/>
        <w:tab w:val="left" w:leader="underscore" w:pos="9072"/>
      </w:tabs>
      <w:jc w:val="both"/>
      <w:rPr>
        <w:rFonts w:ascii="Times New Roman" w:hAnsi="Times New Roman"/>
        <w:noProof/>
        <w:szCs w:val="18"/>
        <w:lang w:val="en-US"/>
      </w:rPr>
    </w:pPr>
    <w:r w:rsidRPr="003E62C2">
      <w:rPr>
        <w:rFonts w:ascii="Times New Roman" w:hAnsi="Times New Roman"/>
        <w:noProof/>
        <w:szCs w:val="18"/>
        <w:lang w:val="en-US"/>
      </w:rPr>
      <w:tab/>
    </w:r>
  </w:p>
  <w:p w14:paraId="1E876F9A" w14:textId="77777777" w:rsidR="00D256A4" w:rsidRPr="003E62C2" w:rsidRDefault="00D256A4" w:rsidP="00D256A4">
    <w:pPr>
      <w:pStyle w:val="Header"/>
      <w:tabs>
        <w:tab w:val="left" w:pos="9072"/>
      </w:tabs>
      <w:jc w:val="both"/>
      <w:rPr>
        <w:rStyle w:val="PageNumber"/>
        <w:rFonts w:ascii="Times New Roman" w:hAnsi="Times New Roman"/>
        <w:noProof/>
        <w:szCs w:val="18"/>
        <w:lang w:val="en-US"/>
      </w:rPr>
    </w:pPr>
  </w:p>
  <w:p w14:paraId="7D083643" w14:textId="6404E106" w:rsidR="00287FF3" w:rsidRPr="00D256A4" w:rsidRDefault="00D256A4" w:rsidP="00D256A4">
    <w:pPr>
      <w:pStyle w:val="Footer"/>
      <w:tabs>
        <w:tab w:val="clear" w:pos="4153"/>
        <w:tab w:val="clear" w:pos="8306"/>
        <w:tab w:val="center" w:pos="9072"/>
      </w:tabs>
      <w:jc w:val="both"/>
      <w:rPr>
        <w:rFonts w:ascii="Times New Roman" w:hAnsi="Times New Roman"/>
        <w:noProof/>
        <w:szCs w:val="18"/>
        <w:lang w:val="en-US"/>
      </w:rPr>
    </w:pPr>
    <w:r w:rsidRPr="003E62C2">
      <w:rPr>
        <w:rFonts w:ascii="Times New Roman" w:hAnsi="Times New Roman"/>
        <w:noProof/>
        <w:szCs w:val="18"/>
        <w:lang w:val="en-US"/>
      </w:rPr>
      <w:t xml:space="preserve">Tulkojums </w:t>
    </w:r>
    <w:r w:rsidRPr="003E62C2">
      <w:rPr>
        <w:rFonts w:ascii="Times New Roman" w:hAnsi="Times New Roman"/>
        <w:noProof/>
        <w:szCs w:val="18"/>
        <w:lang w:val="en-US"/>
      </w:rPr>
      <w:fldChar w:fldCharType="begin"/>
    </w:r>
    <w:r w:rsidRPr="003E62C2">
      <w:rPr>
        <w:rFonts w:ascii="Times New Roman" w:hAnsi="Times New Roman"/>
        <w:noProof/>
        <w:szCs w:val="18"/>
        <w:lang w:val="en-US"/>
      </w:rPr>
      <w:instrText>symbol 211 \f "Symbol" \s 9</w:instrText>
    </w:r>
    <w:r w:rsidRPr="003E62C2">
      <w:rPr>
        <w:rFonts w:ascii="Times New Roman" w:hAnsi="Times New Roman"/>
        <w:noProof/>
        <w:szCs w:val="18"/>
        <w:lang w:val="en-US"/>
      </w:rPr>
      <w:fldChar w:fldCharType="separate"/>
    </w:r>
    <w:r w:rsidRPr="003E62C2">
      <w:rPr>
        <w:rFonts w:ascii="Times New Roman" w:hAnsi="Times New Roman"/>
        <w:noProof/>
        <w:szCs w:val="18"/>
        <w:lang w:val="en-US"/>
      </w:rPr>
      <w:t>Ó</w:t>
    </w:r>
    <w:r w:rsidRPr="003E62C2">
      <w:rPr>
        <w:rFonts w:ascii="Times New Roman" w:hAnsi="Times New Roman"/>
        <w:noProof/>
        <w:szCs w:val="18"/>
        <w:lang w:val="en-US"/>
      </w:rPr>
      <w:fldChar w:fldCharType="end"/>
    </w:r>
    <w:r w:rsidRPr="003E62C2">
      <w:rPr>
        <w:rFonts w:ascii="Times New Roman" w:hAnsi="Times New Roman"/>
        <w:noProof/>
        <w:szCs w:val="18"/>
        <w:lang w:val="en-US"/>
      </w:rPr>
      <w:t xml:space="preserve"> Valsts valodas centrs, 202</w:t>
    </w:r>
    <w:r>
      <w:rPr>
        <w:rFonts w:ascii="Times New Roman" w:hAnsi="Times New Roman"/>
        <w:noProof/>
        <w:szCs w:val="18"/>
        <w:lang w:val="en-US"/>
      </w:rPr>
      <w:t>3</w:t>
    </w:r>
    <w:r>
      <w:rPr>
        <w:rFonts w:ascii="Times New Roman" w:hAnsi="Times New Roman"/>
        <w:noProof/>
        <w:szCs w:val="18"/>
        <w:lang w:val="en-US"/>
      </w:rPr>
      <w:tab/>
    </w:r>
    <w:r w:rsidRPr="00D256A4">
      <w:rPr>
        <w:rFonts w:ascii="Times New Roman" w:hAnsi="Times New Roman"/>
        <w:noProof/>
        <w:szCs w:val="18"/>
        <w:lang w:val="en-US"/>
      </w:rPr>
      <w:fldChar w:fldCharType="begin"/>
    </w:r>
    <w:r w:rsidRPr="00D256A4">
      <w:rPr>
        <w:rFonts w:ascii="Times New Roman" w:hAnsi="Times New Roman"/>
        <w:noProof/>
        <w:szCs w:val="18"/>
        <w:lang w:val="en-US"/>
      </w:rPr>
      <w:instrText>PAGE   \* MERGEFORMAT</w:instrText>
    </w:r>
    <w:r w:rsidRPr="00D256A4">
      <w:rPr>
        <w:rFonts w:ascii="Times New Roman" w:hAnsi="Times New Roman"/>
        <w:noProof/>
        <w:szCs w:val="18"/>
        <w:lang w:val="en-US"/>
      </w:rPr>
      <w:fldChar w:fldCharType="separate"/>
    </w:r>
    <w:r w:rsidRPr="00D256A4">
      <w:rPr>
        <w:rFonts w:ascii="Times New Roman" w:hAnsi="Times New Roman"/>
        <w:noProof/>
        <w:szCs w:val="18"/>
        <w:lang w:val="en-US"/>
      </w:rPr>
      <w:t>1</w:t>
    </w:r>
    <w:r w:rsidRPr="00D256A4">
      <w:rPr>
        <w:rFonts w:ascii="Times New Roman" w:hAnsi="Times New Roman"/>
        <w:noProof/>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E7BB" w14:textId="77777777" w:rsidR="00D256A4" w:rsidRPr="003E62C2" w:rsidRDefault="00D256A4" w:rsidP="00D256A4">
    <w:pPr>
      <w:pStyle w:val="Header"/>
      <w:tabs>
        <w:tab w:val="left" w:pos="9072"/>
      </w:tabs>
      <w:jc w:val="both"/>
      <w:rPr>
        <w:rStyle w:val="PageNumber"/>
        <w:rFonts w:ascii="Times New Roman" w:hAnsi="Times New Roman"/>
        <w:noProof/>
        <w:szCs w:val="18"/>
        <w:lang w:val="en-US"/>
      </w:rPr>
    </w:pPr>
    <w:bookmarkStart w:id="13" w:name="_Hlk496261764"/>
    <w:bookmarkStart w:id="14" w:name="_Hlk496261765"/>
    <w:bookmarkStart w:id="15" w:name="_Hlk496261766"/>
    <w:bookmarkStart w:id="16" w:name="_Hlk30491075"/>
    <w:bookmarkStart w:id="17" w:name="_Hlk30491076"/>
  </w:p>
  <w:p w14:paraId="35AAAE73" w14:textId="77777777" w:rsidR="00D256A4" w:rsidRPr="003E62C2" w:rsidRDefault="00D256A4" w:rsidP="00D256A4">
    <w:pPr>
      <w:pStyle w:val="Header"/>
      <w:tabs>
        <w:tab w:val="clear" w:pos="4153"/>
        <w:tab w:val="clear" w:pos="8306"/>
        <w:tab w:val="left" w:leader="underscore" w:pos="9072"/>
      </w:tabs>
      <w:jc w:val="both"/>
      <w:rPr>
        <w:rFonts w:ascii="Times New Roman" w:hAnsi="Times New Roman"/>
        <w:noProof/>
        <w:szCs w:val="18"/>
        <w:lang w:val="en-US"/>
      </w:rPr>
    </w:pPr>
    <w:r w:rsidRPr="003E62C2">
      <w:rPr>
        <w:rFonts w:ascii="Times New Roman" w:hAnsi="Times New Roman"/>
        <w:noProof/>
        <w:szCs w:val="18"/>
        <w:lang w:val="en-US"/>
      </w:rPr>
      <w:tab/>
    </w:r>
  </w:p>
  <w:p w14:paraId="6FF3507C" w14:textId="77777777" w:rsidR="00D256A4" w:rsidRPr="003E62C2" w:rsidRDefault="00D256A4" w:rsidP="00D256A4">
    <w:pPr>
      <w:pStyle w:val="Header"/>
      <w:tabs>
        <w:tab w:val="left" w:pos="9072"/>
      </w:tabs>
      <w:jc w:val="both"/>
      <w:rPr>
        <w:rStyle w:val="PageNumber"/>
        <w:rFonts w:ascii="Times New Roman" w:hAnsi="Times New Roman"/>
        <w:noProof/>
        <w:szCs w:val="18"/>
        <w:lang w:val="en-US"/>
      </w:rPr>
    </w:pPr>
  </w:p>
  <w:p w14:paraId="49B1DFEB" w14:textId="35C979F2" w:rsidR="00287FF3" w:rsidRPr="00D256A4" w:rsidRDefault="00D256A4" w:rsidP="00D256A4">
    <w:pPr>
      <w:pStyle w:val="Footer"/>
      <w:jc w:val="both"/>
      <w:rPr>
        <w:rFonts w:ascii="Times New Roman" w:hAnsi="Times New Roman"/>
        <w:noProof/>
        <w:szCs w:val="18"/>
        <w:lang w:val="en-US"/>
      </w:rPr>
    </w:pPr>
    <w:r w:rsidRPr="003E62C2">
      <w:rPr>
        <w:rFonts w:ascii="Times New Roman" w:hAnsi="Times New Roman"/>
        <w:noProof/>
        <w:szCs w:val="18"/>
        <w:lang w:val="en-US"/>
      </w:rPr>
      <w:t xml:space="preserve">Tulkojums </w:t>
    </w:r>
    <w:r w:rsidRPr="003E62C2">
      <w:rPr>
        <w:rFonts w:ascii="Times New Roman" w:hAnsi="Times New Roman"/>
        <w:noProof/>
        <w:szCs w:val="18"/>
        <w:lang w:val="en-US"/>
      </w:rPr>
      <w:fldChar w:fldCharType="begin"/>
    </w:r>
    <w:r w:rsidRPr="003E62C2">
      <w:rPr>
        <w:rFonts w:ascii="Times New Roman" w:hAnsi="Times New Roman"/>
        <w:noProof/>
        <w:szCs w:val="18"/>
        <w:lang w:val="en-US"/>
      </w:rPr>
      <w:instrText>symbol 211 \f "Symbol" \s 9</w:instrText>
    </w:r>
    <w:r w:rsidRPr="003E62C2">
      <w:rPr>
        <w:rFonts w:ascii="Times New Roman" w:hAnsi="Times New Roman"/>
        <w:noProof/>
        <w:szCs w:val="18"/>
        <w:lang w:val="en-US"/>
      </w:rPr>
      <w:fldChar w:fldCharType="separate"/>
    </w:r>
    <w:r w:rsidRPr="003E62C2">
      <w:rPr>
        <w:rFonts w:ascii="Times New Roman" w:hAnsi="Times New Roman"/>
        <w:noProof/>
        <w:szCs w:val="18"/>
        <w:lang w:val="en-US"/>
      </w:rPr>
      <w:t>Ó</w:t>
    </w:r>
    <w:r w:rsidRPr="003E62C2">
      <w:rPr>
        <w:rFonts w:ascii="Times New Roman" w:hAnsi="Times New Roman"/>
        <w:noProof/>
        <w:szCs w:val="18"/>
        <w:lang w:val="en-US"/>
      </w:rPr>
      <w:fldChar w:fldCharType="end"/>
    </w:r>
    <w:r w:rsidRPr="003E62C2">
      <w:rPr>
        <w:rFonts w:ascii="Times New Roman" w:hAnsi="Times New Roman"/>
        <w:noProof/>
        <w:szCs w:val="18"/>
        <w:lang w:val="en-US"/>
      </w:rPr>
      <w:t xml:space="preserve"> Valsts valodas centrs, 20</w:t>
    </w:r>
    <w:bookmarkEnd w:id="13"/>
    <w:bookmarkEnd w:id="14"/>
    <w:bookmarkEnd w:id="15"/>
    <w:r w:rsidRPr="003E62C2">
      <w:rPr>
        <w:rFonts w:ascii="Times New Roman" w:hAnsi="Times New Roman"/>
        <w:noProof/>
        <w:szCs w:val="18"/>
        <w:lang w:val="en-US"/>
      </w:rPr>
      <w:t>2</w:t>
    </w:r>
    <w:bookmarkEnd w:id="16"/>
    <w:bookmarkEnd w:id="17"/>
    <w:r>
      <w:rPr>
        <w:rFonts w:ascii="Times New Roman" w:hAnsi="Times New Roman"/>
        <w:noProof/>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2982" w14:textId="77777777" w:rsidR="00CD07F1" w:rsidRPr="00287FF3" w:rsidRDefault="00CD07F1" w:rsidP="00287FF3">
      <w:pPr>
        <w:rPr>
          <w:noProof/>
          <w:lang w:val="en-US"/>
        </w:rPr>
      </w:pPr>
      <w:r w:rsidRPr="00287FF3">
        <w:rPr>
          <w:noProof/>
          <w:lang w:val="en-US"/>
        </w:rPr>
        <w:separator/>
      </w:r>
    </w:p>
  </w:footnote>
  <w:footnote w:type="continuationSeparator" w:id="0">
    <w:p w14:paraId="35F870FF" w14:textId="77777777" w:rsidR="00CD07F1" w:rsidRPr="00287FF3" w:rsidRDefault="00CD07F1" w:rsidP="00287FF3">
      <w:pPr>
        <w:rPr>
          <w:noProof/>
          <w:lang w:val="en-US"/>
        </w:rPr>
      </w:pPr>
      <w:r w:rsidRPr="00287FF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6AF8" w14:textId="77777777" w:rsidR="00D256A4" w:rsidRPr="003E62C2" w:rsidRDefault="00D256A4" w:rsidP="00D256A4">
    <w:pPr>
      <w:pStyle w:val="Header"/>
      <w:tabs>
        <w:tab w:val="left" w:pos="9072"/>
      </w:tabs>
      <w:jc w:val="both"/>
      <w:rPr>
        <w:rStyle w:val="PageNumber"/>
        <w:rFonts w:ascii="Times New Roman" w:hAnsi="Times New Roman"/>
        <w:noProof/>
        <w:szCs w:val="18"/>
        <w:lang w:val="en-US"/>
      </w:rPr>
    </w:pPr>
  </w:p>
  <w:p w14:paraId="283C7DB1" w14:textId="77777777" w:rsidR="00D256A4" w:rsidRPr="003E62C2" w:rsidRDefault="00D256A4" w:rsidP="00D256A4">
    <w:pPr>
      <w:pStyle w:val="Header"/>
      <w:tabs>
        <w:tab w:val="clear" w:pos="4153"/>
        <w:tab w:val="clear" w:pos="8306"/>
        <w:tab w:val="left" w:leader="underscore" w:pos="9072"/>
      </w:tabs>
      <w:jc w:val="both"/>
      <w:rPr>
        <w:rFonts w:ascii="Times New Roman" w:hAnsi="Times New Roman"/>
        <w:noProof/>
        <w:szCs w:val="18"/>
        <w:lang w:val="en-US"/>
      </w:rPr>
    </w:pPr>
    <w:r w:rsidRPr="003E62C2">
      <w:rPr>
        <w:rFonts w:ascii="Times New Roman" w:hAnsi="Times New Roman"/>
        <w:noProof/>
        <w:szCs w:val="18"/>
        <w:lang w:val="en-US"/>
      </w:rPr>
      <w:tab/>
    </w:r>
  </w:p>
  <w:p w14:paraId="7D4D0EF6" w14:textId="77777777" w:rsidR="00287FF3" w:rsidRDefault="00287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D303" w14:textId="77777777" w:rsidR="00292F30" w:rsidRPr="00027CE9" w:rsidRDefault="00292F30" w:rsidP="00292F30">
    <w:pPr>
      <w:pBdr>
        <w:bottom w:val="single" w:sz="12" w:space="5" w:color="auto"/>
      </w:pBdr>
      <w:rPr>
        <w:rFonts w:ascii="Times New Roman" w:hAnsi="Times New Roman" w:cs="Times New Roman"/>
        <w:noProof/>
        <w:lang w:val="en-US"/>
      </w:rPr>
    </w:pPr>
    <w:bookmarkStart w:id="8" w:name="_Hlk496261745"/>
    <w:bookmarkStart w:id="9" w:name="_Hlk496261746"/>
    <w:bookmarkStart w:id="10" w:name="_Hlk496261747"/>
    <w:bookmarkStart w:id="11" w:name="_Hlk30491063"/>
    <w:bookmarkStart w:id="12" w:name="_Hlk30491064"/>
  </w:p>
  <w:bookmarkEnd w:id="8"/>
  <w:bookmarkEnd w:id="9"/>
  <w:bookmarkEnd w:id="10"/>
  <w:bookmarkEnd w:id="11"/>
  <w:bookmarkEnd w:id="12"/>
  <w:p w14:paraId="3C560D1B" w14:textId="77777777" w:rsidR="00292F30" w:rsidRDefault="00292F30" w:rsidP="00292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7724C67E"/>
    <w:lvl w:ilvl="0" w:tplc="41AE214A">
      <w:start w:val="1"/>
      <w:numFmt w:val="decimal"/>
      <w:lvlText w:val="%1."/>
      <w:lvlJc w:val="left"/>
    </w:lvl>
    <w:lvl w:ilvl="1" w:tplc="74B4A8E2">
      <w:start w:val="1"/>
      <w:numFmt w:val="lowerLetter"/>
      <w:lvlText w:val="%2)"/>
      <w:lvlJc w:val="left"/>
    </w:lvl>
    <w:lvl w:ilvl="2" w:tplc="94FC3206">
      <w:start w:val="1"/>
      <w:numFmt w:val="bullet"/>
      <w:lvlText w:val=""/>
      <w:lvlJc w:val="left"/>
    </w:lvl>
    <w:lvl w:ilvl="3" w:tplc="6B4820CA">
      <w:start w:val="1"/>
      <w:numFmt w:val="bullet"/>
      <w:lvlText w:val=""/>
      <w:lvlJc w:val="left"/>
    </w:lvl>
    <w:lvl w:ilvl="4" w:tplc="645A32E6">
      <w:start w:val="1"/>
      <w:numFmt w:val="bullet"/>
      <w:lvlText w:val=""/>
      <w:lvlJc w:val="left"/>
    </w:lvl>
    <w:lvl w:ilvl="5" w:tplc="2EEA1C48">
      <w:start w:val="1"/>
      <w:numFmt w:val="bullet"/>
      <w:lvlText w:val=""/>
      <w:lvlJc w:val="left"/>
    </w:lvl>
    <w:lvl w:ilvl="6" w:tplc="70E8FE8C">
      <w:start w:val="1"/>
      <w:numFmt w:val="bullet"/>
      <w:lvlText w:val=""/>
      <w:lvlJc w:val="left"/>
    </w:lvl>
    <w:lvl w:ilvl="7" w:tplc="FF0404AC">
      <w:start w:val="1"/>
      <w:numFmt w:val="bullet"/>
      <w:lvlText w:val=""/>
      <w:lvlJc w:val="left"/>
    </w:lvl>
    <w:lvl w:ilvl="8" w:tplc="833AC378">
      <w:start w:val="1"/>
      <w:numFmt w:val="bullet"/>
      <w:lvlText w:val=""/>
      <w:lvlJc w:val="left"/>
    </w:lvl>
  </w:abstractNum>
  <w:abstractNum w:abstractNumId="1" w15:restartNumberingAfterBreak="0">
    <w:nsid w:val="00000013"/>
    <w:multiLevelType w:val="hybridMultilevel"/>
    <w:tmpl w:val="5C482A96"/>
    <w:lvl w:ilvl="0" w:tplc="31BA2A6A">
      <w:start w:val="3"/>
      <w:numFmt w:val="decimal"/>
      <w:lvlText w:val="%1."/>
      <w:lvlJc w:val="left"/>
    </w:lvl>
    <w:lvl w:ilvl="1" w:tplc="B1AEFD0A">
      <w:start w:val="1"/>
      <w:numFmt w:val="bullet"/>
      <w:lvlText w:val=""/>
      <w:lvlJc w:val="left"/>
    </w:lvl>
    <w:lvl w:ilvl="2" w:tplc="FB7C79CC">
      <w:start w:val="1"/>
      <w:numFmt w:val="bullet"/>
      <w:lvlText w:val=""/>
      <w:lvlJc w:val="left"/>
    </w:lvl>
    <w:lvl w:ilvl="3" w:tplc="EB3ABC58">
      <w:start w:val="1"/>
      <w:numFmt w:val="bullet"/>
      <w:lvlText w:val=""/>
      <w:lvlJc w:val="left"/>
    </w:lvl>
    <w:lvl w:ilvl="4" w:tplc="19067F52">
      <w:start w:val="1"/>
      <w:numFmt w:val="bullet"/>
      <w:lvlText w:val=""/>
      <w:lvlJc w:val="left"/>
    </w:lvl>
    <w:lvl w:ilvl="5" w:tplc="D7E61B5E">
      <w:start w:val="1"/>
      <w:numFmt w:val="bullet"/>
      <w:lvlText w:val=""/>
      <w:lvlJc w:val="left"/>
    </w:lvl>
    <w:lvl w:ilvl="6" w:tplc="4B1E3144">
      <w:start w:val="1"/>
      <w:numFmt w:val="bullet"/>
      <w:lvlText w:val=""/>
      <w:lvlJc w:val="left"/>
    </w:lvl>
    <w:lvl w:ilvl="7" w:tplc="5EDEC82A">
      <w:start w:val="1"/>
      <w:numFmt w:val="bullet"/>
      <w:lvlText w:val=""/>
      <w:lvlJc w:val="left"/>
    </w:lvl>
    <w:lvl w:ilvl="8" w:tplc="8C528B16">
      <w:start w:val="1"/>
      <w:numFmt w:val="bullet"/>
      <w:lvlText w:val=""/>
      <w:lvlJc w:val="left"/>
    </w:lvl>
  </w:abstractNum>
  <w:abstractNum w:abstractNumId="2" w15:restartNumberingAfterBreak="0">
    <w:nsid w:val="00000014"/>
    <w:multiLevelType w:val="hybridMultilevel"/>
    <w:tmpl w:val="2463B9EA"/>
    <w:lvl w:ilvl="0" w:tplc="DE46BE10">
      <w:start w:val="2"/>
      <w:numFmt w:val="decimal"/>
      <w:lvlText w:val="%1."/>
      <w:lvlJc w:val="left"/>
    </w:lvl>
    <w:lvl w:ilvl="1" w:tplc="04544D5E">
      <w:start w:val="1"/>
      <w:numFmt w:val="bullet"/>
      <w:lvlText w:val=""/>
      <w:lvlJc w:val="left"/>
    </w:lvl>
    <w:lvl w:ilvl="2" w:tplc="8F202E62">
      <w:start w:val="1"/>
      <w:numFmt w:val="bullet"/>
      <w:lvlText w:val=""/>
      <w:lvlJc w:val="left"/>
    </w:lvl>
    <w:lvl w:ilvl="3" w:tplc="F37468D2">
      <w:start w:val="1"/>
      <w:numFmt w:val="bullet"/>
      <w:lvlText w:val=""/>
      <w:lvlJc w:val="left"/>
    </w:lvl>
    <w:lvl w:ilvl="4" w:tplc="B0F664BE">
      <w:start w:val="1"/>
      <w:numFmt w:val="bullet"/>
      <w:lvlText w:val=""/>
      <w:lvlJc w:val="left"/>
    </w:lvl>
    <w:lvl w:ilvl="5" w:tplc="473ADF4A">
      <w:start w:val="1"/>
      <w:numFmt w:val="bullet"/>
      <w:lvlText w:val=""/>
      <w:lvlJc w:val="left"/>
    </w:lvl>
    <w:lvl w:ilvl="6" w:tplc="A41E8068">
      <w:start w:val="1"/>
      <w:numFmt w:val="bullet"/>
      <w:lvlText w:val=""/>
      <w:lvlJc w:val="left"/>
    </w:lvl>
    <w:lvl w:ilvl="7" w:tplc="8EDE3E90">
      <w:start w:val="1"/>
      <w:numFmt w:val="bullet"/>
      <w:lvlText w:val=""/>
      <w:lvlJc w:val="left"/>
    </w:lvl>
    <w:lvl w:ilvl="8" w:tplc="8BBE7E08">
      <w:start w:val="1"/>
      <w:numFmt w:val="bullet"/>
      <w:lvlText w:val=""/>
      <w:lvlJc w:val="left"/>
    </w:lvl>
  </w:abstractNum>
  <w:abstractNum w:abstractNumId="3" w15:restartNumberingAfterBreak="0">
    <w:nsid w:val="00000015"/>
    <w:multiLevelType w:val="hybridMultilevel"/>
    <w:tmpl w:val="5E884ADC"/>
    <w:lvl w:ilvl="0" w:tplc="9858E7DC">
      <w:start w:val="1"/>
      <w:numFmt w:val="decimal"/>
      <w:lvlText w:val="%1."/>
      <w:lvlJc w:val="left"/>
    </w:lvl>
    <w:lvl w:ilvl="1" w:tplc="7EFAD626">
      <w:start w:val="1"/>
      <w:numFmt w:val="lowerLetter"/>
      <w:lvlText w:val="%2)"/>
      <w:lvlJc w:val="left"/>
    </w:lvl>
    <w:lvl w:ilvl="2" w:tplc="2D7E7FEE">
      <w:start w:val="1"/>
      <w:numFmt w:val="bullet"/>
      <w:lvlText w:val=""/>
      <w:lvlJc w:val="left"/>
    </w:lvl>
    <w:lvl w:ilvl="3" w:tplc="3D2E5CA6">
      <w:start w:val="1"/>
      <w:numFmt w:val="bullet"/>
      <w:lvlText w:val=""/>
      <w:lvlJc w:val="left"/>
    </w:lvl>
    <w:lvl w:ilvl="4" w:tplc="A5F8CDC0">
      <w:start w:val="1"/>
      <w:numFmt w:val="bullet"/>
      <w:lvlText w:val=""/>
      <w:lvlJc w:val="left"/>
    </w:lvl>
    <w:lvl w:ilvl="5" w:tplc="E47CF054">
      <w:start w:val="1"/>
      <w:numFmt w:val="bullet"/>
      <w:lvlText w:val=""/>
      <w:lvlJc w:val="left"/>
    </w:lvl>
    <w:lvl w:ilvl="6" w:tplc="55F4F738">
      <w:start w:val="1"/>
      <w:numFmt w:val="bullet"/>
      <w:lvlText w:val=""/>
      <w:lvlJc w:val="left"/>
    </w:lvl>
    <w:lvl w:ilvl="7" w:tplc="E0F81A3E">
      <w:start w:val="1"/>
      <w:numFmt w:val="bullet"/>
      <w:lvlText w:val=""/>
      <w:lvlJc w:val="left"/>
    </w:lvl>
    <w:lvl w:ilvl="8" w:tplc="3892CC8C">
      <w:start w:val="1"/>
      <w:numFmt w:val="bullet"/>
      <w:lvlText w:val=""/>
      <w:lvlJc w:val="left"/>
    </w:lvl>
  </w:abstractNum>
  <w:abstractNum w:abstractNumId="4" w15:restartNumberingAfterBreak="0">
    <w:nsid w:val="00000016"/>
    <w:multiLevelType w:val="hybridMultilevel"/>
    <w:tmpl w:val="51EAD36A"/>
    <w:lvl w:ilvl="0" w:tplc="18B40F1C">
      <w:start w:val="1"/>
      <w:numFmt w:val="lowerLetter"/>
      <w:lvlText w:val="%1"/>
      <w:lvlJc w:val="left"/>
    </w:lvl>
    <w:lvl w:ilvl="1" w:tplc="195EA00E">
      <w:start w:val="2"/>
      <w:numFmt w:val="lowerRoman"/>
      <w:lvlText w:val="(%2)"/>
      <w:lvlJc w:val="left"/>
    </w:lvl>
    <w:lvl w:ilvl="2" w:tplc="CE40F5A8">
      <w:start w:val="1"/>
      <w:numFmt w:val="bullet"/>
      <w:lvlText w:val=""/>
      <w:lvlJc w:val="left"/>
    </w:lvl>
    <w:lvl w:ilvl="3" w:tplc="F21253D8">
      <w:start w:val="1"/>
      <w:numFmt w:val="bullet"/>
      <w:lvlText w:val=""/>
      <w:lvlJc w:val="left"/>
    </w:lvl>
    <w:lvl w:ilvl="4" w:tplc="E794B764">
      <w:start w:val="1"/>
      <w:numFmt w:val="bullet"/>
      <w:lvlText w:val=""/>
      <w:lvlJc w:val="left"/>
    </w:lvl>
    <w:lvl w:ilvl="5" w:tplc="1EF613C0">
      <w:start w:val="1"/>
      <w:numFmt w:val="bullet"/>
      <w:lvlText w:val=""/>
      <w:lvlJc w:val="left"/>
    </w:lvl>
    <w:lvl w:ilvl="6" w:tplc="FE48D5E6">
      <w:start w:val="1"/>
      <w:numFmt w:val="bullet"/>
      <w:lvlText w:val=""/>
      <w:lvlJc w:val="left"/>
    </w:lvl>
    <w:lvl w:ilvl="7" w:tplc="8E26EEAA">
      <w:start w:val="1"/>
      <w:numFmt w:val="bullet"/>
      <w:lvlText w:val=""/>
      <w:lvlJc w:val="left"/>
    </w:lvl>
    <w:lvl w:ilvl="8" w:tplc="9D74F816">
      <w:start w:val="1"/>
      <w:numFmt w:val="bullet"/>
      <w:lvlText w:val=""/>
      <w:lvlJc w:val="left"/>
    </w:lvl>
  </w:abstractNum>
  <w:abstractNum w:abstractNumId="5" w15:restartNumberingAfterBreak="0">
    <w:nsid w:val="00000017"/>
    <w:multiLevelType w:val="hybridMultilevel"/>
    <w:tmpl w:val="2D517796"/>
    <w:lvl w:ilvl="0" w:tplc="64E668B8">
      <w:start w:val="2"/>
      <w:numFmt w:val="lowerLetter"/>
      <w:lvlText w:val="%1)"/>
      <w:lvlJc w:val="left"/>
    </w:lvl>
    <w:lvl w:ilvl="1" w:tplc="FAEE1440">
      <w:start w:val="1"/>
      <w:numFmt w:val="lowerRoman"/>
      <w:lvlText w:val="%2"/>
      <w:lvlJc w:val="left"/>
    </w:lvl>
    <w:lvl w:ilvl="2" w:tplc="62E2FF6E">
      <w:start w:val="1"/>
      <w:numFmt w:val="bullet"/>
      <w:lvlText w:val=""/>
      <w:lvlJc w:val="left"/>
    </w:lvl>
    <w:lvl w:ilvl="3" w:tplc="B8AC13C8">
      <w:start w:val="1"/>
      <w:numFmt w:val="bullet"/>
      <w:lvlText w:val=""/>
      <w:lvlJc w:val="left"/>
    </w:lvl>
    <w:lvl w:ilvl="4" w:tplc="3C363A12">
      <w:start w:val="1"/>
      <w:numFmt w:val="bullet"/>
      <w:lvlText w:val=""/>
      <w:lvlJc w:val="left"/>
    </w:lvl>
    <w:lvl w:ilvl="5" w:tplc="1A2EB784">
      <w:start w:val="1"/>
      <w:numFmt w:val="bullet"/>
      <w:lvlText w:val=""/>
      <w:lvlJc w:val="left"/>
    </w:lvl>
    <w:lvl w:ilvl="6" w:tplc="E710017C">
      <w:start w:val="1"/>
      <w:numFmt w:val="bullet"/>
      <w:lvlText w:val=""/>
      <w:lvlJc w:val="left"/>
    </w:lvl>
    <w:lvl w:ilvl="7" w:tplc="4DC6316E">
      <w:start w:val="1"/>
      <w:numFmt w:val="bullet"/>
      <w:lvlText w:val=""/>
      <w:lvlJc w:val="left"/>
    </w:lvl>
    <w:lvl w:ilvl="8" w:tplc="9438AD0C">
      <w:start w:val="1"/>
      <w:numFmt w:val="bullet"/>
      <w:lvlText w:val=""/>
      <w:lvlJc w:val="left"/>
    </w:lvl>
  </w:abstractNum>
  <w:abstractNum w:abstractNumId="6" w15:restartNumberingAfterBreak="0">
    <w:nsid w:val="00000018"/>
    <w:multiLevelType w:val="hybridMultilevel"/>
    <w:tmpl w:val="580BD78E"/>
    <w:lvl w:ilvl="0" w:tplc="A4722376">
      <w:start w:val="1"/>
      <w:numFmt w:val="decimal"/>
      <w:lvlText w:val="%1."/>
      <w:lvlJc w:val="left"/>
    </w:lvl>
    <w:lvl w:ilvl="1" w:tplc="EB5A8C36">
      <w:start w:val="1"/>
      <w:numFmt w:val="lowerLetter"/>
      <w:lvlText w:val="%2)"/>
      <w:lvlJc w:val="left"/>
    </w:lvl>
    <w:lvl w:ilvl="2" w:tplc="94C845EC">
      <w:start w:val="1"/>
      <w:numFmt w:val="bullet"/>
      <w:lvlText w:val=""/>
      <w:lvlJc w:val="left"/>
    </w:lvl>
    <w:lvl w:ilvl="3" w:tplc="DAB29F50">
      <w:start w:val="1"/>
      <w:numFmt w:val="bullet"/>
      <w:lvlText w:val=""/>
      <w:lvlJc w:val="left"/>
    </w:lvl>
    <w:lvl w:ilvl="4" w:tplc="54DC0316">
      <w:start w:val="1"/>
      <w:numFmt w:val="bullet"/>
      <w:lvlText w:val=""/>
      <w:lvlJc w:val="left"/>
    </w:lvl>
    <w:lvl w:ilvl="5" w:tplc="BF7443EE">
      <w:start w:val="1"/>
      <w:numFmt w:val="bullet"/>
      <w:lvlText w:val=""/>
      <w:lvlJc w:val="left"/>
    </w:lvl>
    <w:lvl w:ilvl="6" w:tplc="64E05CE6">
      <w:start w:val="1"/>
      <w:numFmt w:val="bullet"/>
      <w:lvlText w:val=""/>
      <w:lvlJc w:val="left"/>
    </w:lvl>
    <w:lvl w:ilvl="7" w:tplc="7908A960">
      <w:start w:val="1"/>
      <w:numFmt w:val="bullet"/>
      <w:lvlText w:val=""/>
      <w:lvlJc w:val="left"/>
    </w:lvl>
    <w:lvl w:ilvl="8" w:tplc="7812C8B4">
      <w:start w:val="1"/>
      <w:numFmt w:val="bullet"/>
      <w:lvlText w:val=""/>
      <w:lvlJc w:val="left"/>
    </w:lvl>
  </w:abstractNum>
  <w:abstractNum w:abstractNumId="7" w15:restartNumberingAfterBreak="0">
    <w:nsid w:val="00000019"/>
    <w:multiLevelType w:val="hybridMultilevel"/>
    <w:tmpl w:val="153EA438"/>
    <w:lvl w:ilvl="0" w:tplc="F7180630">
      <w:start w:val="1"/>
      <w:numFmt w:val="decimal"/>
      <w:lvlText w:val="%1."/>
      <w:lvlJc w:val="left"/>
    </w:lvl>
    <w:lvl w:ilvl="1" w:tplc="A74A4254">
      <w:start w:val="1"/>
      <w:numFmt w:val="lowerLetter"/>
      <w:lvlText w:val="%2"/>
      <w:lvlJc w:val="left"/>
    </w:lvl>
    <w:lvl w:ilvl="2" w:tplc="EB5EF28E">
      <w:start w:val="1"/>
      <w:numFmt w:val="bullet"/>
      <w:lvlText w:val=""/>
      <w:lvlJc w:val="left"/>
    </w:lvl>
    <w:lvl w:ilvl="3" w:tplc="CB8C72F2">
      <w:start w:val="1"/>
      <w:numFmt w:val="bullet"/>
      <w:lvlText w:val=""/>
      <w:lvlJc w:val="left"/>
    </w:lvl>
    <w:lvl w:ilvl="4" w:tplc="304E71FE">
      <w:start w:val="1"/>
      <w:numFmt w:val="bullet"/>
      <w:lvlText w:val=""/>
      <w:lvlJc w:val="left"/>
    </w:lvl>
    <w:lvl w:ilvl="5" w:tplc="8EBAF3F2">
      <w:start w:val="1"/>
      <w:numFmt w:val="bullet"/>
      <w:lvlText w:val=""/>
      <w:lvlJc w:val="left"/>
    </w:lvl>
    <w:lvl w:ilvl="6" w:tplc="3236BB84">
      <w:start w:val="1"/>
      <w:numFmt w:val="bullet"/>
      <w:lvlText w:val=""/>
      <w:lvlJc w:val="left"/>
    </w:lvl>
    <w:lvl w:ilvl="7" w:tplc="27E85388">
      <w:start w:val="1"/>
      <w:numFmt w:val="bullet"/>
      <w:lvlText w:val=""/>
      <w:lvlJc w:val="left"/>
    </w:lvl>
    <w:lvl w:ilvl="8" w:tplc="FA1C8C2E">
      <w:start w:val="1"/>
      <w:numFmt w:val="bullet"/>
      <w:lvlText w:val=""/>
      <w:lvlJc w:val="left"/>
    </w:lvl>
  </w:abstractNum>
  <w:abstractNum w:abstractNumId="8" w15:restartNumberingAfterBreak="0">
    <w:nsid w:val="0000001A"/>
    <w:multiLevelType w:val="hybridMultilevel"/>
    <w:tmpl w:val="3855585C"/>
    <w:lvl w:ilvl="0" w:tplc="12244BFC">
      <w:start w:val="31"/>
      <w:numFmt w:val="decimal"/>
      <w:lvlText w:val="%1"/>
      <w:lvlJc w:val="left"/>
    </w:lvl>
    <w:lvl w:ilvl="1" w:tplc="564868A4">
      <w:start w:val="1"/>
      <w:numFmt w:val="lowerLetter"/>
      <w:lvlText w:val="%2"/>
      <w:lvlJc w:val="left"/>
    </w:lvl>
    <w:lvl w:ilvl="2" w:tplc="C8143C74">
      <w:start w:val="1"/>
      <w:numFmt w:val="bullet"/>
      <w:lvlText w:val=""/>
      <w:lvlJc w:val="left"/>
    </w:lvl>
    <w:lvl w:ilvl="3" w:tplc="A6DCD442">
      <w:start w:val="1"/>
      <w:numFmt w:val="bullet"/>
      <w:lvlText w:val=""/>
      <w:lvlJc w:val="left"/>
    </w:lvl>
    <w:lvl w:ilvl="4" w:tplc="8306F2A2">
      <w:start w:val="1"/>
      <w:numFmt w:val="bullet"/>
      <w:lvlText w:val=""/>
      <w:lvlJc w:val="left"/>
    </w:lvl>
    <w:lvl w:ilvl="5" w:tplc="E1DC54A8">
      <w:start w:val="1"/>
      <w:numFmt w:val="bullet"/>
      <w:lvlText w:val=""/>
      <w:lvlJc w:val="left"/>
    </w:lvl>
    <w:lvl w:ilvl="6" w:tplc="175A3B80">
      <w:start w:val="1"/>
      <w:numFmt w:val="bullet"/>
      <w:lvlText w:val=""/>
      <w:lvlJc w:val="left"/>
    </w:lvl>
    <w:lvl w:ilvl="7" w:tplc="F950FA00">
      <w:start w:val="1"/>
      <w:numFmt w:val="bullet"/>
      <w:lvlText w:val=""/>
      <w:lvlJc w:val="left"/>
    </w:lvl>
    <w:lvl w:ilvl="8" w:tplc="9948C8C6">
      <w:start w:val="1"/>
      <w:numFmt w:val="bullet"/>
      <w:lvlText w:val=""/>
      <w:lvlJc w:val="left"/>
    </w:lvl>
  </w:abstractNum>
  <w:abstractNum w:abstractNumId="9" w15:restartNumberingAfterBreak="0">
    <w:nsid w:val="0000001B"/>
    <w:multiLevelType w:val="hybridMultilevel"/>
    <w:tmpl w:val="70A64E2A"/>
    <w:lvl w:ilvl="0" w:tplc="D7D47CC8">
      <w:start w:val="2"/>
      <w:numFmt w:val="decimal"/>
      <w:lvlText w:val="%1."/>
      <w:lvlJc w:val="left"/>
    </w:lvl>
    <w:lvl w:ilvl="1" w:tplc="97E485DA">
      <w:start w:val="1"/>
      <w:numFmt w:val="lowerLetter"/>
      <w:lvlText w:val="%2)"/>
      <w:lvlJc w:val="left"/>
    </w:lvl>
    <w:lvl w:ilvl="2" w:tplc="61127790">
      <w:start w:val="1"/>
      <w:numFmt w:val="bullet"/>
      <w:lvlText w:val=""/>
      <w:lvlJc w:val="left"/>
    </w:lvl>
    <w:lvl w:ilvl="3" w:tplc="643AA048">
      <w:start w:val="1"/>
      <w:numFmt w:val="bullet"/>
      <w:lvlText w:val=""/>
      <w:lvlJc w:val="left"/>
    </w:lvl>
    <w:lvl w:ilvl="4" w:tplc="8C5C131E">
      <w:start w:val="1"/>
      <w:numFmt w:val="bullet"/>
      <w:lvlText w:val=""/>
      <w:lvlJc w:val="left"/>
    </w:lvl>
    <w:lvl w:ilvl="5" w:tplc="B05410D6">
      <w:start w:val="1"/>
      <w:numFmt w:val="bullet"/>
      <w:lvlText w:val=""/>
      <w:lvlJc w:val="left"/>
    </w:lvl>
    <w:lvl w:ilvl="6" w:tplc="5F129DF6">
      <w:start w:val="1"/>
      <w:numFmt w:val="bullet"/>
      <w:lvlText w:val=""/>
      <w:lvlJc w:val="left"/>
    </w:lvl>
    <w:lvl w:ilvl="7" w:tplc="95CA05CC">
      <w:start w:val="1"/>
      <w:numFmt w:val="bullet"/>
      <w:lvlText w:val=""/>
      <w:lvlJc w:val="left"/>
    </w:lvl>
    <w:lvl w:ilvl="8" w:tplc="E6E0E162">
      <w:start w:val="1"/>
      <w:numFmt w:val="bullet"/>
      <w:lvlText w:val=""/>
      <w:lvlJc w:val="left"/>
    </w:lvl>
  </w:abstractNum>
  <w:abstractNum w:abstractNumId="10" w15:restartNumberingAfterBreak="0">
    <w:nsid w:val="0000001C"/>
    <w:multiLevelType w:val="hybridMultilevel"/>
    <w:tmpl w:val="6A2342EC"/>
    <w:lvl w:ilvl="0" w:tplc="D730C442">
      <w:start w:val="3"/>
      <w:numFmt w:val="lowerLetter"/>
      <w:lvlText w:val="%1)"/>
      <w:lvlJc w:val="left"/>
    </w:lvl>
    <w:lvl w:ilvl="1" w:tplc="AC444026">
      <w:start w:val="1"/>
      <w:numFmt w:val="bullet"/>
      <w:lvlText w:val=""/>
      <w:lvlJc w:val="left"/>
    </w:lvl>
    <w:lvl w:ilvl="2" w:tplc="6DFCB6A6">
      <w:start w:val="1"/>
      <w:numFmt w:val="bullet"/>
      <w:lvlText w:val=""/>
      <w:lvlJc w:val="left"/>
    </w:lvl>
    <w:lvl w:ilvl="3" w:tplc="9DE27B74">
      <w:start w:val="1"/>
      <w:numFmt w:val="bullet"/>
      <w:lvlText w:val=""/>
      <w:lvlJc w:val="left"/>
    </w:lvl>
    <w:lvl w:ilvl="4" w:tplc="AD424282">
      <w:start w:val="1"/>
      <w:numFmt w:val="bullet"/>
      <w:lvlText w:val=""/>
      <w:lvlJc w:val="left"/>
    </w:lvl>
    <w:lvl w:ilvl="5" w:tplc="FA46F9F0">
      <w:start w:val="1"/>
      <w:numFmt w:val="bullet"/>
      <w:lvlText w:val=""/>
      <w:lvlJc w:val="left"/>
    </w:lvl>
    <w:lvl w:ilvl="6" w:tplc="2D42AF12">
      <w:start w:val="1"/>
      <w:numFmt w:val="bullet"/>
      <w:lvlText w:val=""/>
      <w:lvlJc w:val="left"/>
    </w:lvl>
    <w:lvl w:ilvl="7" w:tplc="B5DA0C92">
      <w:start w:val="1"/>
      <w:numFmt w:val="bullet"/>
      <w:lvlText w:val=""/>
      <w:lvlJc w:val="left"/>
    </w:lvl>
    <w:lvl w:ilvl="8" w:tplc="9620C1D0">
      <w:start w:val="1"/>
      <w:numFmt w:val="bullet"/>
      <w:lvlText w:val=""/>
      <w:lvlJc w:val="left"/>
    </w:lvl>
  </w:abstractNum>
  <w:abstractNum w:abstractNumId="11" w15:restartNumberingAfterBreak="0">
    <w:nsid w:val="0000001D"/>
    <w:multiLevelType w:val="hybridMultilevel"/>
    <w:tmpl w:val="2A487CB0"/>
    <w:lvl w:ilvl="0" w:tplc="32347C42">
      <w:start w:val="1"/>
      <w:numFmt w:val="decimal"/>
      <w:lvlText w:val="%1."/>
      <w:lvlJc w:val="left"/>
    </w:lvl>
    <w:lvl w:ilvl="1" w:tplc="97BEEA36">
      <w:start w:val="1"/>
      <w:numFmt w:val="bullet"/>
      <w:lvlText w:val=""/>
      <w:lvlJc w:val="left"/>
    </w:lvl>
    <w:lvl w:ilvl="2" w:tplc="C8308D12">
      <w:start w:val="1"/>
      <w:numFmt w:val="bullet"/>
      <w:lvlText w:val=""/>
      <w:lvlJc w:val="left"/>
    </w:lvl>
    <w:lvl w:ilvl="3" w:tplc="869C6EDE">
      <w:start w:val="1"/>
      <w:numFmt w:val="bullet"/>
      <w:lvlText w:val=""/>
      <w:lvlJc w:val="left"/>
    </w:lvl>
    <w:lvl w:ilvl="4" w:tplc="BF909AE4">
      <w:start w:val="1"/>
      <w:numFmt w:val="bullet"/>
      <w:lvlText w:val=""/>
      <w:lvlJc w:val="left"/>
    </w:lvl>
    <w:lvl w:ilvl="5" w:tplc="ADC86390">
      <w:start w:val="1"/>
      <w:numFmt w:val="bullet"/>
      <w:lvlText w:val=""/>
      <w:lvlJc w:val="left"/>
    </w:lvl>
    <w:lvl w:ilvl="6" w:tplc="ED600E42">
      <w:start w:val="1"/>
      <w:numFmt w:val="bullet"/>
      <w:lvlText w:val=""/>
      <w:lvlJc w:val="left"/>
    </w:lvl>
    <w:lvl w:ilvl="7" w:tplc="688EB002">
      <w:start w:val="1"/>
      <w:numFmt w:val="bullet"/>
      <w:lvlText w:val=""/>
      <w:lvlJc w:val="left"/>
    </w:lvl>
    <w:lvl w:ilvl="8" w:tplc="BF9C6844">
      <w:start w:val="1"/>
      <w:numFmt w:val="bullet"/>
      <w:lvlText w:val=""/>
      <w:lvlJc w:val="left"/>
    </w:lvl>
  </w:abstractNum>
  <w:abstractNum w:abstractNumId="12" w15:restartNumberingAfterBreak="0">
    <w:nsid w:val="0000001E"/>
    <w:multiLevelType w:val="hybridMultilevel"/>
    <w:tmpl w:val="1D4ED43A"/>
    <w:lvl w:ilvl="0" w:tplc="7144CFCA">
      <w:start w:val="1"/>
      <w:numFmt w:val="decimal"/>
      <w:lvlText w:val="%1."/>
      <w:lvlJc w:val="left"/>
    </w:lvl>
    <w:lvl w:ilvl="1" w:tplc="FF866460">
      <w:start w:val="1"/>
      <w:numFmt w:val="bullet"/>
      <w:lvlText w:val=""/>
      <w:lvlJc w:val="left"/>
    </w:lvl>
    <w:lvl w:ilvl="2" w:tplc="3584785E">
      <w:start w:val="1"/>
      <w:numFmt w:val="bullet"/>
      <w:lvlText w:val=""/>
      <w:lvlJc w:val="left"/>
    </w:lvl>
    <w:lvl w:ilvl="3" w:tplc="2DAC63BE">
      <w:start w:val="1"/>
      <w:numFmt w:val="bullet"/>
      <w:lvlText w:val=""/>
      <w:lvlJc w:val="left"/>
    </w:lvl>
    <w:lvl w:ilvl="4" w:tplc="D7402BCC">
      <w:start w:val="1"/>
      <w:numFmt w:val="bullet"/>
      <w:lvlText w:val=""/>
      <w:lvlJc w:val="left"/>
    </w:lvl>
    <w:lvl w:ilvl="5" w:tplc="B6C4FABC">
      <w:start w:val="1"/>
      <w:numFmt w:val="bullet"/>
      <w:lvlText w:val=""/>
      <w:lvlJc w:val="left"/>
    </w:lvl>
    <w:lvl w:ilvl="6" w:tplc="B67AEBEE">
      <w:start w:val="1"/>
      <w:numFmt w:val="bullet"/>
      <w:lvlText w:val=""/>
      <w:lvlJc w:val="left"/>
    </w:lvl>
    <w:lvl w:ilvl="7" w:tplc="9FA612B6">
      <w:start w:val="1"/>
      <w:numFmt w:val="bullet"/>
      <w:lvlText w:val=""/>
      <w:lvlJc w:val="left"/>
    </w:lvl>
    <w:lvl w:ilvl="8" w:tplc="3A9016B2">
      <w:start w:val="1"/>
      <w:numFmt w:val="bullet"/>
      <w:lvlText w:val=""/>
      <w:lvlJc w:val="left"/>
    </w:lvl>
  </w:abstractNum>
  <w:abstractNum w:abstractNumId="13" w15:restartNumberingAfterBreak="0">
    <w:nsid w:val="0000001F"/>
    <w:multiLevelType w:val="hybridMultilevel"/>
    <w:tmpl w:val="725A06FA"/>
    <w:lvl w:ilvl="0" w:tplc="7200DBCA">
      <w:start w:val="1"/>
      <w:numFmt w:val="decimal"/>
      <w:lvlText w:val="%1."/>
      <w:lvlJc w:val="left"/>
    </w:lvl>
    <w:lvl w:ilvl="1" w:tplc="5E9AB282">
      <w:start w:val="2"/>
      <w:numFmt w:val="lowerLetter"/>
      <w:lvlText w:val="%2)"/>
      <w:lvlJc w:val="left"/>
    </w:lvl>
    <w:lvl w:ilvl="2" w:tplc="911EA406">
      <w:start w:val="1"/>
      <w:numFmt w:val="bullet"/>
      <w:lvlText w:val="-"/>
      <w:lvlJc w:val="left"/>
    </w:lvl>
    <w:lvl w:ilvl="3" w:tplc="EBB87F58">
      <w:start w:val="1"/>
      <w:numFmt w:val="bullet"/>
      <w:lvlText w:val=""/>
      <w:lvlJc w:val="left"/>
    </w:lvl>
    <w:lvl w:ilvl="4" w:tplc="E13E8434">
      <w:start w:val="1"/>
      <w:numFmt w:val="bullet"/>
      <w:lvlText w:val=""/>
      <w:lvlJc w:val="left"/>
    </w:lvl>
    <w:lvl w:ilvl="5" w:tplc="3D426736">
      <w:start w:val="1"/>
      <w:numFmt w:val="bullet"/>
      <w:lvlText w:val=""/>
      <w:lvlJc w:val="left"/>
    </w:lvl>
    <w:lvl w:ilvl="6" w:tplc="1FC633B4">
      <w:start w:val="1"/>
      <w:numFmt w:val="bullet"/>
      <w:lvlText w:val=""/>
      <w:lvlJc w:val="left"/>
    </w:lvl>
    <w:lvl w:ilvl="7" w:tplc="D75CA6DA">
      <w:start w:val="1"/>
      <w:numFmt w:val="bullet"/>
      <w:lvlText w:val=""/>
      <w:lvlJc w:val="left"/>
    </w:lvl>
    <w:lvl w:ilvl="8" w:tplc="6484AF22">
      <w:start w:val="1"/>
      <w:numFmt w:val="bullet"/>
      <w:lvlText w:val=""/>
      <w:lvlJc w:val="left"/>
    </w:lvl>
  </w:abstractNum>
  <w:abstractNum w:abstractNumId="14" w15:restartNumberingAfterBreak="0">
    <w:nsid w:val="00000020"/>
    <w:multiLevelType w:val="hybridMultilevel"/>
    <w:tmpl w:val="2CD89A32"/>
    <w:lvl w:ilvl="0" w:tplc="FC16A1DE">
      <w:start w:val="1"/>
      <w:numFmt w:val="decimal"/>
      <w:lvlText w:val="%1"/>
      <w:lvlJc w:val="left"/>
    </w:lvl>
    <w:lvl w:ilvl="1" w:tplc="73981AB0">
      <w:start w:val="1"/>
      <w:numFmt w:val="lowerLetter"/>
      <w:lvlText w:val="%2)"/>
      <w:lvlJc w:val="left"/>
    </w:lvl>
    <w:lvl w:ilvl="2" w:tplc="16C87B9E">
      <w:start w:val="1"/>
      <w:numFmt w:val="bullet"/>
      <w:lvlText w:val="-"/>
      <w:lvlJc w:val="left"/>
    </w:lvl>
    <w:lvl w:ilvl="3" w:tplc="C342730C">
      <w:start w:val="1"/>
      <w:numFmt w:val="bullet"/>
      <w:lvlText w:val=""/>
      <w:lvlJc w:val="left"/>
    </w:lvl>
    <w:lvl w:ilvl="4" w:tplc="2988C2F8">
      <w:start w:val="1"/>
      <w:numFmt w:val="bullet"/>
      <w:lvlText w:val=""/>
      <w:lvlJc w:val="left"/>
    </w:lvl>
    <w:lvl w:ilvl="5" w:tplc="5DA281BC">
      <w:start w:val="1"/>
      <w:numFmt w:val="bullet"/>
      <w:lvlText w:val=""/>
      <w:lvlJc w:val="left"/>
    </w:lvl>
    <w:lvl w:ilvl="6" w:tplc="95880400">
      <w:start w:val="1"/>
      <w:numFmt w:val="bullet"/>
      <w:lvlText w:val=""/>
      <w:lvlJc w:val="left"/>
    </w:lvl>
    <w:lvl w:ilvl="7" w:tplc="D5887C4E">
      <w:start w:val="1"/>
      <w:numFmt w:val="bullet"/>
      <w:lvlText w:val=""/>
      <w:lvlJc w:val="left"/>
    </w:lvl>
    <w:lvl w:ilvl="8" w:tplc="593CD3A8">
      <w:start w:val="1"/>
      <w:numFmt w:val="bullet"/>
      <w:lvlText w:val=""/>
      <w:lvlJc w:val="left"/>
    </w:lvl>
  </w:abstractNum>
  <w:abstractNum w:abstractNumId="15" w15:restartNumberingAfterBreak="0">
    <w:nsid w:val="00000021"/>
    <w:multiLevelType w:val="hybridMultilevel"/>
    <w:tmpl w:val="57E4CCAE"/>
    <w:lvl w:ilvl="0" w:tplc="96CC7BBE">
      <w:start w:val="6"/>
      <w:numFmt w:val="decimal"/>
      <w:lvlText w:val="%1."/>
      <w:lvlJc w:val="left"/>
    </w:lvl>
    <w:lvl w:ilvl="1" w:tplc="94A4001A">
      <w:start w:val="1"/>
      <w:numFmt w:val="lowerLetter"/>
      <w:lvlText w:val="%2)"/>
      <w:lvlJc w:val="left"/>
    </w:lvl>
    <w:lvl w:ilvl="2" w:tplc="586C9258">
      <w:start w:val="1"/>
      <w:numFmt w:val="bullet"/>
      <w:lvlText w:val="-"/>
      <w:lvlJc w:val="left"/>
    </w:lvl>
    <w:lvl w:ilvl="3" w:tplc="BA1673D2">
      <w:start w:val="1"/>
      <w:numFmt w:val="bullet"/>
      <w:lvlText w:val=""/>
      <w:lvlJc w:val="left"/>
    </w:lvl>
    <w:lvl w:ilvl="4" w:tplc="B8E01A26">
      <w:start w:val="1"/>
      <w:numFmt w:val="bullet"/>
      <w:lvlText w:val=""/>
      <w:lvlJc w:val="left"/>
    </w:lvl>
    <w:lvl w:ilvl="5" w:tplc="A338321E">
      <w:start w:val="1"/>
      <w:numFmt w:val="bullet"/>
      <w:lvlText w:val=""/>
      <w:lvlJc w:val="left"/>
    </w:lvl>
    <w:lvl w:ilvl="6" w:tplc="148EED2E">
      <w:start w:val="1"/>
      <w:numFmt w:val="bullet"/>
      <w:lvlText w:val=""/>
      <w:lvlJc w:val="left"/>
    </w:lvl>
    <w:lvl w:ilvl="7" w:tplc="B53098A8">
      <w:start w:val="1"/>
      <w:numFmt w:val="bullet"/>
      <w:lvlText w:val=""/>
      <w:lvlJc w:val="left"/>
    </w:lvl>
    <w:lvl w:ilvl="8" w:tplc="F02C4646">
      <w:start w:val="1"/>
      <w:numFmt w:val="bullet"/>
      <w:lvlText w:val=""/>
      <w:lvlJc w:val="left"/>
    </w:lvl>
  </w:abstractNum>
  <w:abstractNum w:abstractNumId="16" w15:restartNumberingAfterBreak="0">
    <w:nsid w:val="00000022"/>
    <w:multiLevelType w:val="hybridMultilevel"/>
    <w:tmpl w:val="7A6D8D3C"/>
    <w:lvl w:ilvl="0" w:tplc="09CE8C9C">
      <w:start w:val="1"/>
      <w:numFmt w:val="decimal"/>
      <w:lvlText w:val="%1"/>
      <w:lvlJc w:val="left"/>
    </w:lvl>
    <w:lvl w:ilvl="1" w:tplc="E744B66C">
      <w:start w:val="2"/>
      <w:numFmt w:val="lowerLetter"/>
      <w:lvlText w:val="%2)"/>
      <w:lvlJc w:val="left"/>
    </w:lvl>
    <w:lvl w:ilvl="2" w:tplc="E5C66D88">
      <w:start w:val="1"/>
      <w:numFmt w:val="bullet"/>
      <w:lvlText w:val=""/>
      <w:lvlJc w:val="left"/>
    </w:lvl>
    <w:lvl w:ilvl="3" w:tplc="7FFC449A">
      <w:start w:val="1"/>
      <w:numFmt w:val="bullet"/>
      <w:lvlText w:val=""/>
      <w:lvlJc w:val="left"/>
    </w:lvl>
    <w:lvl w:ilvl="4" w:tplc="30F6C4DC">
      <w:start w:val="1"/>
      <w:numFmt w:val="bullet"/>
      <w:lvlText w:val=""/>
      <w:lvlJc w:val="left"/>
    </w:lvl>
    <w:lvl w:ilvl="5" w:tplc="B4E661A6">
      <w:start w:val="1"/>
      <w:numFmt w:val="bullet"/>
      <w:lvlText w:val=""/>
      <w:lvlJc w:val="left"/>
    </w:lvl>
    <w:lvl w:ilvl="6" w:tplc="76505CD8">
      <w:start w:val="1"/>
      <w:numFmt w:val="bullet"/>
      <w:lvlText w:val=""/>
      <w:lvlJc w:val="left"/>
    </w:lvl>
    <w:lvl w:ilvl="7" w:tplc="46A22048">
      <w:start w:val="1"/>
      <w:numFmt w:val="bullet"/>
      <w:lvlText w:val=""/>
      <w:lvlJc w:val="left"/>
    </w:lvl>
    <w:lvl w:ilvl="8" w:tplc="AE9E54A0">
      <w:start w:val="1"/>
      <w:numFmt w:val="bullet"/>
      <w:lvlText w:val=""/>
      <w:lvlJc w:val="left"/>
    </w:lvl>
  </w:abstractNum>
  <w:abstractNum w:abstractNumId="17" w15:restartNumberingAfterBreak="0">
    <w:nsid w:val="00000023"/>
    <w:multiLevelType w:val="hybridMultilevel"/>
    <w:tmpl w:val="4B588F54"/>
    <w:lvl w:ilvl="0" w:tplc="10A0090E">
      <w:start w:val="8"/>
      <w:numFmt w:val="decimal"/>
      <w:lvlText w:val="%1."/>
      <w:lvlJc w:val="left"/>
    </w:lvl>
    <w:lvl w:ilvl="1" w:tplc="BB427158">
      <w:start w:val="1"/>
      <w:numFmt w:val="lowerLetter"/>
      <w:lvlText w:val="%2"/>
      <w:lvlJc w:val="left"/>
    </w:lvl>
    <w:lvl w:ilvl="2" w:tplc="CE564994">
      <w:start w:val="1"/>
      <w:numFmt w:val="bullet"/>
      <w:lvlText w:val=""/>
      <w:lvlJc w:val="left"/>
    </w:lvl>
    <w:lvl w:ilvl="3" w:tplc="2C6EC8AE">
      <w:start w:val="1"/>
      <w:numFmt w:val="bullet"/>
      <w:lvlText w:val=""/>
      <w:lvlJc w:val="left"/>
    </w:lvl>
    <w:lvl w:ilvl="4" w:tplc="7624E53E">
      <w:start w:val="1"/>
      <w:numFmt w:val="bullet"/>
      <w:lvlText w:val=""/>
      <w:lvlJc w:val="left"/>
    </w:lvl>
    <w:lvl w:ilvl="5" w:tplc="32DA43F6">
      <w:start w:val="1"/>
      <w:numFmt w:val="bullet"/>
      <w:lvlText w:val=""/>
      <w:lvlJc w:val="left"/>
    </w:lvl>
    <w:lvl w:ilvl="6" w:tplc="7F94D31C">
      <w:start w:val="1"/>
      <w:numFmt w:val="bullet"/>
      <w:lvlText w:val=""/>
      <w:lvlJc w:val="left"/>
    </w:lvl>
    <w:lvl w:ilvl="7" w:tplc="79669988">
      <w:start w:val="1"/>
      <w:numFmt w:val="bullet"/>
      <w:lvlText w:val=""/>
      <w:lvlJc w:val="left"/>
    </w:lvl>
    <w:lvl w:ilvl="8" w:tplc="64407D32">
      <w:start w:val="1"/>
      <w:numFmt w:val="bullet"/>
      <w:lvlText w:val=""/>
      <w:lvlJc w:val="left"/>
    </w:lvl>
  </w:abstractNum>
  <w:abstractNum w:abstractNumId="18" w15:restartNumberingAfterBreak="0">
    <w:nsid w:val="00000024"/>
    <w:multiLevelType w:val="hybridMultilevel"/>
    <w:tmpl w:val="542289EC"/>
    <w:lvl w:ilvl="0" w:tplc="A6603B66">
      <w:start w:val="1"/>
      <w:numFmt w:val="decimal"/>
      <w:lvlText w:val="%1."/>
      <w:lvlJc w:val="left"/>
    </w:lvl>
    <w:lvl w:ilvl="1" w:tplc="40543F2A">
      <w:start w:val="1"/>
      <w:numFmt w:val="bullet"/>
      <w:lvlText w:val=""/>
      <w:lvlJc w:val="left"/>
    </w:lvl>
    <w:lvl w:ilvl="2" w:tplc="B75CDEB4">
      <w:start w:val="1"/>
      <w:numFmt w:val="bullet"/>
      <w:lvlText w:val=""/>
      <w:lvlJc w:val="left"/>
    </w:lvl>
    <w:lvl w:ilvl="3" w:tplc="5C824E3E">
      <w:start w:val="1"/>
      <w:numFmt w:val="bullet"/>
      <w:lvlText w:val=""/>
      <w:lvlJc w:val="left"/>
    </w:lvl>
    <w:lvl w:ilvl="4" w:tplc="2258E2CE">
      <w:start w:val="1"/>
      <w:numFmt w:val="bullet"/>
      <w:lvlText w:val=""/>
      <w:lvlJc w:val="left"/>
    </w:lvl>
    <w:lvl w:ilvl="5" w:tplc="84145CF2">
      <w:start w:val="1"/>
      <w:numFmt w:val="bullet"/>
      <w:lvlText w:val=""/>
      <w:lvlJc w:val="left"/>
    </w:lvl>
    <w:lvl w:ilvl="6" w:tplc="2D684A26">
      <w:start w:val="1"/>
      <w:numFmt w:val="bullet"/>
      <w:lvlText w:val=""/>
      <w:lvlJc w:val="left"/>
    </w:lvl>
    <w:lvl w:ilvl="7" w:tplc="03C62440">
      <w:start w:val="1"/>
      <w:numFmt w:val="bullet"/>
      <w:lvlText w:val=""/>
      <w:lvlJc w:val="left"/>
    </w:lvl>
    <w:lvl w:ilvl="8" w:tplc="334E98A4">
      <w:start w:val="1"/>
      <w:numFmt w:val="bullet"/>
      <w:lvlText w:val=""/>
      <w:lvlJc w:val="left"/>
    </w:lvl>
  </w:abstractNum>
  <w:abstractNum w:abstractNumId="19" w15:restartNumberingAfterBreak="0">
    <w:nsid w:val="00000025"/>
    <w:multiLevelType w:val="hybridMultilevel"/>
    <w:tmpl w:val="6DE91B18"/>
    <w:lvl w:ilvl="0" w:tplc="0DCA82F2">
      <w:start w:val="1"/>
      <w:numFmt w:val="decimal"/>
      <w:lvlText w:val="%1"/>
      <w:lvlJc w:val="left"/>
    </w:lvl>
    <w:lvl w:ilvl="1" w:tplc="FD8449E6">
      <w:start w:val="1"/>
      <w:numFmt w:val="bullet"/>
      <w:lvlText w:val=""/>
      <w:lvlJc w:val="left"/>
    </w:lvl>
    <w:lvl w:ilvl="2" w:tplc="4D88DA98">
      <w:start w:val="1"/>
      <w:numFmt w:val="bullet"/>
      <w:lvlText w:val=""/>
      <w:lvlJc w:val="left"/>
    </w:lvl>
    <w:lvl w:ilvl="3" w:tplc="90EC3E40">
      <w:start w:val="1"/>
      <w:numFmt w:val="bullet"/>
      <w:lvlText w:val=""/>
      <w:lvlJc w:val="left"/>
    </w:lvl>
    <w:lvl w:ilvl="4" w:tplc="B0EAAF1C">
      <w:start w:val="1"/>
      <w:numFmt w:val="bullet"/>
      <w:lvlText w:val=""/>
      <w:lvlJc w:val="left"/>
    </w:lvl>
    <w:lvl w:ilvl="5" w:tplc="49686936">
      <w:start w:val="1"/>
      <w:numFmt w:val="bullet"/>
      <w:lvlText w:val=""/>
      <w:lvlJc w:val="left"/>
    </w:lvl>
    <w:lvl w:ilvl="6" w:tplc="AD202B3E">
      <w:start w:val="1"/>
      <w:numFmt w:val="bullet"/>
      <w:lvlText w:val=""/>
      <w:lvlJc w:val="left"/>
    </w:lvl>
    <w:lvl w:ilvl="7" w:tplc="3D347D96">
      <w:start w:val="1"/>
      <w:numFmt w:val="bullet"/>
      <w:lvlText w:val=""/>
      <w:lvlJc w:val="left"/>
    </w:lvl>
    <w:lvl w:ilvl="8" w:tplc="65781CB2">
      <w:start w:val="1"/>
      <w:numFmt w:val="bullet"/>
      <w:lvlText w:val=""/>
      <w:lvlJc w:val="left"/>
    </w:lvl>
  </w:abstractNum>
  <w:abstractNum w:abstractNumId="20" w15:restartNumberingAfterBreak="0">
    <w:nsid w:val="00000026"/>
    <w:multiLevelType w:val="hybridMultilevel"/>
    <w:tmpl w:val="38437FDA"/>
    <w:lvl w:ilvl="0" w:tplc="4B86A9BA">
      <w:start w:val="3"/>
      <w:numFmt w:val="decimal"/>
      <w:lvlText w:val="%1."/>
      <w:lvlJc w:val="left"/>
    </w:lvl>
    <w:lvl w:ilvl="1" w:tplc="B9FCA8E8">
      <w:start w:val="1"/>
      <w:numFmt w:val="bullet"/>
      <w:lvlText w:val=""/>
      <w:lvlJc w:val="left"/>
    </w:lvl>
    <w:lvl w:ilvl="2" w:tplc="50C03226">
      <w:start w:val="1"/>
      <w:numFmt w:val="bullet"/>
      <w:lvlText w:val=""/>
      <w:lvlJc w:val="left"/>
    </w:lvl>
    <w:lvl w:ilvl="3" w:tplc="451836AE">
      <w:start w:val="1"/>
      <w:numFmt w:val="bullet"/>
      <w:lvlText w:val=""/>
      <w:lvlJc w:val="left"/>
    </w:lvl>
    <w:lvl w:ilvl="4" w:tplc="38D472D0">
      <w:start w:val="1"/>
      <w:numFmt w:val="bullet"/>
      <w:lvlText w:val=""/>
      <w:lvlJc w:val="left"/>
    </w:lvl>
    <w:lvl w:ilvl="5" w:tplc="04688A8E">
      <w:start w:val="1"/>
      <w:numFmt w:val="bullet"/>
      <w:lvlText w:val=""/>
      <w:lvlJc w:val="left"/>
    </w:lvl>
    <w:lvl w:ilvl="6" w:tplc="D1DC74DA">
      <w:start w:val="1"/>
      <w:numFmt w:val="bullet"/>
      <w:lvlText w:val=""/>
      <w:lvlJc w:val="left"/>
    </w:lvl>
    <w:lvl w:ilvl="7" w:tplc="3C26015E">
      <w:start w:val="1"/>
      <w:numFmt w:val="bullet"/>
      <w:lvlText w:val=""/>
      <w:lvlJc w:val="left"/>
    </w:lvl>
    <w:lvl w:ilvl="8" w:tplc="EED63EA4">
      <w:start w:val="1"/>
      <w:numFmt w:val="bullet"/>
      <w:lvlText w:val=""/>
      <w:lvlJc w:val="left"/>
    </w:lvl>
  </w:abstractNum>
  <w:num w:numId="1" w16cid:durableId="1736584486">
    <w:abstractNumId w:val="0"/>
  </w:num>
  <w:num w:numId="2" w16cid:durableId="1231501837">
    <w:abstractNumId w:val="1"/>
  </w:num>
  <w:num w:numId="3" w16cid:durableId="864251838">
    <w:abstractNumId w:val="2"/>
  </w:num>
  <w:num w:numId="4" w16cid:durableId="417949996">
    <w:abstractNumId w:val="3"/>
  </w:num>
  <w:num w:numId="5" w16cid:durableId="155466188">
    <w:abstractNumId w:val="4"/>
  </w:num>
  <w:num w:numId="6" w16cid:durableId="2079472343">
    <w:abstractNumId w:val="5"/>
  </w:num>
  <w:num w:numId="7" w16cid:durableId="2130663813">
    <w:abstractNumId w:val="6"/>
  </w:num>
  <w:num w:numId="8" w16cid:durableId="202795193">
    <w:abstractNumId w:val="7"/>
  </w:num>
  <w:num w:numId="9" w16cid:durableId="1354652354">
    <w:abstractNumId w:val="8"/>
  </w:num>
  <w:num w:numId="10" w16cid:durableId="53358762">
    <w:abstractNumId w:val="9"/>
  </w:num>
  <w:num w:numId="11" w16cid:durableId="909656434">
    <w:abstractNumId w:val="10"/>
  </w:num>
  <w:num w:numId="12" w16cid:durableId="1760367589">
    <w:abstractNumId w:val="11"/>
  </w:num>
  <w:num w:numId="13" w16cid:durableId="1703897707">
    <w:abstractNumId w:val="12"/>
  </w:num>
  <w:num w:numId="14" w16cid:durableId="1677002446">
    <w:abstractNumId w:val="13"/>
  </w:num>
  <w:num w:numId="15" w16cid:durableId="944650758">
    <w:abstractNumId w:val="14"/>
  </w:num>
  <w:num w:numId="16" w16cid:durableId="1037655571">
    <w:abstractNumId w:val="15"/>
  </w:num>
  <w:num w:numId="17" w16cid:durableId="1513641398">
    <w:abstractNumId w:val="16"/>
  </w:num>
  <w:num w:numId="18" w16cid:durableId="1933123500">
    <w:abstractNumId w:val="17"/>
  </w:num>
  <w:num w:numId="19" w16cid:durableId="869101503">
    <w:abstractNumId w:val="18"/>
  </w:num>
  <w:num w:numId="20" w16cid:durableId="1009479136">
    <w:abstractNumId w:val="19"/>
  </w:num>
  <w:num w:numId="21" w16cid:durableId="185795850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77"/>
    <w:rsid w:val="00042BA8"/>
    <w:rsid w:val="001767AF"/>
    <w:rsid w:val="001A6E01"/>
    <w:rsid w:val="00287FF3"/>
    <w:rsid w:val="00292F30"/>
    <w:rsid w:val="00316004"/>
    <w:rsid w:val="003464C0"/>
    <w:rsid w:val="00427A57"/>
    <w:rsid w:val="004A576F"/>
    <w:rsid w:val="004D4C75"/>
    <w:rsid w:val="00534C03"/>
    <w:rsid w:val="00554EE6"/>
    <w:rsid w:val="006501AB"/>
    <w:rsid w:val="00651A7C"/>
    <w:rsid w:val="006C3050"/>
    <w:rsid w:val="007643DD"/>
    <w:rsid w:val="007F19E1"/>
    <w:rsid w:val="007F286C"/>
    <w:rsid w:val="00803872"/>
    <w:rsid w:val="0085145D"/>
    <w:rsid w:val="00876AB9"/>
    <w:rsid w:val="008F5E5C"/>
    <w:rsid w:val="009214B5"/>
    <w:rsid w:val="00AA3F72"/>
    <w:rsid w:val="00AE7918"/>
    <w:rsid w:val="00B41D95"/>
    <w:rsid w:val="00BF3CA0"/>
    <w:rsid w:val="00C40348"/>
    <w:rsid w:val="00C62C72"/>
    <w:rsid w:val="00C80A89"/>
    <w:rsid w:val="00CB5157"/>
    <w:rsid w:val="00CD07F1"/>
    <w:rsid w:val="00CF0239"/>
    <w:rsid w:val="00D256A4"/>
    <w:rsid w:val="00D91937"/>
    <w:rsid w:val="00E64127"/>
    <w:rsid w:val="00E85C77"/>
    <w:rsid w:val="00EA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ADBC7"/>
  <w15:chartTrackingRefBased/>
  <w15:docId w15:val="{2B53489E-3931-420C-9661-22F25852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7FF3"/>
    <w:pPr>
      <w:tabs>
        <w:tab w:val="center" w:pos="4153"/>
        <w:tab w:val="right" w:pos="8306"/>
      </w:tabs>
    </w:pPr>
  </w:style>
  <w:style w:type="character" w:customStyle="1" w:styleId="HeaderChar">
    <w:name w:val="Header Char"/>
    <w:basedOn w:val="DefaultParagraphFont"/>
    <w:link w:val="Header"/>
    <w:rsid w:val="00287FF3"/>
  </w:style>
  <w:style w:type="paragraph" w:styleId="Footer">
    <w:name w:val="footer"/>
    <w:basedOn w:val="Normal"/>
    <w:link w:val="FooterChar"/>
    <w:uiPriority w:val="99"/>
    <w:unhideWhenUsed/>
    <w:rsid w:val="00287FF3"/>
    <w:pPr>
      <w:tabs>
        <w:tab w:val="center" w:pos="4153"/>
        <w:tab w:val="right" w:pos="8306"/>
      </w:tabs>
    </w:pPr>
  </w:style>
  <w:style w:type="character" w:customStyle="1" w:styleId="FooterChar">
    <w:name w:val="Footer Char"/>
    <w:basedOn w:val="DefaultParagraphFont"/>
    <w:link w:val="Footer"/>
    <w:uiPriority w:val="99"/>
    <w:rsid w:val="00287FF3"/>
  </w:style>
  <w:style w:type="character" w:styleId="PageNumber">
    <w:name w:val="page number"/>
    <w:basedOn w:val="DefaultParagraphFont"/>
    <w:semiHidden/>
    <w:rsid w:val="00D25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2B48C-28BF-4DC4-A9BF-998980190F0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41DDA9EF-5EFE-4E89-B1E1-271D1CD28539}"/>
</file>

<file path=customXml/itemProps3.xml><?xml version="1.0" encoding="utf-8"?>
<ds:datastoreItem xmlns:ds="http://schemas.openxmlformats.org/officeDocument/2006/customXml" ds:itemID="{69DC4BAA-997A-497D-90AC-2475EACAC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Cīrule</dc:creator>
  <cp:keywords/>
  <cp:lastModifiedBy>Emīlija Līga Poga</cp:lastModifiedBy>
  <cp:revision>30</cp:revision>
  <dcterms:created xsi:type="dcterms:W3CDTF">2023-06-28T10:42:00Z</dcterms:created>
  <dcterms:modified xsi:type="dcterms:W3CDTF">2023-09-12T07:47:00Z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