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2F96" w14:textId="77777777" w:rsidR="00B83FC9" w:rsidRPr="00A462A3" w:rsidRDefault="00B83FC9" w:rsidP="00B83FC9">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7678DFB4" w14:textId="77777777" w:rsidR="0059240B" w:rsidRPr="0016417D" w:rsidRDefault="0059240B" w:rsidP="0059240B">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162AFC39"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1AC5B1"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1EC682" w14:textId="77777777" w:rsidR="0059240B" w:rsidRPr="0016417D" w:rsidRDefault="0059240B" w:rsidP="0059240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Securitisation Law</w:t>
      </w:r>
    </w:p>
    <w:p w14:paraId="77B22D55"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06713"/>
      <w:bookmarkEnd w:id="0"/>
      <w:bookmarkEnd w:id="1"/>
    </w:p>
    <w:p w14:paraId="09821A5B"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39CDED" w14:textId="77777777" w:rsidR="0059240B" w:rsidRPr="0059240B"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479DF821" w14:textId="77777777" w:rsidR="0059240B" w:rsidRPr="0016417D"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1244ED92"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206714"/>
      <w:bookmarkEnd w:id="2"/>
      <w:bookmarkEnd w:id="3"/>
    </w:p>
    <w:p w14:paraId="795ABCDF"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0CB81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6800092C"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CD89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terms “investor”, “originator”, “tranche”, “servicer”, “original lender”, “sponsor”, “securitisation”, and other terms related to securitisation correspond to the terms used in Article 2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Regulation No 2017/2402).</w:t>
      </w:r>
    </w:p>
    <w:p w14:paraId="3EBEF40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term “securitisation entity” (hereinafter also – the entity) corresponds to the term “securitisation special purpose entity” used in Article 2 of Regulation No 2017/2402.</w:t>
      </w:r>
    </w:p>
    <w:p w14:paraId="3EA36C3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term “assets” means the exposures underlying securitisation, including claims arising from civil law transactions.</w:t>
      </w:r>
    </w:p>
    <w:p w14:paraId="1E7BF12C"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206715"/>
      <w:bookmarkEnd w:id="4"/>
      <w:bookmarkEnd w:id="5"/>
    </w:p>
    <w:p w14:paraId="13DFE16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0ED60927"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29D883"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facilitate access to additional financing for the development of commercial activities by creating legal preconditions for securitisation transactions in Latvia.</w:t>
      </w:r>
    </w:p>
    <w:p w14:paraId="1463EE09"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206716"/>
      <w:bookmarkEnd w:id="6"/>
      <w:bookmarkEnd w:id="7"/>
    </w:p>
    <w:p w14:paraId="58AF9DF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Scope of Application of the Law</w:t>
      </w:r>
    </w:p>
    <w:p w14:paraId="644B1C1D"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825E27"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Law shall be applicable to securitisation that complies with Article 2(1) of Regulation No 2017/2402 and a securitisation entity that is registered in Latvia.</w:t>
      </w:r>
    </w:p>
    <w:p w14:paraId="1462BAF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provisions of Section 8, Paragraph one of this Law shall be also applicable to a securitisation entity that is not registered in Latvia if the country of registration of such entity cannot be subject to Article 4 of Regulation No 2017/2402 and the exposure to be securitised is subject to the requirements of Latvian laws and regulations in the field of consumer crediting.</w:t>
      </w:r>
    </w:p>
    <w:p w14:paraId="2AAA4894"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Insolvency Law shall be applicable to a securitisation entity and a servicer insofar as it is not provided for otherwise in this Law. The Insolvency Law shall be applicable to an originator insofar as it is not provided for otherwise in this Law and Regulation No 2017/2402.</w:t>
      </w:r>
    </w:p>
    <w:p w14:paraId="61AF22DD"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1206717"/>
      <w:bookmarkEnd w:id="8"/>
      <w:bookmarkEnd w:id="9"/>
    </w:p>
    <w:p w14:paraId="16D974F8" w14:textId="77777777" w:rsidR="0059240B" w:rsidRPr="0059240B"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2F690B29" w14:textId="77777777" w:rsidR="0059240B" w:rsidRPr="0016417D"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Establishment, Operation, and Termination of Operation of a Securitisation Entity</w:t>
      </w:r>
    </w:p>
    <w:p w14:paraId="6BDDFF2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1206718"/>
      <w:bookmarkEnd w:id="10"/>
      <w:bookmarkEnd w:id="11"/>
    </w:p>
    <w:p w14:paraId="3E928483"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Establishment of a Securitisation Entity in Latvia</w:t>
      </w:r>
    </w:p>
    <w:p w14:paraId="15F26D7C"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EE40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securitisation entity shall be established in Latvia as a capital company.</w:t>
      </w:r>
    </w:p>
    <w:p w14:paraId="235D7F16"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Documents of incorporation of a securitisation entity shall not specify a time period for which this entity has been established or the fact that the operation thereof is terminated upon achieving the objectives specified in the articles of association.</w:t>
      </w:r>
    </w:p>
    <w:p w14:paraId="54E1337A"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206719"/>
      <w:bookmarkEnd w:id="12"/>
      <w:bookmarkEnd w:id="13"/>
    </w:p>
    <w:p w14:paraId="5E80A9E8"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Firm Name of a Securitisation Entity</w:t>
      </w:r>
    </w:p>
    <w:p w14:paraId="09031A47"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13C5F9"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firm name of a securitisation entity shall include the indication “securitisation entity”.</w:t>
      </w:r>
    </w:p>
    <w:p w14:paraId="2C9EB36E"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It is prohibited to use of the term “securitisation entity” in any conjugation, conjunction, or derivation in the firm name or self-promotion of a capital company other than a securitisation entity in a manner that creates a misleading impression that its operation complies with this Law and Regulation No 2017/2402.</w:t>
      </w:r>
    </w:p>
    <w:p w14:paraId="5F5651DC"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206720"/>
      <w:bookmarkEnd w:id="14"/>
      <w:bookmarkEnd w:id="15"/>
    </w:p>
    <w:p w14:paraId="0D8F4908"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Restrictions of the Operation of a Securitisation Entity</w:t>
      </w:r>
    </w:p>
    <w:p w14:paraId="4CF15ECB"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CE760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securitisation entity shall carry out only such activities and enter into only such transactions which are necessary to enable its operation or to properly implement a securitisation transaction or scheme (hereinafter – the securitisation transaction) and which are not in contradiction to the purpose for which the entity was established. Transactions entered into by a securitisation entity which are in contradiction to the restrictions laid down in the first sentence of this Paragraph shall not be valid.</w:t>
      </w:r>
    </w:p>
    <w:p w14:paraId="2591B93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securitisation entity shall have no employees within the meaning of the Labour Law.</w:t>
      </w:r>
    </w:p>
    <w:p w14:paraId="627A4273"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securitisation entity is entitled to enter into derivative contracts on the management of currency and interest rate risks, to alienate assets, and to provide collateral using assets only in accordance with the provisions on securitisation transaction documentation.</w:t>
      </w:r>
    </w:p>
    <w:p w14:paraId="075411B8" w14:textId="77777777" w:rsidR="0059240B" w:rsidRDefault="0059240B" w:rsidP="0059240B">
      <w:pPr>
        <w:shd w:val="clear" w:color="auto" w:fill="FFFFFF"/>
        <w:spacing w:after="0" w:line="240" w:lineRule="auto"/>
        <w:jc w:val="both"/>
        <w:rPr>
          <w:rFonts w:ascii="Times New Roman" w:hAnsi="Times New Roman"/>
          <w:sz w:val="24"/>
        </w:rPr>
      </w:pPr>
      <w:r>
        <w:rPr>
          <w:rFonts w:ascii="Times New Roman" w:hAnsi="Times New Roman"/>
          <w:sz w:val="24"/>
        </w:rPr>
        <w:t>(4) A securitisation entity is entitled to implement only one securitisation transaction at a time.</w:t>
      </w:r>
    </w:p>
    <w:p w14:paraId="1C49C217" w14:textId="77777777" w:rsidR="00470867" w:rsidRPr="0016417D" w:rsidRDefault="00470867"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p w14:paraId="3F386E73" w14:textId="25623A49" w:rsidR="0059240B" w:rsidRPr="00470867" w:rsidRDefault="0059240B" w:rsidP="00470867">
      <w:pPr>
        <w:shd w:val="clear" w:color="auto" w:fill="FFFFFF"/>
        <w:spacing w:after="0" w:line="240" w:lineRule="auto"/>
        <w:ind w:left="1418" w:hanging="1418"/>
        <w:jc w:val="both"/>
        <w:rPr>
          <w:rFonts w:ascii="Times New Roman" w:hAnsi="Times New Roman"/>
          <w:b/>
          <w:sz w:val="24"/>
        </w:rPr>
      </w:pPr>
      <w:bookmarkStart w:id="16" w:name="p7"/>
      <w:bookmarkStart w:id="17" w:name="p-1206721"/>
      <w:bookmarkEnd w:id="16"/>
      <w:bookmarkEnd w:id="17"/>
      <w:r>
        <w:rPr>
          <w:rFonts w:ascii="Times New Roman" w:hAnsi="Times New Roman"/>
          <w:b/>
          <w:sz w:val="24"/>
        </w:rPr>
        <w:t>Section 7. Legal Protection Proceedings, Insolvency Proceedings, Liquidation and Reorganisation of a Securitisation Entity</w:t>
      </w:r>
    </w:p>
    <w:p w14:paraId="1EAF927A" w14:textId="77777777" w:rsidR="00470867" w:rsidRDefault="00470867" w:rsidP="0059240B">
      <w:pPr>
        <w:shd w:val="clear" w:color="auto" w:fill="FFFFFF"/>
        <w:spacing w:after="0" w:line="240" w:lineRule="auto"/>
        <w:jc w:val="both"/>
        <w:rPr>
          <w:rFonts w:ascii="Times New Roman" w:hAnsi="Times New Roman"/>
          <w:sz w:val="24"/>
        </w:rPr>
      </w:pPr>
    </w:p>
    <w:p w14:paraId="72F20ADD" w14:textId="4462D5C4"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Legal protection proceedings shall not be applicable to a securitisation entity.</w:t>
      </w:r>
    </w:p>
    <w:p w14:paraId="4A97BF5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securitisation entity may be liquidated on the basis of a resolution of a meeting of members or shareholders only after:</w:t>
      </w:r>
    </w:p>
    <w:p w14:paraId="3A952F06"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all claims of investors arising out of the securities issued by the securitisation entity and also the claims of other creditors have been settled in full;</w:t>
      </w:r>
    </w:p>
    <w:p w14:paraId="0839C3AA"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securitisation entity no longer holds assets, including in cases where payment obligations to investors arising from securities issued by the entity or obligations to other creditors are not met in full.</w:t>
      </w:r>
    </w:p>
    <w:p w14:paraId="2B13F30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securitisation entity may not be reorganised by means of a merger or division.</w:t>
      </w:r>
    </w:p>
    <w:p w14:paraId="375E2137"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insolvency proceedings of a securitisation entity have been declared and the insolvency administrator concludes in accordance with Section 118, Paragraph six of the Insolvency Law that the funds of the securitisation entity are insufficient to fully settle all claims of creditors (investors and other creditors) referred to in Section 118, Paragraph five of the Insolvency Law, the respective claims shall be settled in accordance with the procedures laid down in Section 17 of this Law.</w:t>
      </w:r>
    </w:p>
    <w:p w14:paraId="312D0922"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n3"/>
      <w:bookmarkStart w:id="19" w:name="n-1206722"/>
      <w:bookmarkEnd w:id="18"/>
      <w:bookmarkEnd w:id="19"/>
    </w:p>
    <w:p w14:paraId="27C42223" w14:textId="77777777" w:rsidR="0059240B" w:rsidRPr="0059240B" w:rsidRDefault="0059240B" w:rsidP="00470867">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III</w:t>
      </w:r>
    </w:p>
    <w:p w14:paraId="2A5E68D1" w14:textId="77777777" w:rsidR="0059240B" w:rsidRPr="0016417D" w:rsidRDefault="0059240B" w:rsidP="00470867">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Special Provisions Applicable to the Persons Involved in a Securitisation Transaction</w:t>
      </w:r>
    </w:p>
    <w:p w14:paraId="02E7D413" w14:textId="77777777" w:rsidR="0059240B" w:rsidRPr="0059240B" w:rsidRDefault="0059240B" w:rsidP="00470867">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1206723"/>
      <w:bookmarkEnd w:id="20"/>
      <w:bookmarkEnd w:id="21"/>
    </w:p>
    <w:p w14:paraId="12BF8E95" w14:textId="77777777" w:rsidR="0059240B" w:rsidRPr="0016417D" w:rsidRDefault="0059240B" w:rsidP="00470867">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Permit (Licence) for the Provision of a Consumer Crediting Service and an Extrajudicial Recovery of Debt Service</w:t>
      </w:r>
    </w:p>
    <w:p w14:paraId="59CDAE04" w14:textId="77777777" w:rsidR="0059240B" w:rsidRPr="0059240B" w:rsidRDefault="0059240B" w:rsidP="0047086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9AFA9" w14:textId="77777777" w:rsidR="0059240B" w:rsidRPr="0016417D" w:rsidRDefault="0059240B" w:rsidP="0047086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securitisation entity shall not require the special permit (licence) laid down in laws and regulations for the provision of a consumer crediting service and an extrajudicial recovery of debt service.</w:t>
      </w:r>
    </w:p>
    <w:p w14:paraId="1CF4C8E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servicer shall not require the special permit (licence) laid down in laws and regulations for the provision of a consumer crediting service and an extrajudicial recovery of debt service only where this is specifically provided for in laws and regulations.</w:t>
      </w:r>
    </w:p>
    <w:p w14:paraId="75CD0077"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1206724"/>
      <w:bookmarkEnd w:id="22"/>
      <w:bookmarkEnd w:id="23"/>
    </w:p>
    <w:p w14:paraId="5497C34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Transactions with Related Persons</w:t>
      </w:r>
    </w:p>
    <w:p w14:paraId="5D2C345E"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1DA5C"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Securitisation transactions shall not be subject to the provisions of the Commercial Law on related person transactions.</w:t>
      </w:r>
    </w:p>
    <w:p w14:paraId="0A82B79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1206728"/>
      <w:bookmarkEnd w:id="24"/>
      <w:bookmarkEnd w:id="25"/>
    </w:p>
    <w:p w14:paraId="53C9F039"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Protection of Information and Data Processing</w:t>
      </w:r>
    </w:p>
    <w:p w14:paraId="0511A8C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4AD9E"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order to exercise the rights and fulfil the obligations laid down in this Law, an originator or an original lender shall transfer to a securitisation entity the data of the natural person in respect of whom it acts as controller. The securitisation entity shall become the data controller in respect of the received personal data without the consent of the data subject.</w:t>
      </w:r>
    </w:p>
    <w:p w14:paraId="2A053947"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provisions of Paragraph one of this Section shall also apply to non-disclosable information held by a credit institution where it is an originator or an original lender.</w:t>
      </w:r>
    </w:p>
    <w:p w14:paraId="25731915"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is entitled to request that a securitisation entity, an originator, an initial lender, a sponsor, and audit service providers of the aforementioned persons and also any other persons involved in the securitisation, provide information necessary for the performance of supervisory functions laid down in this Law and Regulation No 2017/2402.</w:t>
      </w:r>
    </w:p>
    <w:p w14:paraId="4B960EA0"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1206730"/>
      <w:bookmarkEnd w:id="26"/>
      <w:bookmarkEnd w:id="27"/>
    </w:p>
    <w:p w14:paraId="56BBDB5A" w14:textId="77777777" w:rsidR="0059240B" w:rsidRPr="0016417D" w:rsidRDefault="0059240B" w:rsidP="0047086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Inclusion of Information in the Credit Register and the Database of the Credit Bureau</w:t>
      </w:r>
    </w:p>
    <w:p w14:paraId="7FDAF39E"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0F222"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 Credit Register participant or a Credit Register participant with a restricted status is involved in a securitisation transaction, information on the assets of the securitisation entity shall be included in the Credit Register according to the procedures laid down in the Law on the Credit Register.</w:t>
      </w:r>
    </w:p>
    <w:p w14:paraId="3E15AE09"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relevant claim arises from a loan which has been provided according to a consumer credit agreement in accordance with the Consumer Rights Protection Law, the servicer as the user of credit information shall provide information on the debt to the credit bureau in accordance with the laws and regulations prescribing the provision of such information.</w:t>
      </w:r>
    </w:p>
    <w:p w14:paraId="60C26523"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1206732"/>
      <w:bookmarkEnd w:id="28"/>
      <w:bookmarkEnd w:id="29"/>
    </w:p>
    <w:p w14:paraId="1CAECFB3"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Transfer of the Collateral Related to Assets</w:t>
      </w:r>
    </w:p>
    <w:p w14:paraId="7962D3A6"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E8E66"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alienation of assets by an originator shall include the transfer of the collateral relating to those assets to a securitisation entity, except as provided in Paragraph five of this Section.</w:t>
      </w:r>
    </w:p>
    <w:p w14:paraId="4989CC13"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Subsequent submission of such documents which provide for changes in relation to the registration of the collateral in public registers shall not, in accordance with this Law, affect the transfer of the collateral to a securitisation entity and the validity thereof. If the laws and regulations applicable to the collateral link the use of the collateral with changes in entries of </w:t>
      </w:r>
      <w:r>
        <w:rPr>
          <w:rFonts w:ascii="Times New Roman" w:hAnsi="Times New Roman"/>
          <w:sz w:val="24"/>
        </w:rPr>
        <w:lastRenderedPageBreak/>
        <w:t>the public registers in respect of the collateral taker, the securitisation entity shall use the collateral after the relevant changes in entries of the public register have been made.</w:t>
      </w:r>
    </w:p>
    <w:p w14:paraId="4666D9C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consent of a debtor and a collateral provider for the registration of the collateral shall not be required.</w:t>
      </w:r>
    </w:p>
    <w:p w14:paraId="72BCADAE"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Claims related to the collateral shall be transferred to a securitisation entity concurrently with the collateral and to the same extent as they have arisen or would arise for an originator (hereinafter also – the alienor) in accordance with this Law if the assets were not alienated to the securitisation entity.</w:t>
      </w:r>
    </w:p>
    <w:p w14:paraId="4B5FF3F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After alienation of the assets to a securitisation entity, the alienor shall be the financial collateral taker. The securitisation entity has a pre-emptive right to the financial resources obtained by executing the financial collateral. The procedures for executing the financial collateral for claims transferred to a securitisation entity shall, in conformity with this pre-emptive right, be specified in the provisions on securitisation transaction documentation.</w:t>
      </w:r>
    </w:p>
    <w:p w14:paraId="3B1FC31E"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pre-emptive right referred to in Paragraph five of this Section shall also apply in the case of insolvency proceedings or liquidation, resolution, or reorganisation measures of the alienor, or transfer of a credit institution undertaking when the credit institution is the originator.</w:t>
      </w:r>
    </w:p>
    <w:p w14:paraId="4C8D350F"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1206734"/>
      <w:bookmarkEnd w:id="30"/>
      <w:bookmarkEnd w:id="31"/>
    </w:p>
    <w:p w14:paraId="60394E26"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Rights Related to Assets</w:t>
      </w:r>
    </w:p>
    <w:p w14:paraId="1177EF82"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C10B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contracting parties do not agree otherwise in the disposal agreement, the assets shall be alienated and transferred to a securitisation entity together with all existing rights, claims, and fruits, including the right to insurance indemnity which the alienor is entitled to receive in relation to assets in accordance with laws and regulations or the concluded agreements.</w:t>
      </w:r>
    </w:p>
    <w:p w14:paraId="52890E32"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cases where the alienated assets include the right to insurance indemnity upon occurrence of an insurance event, claims of the alienor for the disbursement of insurance indemnity shall be included in the assets, unless the contracting parties agree otherwise in the disposal agreement.</w:t>
      </w:r>
    </w:p>
    <w:p w14:paraId="6EF28155"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insurance indemnity referred to in Paragraph two of this Section shall be included in the assets to the extent provided for by the laws and regulations in the field of insurance or by the concluded agreements. A securitisation entity is entitled to allow the debtor or the collateral provider to use the insurance indemnity, either in full or in part, for the elimination of the consequences of the insurance event.</w:t>
      </w:r>
    </w:p>
    <w:p w14:paraId="68588CA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unilateral notification of a securitisation entity to the insurer that the insured assets have been transferred to the securitisation entity on the basis of the disposal agreement shall grant the right to such entity to receive the insurance indemnity related to this asset.</w:t>
      </w:r>
    </w:p>
    <w:p w14:paraId="28196074"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alienation of assets to a securitisation entity shall not form the grounds for the amendment or termination of an insurance contract.</w:t>
      </w:r>
    </w:p>
    <w:p w14:paraId="7095FDEE"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1206735"/>
      <w:bookmarkEnd w:id="32"/>
      <w:bookmarkEnd w:id="33"/>
    </w:p>
    <w:p w14:paraId="453B91B7"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Rights and Obligations of a Debtor and a Collateral Provider</w:t>
      </w:r>
    </w:p>
    <w:p w14:paraId="1951F5DF"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21E1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agreement between a debtor and an originator under which it is prohibited or restricted to alienate or transfer assets to another person shall not be valid if the assets are alienated by the originator to a securitisation entity.</w:t>
      </w:r>
    </w:p>
    <w:p w14:paraId="0158328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Informing or consent of a debtor and a collateral provider shall not be required for the alienation of assets.</w:t>
      </w:r>
    </w:p>
    <w:p w14:paraId="2F97B32C"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alienation of assets to a securitisation entity shall not affect the rights and obligations of a debtor and a collateral provider which are provided for in the laws and regulations in the field of consumer protection.</w:t>
      </w:r>
    </w:p>
    <w:p w14:paraId="69C16D0F"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1206736"/>
      <w:bookmarkEnd w:id="34"/>
      <w:bookmarkEnd w:id="35"/>
    </w:p>
    <w:p w14:paraId="3C81C821" w14:textId="77777777" w:rsidR="0059240B" w:rsidRPr="0016417D" w:rsidRDefault="0059240B" w:rsidP="003627E3">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15. Features of Insolvency Proceedings of an Originator</w:t>
      </w:r>
    </w:p>
    <w:p w14:paraId="59E77CE4" w14:textId="77777777" w:rsidR="0059240B" w:rsidRPr="0059240B" w:rsidRDefault="0059240B" w:rsidP="003627E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F2E0B" w14:textId="77777777" w:rsidR="0059240B" w:rsidRPr="0016417D" w:rsidRDefault="0059240B" w:rsidP="003627E3">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the insolvency proceedings of an originator, the invalidation of transactions provided for in Articles 20 and 24 of Regulation No 2017/2402 shall apply not only to simple, transparent, and standardised securitisations but to any securitisation that complies with Article 2(1) of Regulation No 2017/2402.</w:t>
      </w:r>
    </w:p>
    <w:p w14:paraId="7B860F1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1206737"/>
      <w:bookmarkEnd w:id="36"/>
      <w:bookmarkEnd w:id="37"/>
    </w:p>
    <w:p w14:paraId="60FE0746"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Isolation of Property of a Servicer</w:t>
      </w:r>
    </w:p>
    <w:p w14:paraId="0C69F681"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225FD2"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Funds received by a servicer (including an originator if it performs the functions of a servicer) from a debtor and a collateral provider as a certain payment flow in relation to the underlying exposure of the securitisation shall not be part of the property of the servicer. In the event of legal protection proceedings, insolvency proceedings, or liquidation of the servicer or in the event of resolution or reorganisation measures, such funds shall not be used to settle the claims of creditors of the servicer, except to the extent that is set in accordance with the provisions on securitisation transaction documentation as the remuneration of the servicer for servicing the debts.</w:t>
      </w:r>
    </w:p>
    <w:p w14:paraId="39C2D48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1206738"/>
      <w:bookmarkEnd w:id="38"/>
      <w:bookmarkEnd w:id="39"/>
    </w:p>
    <w:p w14:paraId="026025B3" w14:textId="77777777" w:rsidR="0059240B" w:rsidRPr="0016417D" w:rsidRDefault="0059240B" w:rsidP="005924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Procedures for the Settlement of Claims of Investors and Other Creditors of a Securitisation Entity</w:t>
      </w:r>
    </w:p>
    <w:p w14:paraId="3D92F1A9"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DABA0"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claims of investors shall be settled in accordance with the order of seniority of the tranches of the securitisation positions in the particular securitisation transaction. The claims of investors in a tranche of a single securitisation position shall be of the same order.</w:t>
      </w:r>
    </w:p>
    <w:p w14:paraId="43BDF1B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claims of other creditors, including claims arising from derivative contracts, shall be settled in accordance with the provisions on securitisation transaction documentation, including the provisions governing the order in which the claims of investors and other creditors in a particular securitisation transaction are settled.</w:t>
      </w:r>
    </w:p>
    <w:p w14:paraId="68EDE199"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1206739"/>
      <w:bookmarkEnd w:id="40"/>
      <w:bookmarkEnd w:id="41"/>
    </w:p>
    <w:p w14:paraId="08F4A3A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Bringing an Action against a Securitisation Entity</w:t>
      </w:r>
    </w:p>
    <w:p w14:paraId="2C379EFB"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ABE13"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Bringing an action against a securitisation company shall be governed by the provisions on securitisation transaction documentation, taking into consideration that the claimant shall not receive more in the event of a successful claim than it would be entitled to in the order of seniority of tranches and what it would actually be entitled to receive under the terms of the securitisation transaction documentation, compared to other investors and creditors. Actions of investors may only be brought through a trustee, if such has been appointed.</w:t>
      </w:r>
    </w:p>
    <w:p w14:paraId="1EBAD644"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9"/>
      <w:bookmarkStart w:id="43" w:name="p-1206740"/>
      <w:bookmarkEnd w:id="42"/>
      <w:bookmarkEnd w:id="43"/>
    </w:p>
    <w:p w14:paraId="00BAAFD2"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Representation of Interests of Investors</w:t>
      </w:r>
    </w:p>
    <w:p w14:paraId="14F7B8D9"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B2117"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securitisation entity shall convene a meeting of investors if this is foreseen in the provisions on securitisation transaction documentation in order to decide on the representation of the interests of investors, insofar as it is not in contradiction to this Law.</w:t>
      </w:r>
    </w:p>
    <w:p w14:paraId="54B166E7"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convening a meeting of investors, the quorum of the meeting, the majority of votes necessary for decision-making, the procedures for voting, including remote voting, and any other issues related to convening and conducting of the meeting shall be laid down in the provisions on securitisation transaction documentation.</w:t>
      </w:r>
    </w:p>
    <w:p w14:paraId="34C59199"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securitisation entity shall cover all expenses related to the organisation of the meeting of investors and taking and communication of decisions.</w:t>
      </w:r>
    </w:p>
    <w:p w14:paraId="1A6F60B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0"/>
      <w:bookmarkStart w:id="45" w:name="p-1206741"/>
      <w:bookmarkEnd w:id="44"/>
      <w:bookmarkEnd w:id="45"/>
    </w:p>
    <w:p w14:paraId="3DDE26EB" w14:textId="77777777" w:rsidR="0059240B" w:rsidRPr="0016417D" w:rsidRDefault="0059240B" w:rsidP="00B95CD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20. Appointment of an Investor Trustee</w:t>
      </w:r>
    </w:p>
    <w:p w14:paraId="0E87E86E" w14:textId="77777777" w:rsidR="0059240B" w:rsidRPr="0059240B" w:rsidRDefault="0059240B" w:rsidP="00B95CD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C7C63" w14:textId="77777777" w:rsidR="0059240B" w:rsidRPr="0016417D" w:rsidRDefault="0059240B" w:rsidP="00B95CD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meeting of investors may decide that the joint interests of investors related to securitisation shall be represented by a trustee. The meeting of investors shall determine the rights, obligations of the trustee, the settlement, the procedures for covering expenses, and also any other issues.</w:t>
      </w:r>
    </w:p>
    <w:p w14:paraId="216C8CD3"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authorisation referred to in Paragraph one of this Section shall not be affected by the declaration of insolvency proceedings or liquidation of an investor, or the application of the proceedings for the resolution or restructuring of liabilities.</w:t>
      </w:r>
    </w:p>
    <w:p w14:paraId="5C635098"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meeting of investors may decide that a trustee shall represent all investors when performing the activities specified in the authorisation. An investor may not concurrently exercise independently his or her rights conferred on the trustee.</w:t>
      </w:r>
    </w:p>
    <w:p w14:paraId="6917BE2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conformity with the powers and restrictions imposed on a trustee in a decision by the meeting of investors, the trustee is entitled to initiate proceedings on behalf of all investors and defend their common interests, including in legal proceedings, without the obligation to establish the identity of investors. In exercising such rights, it shall be sufficient if the trustee indicates that he or she acts as a trustee and attaches a decision by the meeting of investors certifying the powers of such person and the limits of the authorisation.</w:t>
      </w:r>
    </w:p>
    <w:p w14:paraId="4EE7677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trustee is entitled to obtain information on insolvency proceedings or liquidation of a securitisation entity, insofar as it affects the settlement of the claims of investors brought in the insolvency proceedings or liquidation of the securitisation entity.</w:t>
      </w:r>
    </w:p>
    <w:p w14:paraId="1E7A0785"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a trustee has been authorised to acquire assets in the name or on behalf of investors, those assets shall be held and accounted for separately from the personal assets of the trustee and from any other assets transferred under its management. Creditors of the trustee may not direct their claims against assets, including financial resources, which the trustee has received in the name or on behalf of investors upon fulfilment of the obligations of the trustee specified thereto.</w:t>
      </w:r>
    </w:p>
    <w:p w14:paraId="4A7F3C60"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4"/>
      <w:bookmarkStart w:id="47" w:name="n-1206742"/>
      <w:bookmarkEnd w:id="46"/>
      <w:bookmarkEnd w:id="47"/>
    </w:p>
    <w:p w14:paraId="0E3C1E86" w14:textId="77777777" w:rsidR="0059240B" w:rsidRPr="0059240B"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336BA085" w14:textId="77777777" w:rsidR="0059240B" w:rsidRPr="0016417D"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Supervision</w:t>
      </w:r>
    </w:p>
    <w:p w14:paraId="42F9DDBE"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1206743"/>
      <w:bookmarkEnd w:id="48"/>
      <w:bookmarkEnd w:id="49"/>
    </w:p>
    <w:p w14:paraId="06BC8A2F"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General Supervision Requirements</w:t>
      </w:r>
    </w:p>
    <w:p w14:paraId="0A0DDD7B"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67832"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shall be deemed to be the competent authority in Latvia within the meaning of Article 29(4) and (5) of Regulation No 2017/2402.</w:t>
      </w:r>
    </w:p>
    <w:p w14:paraId="1A6DFF1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Latvijas Banka shall supervise the activities of securitisation entities, originators, original lenders, sponsors, and third parties verifying the conformity of securitisation with the requirements of simplicity, transparency, and standardisation in accordance with the requirements laid down in Regulation No 2017/2402 and other directly applicable European Union legal acts in the field of securitisation.</w:t>
      </w:r>
    </w:p>
    <w:p w14:paraId="08DEEE0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when exercising supervision in the field of securitisation, has the rights of the competent authority referred to in Article 30(2), (3), (4), and (5) of Regulation No 2017/2402.</w:t>
      </w:r>
    </w:p>
    <w:p w14:paraId="6B5EDEAE"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2"/>
      <w:bookmarkStart w:id="51" w:name="p-1206744"/>
      <w:bookmarkEnd w:id="50"/>
      <w:bookmarkEnd w:id="51"/>
    </w:p>
    <w:p w14:paraId="3191AC60" w14:textId="77777777" w:rsidR="0059240B" w:rsidRPr="0016417D" w:rsidRDefault="0059240B" w:rsidP="005924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Authorisation for a Third Party to Verify the Conformity of Securitisation with the Requirements of Simplicity, Transparency, and Standardisation</w:t>
      </w:r>
    </w:p>
    <w:p w14:paraId="3C8EBFC2"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F49FF"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one-off fee of EUR 5000 shall be payable to Latvijas Banka for the review of the submitted documents for the issuance of the authorisation referred to in Article 28(1) of Regulation No 2017/2402 to third parties verifying compliance of securitisation with the requirements of simplicity, transparency, and standardisation.</w:t>
      </w:r>
    </w:p>
    <w:p w14:paraId="21A6914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3"/>
      <w:bookmarkStart w:id="53" w:name="p-1206745"/>
      <w:bookmarkEnd w:id="52"/>
      <w:bookmarkEnd w:id="53"/>
    </w:p>
    <w:p w14:paraId="0E20423D" w14:textId="77777777" w:rsidR="0059240B" w:rsidRPr="0016417D" w:rsidRDefault="0059240B" w:rsidP="00B95CD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23. Opinion of Latvijas Banka</w:t>
      </w:r>
    </w:p>
    <w:p w14:paraId="0699D1CA" w14:textId="77777777" w:rsidR="0059240B" w:rsidRPr="0059240B" w:rsidRDefault="0059240B" w:rsidP="00B95CD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11EBA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Persons who require this in order to perform their functions laid down in laws and regulations may request Latvijas Banka to provide an opinion on whether a company whose firm name includes the indication “securitisation entity” has carried out or is carrying out transactions that are defined as securitisation in accordance with Article 2(1) of Regulation No 2017/2402.</w:t>
      </w:r>
    </w:p>
    <w:p w14:paraId="088950A4"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Latvijas Banka has the right to request additional information or explanations from the parties to the particular transaction and any other person if this is necessary for the provision of an opinion.</w:t>
      </w:r>
    </w:p>
    <w:p w14:paraId="16E74C3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provide its opinion within 30 days from the date of receipt of the information necessary for the provision thereof.</w:t>
      </w:r>
    </w:p>
    <w:p w14:paraId="4262B883"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n5"/>
      <w:bookmarkStart w:id="55" w:name="n-1206746"/>
      <w:bookmarkEnd w:id="54"/>
      <w:bookmarkEnd w:id="55"/>
    </w:p>
    <w:p w14:paraId="604D42B8" w14:textId="77777777" w:rsidR="0059240B" w:rsidRPr="0059240B"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0F05717A" w14:textId="77777777" w:rsidR="0059240B" w:rsidRPr="0016417D"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Liability</w:t>
      </w:r>
    </w:p>
    <w:p w14:paraId="5EDF069F"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4"/>
      <w:bookmarkStart w:id="57" w:name="p-1206747"/>
      <w:bookmarkEnd w:id="56"/>
      <w:bookmarkEnd w:id="57"/>
    </w:p>
    <w:p w14:paraId="2D0DEF88"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Imposing of Sanctions and Administrative Measures</w:t>
      </w:r>
    </w:p>
    <w:p w14:paraId="0AAB123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6B1B4"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Latvijas Banka is entitled to impose the sanctions and administrative measures referred to in this Law if it establishes the following:</w:t>
      </w:r>
    </w:p>
    <w:p w14:paraId="303C2B8C"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originator, a sponsor, or an original lender fails to conform to the risk-retention requirements laid down in Article 6 of Regulation No 2017/2402;</w:t>
      </w:r>
    </w:p>
    <w:p w14:paraId="0F5F5595"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 originator, a sponsor, or a securitisation entity fails to conform to the requirements relating to transparency requirements for originators, sponsors, and securitisation entities laid down in Article 7 of Regulation No 2017/2402;</w:t>
      </w:r>
    </w:p>
    <w:p w14:paraId="5762DFB0"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originator, a sponsor, or an original lender fails to conform to the requirements relating to the criteria for credit-granting laid down in Article 9 of Regulation No 2017/2402;</w:t>
      </w:r>
    </w:p>
    <w:p w14:paraId="072C4360"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an originator, a sponsor, or a securitisation entity fails to conform to the requirements relating to the use of the designation “simple, transparent, and standardised securitisation” laid down in Article 18 of Regulation No 2017/2402;</w:t>
      </w:r>
    </w:p>
    <w:p w14:paraId="48216495"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with regard to securitisation other than asset-backed commercial security securitisation, an originator, a sponsor, or a securitisation entity fails to conform to:</w:t>
      </w:r>
    </w:p>
    <w:p w14:paraId="441C9680"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requirements of simple, transparent, and standardised securitisation laid down in Article 19 of Regulation No 2017/2402;</w:t>
      </w:r>
    </w:p>
    <w:p w14:paraId="17C67555"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requirements relating to simplicity laid down in Article 20 of Regulation No 2017/2402;</w:t>
      </w:r>
    </w:p>
    <w:p w14:paraId="339006A3"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requirements relating to standardisation laid down in Article 21 of Regulation No 2017/2402;</w:t>
      </w:r>
    </w:p>
    <w:p w14:paraId="375B5D01"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the requirements relating to transparency laid down in Article 22 of Regulation No 2017/2402;</w:t>
      </w:r>
    </w:p>
    <w:p w14:paraId="470BB545"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with regard to asset-backed commercial security securitisation, an originator, a sponsor, or a securitisation entity fails to conform to:</w:t>
      </w:r>
    </w:p>
    <w:p w14:paraId="273603F7"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requirements of simple, transparent, and standardised securitisation laid down in Article 23 of Regulation No 2017/2402;</w:t>
      </w:r>
    </w:p>
    <w:p w14:paraId="5E42E3C9"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transaction-level requirements laid down in Article 24 of Regulation No 2017/2402;</w:t>
      </w:r>
    </w:p>
    <w:p w14:paraId="472973AE"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requirements for the sponsor of a programme laid down in Article 25 of Regulation No 2017/2402;</w:t>
      </w:r>
    </w:p>
    <w:p w14:paraId="1C47B600"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the programme-level requirements laid down in Article 26 of Regulation No 2017/2402;</w:t>
      </w:r>
    </w:p>
    <w:p w14:paraId="061DE509"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with regard to simple, transparent, and standardised balance-sheet securitisation, an originator, a sponsor, or a securitisation entity fails to conform to:</w:t>
      </w:r>
    </w:p>
    <w:p w14:paraId="43E8453D"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a) the requirements of simple, transparent, and standardised securitisation laid down in Article 26(a) of Regulation No 2017/2402;</w:t>
      </w:r>
    </w:p>
    <w:p w14:paraId="40B50D20"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requirements relating to simplicity laid down in Article 26(b) of Regulation No 2017/2402;</w:t>
      </w:r>
    </w:p>
    <w:p w14:paraId="7CC567E7"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requirements relating to standardisation laid down in Article 26(c) of Regulation No 2017/2402;</w:t>
      </w:r>
    </w:p>
    <w:p w14:paraId="3C2FFC9C"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the requirements relating to transparency laid down in Article 26(d) of Regulation No 2017/2402;</w:t>
      </w:r>
    </w:p>
    <w:p w14:paraId="17FAB189"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the requirements relating to the credit protection agreement, the third-party verification agent, and the synthetic excess spread laid down in Article 26(e) of Regulation No 2017/2402;</w:t>
      </w:r>
    </w:p>
    <w:p w14:paraId="0779857A"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an originator or a sponsor makes a misleading simplicity, transparency, and standardisation notification referred to in Article 27(1) of Regulation No 2017/2402;</w:t>
      </w:r>
    </w:p>
    <w:p w14:paraId="5C024F58"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an originator, a sponsor, or a securitisation entity fails to comply with the requirements relating to the notification on non-compliance of securitisation with the simplicity, transparency, and standardisation requirements laid down in Article 27(4) of Regulation No 2017/2402;</w:t>
      </w:r>
    </w:p>
    <w:p w14:paraId="5FAABB62"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third party that has received the authorisation provided for in Article 28 of Regulation No 2017/2402 to verify compliance of securitisation with simplicity, transparency, and standardisation requirements has not notified any material changes to the information specified in Article 28(1) of Regulation No 2017/2402 or any other changes that could reasonably be considered as such that affect the assessment of Latvijas Banka with regard to granting the authorisation.</w:t>
      </w:r>
    </w:p>
    <w:p w14:paraId="33E38554"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5"/>
      <w:bookmarkStart w:id="59" w:name="p-1206748"/>
      <w:bookmarkEnd w:id="58"/>
      <w:bookmarkEnd w:id="59"/>
    </w:p>
    <w:p w14:paraId="3A7EC27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Sanctions</w:t>
      </w:r>
    </w:p>
    <w:p w14:paraId="2BF7AFCB"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FC0AF"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taking a decision on the violations referred to in Section 24 of this Law, Latvijas Banka is entitled to impose the following sanctions:</w:t>
      </w:r>
    </w:p>
    <w:p w14:paraId="552FCD6B"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make a public notice which indicates the natural or legal person who is responsible for the violation and the nature of the violation;</w:t>
      </w:r>
    </w:p>
    <w:p w14:paraId="25E86587"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impose a fine in the following amount:</w:t>
      </w:r>
    </w:p>
    <w:p w14:paraId="5F8BB5D9"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on the natural person responsible for the violation – up to EUR 5 000 000;</w:t>
      </w:r>
    </w:p>
    <w:p w14:paraId="0DCC1C74"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on the legal person responsible for the violation – up to EUR 5 000 000 or up to 10 per cent of the total annual turnover of the legal person according to the latest available financial statement. If the legal person is a parent undertaking or a subsidiary which prepares a consolidated financial statement in accordance with the Law on Annual Statements and Consolidated Annual Statements, the relevant total annual turnover shall be the total annual turnover or the corresponding type of income in accordance with the relevant laws and regulations in the field of accounting, taking into consideration the latest available consolidated financial statement of the ultimate parent undertaking;</w:t>
      </w:r>
    </w:p>
    <w:p w14:paraId="6A6C40B7"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on the natural person responsible for the violation – up to twice the amount of the benefit derived from the violation if such benefit can be established, even if it exceeds the amounts specified in Sub-clause “a” of this Clause;</w:t>
      </w:r>
    </w:p>
    <w:p w14:paraId="55FB9D9F" w14:textId="77777777" w:rsidR="0059240B" w:rsidRPr="0016417D" w:rsidRDefault="0059240B" w:rsidP="0059240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on the legal person responsible for the violation – up to twice the amount of the benefit derived from the violation if such benefit can be established, even if it exceeds the amounts specified in Sub-clause “b” of this Clause.</w:t>
      </w:r>
    </w:p>
    <w:p w14:paraId="30DAC13E"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taking a decision on the violation referred to in Section 24, Clause 10 of this Law, Latvijas Banka can impose a sanction which provides for the cancellation of the issued authorisation.</w:t>
      </w:r>
    </w:p>
    <w:p w14:paraId="53343141"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6"/>
      <w:bookmarkStart w:id="61" w:name="p-1206749"/>
      <w:bookmarkEnd w:id="60"/>
      <w:bookmarkEnd w:id="61"/>
    </w:p>
    <w:p w14:paraId="14525A44" w14:textId="77777777" w:rsidR="0059240B" w:rsidRPr="0016417D" w:rsidRDefault="0059240B" w:rsidP="00E838C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26. Administrative Measures</w:t>
      </w:r>
    </w:p>
    <w:p w14:paraId="365D9967" w14:textId="77777777" w:rsidR="0059240B" w:rsidRPr="0059240B" w:rsidRDefault="0059240B" w:rsidP="00E838C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2CED2"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Latvijas Banka establishes any of the violations referred to in Section 24 of this Law, it is entitled to impose the following administrative measures:</w:t>
      </w:r>
    </w:p>
    <w:p w14:paraId="1555364B"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request that the natural or legal person who is responsible for the violation immediately ceases the relevant activity;</w:t>
      </w:r>
    </w:p>
    <w:p w14:paraId="01109339"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impose a temporary prohibition on a member of the board or council (if such has been created) of an originator, a sponsor, or a securitisation entity or the natural person responsible for the violation from performing the duties assigned thereto until the moment when the violation is eliminated, but not longer than two years.</w:t>
      </w:r>
    </w:p>
    <w:p w14:paraId="73EC991E"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Latvijas Banka establishes any of the violations referred to in Section 24, Clause 5, 6, 7, or 8 of this Law, it is entitled to impose a temporary prohibition on the originator and the sponsor to provide to the European Securities and Markets Authority the notice referred to in Article 27(1) of Regulation No 2017/2402.</w:t>
      </w:r>
    </w:p>
    <w:p w14:paraId="56BB0291"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impose administrative measures independently of the sanctions provided for in Section 25 of this Law.</w:t>
      </w:r>
    </w:p>
    <w:p w14:paraId="5F5E64FE"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7"/>
      <w:bookmarkStart w:id="63" w:name="p-1206750"/>
      <w:bookmarkEnd w:id="62"/>
      <w:bookmarkEnd w:id="63"/>
    </w:p>
    <w:p w14:paraId="435548D4" w14:textId="77777777" w:rsidR="0059240B" w:rsidRPr="0016417D" w:rsidRDefault="0059240B" w:rsidP="005924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Decision of Latvijas Banka on Imposing of Sanctions and Administrative Measures</w:t>
      </w:r>
    </w:p>
    <w:p w14:paraId="39D7BDB7"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95E103"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Upon taking the decision to impose sanctions and administrative measures and on the amount of the fine, Latvijas Banka shall take into account the criteria referred to in Article 33(2) of Regulation No 2017/2402 and the Law on Latvijas Banka, and also the measures taken by the person to prevent the recurrence of the violation and to mitigate the possible systemic consequences of the violation and the extent of the damage caused to third parties thereby, and also assess the proportionality, effectiveness, and deterrent nature of the applicable sanctions and administrative measures.</w:t>
      </w:r>
    </w:p>
    <w:p w14:paraId="24E5E72A"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8"/>
      <w:bookmarkStart w:id="65" w:name="p-1206751"/>
      <w:bookmarkEnd w:id="64"/>
      <w:bookmarkEnd w:id="65"/>
    </w:p>
    <w:p w14:paraId="22E1FD24"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28. Informing of the Sanctions and Administrative Measures Imposed</w:t>
      </w:r>
    </w:p>
    <w:p w14:paraId="52B92179"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45FF2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shall post the information on the imposed sanction and administrative measure on its website, indicating information on the person and the violation committed thereby, and also on appealing the decision taken by Latvijas Banka and the ruling made.</w:t>
      </w:r>
    </w:p>
    <w:p w14:paraId="4F5AD0CA"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after prior assessment, Latvijas Banka finds that the disclosure of data of such person on whom a sanction and administrative measure has been imposed is not commensurate or the disclosure of such data can endanger the stability of the financial market, examination of the relevant administrative case, or the course of the commenced criminal proceedings, or publication of such information is not commensurate with the committed violation, Latvijas Banka is entitled to carry out one of the following activities:</w:t>
      </w:r>
    </w:p>
    <w:p w14:paraId="6A08A9C0"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suspend publishing of the information referred to in Paragraph one of this Section on the sanctions and administrative measures imposed on the person until the moment when circumstances for suspending the publishing cease to exist;</w:t>
      </w:r>
    </w:p>
    <w:p w14:paraId="696518D1"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publish the information referred to in Paragraph one of this Section without identifying the person;</w:t>
      </w:r>
    </w:p>
    <w:p w14:paraId="6676039B"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not publish the information referred to in Paragraph one of this Section.</w:t>
      </w:r>
    </w:p>
    <w:p w14:paraId="587550E9"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information posted on the website of Latvijas Banka on the violation shall be available for five years from the day of posting thereof.</w:t>
      </w:r>
    </w:p>
    <w:p w14:paraId="27ADE14C"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9"/>
      <w:bookmarkStart w:id="67" w:name="p-1206752"/>
      <w:bookmarkEnd w:id="66"/>
      <w:bookmarkEnd w:id="67"/>
    </w:p>
    <w:p w14:paraId="54A8F49A" w14:textId="77777777" w:rsidR="0059240B" w:rsidRPr="0016417D" w:rsidRDefault="0059240B" w:rsidP="00E838C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29. Statute of Limitation</w:t>
      </w:r>
    </w:p>
    <w:p w14:paraId="70BCA989" w14:textId="77777777" w:rsidR="0059240B" w:rsidRPr="0059240B" w:rsidRDefault="0059240B" w:rsidP="00E838C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C0D4B3" w14:textId="77777777" w:rsidR="0059240B" w:rsidRPr="0016417D" w:rsidRDefault="0059240B" w:rsidP="00E838C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is entitled to initiate proceedings within five years from the day when the violation is committed but in case of a continuous violation from the day of eliminating the violation.</w:t>
      </w:r>
    </w:p>
    <w:p w14:paraId="50AC881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Counting of the statute of limitation for the initiation of a case specified in Paragraph one of this Section shall be stopped from the day of when the proceedings have been initiated.</w:t>
      </w:r>
    </w:p>
    <w:p w14:paraId="05EE4CA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may take the decision on imposition of the sanctions and administrative measures specified in this Law within two years from the day when the proceedings have been initiated.</w:t>
      </w:r>
    </w:p>
    <w:p w14:paraId="22004CA9"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Due to objective reasons, including if the case requires a protracted determination of facts, Latvijas Banka, by taking a decision, may extend the time period for taking the decision specified in Paragraph three of this Section for a time period not exceeding three years from the day when the proceedings have been initiated.</w:t>
      </w:r>
    </w:p>
    <w:p w14:paraId="0089B1A3"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shall terminate the case if the decision on imposing the sanctions and administrative measures has not been taken within the time period specified in Paragraph three or four of this Section.</w:t>
      </w:r>
    </w:p>
    <w:p w14:paraId="3D705D35"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30"/>
      <w:bookmarkStart w:id="69" w:name="p-1206753"/>
      <w:bookmarkEnd w:id="68"/>
      <w:bookmarkEnd w:id="69"/>
    </w:p>
    <w:p w14:paraId="1AB48D6E"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 Appeal of an Administrative Act Issued by Latvijas Banka</w:t>
      </w:r>
    </w:p>
    <w:p w14:paraId="1BA2655E"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1787A9"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appealing an administrative act issued by Latvijas Banka, the application shall be submitted to the Regional Administrative Court. The court shall examine the case as the court of first instance. The case shall be reviewed in the composition of three judges. A judgement of the Regional Administrative Court may be appealed by submitting a cassation complaint.</w:t>
      </w:r>
    </w:p>
    <w:p w14:paraId="61BC474B"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appeal of the administrative act referred to in Paragraph one of this Section, except for an administrative act on the imposition of a fine, a public notice, or cancellation of the authorisation, shall not suspend the operation of such act.</w:t>
      </w:r>
    </w:p>
    <w:p w14:paraId="0F07ED7A"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31"/>
      <w:bookmarkStart w:id="71" w:name="p-1206754"/>
      <w:bookmarkEnd w:id="70"/>
      <w:bookmarkEnd w:id="71"/>
    </w:p>
    <w:p w14:paraId="3E2E2402" w14:textId="77777777" w:rsidR="0059240B" w:rsidRPr="0016417D" w:rsidRDefault="0059240B" w:rsidP="005924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 Obligation of Latvijas Banka to Provide Information to the European Securities and Markets Authority</w:t>
      </w:r>
    </w:p>
    <w:p w14:paraId="0B282D8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774DA"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Latvijas Banka shall inform the European Securities and Markets Authority of the sanctions and administrative measures imposed for the violations of Regulation No 2017/2402 and other directly applicable European Union legal acts in the field of securitisation and also of the appeal of a decision of Latvijas Banka.</w:t>
      </w:r>
    </w:p>
    <w:p w14:paraId="5EFA9CBF"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1206755"/>
      <w:bookmarkEnd w:id="72"/>
    </w:p>
    <w:p w14:paraId="4F5C2526" w14:textId="77777777" w:rsidR="0059240B" w:rsidRPr="0016417D" w:rsidRDefault="0059240B" w:rsidP="0059240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w:t>
      </w:r>
      <w:bookmarkStart w:id="73" w:name="pn-1206755"/>
      <w:bookmarkEnd w:id="73"/>
    </w:p>
    <w:p w14:paraId="1D0A13E0"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1206756"/>
      <w:bookmarkEnd w:id="74"/>
    </w:p>
    <w:p w14:paraId="26A92F86" w14:textId="77777777" w:rsidR="0059240B" w:rsidRPr="0016417D" w:rsidRDefault="0059240B" w:rsidP="0059240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Section 14, Paragraph one of this Law shall also apply to an agreement between the debtor and the originator concluded before the date of entry into force of this Law if the originator itself performs the functions of a servicer after the alienation of assets to the securitisation entity.</w:t>
      </w:r>
      <w:bookmarkStart w:id="75" w:name="pn14"/>
      <w:bookmarkEnd w:id="75"/>
    </w:p>
    <w:p w14:paraId="4390F588"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831AF"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6C0CB"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on 15 July 2023.</w:t>
      </w:r>
    </w:p>
    <w:p w14:paraId="5E1F0AC1"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C743D" w14:textId="77777777" w:rsidR="0059240B" w:rsidRPr="0016417D"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8 June 2023.</w:t>
      </w:r>
    </w:p>
    <w:p w14:paraId="7534381A"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592585"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0144B2" w14:textId="06E0B0AB" w:rsidR="0059240B" w:rsidRPr="0016417D" w:rsidRDefault="0059240B" w:rsidP="00E838C4">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E838C4">
        <w:rPr>
          <w:rFonts w:ascii="Times New Roman" w:hAnsi="Times New Roman"/>
          <w:sz w:val="24"/>
        </w:rPr>
        <w:tab/>
      </w:r>
      <w:r>
        <w:rPr>
          <w:rFonts w:ascii="Times New Roman" w:hAnsi="Times New Roman"/>
          <w:sz w:val="24"/>
        </w:rPr>
        <w:t>E. Levits</w:t>
      </w:r>
    </w:p>
    <w:p w14:paraId="2DB5315D" w14:textId="77777777" w:rsidR="0059240B" w:rsidRPr="0059240B" w:rsidRDefault="0059240B" w:rsidP="005924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014280" w14:textId="5A76E822" w:rsidR="0059240B" w:rsidRPr="0059240B" w:rsidRDefault="0059240B" w:rsidP="00E838C4">
      <w:pPr>
        <w:shd w:val="clear" w:color="auto" w:fill="FFFFFF"/>
        <w:spacing w:after="0" w:line="240" w:lineRule="auto"/>
        <w:jc w:val="both"/>
        <w:rPr>
          <w:rFonts w:ascii="Times New Roman" w:hAnsi="Times New Roman" w:cs="Times New Roman"/>
          <w:noProof/>
          <w:kern w:val="0"/>
          <w:sz w:val="24"/>
          <w:szCs w:val="24"/>
          <w:lang w:val="en-US"/>
        </w:rPr>
      </w:pPr>
      <w:r>
        <w:rPr>
          <w:rFonts w:ascii="Times New Roman" w:hAnsi="Times New Roman"/>
          <w:sz w:val="24"/>
        </w:rPr>
        <w:t>Adopted 20 June 2023</w:t>
      </w:r>
    </w:p>
    <w:sectPr w:rsidR="0059240B" w:rsidRPr="0059240B" w:rsidSect="00CD54F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27F0" w14:textId="77777777" w:rsidR="0016417D" w:rsidRPr="0059240B" w:rsidRDefault="0016417D" w:rsidP="0016417D">
      <w:pPr>
        <w:spacing w:after="0" w:line="240" w:lineRule="auto"/>
        <w:rPr>
          <w:noProof/>
          <w:kern w:val="0"/>
          <w:lang w:val="en-US"/>
        </w:rPr>
      </w:pPr>
      <w:r w:rsidRPr="0059240B">
        <w:rPr>
          <w:noProof/>
          <w:kern w:val="0"/>
          <w:lang w:val="en-US"/>
        </w:rPr>
        <w:separator/>
      </w:r>
    </w:p>
  </w:endnote>
  <w:endnote w:type="continuationSeparator" w:id="0">
    <w:p w14:paraId="5C808DEE" w14:textId="77777777" w:rsidR="0016417D" w:rsidRPr="0059240B" w:rsidRDefault="0016417D" w:rsidP="0016417D">
      <w:pPr>
        <w:spacing w:after="0" w:line="240" w:lineRule="auto"/>
        <w:rPr>
          <w:noProof/>
          <w:kern w:val="0"/>
          <w:lang w:val="en-US"/>
        </w:rPr>
      </w:pPr>
      <w:r w:rsidRPr="0059240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B522" w14:textId="77777777" w:rsidR="00BB1E02" w:rsidRPr="00A462A3" w:rsidRDefault="00BB1E02" w:rsidP="00BB1E02">
    <w:pPr>
      <w:pStyle w:val="Footer"/>
      <w:rPr>
        <w:rFonts w:ascii="Times New Roman" w:hAnsi="Times New Roman" w:cs="Times New Roman"/>
        <w:noProof/>
        <w:sz w:val="20"/>
        <w:szCs w:val="20"/>
        <w:lang w:val="en-US"/>
      </w:rPr>
    </w:pPr>
  </w:p>
  <w:p w14:paraId="2E38BA29" w14:textId="77777777" w:rsidR="00BB1E02" w:rsidRPr="00A462A3" w:rsidRDefault="00BB1E02" w:rsidP="00BB1E02">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35D03832" w14:textId="2BC58E05" w:rsidR="0059240B" w:rsidRPr="00BB1E02" w:rsidRDefault="00BB1E02">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976D" w14:textId="77777777" w:rsidR="009A39AB" w:rsidRPr="00A462A3" w:rsidRDefault="009A39AB" w:rsidP="009A39AB">
    <w:pPr>
      <w:pStyle w:val="Footer"/>
      <w:rPr>
        <w:rFonts w:ascii="Times New Roman" w:hAnsi="Times New Roman" w:cs="Times New Roman"/>
        <w:noProof/>
        <w:sz w:val="20"/>
        <w:szCs w:val="20"/>
        <w:vertAlign w:val="superscript"/>
        <w:lang w:val="en-US"/>
      </w:rPr>
    </w:pPr>
    <w:bookmarkStart w:id="76" w:name="_Hlk4057576"/>
    <w:bookmarkStart w:id="77" w:name="_Hlk4057577"/>
  </w:p>
  <w:p w14:paraId="0DB9F1B7" w14:textId="77777777" w:rsidR="009A39AB" w:rsidRPr="00A462A3" w:rsidRDefault="009A39AB" w:rsidP="009A39AB">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317AA70A" w14:textId="77777777" w:rsidR="009A39AB" w:rsidRPr="00A462A3" w:rsidRDefault="009A39AB" w:rsidP="009A39AB">
    <w:pPr>
      <w:pStyle w:val="Footer"/>
      <w:rPr>
        <w:rFonts w:ascii="Times New Roman" w:hAnsi="Times New Roman" w:cs="Times New Roman"/>
        <w:noProof/>
        <w:sz w:val="20"/>
        <w:szCs w:val="20"/>
        <w:lang w:val="en-US"/>
      </w:rPr>
    </w:pPr>
  </w:p>
  <w:p w14:paraId="01B24BDD" w14:textId="4936AFF8" w:rsidR="0059240B" w:rsidRPr="009A39AB" w:rsidRDefault="009A39AB">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BF1B" w14:textId="77777777" w:rsidR="0016417D" w:rsidRPr="0059240B" w:rsidRDefault="0016417D" w:rsidP="0016417D">
      <w:pPr>
        <w:spacing w:after="0" w:line="240" w:lineRule="auto"/>
        <w:rPr>
          <w:noProof/>
          <w:kern w:val="0"/>
          <w:lang w:val="en-US"/>
        </w:rPr>
      </w:pPr>
      <w:r w:rsidRPr="0059240B">
        <w:rPr>
          <w:noProof/>
          <w:kern w:val="0"/>
          <w:lang w:val="en-US"/>
        </w:rPr>
        <w:separator/>
      </w:r>
    </w:p>
  </w:footnote>
  <w:footnote w:type="continuationSeparator" w:id="0">
    <w:p w14:paraId="1937089D" w14:textId="77777777" w:rsidR="0016417D" w:rsidRPr="0059240B" w:rsidRDefault="0016417D" w:rsidP="0016417D">
      <w:pPr>
        <w:spacing w:after="0" w:line="240" w:lineRule="auto"/>
        <w:rPr>
          <w:noProof/>
          <w:kern w:val="0"/>
          <w:lang w:val="en-US"/>
        </w:rPr>
      </w:pPr>
      <w:r w:rsidRPr="0059240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15"/>
    <w:rsid w:val="00052489"/>
    <w:rsid w:val="000F4ADE"/>
    <w:rsid w:val="001629DD"/>
    <w:rsid w:val="0016417D"/>
    <w:rsid w:val="002E38CF"/>
    <w:rsid w:val="003627E3"/>
    <w:rsid w:val="003E6A15"/>
    <w:rsid w:val="004454AB"/>
    <w:rsid w:val="00470867"/>
    <w:rsid w:val="004E6454"/>
    <w:rsid w:val="004F61AE"/>
    <w:rsid w:val="0052147E"/>
    <w:rsid w:val="00564499"/>
    <w:rsid w:val="00581328"/>
    <w:rsid w:val="0059240B"/>
    <w:rsid w:val="00641CE0"/>
    <w:rsid w:val="006F6015"/>
    <w:rsid w:val="007306AD"/>
    <w:rsid w:val="00772D7B"/>
    <w:rsid w:val="007C397E"/>
    <w:rsid w:val="007C4F5A"/>
    <w:rsid w:val="008411C8"/>
    <w:rsid w:val="008824E4"/>
    <w:rsid w:val="0089716F"/>
    <w:rsid w:val="00913D7A"/>
    <w:rsid w:val="00964D47"/>
    <w:rsid w:val="00994854"/>
    <w:rsid w:val="009A39AB"/>
    <w:rsid w:val="00A65E5B"/>
    <w:rsid w:val="00B83FC9"/>
    <w:rsid w:val="00B95CD4"/>
    <w:rsid w:val="00BB1E02"/>
    <w:rsid w:val="00BE69CA"/>
    <w:rsid w:val="00C1584D"/>
    <w:rsid w:val="00CA469E"/>
    <w:rsid w:val="00CD54FB"/>
    <w:rsid w:val="00D07F48"/>
    <w:rsid w:val="00D226C8"/>
    <w:rsid w:val="00D61025"/>
    <w:rsid w:val="00E12FC3"/>
    <w:rsid w:val="00E41EAC"/>
    <w:rsid w:val="00E651C5"/>
    <w:rsid w:val="00E838C4"/>
    <w:rsid w:val="00EA6095"/>
    <w:rsid w:val="00F22D59"/>
    <w:rsid w:val="00F3535C"/>
    <w:rsid w:val="00F81202"/>
    <w:rsid w:val="00FF6F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B7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641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6417D"/>
    <w:rPr>
      <w:color w:val="0000FF"/>
      <w:u w:val="single"/>
    </w:rPr>
  </w:style>
  <w:style w:type="paragraph" w:styleId="Header">
    <w:name w:val="header"/>
    <w:basedOn w:val="Normal"/>
    <w:link w:val="HeaderChar"/>
    <w:uiPriority w:val="99"/>
    <w:unhideWhenUsed/>
    <w:rsid w:val="00164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17D"/>
  </w:style>
  <w:style w:type="paragraph" w:styleId="Footer">
    <w:name w:val="footer"/>
    <w:basedOn w:val="Normal"/>
    <w:link w:val="FooterChar"/>
    <w:unhideWhenUsed/>
    <w:rsid w:val="0016417D"/>
    <w:pPr>
      <w:tabs>
        <w:tab w:val="center" w:pos="4513"/>
        <w:tab w:val="right" w:pos="9026"/>
      </w:tabs>
      <w:spacing w:after="0" w:line="240" w:lineRule="auto"/>
    </w:pPr>
  </w:style>
  <w:style w:type="character" w:customStyle="1" w:styleId="FooterChar">
    <w:name w:val="Footer Char"/>
    <w:basedOn w:val="DefaultParagraphFont"/>
    <w:link w:val="Footer"/>
    <w:rsid w:val="0016417D"/>
  </w:style>
  <w:style w:type="character" w:styleId="PageNumber">
    <w:name w:val="page number"/>
    <w:basedOn w:val="DefaultParagraphFont"/>
    <w:rsid w:val="00BB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206">
      <w:bodyDiv w:val="1"/>
      <w:marLeft w:val="0"/>
      <w:marRight w:val="0"/>
      <w:marTop w:val="0"/>
      <w:marBottom w:val="0"/>
      <w:divBdr>
        <w:top w:val="none" w:sz="0" w:space="0" w:color="auto"/>
        <w:left w:val="none" w:sz="0" w:space="0" w:color="auto"/>
        <w:bottom w:val="none" w:sz="0" w:space="0" w:color="auto"/>
        <w:right w:val="none" w:sz="0" w:space="0" w:color="auto"/>
      </w:divBdr>
      <w:divsChild>
        <w:div w:id="266740698">
          <w:marLeft w:val="0"/>
          <w:marRight w:val="0"/>
          <w:marTop w:val="480"/>
          <w:marBottom w:val="240"/>
          <w:divBdr>
            <w:top w:val="none" w:sz="0" w:space="0" w:color="auto"/>
            <w:left w:val="none" w:sz="0" w:space="0" w:color="auto"/>
            <w:bottom w:val="none" w:sz="0" w:space="0" w:color="auto"/>
            <w:right w:val="none" w:sz="0" w:space="0" w:color="auto"/>
          </w:divBdr>
        </w:div>
        <w:div w:id="68574990">
          <w:marLeft w:val="0"/>
          <w:marRight w:val="0"/>
          <w:marTop w:val="0"/>
          <w:marBottom w:val="567"/>
          <w:divBdr>
            <w:top w:val="none" w:sz="0" w:space="0" w:color="auto"/>
            <w:left w:val="none" w:sz="0" w:space="0" w:color="auto"/>
            <w:bottom w:val="none" w:sz="0" w:space="0" w:color="auto"/>
            <w:right w:val="none" w:sz="0" w:space="0" w:color="auto"/>
          </w:divBdr>
        </w:div>
        <w:div w:id="761493558">
          <w:marLeft w:val="0"/>
          <w:marRight w:val="0"/>
          <w:marTop w:val="0"/>
          <w:marBottom w:val="0"/>
          <w:divBdr>
            <w:top w:val="none" w:sz="0" w:space="0" w:color="auto"/>
            <w:left w:val="none" w:sz="0" w:space="0" w:color="auto"/>
            <w:bottom w:val="none" w:sz="0" w:space="0" w:color="auto"/>
            <w:right w:val="none" w:sz="0" w:space="0" w:color="auto"/>
          </w:divBdr>
        </w:div>
        <w:div w:id="1248660559">
          <w:marLeft w:val="0"/>
          <w:marRight w:val="0"/>
          <w:marTop w:val="0"/>
          <w:marBottom w:val="0"/>
          <w:divBdr>
            <w:top w:val="none" w:sz="0" w:space="0" w:color="auto"/>
            <w:left w:val="none" w:sz="0" w:space="0" w:color="auto"/>
            <w:bottom w:val="none" w:sz="0" w:space="0" w:color="auto"/>
            <w:right w:val="none" w:sz="0" w:space="0" w:color="auto"/>
          </w:divBdr>
        </w:div>
        <w:div w:id="761294837">
          <w:marLeft w:val="0"/>
          <w:marRight w:val="0"/>
          <w:marTop w:val="0"/>
          <w:marBottom w:val="0"/>
          <w:divBdr>
            <w:top w:val="none" w:sz="0" w:space="0" w:color="auto"/>
            <w:left w:val="none" w:sz="0" w:space="0" w:color="auto"/>
            <w:bottom w:val="none" w:sz="0" w:space="0" w:color="auto"/>
            <w:right w:val="none" w:sz="0" w:space="0" w:color="auto"/>
          </w:divBdr>
        </w:div>
        <w:div w:id="725182352">
          <w:marLeft w:val="0"/>
          <w:marRight w:val="0"/>
          <w:marTop w:val="0"/>
          <w:marBottom w:val="0"/>
          <w:divBdr>
            <w:top w:val="none" w:sz="0" w:space="0" w:color="auto"/>
            <w:left w:val="none" w:sz="0" w:space="0" w:color="auto"/>
            <w:bottom w:val="none" w:sz="0" w:space="0" w:color="auto"/>
            <w:right w:val="none" w:sz="0" w:space="0" w:color="auto"/>
          </w:divBdr>
        </w:div>
        <w:div w:id="490827685">
          <w:marLeft w:val="0"/>
          <w:marRight w:val="0"/>
          <w:marTop w:val="0"/>
          <w:marBottom w:val="0"/>
          <w:divBdr>
            <w:top w:val="none" w:sz="0" w:space="0" w:color="auto"/>
            <w:left w:val="none" w:sz="0" w:space="0" w:color="auto"/>
            <w:bottom w:val="none" w:sz="0" w:space="0" w:color="auto"/>
            <w:right w:val="none" w:sz="0" w:space="0" w:color="auto"/>
          </w:divBdr>
        </w:div>
        <w:div w:id="1232274168">
          <w:marLeft w:val="0"/>
          <w:marRight w:val="0"/>
          <w:marTop w:val="0"/>
          <w:marBottom w:val="0"/>
          <w:divBdr>
            <w:top w:val="none" w:sz="0" w:space="0" w:color="auto"/>
            <w:left w:val="none" w:sz="0" w:space="0" w:color="auto"/>
            <w:bottom w:val="none" w:sz="0" w:space="0" w:color="auto"/>
            <w:right w:val="none" w:sz="0" w:space="0" w:color="auto"/>
          </w:divBdr>
        </w:div>
        <w:div w:id="1860921801">
          <w:marLeft w:val="0"/>
          <w:marRight w:val="0"/>
          <w:marTop w:val="0"/>
          <w:marBottom w:val="0"/>
          <w:divBdr>
            <w:top w:val="none" w:sz="0" w:space="0" w:color="auto"/>
            <w:left w:val="none" w:sz="0" w:space="0" w:color="auto"/>
            <w:bottom w:val="none" w:sz="0" w:space="0" w:color="auto"/>
            <w:right w:val="none" w:sz="0" w:space="0" w:color="auto"/>
          </w:divBdr>
        </w:div>
        <w:div w:id="1930431988">
          <w:marLeft w:val="0"/>
          <w:marRight w:val="0"/>
          <w:marTop w:val="0"/>
          <w:marBottom w:val="0"/>
          <w:divBdr>
            <w:top w:val="none" w:sz="0" w:space="0" w:color="auto"/>
            <w:left w:val="none" w:sz="0" w:space="0" w:color="auto"/>
            <w:bottom w:val="none" w:sz="0" w:space="0" w:color="auto"/>
            <w:right w:val="none" w:sz="0" w:space="0" w:color="auto"/>
          </w:divBdr>
        </w:div>
        <w:div w:id="1570532343">
          <w:marLeft w:val="0"/>
          <w:marRight w:val="0"/>
          <w:marTop w:val="0"/>
          <w:marBottom w:val="0"/>
          <w:divBdr>
            <w:top w:val="none" w:sz="0" w:space="0" w:color="auto"/>
            <w:left w:val="none" w:sz="0" w:space="0" w:color="auto"/>
            <w:bottom w:val="none" w:sz="0" w:space="0" w:color="auto"/>
            <w:right w:val="none" w:sz="0" w:space="0" w:color="auto"/>
          </w:divBdr>
        </w:div>
        <w:div w:id="333993325">
          <w:marLeft w:val="0"/>
          <w:marRight w:val="0"/>
          <w:marTop w:val="0"/>
          <w:marBottom w:val="0"/>
          <w:divBdr>
            <w:top w:val="none" w:sz="0" w:space="0" w:color="auto"/>
            <w:left w:val="none" w:sz="0" w:space="0" w:color="auto"/>
            <w:bottom w:val="none" w:sz="0" w:space="0" w:color="auto"/>
            <w:right w:val="none" w:sz="0" w:space="0" w:color="auto"/>
          </w:divBdr>
        </w:div>
        <w:div w:id="1464151619">
          <w:marLeft w:val="0"/>
          <w:marRight w:val="0"/>
          <w:marTop w:val="0"/>
          <w:marBottom w:val="0"/>
          <w:divBdr>
            <w:top w:val="none" w:sz="0" w:space="0" w:color="auto"/>
            <w:left w:val="none" w:sz="0" w:space="0" w:color="auto"/>
            <w:bottom w:val="none" w:sz="0" w:space="0" w:color="auto"/>
            <w:right w:val="none" w:sz="0" w:space="0" w:color="auto"/>
          </w:divBdr>
        </w:div>
        <w:div w:id="1397706416">
          <w:marLeft w:val="0"/>
          <w:marRight w:val="0"/>
          <w:marTop w:val="0"/>
          <w:marBottom w:val="0"/>
          <w:divBdr>
            <w:top w:val="none" w:sz="0" w:space="0" w:color="auto"/>
            <w:left w:val="none" w:sz="0" w:space="0" w:color="auto"/>
            <w:bottom w:val="none" w:sz="0" w:space="0" w:color="auto"/>
            <w:right w:val="none" w:sz="0" w:space="0" w:color="auto"/>
          </w:divBdr>
        </w:div>
        <w:div w:id="1613173254">
          <w:marLeft w:val="0"/>
          <w:marRight w:val="0"/>
          <w:marTop w:val="0"/>
          <w:marBottom w:val="0"/>
          <w:divBdr>
            <w:top w:val="none" w:sz="0" w:space="0" w:color="auto"/>
            <w:left w:val="none" w:sz="0" w:space="0" w:color="auto"/>
            <w:bottom w:val="none" w:sz="0" w:space="0" w:color="auto"/>
            <w:right w:val="none" w:sz="0" w:space="0" w:color="auto"/>
          </w:divBdr>
        </w:div>
        <w:div w:id="1916547147">
          <w:marLeft w:val="0"/>
          <w:marRight w:val="0"/>
          <w:marTop w:val="0"/>
          <w:marBottom w:val="0"/>
          <w:divBdr>
            <w:top w:val="none" w:sz="0" w:space="0" w:color="auto"/>
            <w:left w:val="none" w:sz="0" w:space="0" w:color="auto"/>
            <w:bottom w:val="none" w:sz="0" w:space="0" w:color="auto"/>
            <w:right w:val="none" w:sz="0" w:space="0" w:color="auto"/>
          </w:divBdr>
        </w:div>
        <w:div w:id="1108164105">
          <w:marLeft w:val="0"/>
          <w:marRight w:val="0"/>
          <w:marTop w:val="0"/>
          <w:marBottom w:val="0"/>
          <w:divBdr>
            <w:top w:val="none" w:sz="0" w:space="0" w:color="auto"/>
            <w:left w:val="none" w:sz="0" w:space="0" w:color="auto"/>
            <w:bottom w:val="none" w:sz="0" w:space="0" w:color="auto"/>
            <w:right w:val="none" w:sz="0" w:space="0" w:color="auto"/>
          </w:divBdr>
        </w:div>
        <w:div w:id="90124248">
          <w:marLeft w:val="0"/>
          <w:marRight w:val="0"/>
          <w:marTop w:val="0"/>
          <w:marBottom w:val="0"/>
          <w:divBdr>
            <w:top w:val="none" w:sz="0" w:space="0" w:color="auto"/>
            <w:left w:val="none" w:sz="0" w:space="0" w:color="auto"/>
            <w:bottom w:val="none" w:sz="0" w:space="0" w:color="auto"/>
            <w:right w:val="none" w:sz="0" w:space="0" w:color="auto"/>
          </w:divBdr>
        </w:div>
        <w:div w:id="2000032198">
          <w:marLeft w:val="0"/>
          <w:marRight w:val="0"/>
          <w:marTop w:val="0"/>
          <w:marBottom w:val="0"/>
          <w:divBdr>
            <w:top w:val="none" w:sz="0" w:space="0" w:color="auto"/>
            <w:left w:val="none" w:sz="0" w:space="0" w:color="auto"/>
            <w:bottom w:val="none" w:sz="0" w:space="0" w:color="auto"/>
            <w:right w:val="none" w:sz="0" w:space="0" w:color="auto"/>
          </w:divBdr>
        </w:div>
        <w:div w:id="1973365468">
          <w:marLeft w:val="0"/>
          <w:marRight w:val="0"/>
          <w:marTop w:val="0"/>
          <w:marBottom w:val="0"/>
          <w:divBdr>
            <w:top w:val="none" w:sz="0" w:space="0" w:color="auto"/>
            <w:left w:val="none" w:sz="0" w:space="0" w:color="auto"/>
            <w:bottom w:val="none" w:sz="0" w:space="0" w:color="auto"/>
            <w:right w:val="none" w:sz="0" w:space="0" w:color="auto"/>
          </w:divBdr>
        </w:div>
        <w:div w:id="1128401755">
          <w:marLeft w:val="0"/>
          <w:marRight w:val="0"/>
          <w:marTop w:val="0"/>
          <w:marBottom w:val="0"/>
          <w:divBdr>
            <w:top w:val="none" w:sz="0" w:space="0" w:color="auto"/>
            <w:left w:val="none" w:sz="0" w:space="0" w:color="auto"/>
            <w:bottom w:val="none" w:sz="0" w:space="0" w:color="auto"/>
            <w:right w:val="none" w:sz="0" w:space="0" w:color="auto"/>
          </w:divBdr>
        </w:div>
        <w:div w:id="769351170">
          <w:marLeft w:val="0"/>
          <w:marRight w:val="0"/>
          <w:marTop w:val="0"/>
          <w:marBottom w:val="0"/>
          <w:divBdr>
            <w:top w:val="none" w:sz="0" w:space="0" w:color="auto"/>
            <w:left w:val="none" w:sz="0" w:space="0" w:color="auto"/>
            <w:bottom w:val="none" w:sz="0" w:space="0" w:color="auto"/>
            <w:right w:val="none" w:sz="0" w:space="0" w:color="auto"/>
          </w:divBdr>
        </w:div>
        <w:div w:id="409278959">
          <w:marLeft w:val="0"/>
          <w:marRight w:val="0"/>
          <w:marTop w:val="0"/>
          <w:marBottom w:val="0"/>
          <w:divBdr>
            <w:top w:val="none" w:sz="0" w:space="0" w:color="auto"/>
            <w:left w:val="none" w:sz="0" w:space="0" w:color="auto"/>
            <w:bottom w:val="none" w:sz="0" w:space="0" w:color="auto"/>
            <w:right w:val="none" w:sz="0" w:space="0" w:color="auto"/>
          </w:divBdr>
        </w:div>
        <w:div w:id="1666132680">
          <w:marLeft w:val="0"/>
          <w:marRight w:val="0"/>
          <w:marTop w:val="0"/>
          <w:marBottom w:val="0"/>
          <w:divBdr>
            <w:top w:val="none" w:sz="0" w:space="0" w:color="auto"/>
            <w:left w:val="none" w:sz="0" w:space="0" w:color="auto"/>
            <w:bottom w:val="none" w:sz="0" w:space="0" w:color="auto"/>
            <w:right w:val="none" w:sz="0" w:space="0" w:color="auto"/>
          </w:divBdr>
        </w:div>
        <w:div w:id="1406106361">
          <w:marLeft w:val="0"/>
          <w:marRight w:val="0"/>
          <w:marTop w:val="0"/>
          <w:marBottom w:val="0"/>
          <w:divBdr>
            <w:top w:val="none" w:sz="0" w:space="0" w:color="auto"/>
            <w:left w:val="none" w:sz="0" w:space="0" w:color="auto"/>
            <w:bottom w:val="none" w:sz="0" w:space="0" w:color="auto"/>
            <w:right w:val="none" w:sz="0" w:space="0" w:color="auto"/>
          </w:divBdr>
        </w:div>
        <w:div w:id="1108816554">
          <w:marLeft w:val="0"/>
          <w:marRight w:val="0"/>
          <w:marTop w:val="0"/>
          <w:marBottom w:val="0"/>
          <w:divBdr>
            <w:top w:val="none" w:sz="0" w:space="0" w:color="auto"/>
            <w:left w:val="none" w:sz="0" w:space="0" w:color="auto"/>
            <w:bottom w:val="none" w:sz="0" w:space="0" w:color="auto"/>
            <w:right w:val="none" w:sz="0" w:space="0" w:color="auto"/>
          </w:divBdr>
        </w:div>
        <w:div w:id="940793572">
          <w:marLeft w:val="0"/>
          <w:marRight w:val="0"/>
          <w:marTop w:val="0"/>
          <w:marBottom w:val="0"/>
          <w:divBdr>
            <w:top w:val="none" w:sz="0" w:space="0" w:color="auto"/>
            <w:left w:val="none" w:sz="0" w:space="0" w:color="auto"/>
            <w:bottom w:val="none" w:sz="0" w:space="0" w:color="auto"/>
            <w:right w:val="none" w:sz="0" w:space="0" w:color="auto"/>
          </w:divBdr>
        </w:div>
        <w:div w:id="1971861770">
          <w:marLeft w:val="0"/>
          <w:marRight w:val="0"/>
          <w:marTop w:val="0"/>
          <w:marBottom w:val="0"/>
          <w:divBdr>
            <w:top w:val="none" w:sz="0" w:space="0" w:color="auto"/>
            <w:left w:val="none" w:sz="0" w:space="0" w:color="auto"/>
            <w:bottom w:val="none" w:sz="0" w:space="0" w:color="auto"/>
            <w:right w:val="none" w:sz="0" w:space="0" w:color="auto"/>
          </w:divBdr>
        </w:div>
        <w:div w:id="1094059435">
          <w:marLeft w:val="0"/>
          <w:marRight w:val="0"/>
          <w:marTop w:val="0"/>
          <w:marBottom w:val="0"/>
          <w:divBdr>
            <w:top w:val="none" w:sz="0" w:space="0" w:color="auto"/>
            <w:left w:val="none" w:sz="0" w:space="0" w:color="auto"/>
            <w:bottom w:val="none" w:sz="0" w:space="0" w:color="auto"/>
            <w:right w:val="none" w:sz="0" w:space="0" w:color="auto"/>
          </w:divBdr>
        </w:div>
        <w:div w:id="1866407286">
          <w:marLeft w:val="0"/>
          <w:marRight w:val="0"/>
          <w:marTop w:val="0"/>
          <w:marBottom w:val="0"/>
          <w:divBdr>
            <w:top w:val="none" w:sz="0" w:space="0" w:color="auto"/>
            <w:left w:val="none" w:sz="0" w:space="0" w:color="auto"/>
            <w:bottom w:val="none" w:sz="0" w:space="0" w:color="auto"/>
            <w:right w:val="none" w:sz="0" w:space="0" w:color="auto"/>
          </w:divBdr>
        </w:div>
        <w:div w:id="1259293641">
          <w:marLeft w:val="0"/>
          <w:marRight w:val="0"/>
          <w:marTop w:val="0"/>
          <w:marBottom w:val="0"/>
          <w:divBdr>
            <w:top w:val="none" w:sz="0" w:space="0" w:color="auto"/>
            <w:left w:val="none" w:sz="0" w:space="0" w:color="auto"/>
            <w:bottom w:val="none" w:sz="0" w:space="0" w:color="auto"/>
            <w:right w:val="none" w:sz="0" w:space="0" w:color="auto"/>
          </w:divBdr>
        </w:div>
        <w:div w:id="239608659">
          <w:marLeft w:val="0"/>
          <w:marRight w:val="0"/>
          <w:marTop w:val="0"/>
          <w:marBottom w:val="0"/>
          <w:divBdr>
            <w:top w:val="none" w:sz="0" w:space="0" w:color="auto"/>
            <w:left w:val="none" w:sz="0" w:space="0" w:color="auto"/>
            <w:bottom w:val="none" w:sz="0" w:space="0" w:color="auto"/>
            <w:right w:val="none" w:sz="0" w:space="0" w:color="auto"/>
          </w:divBdr>
        </w:div>
        <w:div w:id="1048527712">
          <w:marLeft w:val="0"/>
          <w:marRight w:val="0"/>
          <w:marTop w:val="0"/>
          <w:marBottom w:val="0"/>
          <w:divBdr>
            <w:top w:val="none" w:sz="0" w:space="0" w:color="auto"/>
            <w:left w:val="none" w:sz="0" w:space="0" w:color="auto"/>
            <w:bottom w:val="none" w:sz="0" w:space="0" w:color="auto"/>
            <w:right w:val="none" w:sz="0" w:space="0" w:color="auto"/>
          </w:divBdr>
        </w:div>
        <w:div w:id="1684897012">
          <w:marLeft w:val="0"/>
          <w:marRight w:val="0"/>
          <w:marTop w:val="135"/>
          <w:marBottom w:val="0"/>
          <w:divBdr>
            <w:top w:val="none" w:sz="0" w:space="0" w:color="auto"/>
            <w:left w:val="none" w:sz="0" w:space="0" w:color="auto"/>
            <w:bottom w:val="none" w:sz="0" w:space="0" w:color="auto"/>
            <w:right w:val="none" w:sz="0" w:space="0" w:color="auto"/>
          </w:divBdr>
        </w:div>
        <w:div w:id="985940007">
          <w:marLeft w:val="0"/>
          <w:marRight w:val="0"/>
          <w:marTop w:val="0"/>
          <w:marBottom w:val="0"/>
          <w:divBdr>
            <w:top w:val="none" w:sz="0" w:space="0" w:color="auto"/>
            <w:left w:val="none" w:sz="0" w:space="0" w:color="auto"/>
            <w:bottom w:val="none" w:sz="0" w:space="0" w:color="auto"/>
            <w:right w:val="none" w:sz="0" w:space="0" w:color="auto"/>
          </w:divBdr>
        </w:div>
        <w:div w:id="1129475652">
          <w:marLeft w:val="0"/>
          <w:marRight w:val="0"/>
          <w:marTop w:val="567"/>
          <w:marBottom w:val="0"/>
          <w:divBdr>
            <w:top w:val="none" w:sz="0" w:space="0" w:color="auto"/>
            <w:left w:val="none" w:sz="0" w:space="0" w:color="auto"/>
            <w:bottom w:val="none" w:sz="0" w:space="0" w:color="auto"/>
            <w:right w:val="none" w:sz="0" w:space="0" w:color="auto"/>
          </w:divBdr>
        </w:div>
        <w:div w:id="1371145520">
          <w:marLeft w:val="0"/>
          <w:marRight w:val="0"/>
          <w:marTop w:val="240"/>
          <w:marBottom w:val="0"/>
          <w:divBdr>
            <w:top w:val="none" w:sz="0" w:space="0" w:color="auto"/>
            <w:left w:val="none" w:sz="0" w:space="0" w:color="auto"/>
            <w:bottom w:val="none" w:sz="0" w:space="0" w:color="auto"/>
            <w:right w:val="none" w:sz="0" w:space="0" w:color="auto"/>
          </w:divBdr>
        </w:div>
        <w:div w:id="20390440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3DAE06C-A1E2-485E-A6FE-2FAE110710E9}">
  <ds:schemaRefs>
    <ds:schemaRef ds:uri="http://schemas.microsoft.com/sharepoint/v3/contenttype/forms"/>
  </ds:schemaRefs>
</ds:datastoreItem>
</file>

<file path=customXml/itemProps2.xml><?xml version="1.0" encoding="utf-8"?>
<ds:datastoreItem xmlns:ds="http://schemas.openxmlformats.org/officeDocument/2006/customXml" ds:itemID="{4398D30A-4080-4CAD-8F52-3A1E8E75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76C01-E2C4-4D77-B10B-BE3125058EA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20043</Words>
  <Characters>11426</Characters>
  <Application>Microsoft Office Word</Application>
  <DocSecurity>0</DocSecurity>
  <Lines>95</Lines>
  <Paragraphs>62</Paragraphs>
  <ScaleCrop>false</ScaleCrop>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2023-08-15T12:41:00Z</dcterms:created>
  <dcterms:modified xsi:type="dcterms:W3CDTF">2023-12-08T12:15:00Z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