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68777" w14:textId="77777777" w:rsidR="00687285" w:rsidRPr="00687285" w:rsidRDefault="00687285" w:rsidP="00687285">
      <w:pPr>
        <w:pStyle w:val="BodyText"/>
        <w:ind w:left="0"/>
        <w:jc w:val="both"/>
        <w:rPr>
          <w:rFonts w:ascii="Times New Roman" w:hAnsi="Times New Roman" w:cs="Times New Roman"/>
          <w:noProof/>
        </w:rPr>
      </w:pPr>
      <w:r>
        <w:rPr>
          <w:rFonts w:ascii="Times New Roman" w:hAnsi="Times New Roman"/>
          <w:i/>
          <w:iCs/>
        </w:rPr>
        <w:t>CM-Public</w:t>
      </w:r>
    </w:p>
    <w:p w14:paraId="7947BD10" w14:textId="77777777" w:rsidR="00687285" w:rsidRPr="00687285" w:rsidRDefault="00687285" w:rsidP="00687285">
      <w:pPr>
        <w:pStyle w:val="BodyText"/>
        <w:ind w:left="0"/>
        <w:jc w:val="both"/>
        <w:rPr>
          <w:rFonts w:ascii="Times New Roman" w:hAnsi="Times New Roman" w:cs="Times New Roman"/>
          <w:noProof/>
        </w:rPr>
      </w:pPr>
    </w:p>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898"/>
        <w:gridCol w:w="1877"/>
        <w:gridCol w:w="2778"/>
        <w:gridCol w:w="1578"/>
      </w:tblGrid>
      <w:tr w:rsidR="00687285" w:rsidRPr="00687285" w14:paraId="323D4426" w14:textId="77777777" w:rsidTr="002A5CEF">
        <w:tc>
          <w:tcPr>
            <w:tcW w:w="1587" w:type="pct"/>
            <w:tcBorders>
              <w:bottom w:val="nil"/>
            </w:tcBorders>
          </w:tcPr>
          <w:p w14:paraId="502D110A" w14:textId="77777777" w:rsidR="00687285" w:rsidRPr="00687285" w:rsidRDefault="00687285" w:rsidP="006807E6">
            <w:pPr>
              <w:ind w:left="-142"/>
              <w:jc w:val="center"/>
              <w:rPr>
                <w:rFonts w:ascii="Times New Roman" w:eastAsia="Arial Narrow" w:hAnsi="Times New Roman" w:cs="Times New Roman"/>
                <w:b/>
                <w:bCs/>
                <w:noProof/>
                <w:sz w:val="24"/>
                <w:szCs w:val="24"/>
              </w:rPr>
            </w:pPr>
            <w:r>
              <w:rPr>
                <w:rFonts w:ascii="Times New Roman" w:hAnsi="Times New Roman"/>
                <w:b/>
                <w:sz w:val="24"/>
              </w:rPr>
              <w:t>MINISTRU VIETNIEKI</w:t>
            </w:r>
          </w:p>
        </w:tc>
        <w:tc>
          <w:tcPr>
            <w:tcW w:w="1028" w:type="pct"/>
            <w:tcBorders>
              <w:bottom w:val="nil"/>
            </w:tcBorders>
          </w:tcPr>
          <w:p w14:paraId="6BF37AC8" w14:textId="77777777" w:rsidR="00687285" w:rsidRPr="00687285" w:rsidRDefault="00687285" w:rsidP="002A5CEF">
            <w:pPr>
              <w:jc w:val="center"/>
              <w:rPr>
                <w:rFonts w:ascii="Times New Roman" w:hAnsi="Times New Roman" w:cs="Times New Roman"/>
                <w:noProof/>
                <w:sz w:val="24"/>
                <w:szCs w:val="24"/>
              </w:rPr>
            </w:pPr>
            <w:r>
              <w:rPr>
                <w:rFonts w:ascii="Times New Roman" w:hAnsi="Times New Roman"/>
                <w:i/>
                <w:iCs/>
                <w:sz w:val="24"/>
              </w:rPr>
              <w:t>CM</w:t>
            </w:r>
            <w:r>
              <w:rPr>
                <w:rFonts w:ascii="Times New Roman" w:hAnsi="Times New Roman"/>
                <w:sz w:val="24"/>
              </w:rPr>
              <w:t xml:space="preserve"> dokumenti</w:t>
            </w:r>
          </w:p>
        </w:tc>
        <w:tc>
          <w:tcPr>
            <w:tcW w:w="1521" w:type="pct"/>
            <w:tcBorders>
              <w:bottom w:val="nil"/>
            </w:tcBorders>
          </w:tcPr>
          <w:p w14:paraId="76BA35CD" w14:textId="77777777" w:rsidR="00687285" w:rsidRPr="00687285" w:rsidRDefault="00687285" w:rsidP="002A5CEF">
            <w:pPr>
              <w:jc w:val="center"/>
              <w:rPr>
                <w:rFonts w:ascii="Times New Roman" w:hAnsi="Times New Roman" w:cs="Times New Roman"/>
                <w:b/>
                <w:noProof/>
                <w:sz w:val="24"/>
                <w:szCs w:val="24"/>
              </w:rPr>
            </w:pPr>
            <w:r>
              <w:rPr>
                <w:rFonts w:ascii="Times New Roman" w:hAnsi="Times New Roman"/>
                <w:b/>
                <w:sz w:val="24"/>
              </w:rPr>
              <w:t>CM(2021)123-add2final</w:t>
            </w:r>
          </w:p>
        </w:tc>
        <w:tc>
          <w:tcPr>
            <w:tcW w:w="864" w:type="pct"/>
            <w:tcBorders>
              <w:bottom w:val="nil"/>
            </w:tcBorders>
          </w:tcPr>
          <w:p w14:paraId="60AEF015" w14:textId="77777777" w:rsidR="00687285" w:rsidRPr="00687285" w:rsidRDefault="00687285" w:rsidP="002A5CEF">
            <w:pPr>
              <w:jc w:val="center"/>
              <w:rPr>
                <w:rFonts w:ascii="Times New Roman" w:eastAsia="Arial Narrow" w:hAnsi="Times New Roman" w:cs="Times New Roman"/>
                <w:noProof/>
              </w:rPr>
            </w:pPr>
            <w:r>
              <w:rPr>
                <w:rFonts w:ascii="Times New Roman" w:hAnsi="Times New Roman"/>
              </w:rPr>
              <w:t>2021. gada 20. oktobris</w:t>
            </w:r>
          </w:p>
        </w:tc>
      </w:tr>
      <w:tr w:rsidR="00687285" w:rsidRPr="00687285" w14:paraId="06F3932C" w14:textId="77777777" w:rsidTr="002A5CEF">
        <w:tc>
          <w:tcPr>
            <w:tcW w:w="1587" w:type="pct"/>
            <w:tcBorders>
              <w:bottom w:val="single" w:sz="4" w:space="0" w:color="auto"/>
            </w:tcBorders>
          </w:tcPr>
          <w:p w14:paraId="736C3C92" w14:textId="77777777" w:rsidR="00687285" w:rsidRPr="00687285" w:rsidRDefault="00687285" w:rsidP="002A5CEF">
            <w:pPr>
              <w:jc w:val="both"/>
              <w:rPr>
                <w:rFonts w:ascii="Times New Roman" w:eastAsia="Times New Roman" w:hAnsi="Times New Roman" w:cs="Times New Roman"/>
                <w:noProof/>
                <w:sz w:val="24"/>
                <w:szCs w:val="24"/>
              </w:rPr>
            </w:pPr>
          </w:p>
        </w:tc>
        <w:tc>
          <w:tcPr>
            <w:tcW w:w="1028" w:type="pct"/>
            <w:tcBorders>
              <w:bottom w:val="single" w:sz="4" w:space="0" w:color="auto"/>
            </w:tcBorders>
          </w:tcPr>
          <w:p w14:paraId="1A5C93EB" w14:textId="77777777" w:rsidR="00687285" w:rsidRPr="00687285" w:rsidRDefault="00687285" w:rsidP="002A5CEF">
            <w:pPr>
              <w:jc w:val="both"/>
              <w:rPr>
                <w:rFonts w:ascii="Times New Roman" w:eastAsia="Times New Roman" w:hAnsi="Times New Roman" w:cs="Times New Roman"/>
                <w:noProof/>
                <w:sz w:val="24"/>
                <w:szCs w:val="24"/>
              </w:rPr>
            </w:pPr>
          </w:p>
        </w:tc>
        <w:tc>
          <w:tcPr>
            <w:tcW w:w="1521" w:type="pct"/>
            <w:tcBorders>
              <w:bottom w:val="single" w:sz="4" w:space="0" w:color="auto"/>
            </w:tcBorders>
          </w:tcPr>
          <w:p w14:paraId="6CA360FB" w14:textId="77777777" w:rsidR="00687285" w:rsidRPr="00687285" w:rsidRDefault="00687285" w:rsidP="002A5CEF">
            <w:pPr>
              <w:jc w:val="both"/>
              <w:rPr>
                <w:rFonts w:ascii="Times New Roman" w:eastAsia="Times New Roman" w:hAnsi="Times New Roman" w:cs="Times New Roman"/>
                <w:noProof/>
                <w:sz w:val="24"/>
                <w:szCs w:val="24"/>
              </w:rPr>
            </w:pPr>
          </w:p>
        </w:tc>
        <w:tc>
          <w:tcPr>
            <w:tcW w:w="864" w:type="pct"/>
            <w:tcBorders>
              <w:bottom w:val="single" w:sz="4" w:space="0" w:color="auto"/>
            </w:tcBorders>
          </w:tcPr>
          <w:p w14:paraId="52CC6961" w14:textId="77777777" w:rsidR="00687285" w:rsidRPr="00687285" w:rsidRDefault="00687285" w:rsidP="002A5CEF">
            <w:pPr>
              <w:jc w:val="both"/>
              <w:rPr>
                <w:rFonts w:ascii="Times New Roman" w:eastAsia="Times New Roman" w:hAnsi="Times New Roman" w:cs="Times New Roman"/>
                <w:noProof/>
                <w:sz w:val="24"/>
                <w:szCs w:val="24"/>
              </w:rPr>
            </w:pPr>
          </w:p>
        </w:tc>
      </w:tr>
      <w:tr w:rsidR="00687285" w:rsidRPr="00687285" w14:paraId="42C1F3CE" w14:textId="77777777" w:rsidTr="002A5CEF">
        <w:tc>
          <w:tcPr>
            <w:tcW w:w="5000" w:type="pct"/>
            <w:gridSpan w:val="4"/>
            <w:tcBorders>
              <w:top w:val="single" w:sz="4" w:space="0" w:color="auto"/>
            </w:tcBorders>
          </w:tcPr>
          <w:p w14:paraId="4961A5CC" w14:textId="77777777" w:rsidR="00687285" w:rsidRPr="00687285" w:rsidRDefault="00687285" w:rsidP="002A5CEF">
            <w:pPr>
              <w:jc w:val="both"/>
              <w:rPr>
                <w:rFonts w:ascii="Times New Roman" w:hAnsi="Times New Roman" w:cs="Times New Roman"/>
                <w:b/>
                <w:noProof/>
                <w:sz w:val="24"/>
                <w:szCs w:val="24"/>
              </w:rPr>
            </w:pPr>
          </w:p>
          <w:p w14:paraId="42226065" w14:textId="77777777" w:rsidR="00687285" w:rsidRPr="00687285" w:rsidRDefault="00687285" w:rsidP="002A5CEF">
            <w:pPr>
              <w:jc w:val="both"/>
              <w:rPr>
                <w:rFonts w:ascii="Times New Roman" w:hAnsi="Times New Roman" w:cs="Times New Roman"/>
                <w:b/>
                <w:noProof/>
                <w:sz w:val="28"/>
                <w:szCs w:val="28"/>
              </w:rPr>
            </w:pPr>
            <w:r>
              <w:rPr>
                <w:rFonts w:ascii="Times New Roman" w:hAnsi="Times New Roman"/>
                <w:b/>
                <w:sz w:val="28"/>
              </w:rPr>
              <w:t>1415. sanāksme, 2021. gada 20. oktobris</w:t>
            </w:r>
          </w:p>
          <w:p w14:paraId="3BD8E200" w14:textId="77777777" w:rsidR="00687285" w:rsidRPr="00687285" w:rsidRDefault="00687285" w:rsidP="002A5CEF">
            <w:pPr>
              <w:jc w:val="both"/>
              <w:rPr>
                <w:rFonts w:ascii="Times New Roman" w:hAnsi="Times New Roman" w:cs="Times New Roman"/>
                <w:noProof/>
                <w:sz w:val="24"/>
                <w:szCs w:val="24"/>
              </w:rPr>
            </w:pPr>
            <w:r>
              <w:rPr>
                <w:rFonts w:ascii="Times New Roman" w:hAnsi="Times New Roman"/>
                <w:sz w:val="24"/>
              </w:rPr>
              <w:t>10 juridiski jautājumi</w:t>
            </w:r>
          </w:p>
          <w:p w14:paraId="0A62F5A4" w14:textId="77777777" w:rsidR="00687285" w:rsidRPr="00687285" w:rsidRDefault="00687285" w:rsidP="002A5CEF">
            <w:pPr>
              <w:jc w:val="both"/>
              <w:rPr>
                <w:rFonts w:ascii="Times New Roman" w:eastAsia="Arial" w:hAnsi="Times New Roman" w:cs="Times New Roman"/>
                <w:noProof/>
                <w:sz w:val="24"/>
                <w:szCs w:val="24"/>
              </w:rPr>
            </w:pPr>
          </w:p>
          <w:p w14:paraId="11764DAD" w14:textId="77777777" w:rsidR="00687285" w:rsidRPr="00687285" w:rsidRDefault="00687285" w:rsidP="002A5CEF">
            <w:pPr>
              <w:jc w:val="both"/>
              <w:rPr>
                <w:rFonts w:ascii="Times New Roman" w:hAnsi="Times New Roman" w:cs="Times New Roman"/>
                <w:b/>
                <w:noProof/>
                <w:sz w:val="28"/>
                <w:szCs w:val="28"/>
              </w:rPr>
            </w:pPr>
            <w:r>
              <w:rPr>
                <w:rFonts w:ascii="Times New Roman" w:hAnsi="Times New Roman"/>
                <w:b/>
                <w:sz w:val="28"/>
              </w:rPr>
              <w:t>10.3. Eiropas Krimināltiesisko problēmu komiteja (</w:t>
            </w:r>
            <w:r>
              <w:rPr>
                <w:rFonts w:ascii="Times New Roman" w:hAnsi="Times New Roman"/>
                <w:b/>
                <w:i/>
                <w:iCs/>
                <w:sz w:val="28"/>
              </w:rPr>
              <w:t>CDPC</w:t>
            </w:r>
            <w:r>
              <w:rPr>
                <w:rFonts w:ascii="Times New Roman" w:hAnsi="Times New Roman"/>
                <w:b/>
                <w:sz w:val="28"/>
              </w:rPr>
              <w:t>)</w:t>
            </w:r>
          </w:p>
          <w:p w14:paraId="028EA910" w14:textId="32FC5C3A" w:rsidR="00687285" w:rsidRPr="00687285" w:rsidRDefault="00687285" w:rsidP="002A5CEF">
            <w:pPr>
              <w:jc w:val="both"/>
              <w:rPr>
                <w:rFonts w:ascii="Times New Roman" w:hAnsi="Times New Roman" w:cs="Times New Roman"/>
                <w:noProof/>
                <w:sz w:val="24"/>
                <w:szCs w:val="24"/>
              </w:rPr>
            </w:pPr>
            <w:r>
              <w:rPr>
                <w:rFonts w:ascii="Times New Roman" w:hAnsi="Times New Roman"/>
                <w:sz w:val="24"/>
              </w:rPr>
              <w:t>Ministru komitejas Ieteikums CM/Rec(2021)6 dalībvalstīm par personu, kas apsūdzētas vai notiesātas par noziedzīgiem nodarījumiem pret dzimumneaizskaramību, novērtējumu, pārvaldību un reintegrāciju</w:t>
            </w:r>
          </w:p>
          <w:p w14:paraId="35F87BAB" w14:textId="77777777" w:rsidR="00687285" w:rsidRPr="00687285" w:rsidRDefault="00687285" w:rsidP="002A5CEF">
            <w:pPr>
              <w:jc w:val="both"/>
              <w:rPr>
                <w:rFonts w:ascii="Times New Roman" w:hAnsi="Times New Roman" w:cs="Times New Roman"/>
                <w:noProof/>
                <w:sz w:val="24"/>
                <w:szCs w:val="24"/>
              </w:rPr>
            </w:pPr>
            <w:r>
              <w:rPr>
                <w:rFonts w:ascii="Times New Roman" w:hAnsi="Times New Roman"/>
                <w:sz w:val="24"/>
              </w:rPr>
              <w:t>Paskaidrojuma raksts</w:t>
            </w:r>
          </w:p>
          <w:p w14:paraId="18AD1316" w14:textId="77777777" w:rsidR="00687285" w:rsidRPr="00687285" w:rsidRDefault="00687285" w:rsidP="002A5CEF">
            <w:pPr>
              <w:jc w:val="both"/>
              <w:rPr>
                <w:rFonts w:ascii="Times New Roman" w:eastAsia="Times New Roman" w:hAnsi="Times New Roman" w:cs="Times New Roman"/>
                <w:noProof/>
                <w:sz w:val="24"/>
                <w:szCs w:val="24"/>
              </w:rPr>
            </w:pPr>
          </w:p>
        </w:tc>
      </w:tr>
    </w:tbl>
    <w:p w14:paraId="25B3043F" w14:textId="77777777" w:rsidR="00687285" w:rsidRPr="00687285" w:rsidRDefault="00687285" w:rsidP="00687285">
      <w:pPr>
        <w:jc w:val="both"/>
        <w:rPr>
          <w:rFonts w:ascii="Times New Roman" w:eastAsia="Arial" w:hAnsi="Times New Roman" w:cs="Times New Roman"/>
          <w:noProof/>
          <w:sz w:val="24"/>
          <w:szCs w:val="24"/>
        </w:rPr>
      </w:pPr>
    </w:p>
    <w:p w14:paraId="5FB6B9A1" w14:textId="77777777" w:rsidR="00687285" w:rsidRPr="00687285" w:rsidRDefault="00687285" w:rsidP="00687285">
      <w:pPr>
        <w:jc w:val="both"/>
        <w:rPr>
          <w:rFonts w:ascii="Times New Roman" w:hAnsi="Times New Roman" w:cs="Times New Roman"/>
          <w:b/>
          <w:noProof/>
          <w:sz w:val="24"/>
          <w:szCs w:val="24"/>
        </w:rPr>
      </w:pPr>
      <w:r>
        <w:rPr>
          <w:rFonts w:ascii="Times New Roman" w:hAnsi="Times New Roman"/>
          <w:b/>
          <w:sz w:val="24"/>
        </w:rPr>
        <w:t>PRIEKŠVĒSTURE</w:t>
      </w:r>
    </w:p>
    <w:p w14:paraId="7FFC4008" w14:textId="77777777" w:rsidR="00687285" w:rsidRPr="00687285" w:rsidRDefault="00687285" w:rsidP="00687285">
      <w:pPr>
        <w:pStyle w:val="BodyText"/>
        <w:tabs>
          <w:tab w:val="left" w:pos="1219"/>
        </w:tabs>
        <w:ind w:left="0"/>
        <w:jc w:val="both"/>
        <w:rPr>
          <w:rFonts w:ascii="Times New Roman" w:hAnsi="Times New Roman" w:cs="Times New Roman"/>
          <w:noProof/>
        </w:rPr>
      </w:pPr>
    </w:p>
    <w:p w14:paraId="0B317E5A" w14:textId="77777777" w:rsidR="00687285" w:rsidRPr="00687285" w:rsidRDefault="00687285" w:rsidP="00687285">
      <w:pPr>
        <w:pStyle w:val="BodyText"/>
        <w:tabs>
          <w:tab w:val="left" w:pos="1219"/>
        </w:tabs>
        <w:ind w:left="0"/>
        <w:jc w:val="both"/>
        <w:rPr>
          <w:rFonts w:ascii="Times New Roman" w:hAnsi="Times New Roman" w:cs="Times New Roman"/>
          <w:noProof/>
        </w:rPr>
      </w:pPr>
      <w:r>
        <w:rPr>
          <w:rFonts w:ascii="Times New Roman" w:hAnsi="Times New Roman"/>
        </w:rPr>
        <w:t>1. Ieteikumu izstrādāja Penoloģijas sadarbības padome (</w:t>
      </w:r>
      <w:r>
        <w:rPr>
          <w:rFonts w:ascii="Times New Roman" w:hAnsi="Times New Roman"/>
          <w:i/>
          <w:iCs/>
        </w:rPr>
        <w:t>PC-CP</w:t>
      </w:r>
      <w:r>
        <w:rPr>
          <w:rFonts w:ascii="Times New Roman" w:hAnsi="Times New Roman"/>
        </w:rPr>
        <w:t xml:space="preserve">) no 2019. līdz 2020. gadam. Ievēlētie </w:t>
      </w:r>
      <w:r>
        <w:rPr>
          <w:rFonts w:ascii="Times New Roman" w:hAnsi="Times New Roman"/>
          <w:i/>
          <w:iCs/>
        </w:rPr>
        <w:t>PC-CP</w:t>
      </w:r>
      <w:r>
        <w:rPr>
          <w:rFonts w:ascii="Times New Roman" w:hAnsi="Times New Roman"/>
        </w:rPr>
        <w:t xml:space="preserve"> darba grupas locekļi, kas piedalījās šajā darbā, bija Martina BARICA [</w:t>
      </w:r>
      <w:r>
        <w:rPr>
          <w:rFonts w:ascii="Times New Roman" w:hAnsi="Times New Roman"/>
          <w:i/>
          <w:iCs/>
        </w:rPr>
        <w:t>Martina BARIC</w:t>
      </w:r>
      <w:r>
        <w:rPr>
          <w:rFonts w:ascii="Times New Roman" w:hAnsi="Times New Roman"/>
        </w:rPr>
        <w:t>] (Horvātija); Natālija BUASŪ [</w:t>
      </w:r>
      <w:r>
        <w:rPr>
          <w:rFonts w:ascii="Times New Roman" w:hAnsi="Times New Roman"/>
          <w:i/>
          <w:iCs/>
        </w:rPr>
        <w:t>Nathalie BOISSOU</w:t>
      </w:r>
      <w:r>
        <w:rPr>
          <w:rFonts w:ascii="Times New Roman" w:hAnsi="Times New Roman"/>
        </w:rPr>
        <w:t xml:space="preserve">] (Francija); </w:t>
      </w:r>
      <w:r>
        <w:rPr>
          <w:rFonts w:ascii="Times New Roman" w:hAnsi="Times New Roman"/>
          <w:i/>
          <w:iCs/>
        </w:rPr>
        <w:t>PC-CP</w:t>
      </w:r>
      <w:r>
        <w:rPr>
          <w:rFonts w:ascii="Times New Roman" w:hAnsi="Times New Roman"/>
        </w:rPr>
        <w:t xml:space="preserve"> priekšsēdētāja no 2020. līdz 2021. gadam Annija DEVO [</w:t>
      </w:r>
      <w:r>
        <w:rPr>
          <w:rFonts w:ascii="Times New Roman" w:hAnsi="Times New Roman"/>
          <w:i/>
          <w:iCs/>
        </w:rPr>
        <w:t>Annie DEVOS</w:t>
      </w:r>
      <w:r>
        <w:rPr>
          <w:rFonts w:ascii="Times New Roman" w:hAnsi="Times New Roman"/>
        </w:rPr>
        <w:t>] (Beļģija); Anna FERRĀRI [</w:t>
      </w:r>
      <w:r>
        <w:rPr>
          <w:rFonts w:ascii="Times New Roman" w:hAnsi="Times New Roman"/>
          <w:i/>
          <w:iCs/>
        </w:rPr>
        <w:t>Anna FERRARI</w:t>
      </w:r>
      <w:r>
        <w:rPr>
          <w:rFonts w:ascii="Times New Roman" w:hAnsi="Times New Roman"/>
        </w:rPr>
        <w:t>] (Itālija); Roberts FRISKOVECS [</w:t>
      </w:r>
      <w:r>
        <w:rPr>
          <w:rFonts w:ascii="Times New Roman" w:hAnsi="Times New Roman"/>
          <w:i/>
          <w:iCs/>
        </w:rPr>
        <w:t>Robert FRISKOVEC]</w:t>
      </w:r>
      <w:r>
        <w:rPr>
          <w:rFonts w:ascii="Times New Roman" w:hAnsi="Times New Roman"/>
        </w:rPr>
        <w:t xml:space="preserve"> (Slovēnija); Vivians GEIRENS [</w:t>
      </w:r>
      <w:r>
        <w:rPr>
          <w:rFonts w:ascii="Times New Roman" w:hAnsi="Times New Roman"/>
          <w:i/>
          <w:iCs/>
        </w:rPr>
        <w:t>Vivian GEIRAN</w:t>
      </w:r>
      <w:r>
        <w:rPr>
          <w:rFonts w:ascii="Times New Roman" w:hAnsi="Times New Roman"/>
        </w:rPr>
        <w:t xml:space="preserve">] (Īrija); </w:t>
      </w:r>
      <w:r>
        <w:rPr>
          <w:rFonts w:ascii="Times New Roman" w:hAnsi="Times New Roman"/>
          <w:i/>
          <w:iCs/>
        </w:rPr>
        <w:t>PC-CP</w:t>
      </w:r>
      <w:r>
        <w:rPr>
          <w:rFonts w:ascii="Times New Roman" w:hAnsi="Times New Roman"/>
        </w:rPr>
        <w:t xml:space="preserve"> priekšsēdētāja vietnieks no 2018. līdz 2019. gadam Atilla JUHĀSS [</w:t>
      </w:r>
      <w:r>
        <w:rPr>
          <w:rFonts w:ascii="Times New Roman" w:hAnsi="Times New Roman"/>
          <w:i/>
          <w:iCs/>
        </w:rPr>
        <w:t>Attila JUHASZ</w:t>
      </w:r>
      <w:r>
        <w:rPr>
          <w:rFonts w:ascii="Times New Roman" w:hAnsi="Times New Roman"/>
        </w:rPr>
        <w:t>] (Ungārija); Manfreds KOSTS [</w:t>
      </w:r>
      <w:r>
        <w:rPr>
          <w:rFonts w:ascii="Times New Roman" w:hAnsi="Times New Roman"/>
          <w:i/>
          <w:iCs/>
        </w:rPr>
        <w:t>Manfred KOST</w:t>
      </w:r>
      <w:r>
        <w:rPr>
          <w:rFonts w:ascii="Times New Roman" w:hAnsi="Times New Roman"/>
        </w:rPr>
        <w:t>] (Vācija); Nikolajs KULURIS [</w:t>
      </w:r>
      <w:r>
        <w:rPr>
          <w:rFonts w:ascii="Times New Roman" w:hAnsi="Times New Roman"/>
          <w:i/>
          <w:iCs/>
        </w:rPr>
        <w:t>Nikolaos KOULOURIS</w:t>
      </w:r>
      <w:r>
        <w:rPr>
          <w:rFonts w:ascii="Times New Roman" w:hAnsi="Times New Roman"/>
        </w:rPr>
        <w:t xml:space="preserve">] (Grieķija); </w:t>
      </w:r>
      <w:r>
        <w:rPr>
          <w:rFonts w:ascii="Times New Roman" w:hAnsi="Times New Roman"/>
          <w:i/>
          <w:iCs/>
        </w:rPr>
        <w:t>PC-CP</w:t>
      </w:r>
      <w:r>
        <w:rPr>
          <w:rFonts w:ascii="Times New Roman" w:hAnsi="Times New Roman"/>
        </w:rPr>
        <w:t xml:space="preserve"> priekšsēdētājs no 2018. līdz 2019. gadam Dominiks LĒNERS [</w:t>
      </w:r>
      <w:r>
        <w:rPr>
          <w:rFonts w:ascii="Times New Roman" w:hAnsi="Times New Roman"/>
          <w:i/>
          <w:iCs/>
        </w:rPr>
        <w:t>Dominik LEHNER</w:t>
      </w:r>
      <w:r>
        <w:rPr>
          <w:rFonts w:ascii="Times New Roman" w:hAnsi="Times New Roman"/>
        </w:rPr>
        <w:t>] (Šveice); Marija LINDSTREMA (Zviedrija); Laura NEGREDO LOPESA [</w:t>
      </w:r>
      <w:r>
        <w:rPr>
          <w:rFonts w:ascii="Times New Roman" w:hAnsi="Times New Roman"/>
          <w:i/>
          <w:iCs/>
        </w:rPr>
        <w:t>Laura NEGREDO LOPEZ</w:t>
      </w:r>
      <w:r>
        <w:rPr>
          <w:rFonts w:ascii="Times New Roman" w:hAnsi="Times New Roman"/>
        </w:rPr>
        <w:t xml:space="preserve">] (Spānija); </w:t>
      </w:r>
      <w:r>
        <w:rPr>
          <w:rFonts w:ascii="Times New Roman" w:hAnsi="Times New Roman"/>
          <w:i/>
          <w:iCs/>
        </w:rPr>
        <w:t>PC-CP</w:t>
      </w:r>
      <w:r>
        <w:rPr>
          <w:rFonts w:ascii="Times New Roman" w:hAnsi="Times New Roman"/>
        </w:rPr>
        <w:t xml:space="preserve"> priekšsēdētāja vietniece no 2020. līdz 2021. gadam Nadja RADKOVSKA [</w:t>
      </w:r>
      <w:r>
        <w:rPr>
          <w:rFonts w:ascii="Times New Roman" w:hAnsi="Times New Roman"/>
          <w:i/>
          <w:iCs/>
        </w:rPr>
        <w:t>Nadya RADKOVSKA</w:t>
      </w:r>
      <w:r>
        <w:rPr>
          <w:rFonts w:ascii="Times New Roman" w:hAnsi="Times New Roman"/>
        </w:rPr>
        <w:t>] (Bulgārija).</w:t>
      </w:r>
    </w:p>
    <w:p w14:paraId="04C8F786" w14:textId="77777777" w:rsidR="00687285" w:rsidRPr="00687285" w:rsidRDefault="00687285" w:rsidP="00687285">
      <w:pPr>
        <w:pStyle w:val="BodyText"/>
        <w:ind w:left="0"/>
        <w:jc w:val="both"/>
        <w:rPr>
          <w:rFonts w:ascii="Times New Roman" w:hAnsi="Times New Roman" w:cs="Times New Roman"/>
          <w:noProof/>
        </w:rPr>
      </w:pPr>
      <w:r>
        <w:rPr>
          <w:rFonts w:ascii="Times New Roman" w:hAnsi="Times New Roman"/>
          <w:i/>
          <w:iCs/>
        </w:rPr>
        <w:t>PC-CP</w:t>
      </w:r>
      <w:r>
        <w:rPr>
          <w:rFonts w:ascii="Times New Roman" w:hAnsi="Times New Roman"/>
        </w:rPr>
        <w:t xml:space="preserve"> palīdzēja trīs zinātniskie eksperti: Dr. Kīrens MAKĀRTANS [</w:t>
      </w:r>
      <w:r>
        <w:rPr>
          <w:rFonts w:ascii="Times New Roman" w:hAnsi="Times New Roman"/>
          <w:i/>
          <w:iCs/>
        </w:rPr>
        <w:t>Kieran Mccartan</w:t>
      </w:r>
      <w:r>
        <w:rPr>
          <w:rFonts w:ascii="Times New Roman" w:hAnsi="Times New Roman"/>
        </w:rPr>
        <w:t>] – kriminoloģijas profesors Rietumanglijas Universitātes Veselības un sociālo zinātņu departamentā (Apvienotā Karaliste), Marianne Fūlestveda [</w:t>
      </w:r>
      <w:r>
        <w:rPr>
          <w:rFonts w:ascii="Times New Roman" w:hAnsi="Times New Roman"/>
          <w:i/>
          <w:iCs/>
        </w:rPr>
        <w:t>Marianne Fuglestved</w:t>
      </w:r>
      <w:r>
        <w:rPr>
          <w:rFonts w:ascii="Times New Roman" w:hAnsi="Times New Roman"/>
        </w:rPr>
        <w:t>] – psihoterapijas un klīniskās seksoloģijas speciāliste, psiholoģe Dānijas ieslodzījuma vietu un probācijas dienesta direktorātā (Dānija) un Hārvijs Sleids [</w:t>
      </w:r>
      <w:r>
        <w:rPr>
          <w:rFonts w:ascii="Times New Roman" w:hAnsi="Times New Roman"/>
          <w:i/>
          <w:iCs/>
        </w:rPr>
        <w:t>Harvey Slade</w:t>
      </w:r>
      <w:r>
        <w:rPr>
          <w:rFonts w:ascii="Times New Roman" w:hAnsi="Times New Roman"/>
        </w:rPr>
        <w:t>] – konsultants (Apvienotā Karaliste). Sanāksmēs piedalījās arī Eiropas Probācijas konfederācijas (</w:t>
      </w:r>
      <w:r>
        <w:rPr>
          <w:rFonts w:ascii="Times New Roman" w:hAnsi="Times New Roman"/>
          <w:i/>
          <w:iCs/>
        </w:rPr>
        <w:t>CEP</w:t>
      </w:r>
      <w:r>
        <w:rPr>
          <w:rFonts w:ascii="Times New Roman" w:hAnsi="Times New Roman"/>
        </w:rPr>
        <w:t>) un Eiropas Ieslodzījuma vietu un korekcijas dienestu organizācijas (</w:t>
      </w:r>
      <w:r>
        <w:rPr>
          <w:rFonts w:ascii="Times New Roman" w:hAnsi="Times New Roman"/>
          <w:i/>
          <w:iCs/>
        </w:rPr>
        <w:t>EuroPris</w:t>
      </w:r>
      <w:r>
        <w:rPr>
          <w:rFonts w:ascii="Times New Roman" w:hAnsi="Times New Roman"/>
        </w:rPr>
        <w:t>) pārstāvji, kā arī Krešimirs Krambers [</w:t>
      </w:r>
      <w:r>
        <w:rPr>
          <w:rFonts w:ascii="Times New Roman" w:hAnsi="Times New Roman"/>
          <w:i/>
          <w:iCs/>
        </w:rPr>
        <w:t>Kresimir Kamber</w:t>
      </w:r>
      <w:r>
        <w:rPr>
          <w:rFonts w:ascii="Times New Roman" w:hAnsi="Times New Roman"/>
        </w:rPr>
        <w:t>] no Eiropas Cilvēktiesību tiesas sekretariāta un Hjū Četvinds [</w:t>
      </w:r>
      <w:r>
        <w:rPr>
          <w:rFonts w:ascii="Times New Roman" w:hAnsi="Times New Roman"/>
          <w:i/>
          <w:iCs/>
        </w:rPr>
        <w:t>Hugh Chetwynd</w:t>
      </w:r>
      <w:r>
        <w:rPr>
          <w:rFonts w:ascii="Times New Roman" w:hAnsi="Times New Roman"/>
        </w:rPr>
        <w:t>] no Komitejas spīdzināšanas novēršanai sekretariāta (</w:t>
      </w:r>
      <w:r>
        <w:rPr>
          <w:rFonts w:ascii="Times New Roman" w:hAnsi="Times New Roman"/>
          <w:i/>
          <w:iCs/>
        </w:rPr>
        <w:t>CPT</w:t>
      </w:r>
      <w:r>
        <w:rPr>
          <w:rFonts w:ascii="Times New Roman" w:hAnsi="Times New Roman"/>
        </w:rPr>
        <w:t>).</w:t>
      </w:r>
    </w:p>
    <w:p w14:paraId="2CCC8554" w14:textId="77777777" w:rsidR="00687285" w:rsidRPr="00687285" w:rsidRDefault="00687285" w:rsidP="00687285">
      <w:pPr>
        <w:pStyle w:val="BodyText"/>
        <w:ind w:left="0"/>
        <w:jc w:val="both"/>
        <w:rPr>
          <w:rFonts w:ascii="Times New Roman" w:hAnsi="Times New Roman" w:cs="Times New Roman"/>
          <w:noProof/>
        </w:rPr>
      </w:pPr>
    </w:p>
    <w:p w14:paraId="3D23C374" w14:textId="77777777" w:rsidR="00687285" w:rsidRPr="00687285" w:rsidRDefault="00687285" w:rsidP="00687285">
      <w:pPr>
        <w:jc w:val="both"/>
        <w:rPr>
          <w:rFonts w:ascii="Times New Roman" w:hAnsi="Times New Roman" w:cs="Times New Roman"/>
          <w:b/>
          <w:noProof/>
          <w:sz w:val="24"/>
          <w:szCs w:val="24"/>
        </w:rPr>
      </w:pPr>
      <w:r>
        <w:rPr>
          <w:rFonts w:ascii="Times New Roman" w:hAnsi="Times New Roman"/>
          <w:b/>
          <w:sz w:val="24"/>
        </w:rPr>
        <w:t>IEVADS</w:t>
      </w:r>
    </w:p>
    <w:p w14:paraId="200E0E1D" w14:textId="77777777" w:rsidR="00687285" w:rsidRPr="00687285" w:rsidRDefault="00687285" w:rsidP="00687285">
      <w:pPr>
        <w:pStyle w:val="BodyText"/>
        <w:tabs>
          <w:tab w:val="left" w:pos="1219"/>
        </w:tabs>
        <w:ind w:left="0"/>
        <w:jc w:val="both"/>
        <w:rPr>
          <w:rFonts w:ascii="Times New Roman" w:hAnsi="Times New Roman" w:cs="Times New Roman"/>
          <w:noProof/>
        </w:rPr>
      </w:pPr>
    </w:p>
    <w:p w14:paraId="56402143" w14:textId="77777777" w:rsidR="00687285" w:rsidRPr="00687285" w:rsidRDefault="00687285" w:rsidP="00687285">
      <w:pPr>
        <w:pStyle w:val="BodyText"/>
        <w:tabs>
          <w:tab w:val="left" w:pos="1219"/>
        </w:tabs>
        <w:ind w:left="0"/>
        <w:jc w:val="both"/>
        <w:rPr>
          <w:rFonts w:ascii="Times New Roman" w:hAnsi="Times New Roman" w:cs="Times New Roman"/>
          <w:noProof/>
        </w:rPr>
      </w:pPr>
      <w:r>
        <w:rPr>
          <w:rFonts w:ascii="Times New Roman" w:hAnsi="Times New Roman"/>
        </w:rPr>
        <w:t>2. Eiropas Padomes līmenī izstrādātie standarti ir atrodami Eiropas Cilvēktiesību tiesas (ECT) judikatūrā un Komitejas spīdzināšanas un necilvēcīgas vai pazemojošas rīcības vai soda novēršanai (</w:t>
      </w:r>
      <w:r>
        <w:rPr>
          <w:rFonts w:ascii="Times New Roman" w:hAnsi="Times New Roman"/>
          <w:i/>
          <w:iCs/>
        </w:rPr>
        <w:t>CPT</w:t>
      </w:r>
      <w:r>
        <w:rPr>
          <w:rFonts w:ascii="Times New Roman" w:hAnsi="Times New Roman"/>
        </w:rPr>
        <w:t xml:space="preserve">) ziņojumos, kas aptver pieaugušo, kas apsūdzēti vai notiesāti par noziedzīgu nodarījumu pret dzimumneaizskaramību, pārvaldību, tostarp attiecībā uz sociālās uzvedības korekcijas un citiem sociālās rehabilitācijas pasākumiem. Papildu standarti un pamatprincipi ir ietverti Eiropas Padomes Konvencijā par bērnu aizsardzību pret seksuālu izmantošanu un seksuālu vardarbību (EPLS Nr. 201) un Eiropas Padomes Konvencijā par vardarbības pret sievietēm un vardarbības ģimenē novēršanu un apkarošanu (EPLS Nr. 210), taču neviena no </w:t>
      </w:r>
      <w:r>
        <w:rPr>
          <w:rFonts w:ascii="Times New Roman" w:hAnsi="Times New Roman"/>
        </w:rPr>
        <w:lastRenderedPageBreak/>
        <w:t>šīm konvencijām tieši neattiecas uz tādu personu novērtēšanu, pārvaldību un rehabilitāciju, kas apsūdzētas vai notiesātas par noziedzīgu nodarījumu pret dzimumneaizskaramību.</w:t>
      </w:r>
    </w:p>
    <w:p w14:paraId="7548E00D" w14:textId="77777777" w:rsidR="00687285" w:rsidRPr="00687285" w:rsidRDefault="00687285" w:rsidP="00687285">
      <w:pPr>
        <w:pStyle w:val="BodyText"/>
        <w:tabs>
          <w:tab w:val="left" w:pos="1219"/>
        </w:tabs>
        <w:ind w:left="0"/>
        <w:jc w:val="both"/>
        <w:rPr>
          <w:rFonts w:ascii="Times New Roman" w:hAnsi="Times New Roman" w:cs="Times New Roman"/>
          <w:noProof/>
        </w:rPr>
      </w:pPr>
    </w:p>
    <w:p w14:paraId="07C85554" w14:textId="77777777" w:rsidR="00687285" w:rsidRPr="00687285" w:rsidRDefault="00687285" w:rsidP="00687285">
      <w:pPr>
        <w:pStyle w:val="BodyText"/>
        <w:tabs>
          <w:tab w:val="left" w:pos="1219"/>
        </w:tabs>
        <w:ind w:left="0"/>
        <w:jc w:val="both"/>
        <w:rPr>
          <w:rFonts w:ascii="Times New Roman" w:hAnsi="Times New Roman" w:cs="Times New Roman"/>
          <w:noProof/>
        </w:rPr>
      </w:pPr>
      <w:r>
        <w:rPr>
          <w:rFonts w:ascii="Times New Roman" w:hAnsi="Times New Roman"/>
        </w:rPr>
        <w:t>3. Šis ieteikums ir izstrādāts, pamatojoties uz darbu, ko veikusi Eiropas Padome, kā arī citas attiecīgās organizācijas, tostarp Eiropas Savienība, Apvienoto Nāciju Organizācija, Eiropas Probācijas konfederācija (</w:t>
      </w:r>
      <w:r>
        <w:rPr>
          <w:rFonts w:ascii="Times New Roman" w:hAnsi="Times New Roman"/>
          <w:i/>
          <w:iCs/>
        </w:rPr>
        <w:t>CEP</w:t>
      </w:r>
      <w:r>
        <w:rPr>
          <w:rFonts w:ascii="Times New Roman" w:hAnsi="Times New Roman"/>
        </w:rPr>
        <w:t xml:space="preserve">), </w:t>
      </w:r>
      <w:r>
        <w:rPr>
          <w:rFonts w:ascii="Times New Roman" w:hAnsi="Times New Roman"/>
          <w:i/>
          <w:iCs/>
        </w:rPr>
        <w:t>EuroPris</w:t>
      </w:r>
      <w:r>
        <w:rPr>
          <w:rFonts w:ascii="Times New Roman" w:hAnsi="Times New Roman"/>
        </w:rPr>
        <w:t>, Starptautiskā dzimumnoziegumu izdarītāju rehabilitācijas asociācija (</w:t>
      </w:r>
      <w:r>
        <w:rPr>
          <w:rFonts w:ascii="Times New Roman" w:hAnsi="Times New Roman"/>
          <w:i/>
          <w:iCs/>
        </w:rPr>
        <w:t>IATSO</w:t>
      </w:r>
      <w:r>
        <w:rPr>
          <w:rFonts w:ascii="Times New Roman" w:hAnsi="Times New Roman"/>
        </w:rPr>
        <w:t>), Nacionālā seksuālās vardarbības novēršanas organizācija (</w:t>
      </w:r>
      <w:r>
        <w:rPr>
          <w:rFonts w:ascii="Times New Roman" w:hAnsi="Times New Roman"/>
          <w:i/>
          <w:iCs/>
        </w:rPr>
        <w:t>NOTA</w:t>
      </w:r>
      <w:r>
        <w:rPr>
          <w:rFonts w:ascii="Times New Roman" w:hAnsi="Times New Roman"/>
        </w:rPr>
        <w:t xml:space="preserve">), </w:t>
      </w:r>
      <w:r>
        <w:rPr>
          <w:rFonts w:ascii="Times New Roman" w:hAnsi="Times New Roman"/>
          <w:i/>
          <w:iCs/>
        </w:rPr>
        <w:t>Les Centres Ressources pour les Intervenants auprès des Auteurs de Violences Sexuelles</w:t>
      </w:r>
      <w:r>
        <w:rPr>
          <w:rFonts w:ascii="Times New Roman" w:hAnsi="Times New Roman"/>
        </w:rPr>
        <w:t xml:space="preserve"> (</w:t>
      </w:r>
      <w:r>
        <w:rPr>
          <w:rFonts w:ascii="Times New Roman" w:hAnsi="Times New Roman"/>
          <w:i/>
          <w:iCs/>
        </w:rPr>
        <w:t>CRIAVS</w:t>
      </w:r>
      <w:r>
        <w:rPr>
          <w:rFonts w:ascii="Times New Roman" w:hAnsi="Times New Roman"/>
        </w:rPr>
        <w:t>), Seksuālās vardarbības veicēju rehabilitācijas asociācijas Nīderlandes nodaļa (</w:t>
      </w:r>
      <w:r>
        <w:rPr>
          <w:rFonts w:ascii="Times New Roman" w:hAnsi="Times New Roman"/>
          <w:i/>
          <w:iCs/>
        </w:rPr>
        <w:t>NL-ATSA</w:t>
      </w:r>
      <w:r>
        <w:rPr>
          <w:rFonts w:ascii="Times New Roman" w:hAnsi="Times New Roman"/>
        </w:rPr>
        <w:t>) un Seksuālās vardarbības veicēju rehabilitācijas asociācija (</w:t>
      </w:r>
      <w:r>
        <w:rPr>
          <w:rFonts w:ascii="Times New Roman" w:hAnsi="Times New Roman"/>
          <w:i/>
          <w:iCs/>
        </w:rPr>
        <w:t>ATSA</w:t>
      </w:r>
      <w:r>
        <w:rPr>
          <w:rFonts w:ascii="Times New Roman" w:hAnsi="Times New Roman"/>
        </w:rPr>
        <w:t>).</w:t>
      </w:r>
    </w:p>
    <w:p w14:paraId="2B7E1BB5" w14:textId="77777777" w:rsidR="00687285" w:rsidRPr="00687285" w:rsidRDefault="00687285" w:rsidP="00687285">
      <w:pPr>
        <w:pStyle w:val="BodyText"/>
        <w:ind w:left="0"/>
        <w:jc w:val="both"/>
        <w:rPr>
          <w:rFonts w:ascii="Times New Roman" w:hAnsi="Times New Roman" w:cs="Times New Roman"/>
          <w:noProof/>
        </w:rPr>
      </w:pPr>
    </w:p>
    <w:p w14:paraId="1FF9BE54" w14:textId="77777777" w:rsidR="00687285" w:rsidRPr="00687285" w:rsidRDefault="00687285" w:rsidP="00687285">
      <w:pPr>
        <w:jc w:val="both"/>
        <w:rPr>
          <w:rFonts w:ascii="Times New Roman" w:eastAsia="Arial" w:hAnsi="Times New Roman" w:cs="Times New Roman"/>
          <w:noProof/>
          <w:sz w:val="24"/>
          <w:szCs w:val="24"/>
        </w:rPr>
      </w:pPr>
    </w:p>
    <w:p w14:paraId="4B07729C" w14:textId="77777777" w:rsidR="00687285" w:rsidRPr="00687285" w:rsidRDefault="00687285" w:rsidP="00687285">
      <w:pPr>
        <w:pStyle w:val="BodyText"/>
        <w:tabs>
          <w:tab w:val="left" w:pos="1219"/>
        </w:tabs>
        <w:ind w:left="0"/>
        <w:jc w:val="both"/>
        <w:rPr>
          <w:rFonts w:ascii="Times New Roman" w:hAnsi="Times New Roman" w:cs="Times New Roman"/>
          <w:noProof/>
        </w:rPr>
      </w:pPr>
      <w:r>
        <w:rPr>
          <w:rFonts w:ascii="Times New Roman" w:hAnsi="Times New Roman"/>
        </w:rPr>
        <w:t>4. Viedokli par tekstu sniedza arī Eiropas Padomes Konvencijas par personu aizsardzību attiecībā uz personas datu automātisko apstrādi (EPLS Nr. 108) padomdevēja komiteja.</w:t>
      </w:r>
    </w:p>
    <w:p w14:paraId="77C49932" w14:textId="77777777" w:rsidR="00687285" w:rsidRPr="00687285" w:rsidRDefault="00687285" w:rsidP="00687285">
      <w:pPr>
        <w:pStyle w:val="BodyText"/>
        <w:tabs>
          <w:tab w:val="left" w:pos="1219"/>
        </w:tabs>
        <w:ind w:left="0"/>
        <w:jc w:val="both"/>
        <w:rPr>
          <w:rFonts w:ascii="Times New Roman" w:hAnsi="Times New Roman" w:cs="Times New Roman"/>
          <w:noProof/>
        </w:rPr>
      </w:pPr>
    </w:p>
    <w:p w14:paraId="4C35FACA" w14:textId="77777777" w:rsidR="00687285" w:rsidRPr="00687285" w:rsidRDefault="00687285" w:rsidP="00687285">
      <w:pPr>
        <w:tabs>
          <w:tab w:val="left" w:pos="1090"/>
        </w:tabs>
        <w:jc w:val="both"/>
        <w:rPr>
          <w:rFonts w:ascii="Times New Roman" w:hAnsi="Times New Roman" w:cs="Times New Roman"/>
          <w:b/>
          <w:noProof/>
          <w:sz w:val="24"/>
          <w:szCs w:val="24"/>
        </w:rPr>
      </w:pPr>
      <w:r>
        <w:rPr>
          <w:rFonts w:ascii="Times New Roman" w:hAnsi="Times New Roman"/>
          <w:b/>
          <w:sz w:val="24"/>
        </w:rPr>
        <w:t>I. PIEMĒROŠANAS JOMA UN DEFINĪCIJAS</w:t>
      </w:r>
    </w:p>
    <w:p w14:paraId="4DE2F950" w14:textId="77777777" w:rsidR="00687285" w:rsidRPr="00687285" w:rsidRDefault="00687285" w:rsidP="00687285">
      <w:pPr>
        <w:pStyle w:val="BodyText"/>
        <w:tabs>
          <w:tab w:val="left" w:pos="1219"/>
        </w:tabs>
        <w:ind w:left="0"/>
        <w:jc w:val="both"/>
        <w:rPr>
          <w:rFonts w:ascii="Times New Roman" w:hAnsi="Times New Roman" w:cs="Times New Roman"/>
          <w:noProof/>
        </w:rPr>
      </w:pPr>
    </w:p>
    <w:p w14:paraId="17835B6A" w14:textId="77777777" w:rsidR="00687285" w:rsidRPr="00687285" w:rsidRDefault="00687285" w:rsidP="00687285">
      <w:pPr>
        <w:pStyle w:val="BodyText"/>
        <w:tabs>
          <w:tab w:val="left" w:pos="1219"/>
        </w:tabs>
        <w:ind w:left="0"/>
        <w:jc w:val="both"/>
        <w:rPr>
          <w:rFonts w:ascii="Times New Roman" w:hAnsi="Times New Roman" w:cs="Times New Roman"/>
          <w:noProof/>
        </w:rPr>
      </w:pPr>
      <w:r>
        <w:rPr>
          <w:rFonts w:ascii="Times New Roman" w:hAnsi="Times New Roman"/>
        </w:rPr>
        <w:t>5. Noziedzīga nodarījuma pret dzimumneaizskaramību izdarīšana negatīvi ietekmē cietušo dzīvi un attīstību (psiholoģisko, sociālo un fizisko), kā arī tai ir plašāka ietekme uz vienaudžiem, ģimenes locekļiem un sociālajām grupām, kā arī uz nodarījuma veicējiem. Šis ieteikums ir atbilde uz nepieciešamību pēc skaidrības un konsekvences, reaģējot uz noziedzīga nodarījuma pret dzimumneaizskaramību izdarīšanu visās Eiropas Padomes dalībvalstīs, lai nodrošinātu, ka sociālās uzvedības korekcijas un sociālās rehabilitācijas pasākumi ir atbilstoši un vērsti uz to, lai izvairītos no turpmāku noziedzīgu nodarījumu izdarīšanas.</w:t>
      </w:r>
    </w:p>
    <w:p w14:paraId="2556B3D2" w14:textId="77777777" w:rsidR="00687285" w:rsidRPr="00687285" w:rsidRDefault="00687285" w:rsidP="00687285">
      <w:pPr>
        <w:pStyle w:val="BodyText"/>
        <w:tabs>
          <w:tab w:val="left" w:pos="1219"/>
        </w:tabs>
        <w:ind w:left="0"/>
        <w:jc w:val="both"/>
        <w:rPr>
          <w:rFonts w:ascii="Times New Roman" w:hAnsi="Times New Roman" w:cs="Times New Roman"/>
          <w:noProof/>
        </w:rPr>
      </w:pPr>
    </w:p>
    <w:p w14:paraId="0A3D4F9E" w14:textId="77777777" w:rsidR="00687285" w:rsidRPr="00687285" w:rsidRDefault="00687285" w:rsidP="00687285">
      <w:pPr>
        <w:pStyle w:val="BodyText"/>
        <w:tabs>
          <w:tab w:val="left" w:pos="1219"/>
        </w:tabs>
        <w:ind w:left="0"/>
        <w:jc w:val="both"/>
        <w:rPr>
          <w:rFonts w:ascii="Times New Roman" w:hAnsi="Times New Roman" w:cs="Times New Roman"/>
          <w:noProof/>
        </w:rPr>
      </w:pPr>
      <w:r>
        <w:rPr>
          <w:rFonts w:ascii="Times New Roman" w:hAnsi="Times New Roman"/>
        </w:rPr>
        <w:t>6. Pastāv papildu apsvērumi, tostarp konkrēta politika un prakse, kā arī bērnu atšķirīgās vajadzības, kas ir jāņem vērā, un tādēļ bērni neietilpst šā ieteikuma piemērošanas jomā, jo tiem nepieciešama atsevišķa un īpaša uzmanība. Vārds “bērni” ir attiecināms uz personām, kas ir jaunākas par 18 gadiem, atbilstoši Apvienoto Nāciju Organizācijas Konvencijas par bērnu tiesībām 1. pantam un atkārtoti uzsvērtajam Eiropas Padomes Konvencijas par bērnu aizsardzību pret seksuālu izmantošanu un seksuālu vardarbību 3. pantā.</w:t>
      </w:r>
    </w:p>
    <w:p w14:paraId="6D240915" w14:textId="77777777" w:rsidR="00687285" w:rsidRPr="00687285" w:rsidRDefault="00687285" w:rsidP="00687285">
      <w:pPr>
        <w:pStyle w:val="BodyText"/>
        <w:tabs>
          <w:tab w:val="left" w:pos="1234"/>
        </w:tabs>
        <w:ind w:left="0"/>
        <w:jc w:val="both"/>
        <w:rPr>
          <w:rFonts w:ascii="Times New Roman" w:hAnsi="Times New Roman" w:cs="Times New Roman"/>
          <w:noProof/>
        </w:rPr>
      </w:pPr>
    </w:p>
    <w:p w14:paraId="1A7D5CAC" w14:textId="77777777" w:rsidR="00687285" w:rsidRPr="00687285" w:rsidRDefault="00687285" w:rsidP="00687285">
      <w:pPr>
        <w:pStyle w:val="BodyText"/>
        <w:tabs>
          <w:tab w:val="left" w:pos="1234"/>
        </w:tabs>
        <w:ind w:left="0"/>
        <w:jc w:val="both"/>
        <w:rPr>
          <w:rFonts w:ascii="Times New Roman" w:hAnsi="Times New Roman" w:cs="Times New Roman"/>
          <w:noProof/>
        </w:rPr>
      </w:pPr>
      <w:r>
        <w:rPr>
          <w:rFonts w:ascii="Times New Roman" w:hAnsi="Times New Roman"/>
        </w:rPr>
        <w:t>7. Ir svarīgi apzināties, ka noziedzīgs nodarījums pret dzimumneaizskaramību var tikt izdarīts dažādu faktoru dēļ, tajos var ietilpt vai var neietilpt motivācija, kas saistīta ar seksualitāti, varu vai agresiju. Tā vietā galvenā motivācija var būt ekonomisks ieguvums, tostarp, piemēram, no organizētās noziedzības un noziedznieku tīkliem, kā tas ir dažu veidu cilvēku tirdzniecībā, kuras mērķis ir seksuāla izmantošana. Šā ieteikuma vajadzībām uzmanības centrā ir pieaugušie, kas apsūdzēti vai notiesāti par jebkādu noziedzīgu nodarījumu, kas apzīmēts kā noziedzīgs nodarījums pret dzimumneaizskaramību, neatkarīgi no motivācijas. Šajā ieteikumā sniegti pamatprincipi attiecībā uz to personu novērtēšanu, sociālās uzvedības korekcijas un sociālās rehabilitācijas pasākumiem, kā arī pārvaldību un sociālo reintegrāciju, kas apsūdzētas vai notiesātas par noziedzīgu nodarījumu pret dzimumneaizskaramību.</w:t>
      </w:r>
    </w:p>
    <w:p w14:paraId="5658F7A4" w14:textId="77777777" w:rsidR="00687285" w:rsidRPr="00687285" w:rsidRDefault="00687285" w:rsidP="00687285">
      <w:pPr>
        <w:pStyle w:val="BodyText"/>
        <w:tabs>
          <w:tab w:val="left" w:pos="1234"/>
        </w:tabs>
        <w:ind w:left="0"/>
        <w:jc w:val="both"/>
        <w:rPr>
          <w:rFonts w:ascii="Times New Roman" w:hAnsi="Times New Roman" w:cs="Times New Roman"/>
          <w:noProof/>
        </w:rPr>
      </w:pPr>
    </w:p>
    <w:p w14:paraId="2E214185" w14:textId="77777777" w:rsidR="00687285" w:rsidRPr="00687285" w:rsidRDefault="00687285" w:rsidP="00687285">
      <w:pPr>
        <w:pStyle w:val="BodyText"/>
        <w:tabs>
          <w:tab w:val="left" w:pos="1219"/>
        </w:tabs>
        <w:ind w:left="0"/>
        <w:jc w:val="both"/>
        <w:rPr>
          <w:rFonts w:ascii="Times New Roman" w:hAnsi="Times New Roman" w:cs="Times New Roman"/>
          <w:noProof/>
        </w:rPr>
      </w:pPr>
      <w:r>
        <w:rPr>
          <w:rFonts w:ascii="Times New Roman" w:hAnsi="Times New Roman"/>
        </w:rPr>
        <w:t>8. Šā ieteikuma mērķis nav definēt, kas ir klasificējams kā noziedzīgs nodarījums pret dzimumneaizskaramību, jo tā ir Eiropas Padomes dalībvalstu tiesību aktu prerogatīva. Ir svarīgi atzīt, ka tehnoloģijas attīstās strauji un ka visā pasaulē arvien biežāk tiek atklāti tādi noziegumi kā kibervajāšana, atriebības pornogrāfija, dziļviltojums, materiāli, kas saistīti ar bērnu seksuālu izmantošanu, un citi noziegumi, un institūcijām ir jāatjaunina šīs problēmas izpratne un reaģēšana uz to, tostarp cietušo aizsardzību.</w:t>
      </w:r>
    </w:p>
    <w:p w14:paraId="4CDB5738" w14:textId="77777777" w:rsidR="00687285" w:rsidRPr="00687285" w:rsidRDefault="00687285" w:rsidP="00687285">
      <w:pPr>
        <w:jc w:val="both"/>
        <w:rPr>
          <w:rFonts w:ascii="Times New Roman" w:hAnsi="Times New Roman" w:cs="Times New Roman"/>
          <w:noProof/>
          <w:sz w:val="24"/>
          <w:szCs w:val="24"/>
        </w:rPr>
      </w:pPr>
    </w:p>
    <w:p w14:paraId="15ADD943" w14:textId="77777777" w:rsidR="00687285" w:rsidRPr="00687285" w:rsidRDefault="00687285" w:rsidP="00687285">
      <w:pPr>
        <w:pStyle w:val="BodyText"/>
        <w:tabs>
          <w:tab w:val="left" w:pos="1219"/>
        </w:tabs>
        <w:ind w:left="0"/>
        <w:jc w:val="both"/>
        <w:rPr>
          <w:rFonts w:ascii="Times New Roman" w:hAnsi="Times New Roman" w:cs="Times New Roman"/>
          <w:noProof/>
        </w:rPr>
      </w:pPr>
      <w:r>
        <w:rPr>
          <w:rFonts w:ascii="Times New Roman" w:hAnsi="Times New Roman"/>
        </w:rPr>
        <w:t xml:space="preserve">9. Šajā ieteikumā visur tiek lietots termins “persona, kas apsūdzēta vai notiesāta par noziedzīgu nodarījumu pret dzimumneaizskaramību”, nevis plaši izmantotais termins “dzimumnoziegumu izdarītājs”. Tas ir tādēļ, ka, pamatojoties uz jaunākajiem pētījumiem, politiku un praksi Eiropā un citur, tādas valodas lietojumā, kas izceļ cilvēku kā personību, tiek uzsvērta persona kā attiecīgais indivīds un turpmāka kaitējuma novēršana. Tajā arī izcelts tas, ka par noziedzīgu nodarījumu pret dzimumneaizskaramību apsūdzētās vai notiesātās personas nav homogēna grupa, un, lai īstenotu veiksmīgus sociālās uzvedības korekcijas un sociālās rehabilitācijas pasākumus, kā arī novērstu turpmāku noziedzīgu nodarījumu izdarīšanu, ir jāsadarbojas ar attiecīgo personu. Šajā ieteikumā galvenā uzmanība ir veltīta personām, kas apsūdzētas vai notiesātas par noziedzīgiem nodarījumiem pret dzimumneaizskaramību, nevis noziedzīgam nodarījumam </w:t>
      </w:r>
      <w:r>
        <w:rPr>
          <w:rFonts w:ascii="Times New Roman" w:hAnsi="Times New Roman"/>
          <w:i/>
          <w:iCs/>
        </w:rPr>
        <w:t>per se</w:t>
      </w:r>
      <w:r>
        <w:rPr>
          <w:rFonts w:ascii="Times New Roman" w:hAnsi="Times New Roman"/>
        </w:rPr>
        <w:t>.</w:t>
      </w:r>
    </w:p>
    <w:p w14:paraId="4974919E" w14:textId="77777777" w:rsidR="00687285" w:rsidRPr="00687285" w:rsidRDefault="00687285" w:rsidP="00687285">
      <w:pPr>
        <w:pStyle w:val="BodyText"/>
        <w:tabs>
          <w:tab w:val="left" w:pos="1248"/>
        </w:tabs>
        <w:ind w:left="0"/>
        <w:jc w:val="both"/>
        <w:rPr>
          <w:rFonts w:ascii="Times New Roman" w:hAnsi="Times New Roman" w:cs="Times New Roman"/>
          <w:noProof/>
        </w:rPr>
      </w:pPr>
    </w:p>
    <w:p w14:paraId="18032FAB" w14:textId="77777777" w:rsidR="00687285" w:rsidRPr="00687285" w:rsidRDefault="00687285" w:rsidP="00687285">
      <w:pPr>
        <w:pStyle w:val="BodyText"/>
        <w:tabs>
          <w:tab w:val="left" w:pos="1248"/>
        </w:tabs>
        <w:ind w:left="0"/>
        <w:jc w:val="both"/>
        <w:rPr>
          <w:rFonts w:ascii="Times New Roman" w:hAnsi="Times New Roman" w:cs="Times New Roman"/>
          <w:noProof/>
        </w:rPr>
      </w:pPr>
      <w:r>
        <w:rPr>
          <w:rFonts w:ascii="Times New Roman" w:hAnsi="Times New Roman"/>
        </w:rPr>
        <w:t>10. Ir svarīgi ņemt vērā, ka sociālās uzvedības korekcijas un sociālās rehabilitācijas pasākumus personām, kas apsūdzētas vai notiesātas par noziedzīgu nodarījumu pret dzimumneaizskaramību, var nodrošināt ieslodzījuma vietā vai citās brīvības atņemšanas vietās, piemēram, ieslodzījuma vietas slimnīcā, ieslodzījuma vietas slimnīcas psihiatrijas nodaļā vai atsevišķā ieslodzījuma vietas korpusā. Šis ieteikums neattiecas uz ārstēšanu vispārējās garīgās veselības aprūpes iestādēs vai uz medicīnisko vai psihiatrisko ārstēšanu kā tādu. Tas attiecas uz pārvaldību un vispārējās ārstēšanas iejaukšanās pasākumiem attiecībā uz tādiem apsūdzētajiem vai notiesātajiem, par kuriem atbild ieslodzījuma vieta vai probācijas dienests, kas var ietvert iestāžu sadarbību un attiecīgo veselības un tieslietu speciālistu un viņu zināšanu iesaisti.</w:t>
      </w:r>
    </w:p>
    <w:p w14:paraId="4D4881B8" w14:textId="77777777" w:rsidR="00687285" w:rsidRPr="00687285" w:rsidRDefault="00687285" w:rsidP="00687285">
      <w:pPr>
        <w:pStyle w:val="BodyText"/>
        <w:tabs>
          <w:tab w:val="left" w:pos="1219"/>
        </w:tabs>
        <w:ind w:left="0"/>
        <w:jc w:val="both"/>
        <w:rPr>
          <w:rFonts w:ascii="Times New Roman" w:hAnsi="Times New Roman" w:cs="Times New Roman"/>
          <w:noProof/>
        </w:rPr>
      </w:pPr>
    </w:p>
    <w:p w14:paraId="71A55E6F" w14:textId="77777777" w:rsidR="00687285" w:rsidRPr="00687285" w:rsidRDefault="00687285" w:rsidP="00687285">
      <w:pPr>
        <w:pStyle w:val="BodyText"/>
        <w:tabs>
          <w:tab w:val="left" w:pos="1219"/>
        </w:tabs>
        <w:ind w:left="0"/>
        <w:jc w:val="both"/>
        <w:rPr>
          <w:rFonts w:ascii="Times New Roman" w:hAnsi="Times New Roman" w:cs="Times New Roman"/>
          <w:noProof/>
        </w:rPr>
      </w:pPr>
      <w:r>
        <w:rPr>
          <w:rFonts w:ascii="Times New Roman" w:hAnsi="Times New Roman"/>
        </w:rPr>
        <w:t>11. Šā ieteikuma piemērošanas jomā ir svarīgi iekļaut gan “apsūdzētos”, gan “notiesātos”, jo dažās Eiropas Padomes dalībvalstīs personas, kas ir apsūdzētas par noziedzīgu nodarījumu pret dzimumneaizskaramību, var tikt turētas apcietinājumā ilgāku laiku, un tāpēc tām var būt pieejami sociālās uzvedības korekcijas un sociālās rehabilitācijas pasākumi un/vai uz tām var attiekties riska vadības plāni.</w:t>
      </w:r>
    </w:p>
    <w:p w14:paraId="7024CC6C" w14:textId="77777777" w:rsidR="00687285" w:rsidRPr="00687285" w:rsidRDefault="00687285" w:rsidP="00687285">
      <w:pPr>
        <w:jc w:val="both"/>
        <w:rPr>
          <w:rFonts w:ascii="Times New Roman" w:eastAsia="Arial" w:hAnsi="Times New Roman" w:cs="Times New Roman"/>
          <w:noProof/>
          <w:sz w:val="24"/>
          <w:szCs w:val="24"/>
        </w:rPr>
      </w:pPr>
    </w:p>
    <w:p w14:paraId="4EC32E10" w14:textId="77777777" w:rsidR="00687285" w:rsidRPr="00687285" w:rsidRDefault="00687285" w:rsidP="00687285">
      <w:pPr>
        <w:pStyle w:val="BodyText"/>
        <w:tabs>
          <w:tab w:val="left" w:pos="1219"/>
        </w:tabs>
        <w:ind w:left="0"/>
        <w:jc w:val="both"/>
        <w:rPr>
          <w:rFonts w:ascii="Times New Roman" w:hAnsi="Times New Roman" w:cs="Times New Roman"/>
          <w:noProof/>
        </w:rPr>
      </w:pPr>
      <w:r>
        <w:rPr>
          <w:rFonts w:ascii="Times New Roman" w:hAnsi="Times New Roman"/>
        </w:rPr>
        <w:t>12. Noziedzīgu nodarījumu pret dzimumneaizskaramību izdarīšanas jomā ir specifiskas juridiskas un politiskas problēmas. Daudzās valstīs var nebūt, piemēram, konkrētu likumu vai politikas, kas vērsti uz seksuālu vardarbību pret bērniem, un tā vietā pret personām var uzsākt kriminālprocesu saskaņā ar vispārīgākiem tiesību aktiem par vardarbību pret bērnu vai nevērīgu attieksmi pret bērnu, tostarp vispārējiem tiesību aktiem par noziedzīgiem nodarījumiem pret dzimumneaizskaramību. Dažādi darbības vai uzvedības aspekti visās Eiropas Padomes dalībvalstīs tiek (vai netiek) atzīti par noziedzīgiem atšķirīgos veidos.</w:t>
      </w:r>
    </w:p>
    <w:p w14:paraId="30CB0C22" w14:textId="77777777" w:rsidR="00687285" w:rsidRPr="00687285" w:rsidRDefault="00687285" w:rsidP="00687285">
      <w:pPr>
        <w:pStyle w:val="BodyText"/>
        <w:tabs>
          <w:tab w:val="left" w:pos="1219"/>
        </w:tabs>
        <w:ind w:left="0"/>
        <w:jc w:val="both"/>
        <w:rPr>
          <w:rFonts w:ascii="Times New Roman" w:hAnsi="Times New Roman" w:cs="Times New Roman"/>
          <w:noProof/>
        </w:rPr>
      </w:pPr>
    </w:p>
    <w:p w14:paraId="789D328A" w14:textId="77777777" w:rsidR="00687285" w:rsidRPr="00687285" w:rsidRDefault="00687285" w:rsidP="00687285">
      <w:pPr>
        <w:pStyle w:val="BodyText"/>
        <w:tabs>
          <w:tab w:val="left" w:pos="1219"/>
        </w:tabs>
        <w:ind w:left="0"/>
        <w:jc w:val="both"/>
        <w:rPr>
          <w:rFonts w:ascii="Times New Roman" w:hAnsi="Times New Roman" w:cs="Times New Roman"/>
          <w:noProof/>
        </w:rPr>
      </w:pPr>
      <w:r>
        <w:rPr>
          <w:rFonts w:ascii="Times New Roman" w:hAnsi="Times New Roman"/>
        </w:rPr>
        <w:t>13. Vēl viens izaicinājums, reaģējot uz noziedzīgu nodarījumu pret dzimumneaizskaramību, ir tas, ka tieksme, no vienas puses, un darbības, no otras puses, ne vienmēr ir sinonīmi. Personai var tikt diagnosticēta pedofilija, bet tas var vispār nebūt izdarījis tādu noziedzīgu nodarījumu pret dzimumneaizskaramību, kas izdarīts fiziskā saskarē. Tāpat grupējuma dalībnieks var būt izdarījis noziedzīgu nodarījumu pret dzimumneaizskaramību vairāku motīvu dēļ, tostarp plašākas antisociālas un problemātiskas uzvedības dēļ un, iespējams, tajā skaitā citu personu ietekmes dēļ. Teiktais uzsver, cik svarīgi ir aplūkot personu, kas ir izdarījusi noziedzīgu nodarījumu, kā indivīdu.</w:t>
      </w:r>
    </w:p>
    <w:p w14:paraId="41A8CF32" w14:textId="77777777" w:rsidR="00687285" w:rsidRPr="00687285" w:rsidRDefault="00687285" w:rsidP="00687285">
      <w:pPr>
        <w:pStyle w:val="BodyText"/>
        <w:tabs>
          <w:tab w:val="left" w:pos="1219"/>
        </w:tabs>
        <w:ind w:left="0"/>
        <w:jc w:val="both"/>
        <w:rPr>
          <w:rFonts w:ascii="Times New Roman" w:hAnsi="Times New Roman" w:cs="Times New Roman"/>
          <w:noProof/>
        </w:rPr>
      </w:pPr>
    </w:p>
    <w:p w14:paraId="04217CC5" w14:textId="77777777" w:rsidR="00687285" w:rsidRPr="00687285" w:rsidRDefault="00687285" w:rsidP="00687285">
      <w:pPr>
        <w:pStyle w:val="BodyText"/>
        <w:tabs>
          <w:tab w:val="left" w:pos="1219"/>
        </w:tabs>
        <w:ind w:left="0"/>
        <w:jc w:val="both"/>
        <w:rPr>
          <w:rFonts w:ascii="Times New Roman" w:hAnsi="Times New Roman" w:cs="Times New Roman"/>
          <w:noProof/>
        </w:rPr>
      </w:pPr>
      <w:r>
        <w:rPr>
          <w:rFonts w:ascii="Times New Roman" w:hAnsi="Times New Roman"/>
        </w:rPr>
        <w:t xml:space="preserve">14. Ir vēl citi svarīgi apsvērumi, kas ir svarīgi, reaģējot uz noziedzīgiem nodarījumiem pret dzimumneaizskaramību. Ir svarīgi apzināties, ka atkārtota noziedzīga nodarījuma izdarīšanas novēršana ir process ar vairākiem posmiem, tā pirmais solis ir pārtraukt atkārtotu noziedzīgu </w:t>
      </w:r>
      <w:r>
        <w:rPr>
          <w:rFonts w:ascii="Times New Roman" w:hAnsi="Times New Roman"/>
        </w:rPr>
        <w:lastRenderedPageBreak/>
        <w:t>nodarījumu turpmāku izdarīšanu, vienlaikus atzīstot, ka pilnīga atturēšanās no noziedzīga nodarījuma izdarīšanas ir daudz ilgāks process, kam nepieciešams atbalsts un sociālās uzvedības korekcijas un sociālās rehabilitācijas pasākumi noteiktā periodā. Tādēļ novērtējumam un pārvaldībai jābūt individualizētai un izstrādātai attiecīgajam kontekstam, kā arī tajā ir jāņem vērā personas holistiskās vajadzības, tostarp bioloģiskās, psiholoģiskās un sociālās vajadzības. Riska novērtējuma uzdevums ir identificēt risku un informēt par sociālās uzvedības korekcijas un/vai sociālās rehabilitācijas pasākumu izvēli un īstenošanu, nevis obligāti nodrošināt izmaiņas pašā uzvedībā.</w:t>
      </w:r>
    </w:p>
    <w:p w14:paraId="13BC4F9C" w14:textId="77777777" w:rsidR="00687285" w:rsidRPr="00687285" w:rsidRDefault="00687285" w:rsidP="00687285">
      <w:pPr>
        <w:jc w:val="both"/>
        <w:rPr>
          <w:rFonts w:ascii="Times New Roman" w:hAnsi="Times New Roman" w:cs="Times New Roman"/>
          <w:noProof/>
          <w:sz w:val="24"/>
          <w:szCs w:val="24"/>
        </w:rPr>
      </w:pPr>
    </w:p>
    <w:p w14:paraId="3A46D66F" w14:textId="77777777" w:rsidR="00687285" w:rsidRPr="00687285" w:rsidRDefault="00687285" w:rsidP="00687285">
      <w:pPr>
        <w:tabs>
          <w:tab w:val="left" w:pos="1147"/>
        </w:tabs>
        <w:jc w:val="both"/>
        <w:rPr>
          <w:rFonts w:ascii="Times New Roman" w:hAnsi="Times New Roman" w:cs="Times New Roman"/>
          <w:b/>
          <w:noProof/>
          <w:sz w:val="24"/>
          <w:szCs w:val="24"/>
        </w:rPr>
      </w:pPr>
      <w:r>
        <w:rPr>
          <w:rFonts w:ascii="Times New Roman" w:hAnsi="Times New Roman"/>
          <w:b/>
          <w:sz w:val="24"/>
        </w:rPr>
        <w:t>II. PAMATPRINCIPI</w:t>
      </w:r>
    </w:p>
    <w:p w14:paraId="4A9D3418" w14:textId="77777777" w:rsidR="00687285" w:rsidRPr="00687285" w:rsidRDefault="00687285" w:rsidP="00687285">
      <w:pPr>
        <w:pStyle w:val="BodyText"/>
        <w:ind w:left="0"/>
        <w:jc w:val="both"/>
        <w:rPr>
          <w:rFonts w:ascii="Times New Roman" w:hAnsi="Times New Roman" w:cs="Times New Roman"/>
          <w:noProof/>
        </w:rPr>
      </w:pPr>
    </w:p>
    <w:p w14:paraId="0BE45969" w14:textId="77777777" w:rsidR="00687285" w:rsidRPr="00687285" w:rsidRDefault="00687285" w:rsidP="00687285">
      <w:pPr>
        <w:pStyle w:val="BodyText"/>
        <w:ind w:left="0"/>
        <w:jc w:val="both"/>
        <w:rPr>
          <w:rFonts w:ascii="Times New Roman" w:hAnsi="Times New Roman" w:cs="Times New Roman"/>
          <w:noProof/>
        </w:rPr>
      </w:pPr>
      <w:r>
        <w:rPr>
          <w:rFonts w:ascii="Times New Roman" w:hAnsi="Times New Roman"/>
        </w:rPr>
        <w:t>1. noteikums</w:t>
      </w:r>
    </w:p>
    <w:p w14:paraId="5246B8B5" w14:textId="77777777" w:rsidR="00687285" w:rsidRPr="00687285" w:rsidRDefault="00687285" w:rsidP="00687285">
      <w:pPr>
        <w:pStyle w:val="BodyText"/>
        <w:tabs>
          <w:tab w:val="left" w:pos="1219"/>
        </w:tabs>
        <w:ind w:left="0"/>
        <w:jc w:val="both"/>
        <w:rPr>
          <w:rFonts w:ascii="Times New Roman" w:hAnsi="Times New Roman" w:cs="Times New Roman"/>
          <w:noProof/>
        </w:rPr>
      </w:pPr>
    </w:p>
    <w:p w14:paraId="7E28CDFE" w14:textId="77777777" w:rsidR="00687285" w:rsidRPr="00687285" w:rsidRDefault="00687285" w:rsidP="00687285">
      <w:pPr>
        <w:pStyle w:val="BodyText"/>
        <w:tabs>
          <w:tab w:val="left" w:pos="1219"/>
        </w:tabs>
        <w:ind w:left="0"/>
        <w:jc w:val="both"/>
        <w:rPr>
          <w:rFonts w:ascii="Times New Roman" w:hAnsi="Times New Roman" w:cs="Times New Roman"/>
          <w:noProof/>
        </w:rPr>
      </w:pPr>
      <w:r>
        <w:rPr>
          <w:rFonts w:ascii="Times New Roman" w:hAnsi="Times New Roman"/>
        </w:rPr>
        <w:t>15. Ieslodzījuma vietu pārvalžu un probācijas dienestu uzdevums ir izpildīt sodus un drošības līdzekļus, pārvaldīt un reintegrēt personas atbilstoši to radītajam riskam un tām nepieciešamajiem iejaukšanās pasākumiem. Šis noteikums ir lasāms kopā ar 2. noteikumu, kurā atzīts, ka personām, kas apsūdzētas vai notiesātas par noziedzīgu nodarījumu pret dzimumneaizskaramību, ir atšķirīgas vajadzības, kam nepieciešama individuāla pārvaldība; šajā noteikumā uzsvērts, ka šādai pārvaldībai jābūt vērstai uz individuāliem riskiem, nevis varbūtējiem riskiem, kas izriet no kategorijas, kura noteikta izdarītajiem noziedzīgajiem nodarījumiem. Soda izpildei jābūt godīgai, samērīgai un līdzsvarotai, pamatojoties uz personas risku nodarīt turpmāku kaitējumu. Šim nolūkam jānovērtē personas, pamatojoties uz viņu radīto risku un to, kas ir nepieciešams šā riska mazināšanai, kā arī jānovērtē, kāda vide un iejaukšanās pasākumi vislabāk novērstu recidīvu.</w:t>
      </w:r>
    </w:p>
    <w:p w14:paraId="7E738C18" w14:textId="77777777" w:rsidR="00687285" w:rsidRPr="00687285" w:rsidRDefault="00687285" w:rsidP="00687285">
      <w:pPr>
        <w:pStyle w:val="BodyText"/>
        <w:tabs>
          <w:tab w:val="left" w:pos="1219"/>
        </w:tabs>
        <w:ind w:left="0"/>
        <w:jc w:val="both"/>
        <w:rPr>
          <w:rFonts w:ascii="Times New Roman" w:hAnsi="Times New Roman" w:cs="Times New Roman"/>
          <w:noProof/>
        </w:rPr>
      </w:pPr>
    </w:p>
    <w:p w14:paraId="31D27A9E" w14:textId="77777777" w:rsidR="00687285" w:rsidRPr="00687285" w:rsidRDefault="00687285" w:rsidP="00687285">
      <w:pPr>
        <w:pStyle w:val="BodyText"/>
        <w:tabs>
          <w:tab w:val="left" w:pos="1219"/>
        </w:tabs>
        <w:ind w:left="0"/>
        <w:jc w:val="both"/>
        <w:rPr>
          <w:rFonts w:ascii="Times New Roman" w:hAnsi="Times New Roman" w:cs="Times New Roman"/>
          <w:noProof/>
        </w:rPr>
      </w:pPr>
      <w:r>
        <w:rPr>
          <w:rFonts w:ascii="Times New Roman" w:hAnsi="Times New Roman"/>
        </w:rPr>
        <w:t>16. Sociālās uzvedības korekcijas un sociālās rehabilitācijas pasākumu pieejamība personām, kas ir apsūdzētas vai notiesātas par noziedzīgu nodarījumu pret dzimumneaizskaramību, nedrīkst būt atkarīga no vainas atzīšanas. Tas ir īpaši svarīgi personām, kas ir apsūdzētas, bet vēl nav notiesātas par noziedzīgu nodarījumu pret dzimumneaizskaramību un kam varētu būt pieejami sociālās uzvedības korekcijas un sociālās rehabilitācijas pasākumi, atrodoties apcietinājumā. Tomēr, lai piemērotu sociālās uzvedības korekcijas vai sociālās rehabilitācijas pasākumus saistībā ar noziedzīgu nodarījumu pret dzimumneaizskaramību, ir nepieciešama attiecīgās personas sadarbība (skat. 6. noteikumu).</w:t>
      </w:r>
    </w:p>
    <w:p w14:paraId="72B6C9A6" w14:textId="77777777" w:rsidR="00687285" w:rsidRPr="00687285" w:rsidRDefault="00687285" w:rsidP="00687285">
      <w:pPr>
        <w:pStyle w:val="BodyText"/>
        <w:tabs>
          <w:tab w:val="left" w:pos="1248"/>
        </w:tabs>
        <w:ind w:left="0"/>
        <w:jc w:val="both"/>
        <w:rPr>
          <w:rFonts w:ascii="Times New Roman" w:hAnsi="Times New Roman" w:cs="Times New Roman"/>
          <w:noProof/>
        </w:rPr>
      </w:pPr>
    </w:p>
    <w:p w14:paraId="6962E5BB" w14:textId="77777777" w:rsidR="00687285" w:rsidRPr="00687285" w:rsidRDefault="00687285" w:rsidP="00687285">
      <w:pPr>
        <w:pStyle w:val="BodyText"/>
        <w:tabs>
          <w:tab w:val="left" w:pos="1248"/>
        </w:tabs>
        <w:ind w:left="0"/>
        <w:jc w:val="both"/>
        <w:rPr>
          <w:rFonts w:ascii="Times New Roman" w:hAnsi="Times New Roman" w:cs="Times New Roman"/>
          <w:noProof/>
        </w:rPr>
      </w:pPr>
      <w:r>
        <w:rPr>
          <w:rFonts w:ascii="Times New Roman" w:hAnsi="Times New Roman"/>
        </w:rPr>
        <w:t>17. Dažās jurisdikcijās riska vadība var ietvert preventīvu apcietinājumu. Ja tiek izmantots preventīvs apcietinājums, ir jāievēro valsts politika un prakse, stingri jāpiemēro riska novērtēšanas principi un tas jāpamato ar riska novērtēšanas rīkiem, kas ir balstīti uz pierādījumiem un izmanto dinamiskus rādītājus, un spēcīga profesionālā kultūra, kuras pamatā ir labākā prakse. Ja mainās personai novērtētais riska līmenis, tam jābūt par iemeslu, lai pārskatītu tās riska vadības plānu.</w:t>
      </w:r>
    </w:p>
    <w:p w14:paraId="12141DAA" w14:textId="77777777" w:rsidR="00687285" w:rsidRPr="00687285" w:rsidRDefault="00687285" w:rsidP="00687285">
      <w:pPr>
        <w:pStyle w:val="BodyText"/>
        <w:tabs>
          <w:tab w:val="left" w:pos="1219"/>
        </w:tabs>
        <w:ind w:left="0"/>
        <w:jc w:val="both"/>
        <w:rPr>
          <w:rFonts w:ascii="Times New Roman" w:hAnsi="Times New Roman" w:cs="Times New Roman"/>
          <w:noProof/>
        </w:rPr>
      </w:pPr>
    </w:p>
    <w:p w14:paraId="28C2B75C" w14:textId="77777777" w:rsidR="00687285" w:rsidRPr="00687285" w:rsidRDefault="00687285" w:rsidP="00687285">
      <w:pPr>
        <w:pStyle w:val="BodyText"/>
        <w:tabs>
          <w:tab w:val="left" w:pos="1219"/>
        </w:tabs>
        <w:ind w:left="0"/>
        <w:jc w:val="both"/>
        <w:rPr>
          <w:rFonts w:ascii="Times New Roman" w:hAnsi="Times New Roman" w:cs="Times New Roman"/>
          <w:noProof/>
        </w:rPr>
      </w:pPr>
      <w:r>
        <w:rPr>
          <w:rFonts w:ascii="Times New Roman" w:hAnsi="Times New Roman"/>
        </w:rPr>
        <w:t>18. ECT ir atzinusi, ka preventīvs apcietinājums var būt pamatots ar personas bīstamību. Nespēja nodrošināt atbilstošus sociālās uzvedības korekcijas un/vai sociālās rehabilitācijas pasākumus personas soda izpildes laikā pati par sevi nepadara turpmāku preventīvo apcietinājumu par nelikumīgu, ja vien ir veikti pietiekami mēģinājumi nodrošināt šādus sociālās uzvedības korekcijas un/vai sociālās rehabilitācijas pasākumus.</w:t>
      </w:r>
      <w:r>
        <w:rPr>
          <w:rFonts w:ascii="Times New Roman" w:hAnsi="Times New Roman"/>
          <w:vertAlign w:val="superscript"/>
        </w:rPr>
        <w:t>[1]</w:t>
      </w:r>
      <w:r>
        <w:rPr>
          <w:rFonts w:ascii="Times New Roman" w:hAnsi="Times New Roman"/>
        </w:rPr>
        <w:t xml:space="preserve"> Ja personai tiek piemērots preventīvs apcietinājums, iestādēm ir jāīsteno visas atbilstošās iniciatīvas, lai nodrošinātu pietiekamus sociālās uzvedības korekcijas un/vai sociālās rehabilitācijas pasākumus.</w:t>
      </w:r>
      <w:r>
        <w:rPr>
          <w:rFonts w:ascii="Times New Roman" w:hAnsi="Times New Roman"/>
          <w:vertAlign w:val="superscript"/>
        </w:rPr>
        <w:t>[2]</w:t>
      </w:r>
      <w:r>
        <w:rPr>
          <w:rFonts w:ascii="Times New Roman" w:hAnsi="Times New Roman"/>
        </w:rPr>
        <w:t xml:space="preserve"> ECT ir atzinusi, ka apcietinājums uz nenoteiktu vai ilgstošu laiku ieslodzījuma vietas vidē bez piemērotiem rehabilitācijas pasākumiem un bez izredzēm integrēties atpakaļ </w:t>
      </w:r>
      <w:r>
        <w:rPr>
          <w:rFonts w:ascii="Times New Roman" w:hAnsi="Times New Roman"/>
        </w:rPr>
        <w:lastRenderedPageBreak/>
        <w:t>sabiedrībā var sasniegt līmeni, kad tas uzskatāms par pazemojošu izturēšanos un pārkāpj ECTK 3. pantu.</w:t>
      </w:r>
      <w:r>
        <w:rPr>
          <w:rFonts w:ascii="Times New Roman" w:hAnsi="Times New Roman"/>
          <w:vertAlign w:val="superscript"/>
        </w:rPr>
        <w:t>[3]</w:t>
      </w:r>
      <w:r>
        <w:rPr>
          <w:rFonts w:ascii="Times New Roman" w:hAnsi="Times New Roman"/>
        </w:rPr>
        <w:t xml:space="preserve"> Tā ir arī norādījusi, ka gadījumos, kad personai tiek piemērots preventīvs apcietinājums, kas saistīts ar psihiskiem traucējumiem saskaņā ar ECTK 5. panta 1. punkta e) apakšpunktu, tās apcietinājums ir “jāīsteno iestādē, kas ir piemērota pacientiem ar garīgām slimībām” (164. punkts). Lai šāds apcietinājums būtu likumīgs, ir arī jāpierāda, ka brīvības atņemšana ir bijusi nepieciešama konkrētajos apstākļos (169. punkts), kas var ietvert sabiedrības drošības apsvērumus.</w:t>
      </w:r>
      <w:r>
        <w:rPr>
          <w:rFonts w:ascii="Times New Roman" w:hAnsi="Times New Roman"/>
          <w:vertAlign w:val="superscript"/>
        </w:rPr>
        <w:t>[4]</w:t>
      </w:r>
    </w:p>
    <w:p w14:paraId="51010B87" w14:textId="77777777" w:rsidR="00687285" w:rsidRPr="00687285" w:rsidRDefault="00687285" w:rsidP="00687285">
      <w:pPr>
        <w:pStyle w:val="BodyText"/>
        <w:tabs>
          <w:tab w:val="left" w:pos="1219"/>
        </w:tabs>
        <w:ind w:left="0"/>
        <w:jc w:val="both"/>
        <w:rPr>
          <w:rFonts w:ascii="Times New Roman" w:hAnsi="Times New Roman" w:cs="Times New Roman"/>
          <w:noProof/>
        </w:rPr>
      </w:pPr>
    </w:p>
    <w:p w14:paraId="30242258" w14:textId="77777777" w:rsidR="00687285" w:rsidRPr="00687285" w:rsidRDefault="00687285" w:rsidP="00687285">
      <w:pPr>
        <w:pStyle w:val="BodyText"/>
        <w:tabs>
          <w:tab w:val="left" w:pos="1219"/>
        </w:tabs>
        <w:ind w:left="0"/>
        <w:jc w:val="both"/>
        <w:rPr>
          <w:rFonts w:ascii="Times New Roman" w:hAnsi="Times New Roman" w:cs="Times New Roman"/>
          <w:noProof/>
        </w:rPr>
      </w:pPr>
      <w:r>
        <w:rPr>
          <w:rFonts w:ascii="Times New Roman" w:hAnsi="Times New Roman"/>
        </w:rPr>
        <w:t xml:space="preserve">19. </w:t>
      </w:r>
      <w:r>
        <w:rPr>
          <w:rFonts w:ascii="Times New Roman" w:hAnsi="Times New Roman"/>
          <w:i/>
          <w:iCs/>
        </w:rPr>
        <w:t>CPT</w:t>
      </w:r>
      <w:r>
        <w:rPr>
          <w:rFonts w:ascii="Times New Roman" w:hAnsi="Times New Roman"/>
        </w:rPr>
        <w:t xml:space="preserve"> ir uzsvērusi, ka: “nav samērīgi pieprasīt personām, kas atrodas preventīvā apcietinājumā, pilnīgi atteikties no lielākās daļas viņu tiesību, kas ir paredzētas likumā, lai tās varētu gūt labumu no specializētas rehabilitācijas programmas. Šīs tiesības jāierobežo tikai ar attiecīgās personas informētu piekrišanu, ciktāl tas ir absolūti nepieciešams terapeitiskas vides radīšanai un efektīvai rehabilitācijas pasākumu nodrošināšanai.”</w:t>
      </w:r>
      <w:r>
        <w:rPr>
          <w:rFonts w:ascii="Times New Roman" w:hAnsi="Times New Roman"/>
          <w:vertAlign w:val="superscript"/>
        </w:rPr>
        <w:t>[5]</w:t>
      </w:r>
    </w:p>
    <w:p w14:paraId="75465DD0" w14:textId="77777777" w:rsidR="00687285" w:rsidRPr="00687285" w:rsidRDefault="00687285" w:rsidP="00687285">
      <w:pPr>
        <w:pStyle w:val="BodyText"/>
        <w:ind w:left="0"/>
        <w:jc w:val="both"/>
        <w:rPr>
          <w:rFonts w:ascii="Times New Roman" w:hAnsi="Times New Roman" w:cs="Times New Roman"/>
          <w:noProof/>
        </w:rPr>
      </w:pPr>
    </w:p>
    <w:p w14:paraId="2789D838" w14:textId="77777777" w:rsidR="00687285" w:rsidRPr="00687285" w:rsidRDefault="00687285" w:rsidP="00687285">
      <w:pPr>
        <w:pStyle w:val="BodyText"/>
        <w:ind w:left="0"/>
        <w:jc w:val="both"/>
        <w:rPr>
          <w:rFonts w:ascii="Times New Roman" w:hAnsi="Times New Roman" w:cs="Times New Roman"/>
          <w:noProof/>
        </w:rPr>
      </w:pPr>
      <w:r>
        <w:rPr>
          <w:rFonts w:ascii="Times New Roman" w:hAnsi="Times New Roman"/>
        </w:rPr>
        <w:t>2. noteikums</w:t>
      </w:r>
    </w:p>
    <w:p w14:paraId="6E38A64C" w14:textId="77777777" w:rsidR="00687285" w:rsidRPr="00687285" w:rsidRDefault="00687285" w:rsidP="00687285">
      <w:pPr>
        <w:pStyle w:val="BodyText"/>
        <w:tabs>
          <w:tab w:val="left" w:pos="1219"/>
        </w:tabs>
        <w:ind w:left="0"/>
        <w:jc w:val="both"/>
        <w:rPr>
          <w:rFonts w:ascii="Times New Roman" w:hAnsi="Times New Roman" w:cs="Times New Roman"/>
          <w:noProof/>
        </w:rPr>
      </w:pPr>
    </w:p>
    <w:p w14:paraId="0E50962B" w14:textId="77777777" w:rsidR="00687285" w:rsidRPr="00687285" w:rsidRDefault="00687285" w:rsidP="00687285">
      <w:pPr>
        <w:pStyle w:val="BodyText"/>
        <w:tabs>
          <w:tab w:val="left" w:pos="1219"/>
        </w:tabs>
        <w:ind w:left="0"/>
        <w:jc w:val="both"/>
        <w:rPr>
          <w:rFonts w:ascii="Times New Roman" w:hAnsi="Times New Roman" w:cs="Times New Roman"/>
          <w:noProof/>
        </w:rPr>
      </w:pPr>
      <w:r>
        <w:rPr>
          <w:rFonts w:ascii="Times New Roman" w:hAnsi="Times New Roman"/>
        </w:rPr>
        <w:t>20. Šajā noteikumā atzīts, ka ir apstākļi, kādos personas, kas apsūdzētas vai notiesātas par noziedzīgiem nodarījumiem pret dzimumneaizskaramību, ir jāizvieto vai jāpārvalda atšķirīgos veidos, individuāli, tostarp, lai aizsargātu viņu drošību vai samazinātu viņu kaitējuma risku. Minētajā var ietilpt izvietošana īpašās ieslodzījuma vietas nodaļās vai īpaši sagatavota ieslodzījuma vietas vai probācijas personāla norīkošana. Šis noteikums ir lasāms kopā ar 1. noteikumu; galvenā uzmanība vienmēr ir jāpievērš personas atšķirīgajām vajadzībām un īpašībām, kurām nepieciešama atšķirīga reakcija, nevis pašam personas izdarītā noziedzīgā nodarījuma veidam.</w:t>
      </w:r>
    </w:p>
    <w:p w14:paraId="449D9A1B" w14:textId="77777777" w:rsidR="00687285" w:rsidRPr="00687285" w:rsidRDefault="00687285" w:rsidP="00687285">
      <w:pPr>
        <w:pStyle w:val="BodyText"/>
        <w:tabs>
          <w:tab w:val="left" w:pos="1219"/>
        </w:tabs>
        <w:ind w:left="0"/>
        <w:jc w:val="both"/>
        <w:rPr>
          <w:rFonts w:ascii="Times New Roman" w:hAnsi="Times New Roman" w:cs="Times New Roman"/>
          <w:noProof/>
        </w:rPr>
      </w:pPr>
    </w:p>
    <w:p w14:paraId="6D2DD745" w14:textId="77777777" w:rsidR="00687285" w:rsidRPr="00687285" w:rsidRDefault="00687285" w:rsidP="00687285">
      <w:pPr>
        <w:pStyle w:val="BodyText"/>
        <w:tabs>
          <w:tab w:val="left" w:pos="1219"/>
        </w:tabs>
        <w:ind w:left="0"/>
        <w:jc w:val="both"/>
        <w:rPr>
          <w:rFonts w:ascii="Times New Roman" w:hAnsi="Times New Roman" w:cs="Times New Roman"/>
          <w:noProof/>
        </w:rPr>
      </w:pPr>
      <w:r>
        <w:rPr>
          <w:rFonts w:ascii="Times New Roman" w:hAnsi="Times New Roman"/>
        </w:rPr>
        <w:t xml:space="preserve">21. Tas nedrīkst liegt personām, kas apsūdzētas vai notiesātas par noziedzīgu nodarījumu pret dzimumneaizskaramību, piedalīties noteiktās aktivitātēs kopā ar citiem, tostarp izmantot koplietošanas telpas ieslodzījuma vietā. Ņemot vērā iepriekš minēto, </w:t>
      </w:r>
      <w:r>
        <w:rPr>
          <w:rFonts w:ascii="Times New Roman" w:hAnsi="Times New Roman"/>
          <w:i/>
          <w:iCs/>
        </w:rPr>
        <w:t>CPT</w:t>
      </w:r>
      <w:r>
        <w:rPr>
          <w:rFonts w:ascii="Times New Roman" w:hAnsi="Times New Roman"/>
        </w:rPr>
        <w:t xml:space="preserve"> ir uzsvērusi, cik svarīgas ir “aktivitātes ārpus korpusa”, kurām piekļuve apcietinājumā dažkārt ir mazāka tām personām, kas apsūdzētas vai notiesātas par noziedzīgu nodarījumu pret dzimumneaizskaramību.</w:t>
      </w:r>
      <w:r>
        <w:rPr>
          <w:rFonts w:ascii="Times New Roman" w:hAnsi="Times New Roman"/>
          <w:vertAlign w:val="superscript"/>
        </w:rPr>
        <w:t>[6]</w:t>
      </w:r>
      <w:r>
        <w:rPr>
          <w:rFonts w:ascii="Times New Roman" w:hAnsi="Times New Roman"/>
        </w:rPr>
        <w:t xml:space="preserve"> Tomēr, ja šīs personas tiek identificētas kā mazāk aizsargātas vai ja tām ir nepieciešama papildu aizsardzība, kamēr tās atrodas ieslodzījuma vietā, tas ir jāņem vērā, un šīs personas ir jāizmitina atsevišķi. Lēmumi par atsevišķu izmitināšanu jāpieņem tikai individuāli, nevis kā vispārējs pasākums tādu personu grupām, kas apsūdzētas vai notiesātas par noziedzīgu nodarījumu pret dzimumneaizskaramību. Turklāt ikvienai personai, kuru tur nošķirti, ir jāpiedāvā vismaz divas stundas dienā jēgpilnas saskarsmes ar cilvēkiem, lai nodrošinātu, ka viņu nošķiršana nekļūst par turēšanu vienieslodzījuma kamerā (skat. Eiropas cietumu noteikumu 53.A.1. noteikumu).</w:t>
      </w:r>
    </w:p>
    <w:p w14:paraId="12A86DA0" w14:textId="77777777" w:rsidR="00687285" w:rsidRPr="00687285" w:rsidRDefault="00687285" w:rsidP="00687285">
      <w:pPr>
        <w:pStyle w:val="BodyText"/>
        <w:ind w:left="0"/>
        <w:jc w:val="both"/>
        <w:rPr>
          <w:rFonts w:ascii="Times New Roman" w:hAnsi="Times New Roman" w:cs="Times New Roman"/>
          <w:noProof/>
        </w:rPr>
      </w:pPr>
    </w:p>
    <w:p w14:paraId="62825AD4" w14:textId="77777777" w:rsidR="00687285" w:rsidRPr="00687285" w:rsidRDefault="00687285" w:rsidP="00687285">
      <w:pPr>
        <w:pStyle w:val="BodyText"/>
        <w:ind w:left="0"/>
        <w:jc w:val="both"/>
        <w:rPr>
          <w:rFonts w:ascii="Times New Roman" w:hAnsi="Times New Roman" w:cs="Times New Roman"/>
          <w:noProof/>
        </w:rPr>
      </w:pPr>
      <w:r>
        <w:rPr>
          <w:rFonts w:ascii="Times New Roman" w:hAnsi="Times New Roman"/>
        </w:rPr>
        <w:t>3. noteikums</w:t>
      </w:r>
    </w:p>
    <w:p w14:paraId="3DE370B3" w14:textId="77777777" w:rsidR="00687285" w:rsidRPr="00687285" w:rsidRDefault="00687285" w:rsidP="00687285">
      <w:pPr>
        <w:pStyle w:val="BodyText"/>
        <w:tabs>
          <w:tab w:val="left" w:pos="1248"/>
        </w:tabs>
        <w:ind w:left="0"/>
        <w:jc w:val="both"/>
        <w:rPr>
          <w:rFonts w:ascii="Times New Roman" w:hAnsi="Times New Roman" w:cs="Times New Roman"/>
          <w:noProof/>
        </w:rPr>
      </w:pPr>
    </w:p>
    <w:p w14:paraId="59675C44" w14:textId="77777777" w:rsidR="00687285" w:rsidRPr="00687285" w:rsidRDefault="00687285" w:rsidP="00687285">
      <w:pPr>
        <w:pStyle w:val="BodyText"/>
        <w:tabs>
          <w:tab w:val="left" w:pos="1248"/>
        </w:tabs>
        <w:ind w:left="0"/>
        <w:jc w:val="both"/>
        <w:rPr>
          <w:rFonts w:ascii="Times New Roman" w:hAnsi="Times New Roman" w:cs="Times New Roman"/>
          <w:noProof/>
        </w:rPr>
      </w:pPr>
      <w:r>
        <w:rPr>
          <w:rFonts w:ascii="Times New Roman" w:hAnsi="Times New Roman"/>
        </w:rPr>
        <w:t xml:space="preserve">22. Efektīva riska vadība palīdz nodrošināt sabiedrības aizsardzību. Personām, kas apsūdzētas vai notiesātas par noziedzīgu nodarījumu pret dzimumneaizskaramību, bieži vien piemīt sarežģītas īpašības, kuru dēļ iesaistei un pārvaldei jābūt starpdisciplinārām, lai tās būtu pilnīgi efektīvas. Tāpēc, efektīvi reaģējot, no kriminālprocesa sākuma un visā tā gaitā jāiesaista dažādi speciālisti, tostarp policijas, probācijas, ieslodzījuma vietu, mājokļu, izglītības, atjaunojošās justīcijas un veselības aprūpes pakalpojumu jomu pārstāvji. Minētajā jāietilpst tādu speciālistu pakalpojumiem kā psihiatri un psihologi, kā arī citi speciālisti, kam ir formālā izglītība un pieredze riska novērtēšanā, riska vadībā, sociālās uzvedības korekcijas un/vai sociālās rehabilitācijas pasākumu piemērošanā personām, kas izdarījušas noziedzīgus </w:t>
      </w:r>
      <w:r>
        <w:rPr>
          <w:rFonts w:ascii="Times New Roman" w:hAnsi="Times New Roman"/>
        </w:rPr>
        <w:lastRenderedPageBreak/>
        <w:t>nodarījumus pret dzimumneaizskaramību.</w:t>
      </w:r>
    </w:p>
    <w:p w14:paraId="6D4B835A" w14:textId="77777777" w:rsidR="00687285" w:rsidRPr="00687285" w:rsidRDefault="00687285" w:rsidP="00687285">
      <w:pPr>
        <w:pStyle w:val="BodyText"/>
        <w:ind w:left="0"/>
        <w:jc w:val="both"/>
        <w:rPr>
          <w:rFonts w:ascii="Times New Roman" w:hAnsi="Times New Roman" w:cs="Times New Roman"/>
          <w:noProof/>
        </w:rPr>
      </w:pPr>
    </w:p>
    <w:p w14:paraId="04FB0E0F" w14:textId="77777777" w:rsidR="00687285" w:rsidRPr="00687285" w:rsidRDefault="00687285" w:rsidP="00687285">
      <w:pPr>
        <w:pStyle w:val="BodyText"/>
        <w:ind w:left="0"/>
        <w:jc w:val="both"/>
        <w:rPr>
          <w:rFonts w:ascii="Times New Roman" w:hAnsi="Times New Roman" w:cs="Times New Roman"/>
          <w:noProof/>
        </w:rPr>
      </w:pPr>
      <w:r>
        <w:rPr>
          <w:rFonts w:ascii="Times New Roman" w:hAnsi="Times New Roman"/>
        </w:rPr>
        <w:t>4. noteikums</w:t>
      </w:r>
    </w:p>
    <w:p w14:paraId="2E56FA64" w14:textId="77777777" w:rsidR="00687285" w:rsidRPr="00687285" w:rsidRDefault="00687285" w:rsidP="00687285">
      <w:pPr>
        <w:pStyle w:val="BodyText"/>
        <w:tabs>
          <w:tab w:val="left" w:pos="1219"/>
        </w:tabs>
        <w:ind w:left="0"/>
        <w:jc w:val="both"/>
        <w:rPr>
          <w:rFonts w:ascii="Times New Roman" w:hAnsi="Times New Roman" w:cs="Times New Roman"/>
          <w:noProof/>
        </w:rPr>
      </w:pPr>
    </w:p>
    <w:p w14:paraId="59D096DC" w14:textId="77777777" w:rsidR="00687285" w:rsidRPr="00687285" w:rsidRDefault="00687285" w:rsidP="00687285">
      <w:pPr>
        <w:pStyle w:val="BodyText"/>
        <w:tabs>
          <w:tab w:val="left" w:pos="1219"/>
        </w:tabs>
        <w:ind w:left="0"/>
        <w:jc w:val="both"/>
        <w:rPr>
          <w:rFonts w:ascii="Times New Roman" w:hAnsi="Times New Roman" w:cs="Times New Roman"/>
          <w:noProof/>
        </w:rPr>
      </w:pPr>
      <w:r>
        <w:rPr>
          <w:rFonts w:ascii="Times New Roman" w:hAnsi="Times New Roman"/>
        </w:rPr>
        <w:t>23. Iemesli noziedzīgiem nodarījumiem pret dzimumneaizskaramību un to etioloģija ir sarežģīti un, iespējams, ietver bioloģiskos, uzvedības, klīniskos, kultūras, attīstības, veselības, sociālos un neiroloģiskos faktorus. Tas nozīmē, ka, lai izprastu noziedzīgus nodarījumus pret dzimumneaizskaramību, organizācijām personas, kas izdarījušas noziedzīgus nodarījumus pret dzimumneaizskaramību, ir jāizprot kā indivīdi, šīs personas jāizpēta holistiski, kā arī jāreaģē līdzsvaroti un atbilstoši. Noziedzīgu nodarījumu pret dzimumneaizskaramību etioloģija sakņojas indivīda dzīves gaitā un attīstībā, tāpēc vispiemērotākajai reakcijai uz noziedzīgiem nodarījumiem pret dzimumneaizskaramību, kā arī to novēršanu ir jābalstās uz holistisku pieeju, kurā ņemta vērā dzīves gaita. Šāda pieeja, kurai jābūt arī integrējošai un savā būtībā balstītai uz veselību, ļauj veiksmīgi novērst noziedzīgus nodarījumus pret dzimumneaizskaramību un efektīvi reaģēt uz tiem.</w:t>
      </w:r>
    </w:p>
    <w:p w14:paraId="3238492B" w14:textId="77777777" w:rsidR="00687285" w:rsidRPr="00687285" w:rsidRDefault="00687285" w:rsidP="00687285">
      <w:pPr>
        <w:jc w:val="both"/>
        <w:rPr>
          <w:rFonts w:ascii="Times New Roman" w:hAnsi="Times New Roman" w:cs="Times New Roman"/>
          <w:noProof/>
        </w:rPr>
      </w:pPr>
    </w:p>
    <w:p w14:paraId="345BC8E5" w14:textId="77777777" w:rsidR="00687285" w:rsidRPr="00687285" w:rsidRDefault="00687285" w:rsidP="00687285">
      <w:pPr>
        <w:pStyle w:val="BodyText"/>
        <w:ind w:left="0"/>
        <w:jc w:val="both"/>
        <w:rPr>
          <w:rFonts w:ascii="Times New Roman" w:hAnsi="Times New Roman" w:cs="Times New Roman"/>
          <w:noProof/>
        </w:rPr>
      </w:pPr>
      <w:r>
        <w:rPr>
          <w:rFonts w:ascii="Times New Roman" w:hAnsi="Times New Roman"/>
        </w:rPr>
        <w:t>5. noteikums</w:t>
      </w:r>
    </w:p>
    <w:p w14:paraId="4036BD9A" w14:textId="77777777" w:rsidR="00687285" w:rsidRPr="00687285" w:rsidRDefault="00687285" w:rsidP="00687285">
      <w:pPr>
        <w:pStyle w:val="BodyText"/>
        <w:ind w:left="0"/>
        <w:jc w:val="both"/>
        <w:rPr>
          <w:rFonts w:ascii="Times New Roman" w:hAnsi="Times New Roman" w:cs="Times New Roman"/>
          <w:noProof/>
        </w:rPr>
      </w:pPr>
    </w:p>
    <w:p w14:paraId="0F149092" w14:textId="77777777" w:rsidR="00687285" w:rsidRPr="00687285" w:rsidRDefault="00687285" w:rsidP="00687285">
      <w:pPr>
        <w:pStyle w:val="BodyText"/>
        <w:tabs>
          <w:tab w:val="left" w:pos="1219"/>
        </w:tabs>
        <w:ind w:left="0"/>
        <w:jc w:val="both"/>
        <w:rPr>
          <w:rFonts w:ascii="Times New Roman" w:hAnsi="Times New Roman" w:cs="Times New Roman"/>
          <w:noProof/>
        </w:rPr>
      </w:pPr>
      <w:r>
        <w:rPr>
          <w:rFonts w:ascii="Times New Roman" w:hAnsi="Times New Roman"/>
        </w:rPr>
        <w:t>24. Šajā noteikumā uzsvērts, ka attiecībā uz personām, kas apsūdzētas vai notiesātas par noziedzīgiem nodarījumiem pret dzimumneaizskaramību, ir jāīsteno tikai uz pierādījumiem balstīti sociālās uzvedības korekcijas un sociālās rehabilitācijas pasākumi. Tiem, kas īsteno sociālās uzvedības korekcijas un/vai sociālās rehabilitācijas pasākumus, ir jāņem vērā jaunākie pētījumi šajā jomā, lai nodrošinātu, ka tiek izmantoti tikai tādi sociālās uzvedības korekcijas un/vai sociālās rehabilitācijas pasākumi, kam ir iespējas būt sekmīgiem, un tie nav nesamērīgi attiecībā uz konkrēto personu. Tas nozīmē, ka sociālās uzvedības korekcijas vai sociālās rehabilitācijas pasākumus, kas piemēroti personai ar augstu risku, nedrīkst piemērot personai ar zemu risku, jo īpaši, ja pierādījumi liecina, ka personai ar zemu risku šādu sociālās uzvedības korekcijas vai sociālās rehabilitācijas pasākumu dēļ palielinātos recidīva iespējamība.</w:t>
      </w:r>
    </w:p>
    <w:p w14:paraId="22FAD96D" w14:textId="77777777" w:rsidR="00687285" w:rsidRPr="00687285" w:rsidRDefault="00687285" w:rsidP="00687285">
      <w:pPr>
        <w:pStyle w:val="BodyText"/>
        <w:tabs>
          <w:tab w:val="left" w:pos="1248"/>
        </w:tabs>
        <w:ind w:left="0"/>
        <w:jc w:val="both"/>
        <w:rPr>
          <w:rFonts w:ascii="Times New Roman" w:hAnsi="Times New Roman" w:cs="Times New Roman"/>
          <w:noProof/>
        </w:rPr>
      </w:pPr>
    </w:p>
    <w:p w14:paraId="0C7400C5" w14:textId="77777777" w:rsidR="00687285" w:rsidRPr="00687285" w:rsidRDefault="00687285" w:rsidP="00687285">
      <w:pPr>
        <w:pStyle w:val="BodyText"/>
        <w:tabs>
          <w:tab w:val="left" w:pos="1248"/>
        </w:tabs>
        <w:ind w:left="0"/>
        <w:jc w:val="both"/>
        <w:rPr>
          <w:rFonts w:ascii="Times New Roman" w:hAnsi="Times New Roman" w:cs="Times New Roman"/>
          <w:noProof/>
        </w:rPr>
      </w:pPr>
      <w:r>
        <w:rPr>
          <w:rFonts w:ascii="Times New Roman" w:hAnsi="Times New Roman"/>
        </w:rPr>
        <w:t>25. Sociālās uzvedības korekcijas un/vai sociālās rehabilitācijas pasākumiem vienmēr jābūt daļai no visaptverošās pieejas neatkarīgi no tā, vai tie personai, kas apsūdzēta vai notiesāta par noziedzīgu nodarījumu pret dzimumneaizskaramību, tiek piemēroti individuāli vai kā grupas dalībniekam. Uzsvaram vienmēr jābūt uz palīdzību personām, lai novērstu viņu sodāmo rīcību un mainītu attiecīgos kognitīvos domāšanas veidus.</w:t>
      </w:r>
    </w:p>
    <w:p w14:paraId="594E34B2" w14:textId="77777777" w:rsidR="00687285" w:rsidRPr="00687285" w:rsidRDefault="00687285" w:rsidP="00687285">
      <w:pPr>
        <w:pStyle w:val="BodyText"/>
        <w:tabs>
          <w:tab w:val="left" w:pos="1219"/>
        </w:tabs>
        <w:ind w:left="0"/>
        <w:jc w:val="both"/>
        <w:rPr>
          <w:rFonts w:ascii="Times New Roman" w:hAnsi="Times New Roman" w:cs="Times New Roman"/>
          <w:noProof/>
        </w:rPr>
      </w:pPr>
    </w:p>
    <w:p w14:paraId="2848742C" w14:textId="77777777" w:rsidR="00687285" w:rsidRPr="00687285" w:rsidRDefault="00687285" w:rsidP="00687285">
      <w:pPr>
        <w:pStyle w:val="BodyText"/>
        <w:tabs>
          <w:tab w:val="left" w:pos="1219"/>
        </w:tabs>
        <w:ind w:left="0"/>
        <w:jc w:val="both"/>
        <w:rPr>
          <w:rFonts w:ascii="Times New Roman" w:hAnsi="Times New Roman" w:cs="Times New Roman"/>
          <w:noProof/>
        </w:rPr>
      </w:pPr>
      <w:r>
        <w:rPr>
          <w:rFonts w:ascii="Times New Roman" w:hAnsi="Times New Roman"/>
        </w:rPr>
        <w:t xml:space="preserve">26. Necilvēcīgi vai pazemojoši sociālās uzvedības korekcijas un/vai sociālās rehabilitācijas pasākumi nekad nebūs samērīgi. </w:t>
      </w:r>
      <w:r>
        <w:rPr>
          <w:rFonts w:ascii="Times New Roman" w:hAnsi="Times New Roman"/>
          <w:i/>
          <w:iCs/>
        </w:rPr>
        <w:t>CPT</w:t>
      </w:r>
      <w:r>
        <w:rPr>
          <w:rFonts w:ascii="Times New Roman" w:hAnsi="Times New Roman"/>
        </w:rPr>
        <w:t xml:space="preserve"> vairākos ziņojumos ir norādījusi, ka ķirurģiskas kastrācijas, kas ir “kropļojoša, neatgriezeniska iejaukšanās”, izmantošana var sasniegt līmeni, kad tā uzskatāma par pazemojošu izturēšanos, un tā “nevar tikt uzskatīta par medicīnisku nepieciešamību” tādu personu ārstēšanā, kas ir izdarījušas noziedzīgus nodarījumus pret dzimumneaizskaramību. Tāpēc </w:t>
      </w:r>
      <w:r>
        <w:rPr>
          <w:rFonts w:ascii="Times New Roman" w:hAnsi="Times New Roman"/>
          <w:i/>
          <w:iCs/>
        </w:rPr>
        <w:t>CPT</w:t>
      </w:r>
      <w:r>
        <w:rPr>
          <w:rFonts w:ascii="Times New Roman" w:hAnsi="Times New Roman"/>
        </w:rPr>
        <w:t xml:space="preserve"> ir aicinājusi dalībvalstis “pilnībā izbeigt” tās izmantošanu.</w:t>
      </w:r>
      <w:r>
        <w:rPr>
          <w:rFonts w:ascii="Times New Roman" w:hAnsi="Times New Roman"/>
          <w:vertAlign w:val="superscript"/>
        </w:rPr>
        <w:t>[7]</w:t>
      </w:r>
      <w:r>
        <w:rPr>
          <w:rFonts w:ascii="Times New Roman" w:hAnsi="Times New Roman"/>
        </w:rPr>
        <w:t xml:space="preserve"> ECT ir atzinusi, ka, lai arī aizsargājoša seksoloģiska ārstēšana un ar to saistītie ierobežojumi var radīt diskomfortu, to tomēr var pamatot attiecīgās personas veselības stāvoklis un uzvedība.</w:t>
      </w:r>
      <w:r>
        <w:rPr>
          <w:rFonts w:ascii="Times New Roman" w:hAnsi="Times New Roman"/>
          <w:vertAlign w:val="superscript"/>
        </w:rPr>
        <w:t>[8]</w:t>
      </w:r>
    </w:p>
    <w:p w14:paraId="7E9D77D9" w14:textId="77777777" w:rsidR="00687285" w:rsidRPr="00687285" w:rsidRDefault="00687285" w:rsidP="00687285">
      <w:pPr>
        <w:jc w:val="both"/>
        <w:rPr>
          <w:rFonts w:ascii="Times New Roman" w:eastAsia="Arial" w:hAnsi="Times New Roman" w:cs="Times New Roman"/>
          <w:noProof/>
          <w:sz w:val="24"/>
          <w:szCs w:val="24"/>
        </w:rPr>
      </w:pPr>
    </w:p>
    <w:p w14:paraId="7A0BC50D" w14:textId="77777777" w:rsidR="00687285" w:rsidRPr="00687285" w:rsidRDefault="00687285" w:rsidP="00687285">
      <w:pPr>
        <w:pStyle w:val="BodyText"/>
        <w:tabs>
          <w:tab w:val="left" w:pos="1219"/>
        </w:tabs>
        <w:ind w:left="0"/>
        <w:jc w:val="both"/>
        <w:rPr>
          <w:rFonts w:ascii="Times New Roman" w:hAnsi="Times New Roman" w:cs="Times New Roman"/>
          <w:noProof/>
        </w:rPr>
      </w:pPr>
      <w:r>
        <w:rPr>
          <w:rFonts w:ascii="Times New Roman" w:hAnsi="Times New Roman"/>
        </w:rPr>
        <w:t>27. ECT ir norādījusi, ka, lai ievērotu ECTK 5. pantu, “jo ilgāka ir aizturēšana, jo rūpīgāk ir jāpārbauda ilgstošas ievietošanas psihiatriskajā slimnīcā samērīgums”, turklāt personas intereses tikt atbrīvotai jālīdzsvaro ar sabiedrības drošības interesēm. Arī lēmumi par šādas ievietošanas turpināšanu nedrīkst būt patvaļīgi.</w:t>
      </w:r>
      <w:r>
        <w:rPr>
          <w:rFonts w:ascii="Times New Roman" w:hAnsi="Times New Roman"/>
          <w:vertAlign w:val="superscript"/>
        </w:rPr>
        <w:t>[9]</w:t>
      </w:r>
    </w:p>
    <w:p w14:paraId="3093826D" w14:textId="77777777" w:rsidR="00687285" w:rsidRPr="00687285" w:rsidRDefault="00687285" w:rsidP="00687285">
      <w:pPr>
        <w:pStyle w:val="BodyText"/>
        <w:tabs>
          <w:tab w:val="left" w:pos="1248"/>
        </w:tabs>
        <w:ind w:left="0"/>
        <w:jc w:val="both"/>
        <w:rPr>
          <w:rFonts w:ascii="Times New Roman" w:hAnsi="Times New Roman" w:cs="Times New Roman"/>
          <w:noProof/>
        </w:rPr>
      </w:pPr>
    </w:p>
    <w:p w14:paraId="25FF6F6F" w14:textId="77777777" w:rsidR="00687285" w:rsidRPr="00687285" w:rsidRDefault="00687285" w:rsidP="00687285">
      <w:pPr>
        <w:pStyle w:val="BodyText"/>
        <w:tabs>
          <w:tab w:val="left" w:pos="1248"/>
        </w:tabs>
        <w:ind w:left="0"/>
        <w:jc w:val="both"/>
        <w:rPr>
          <w:rFonts w:ascii="Times New Roman" w:hAnsi="Times New Roman" w:cs="Times New Roman"/>
          <w:noProof/>
        </w:rPr>
      </w:pPr>
      <w:r>
        <w:rPr>
          <w:rFonts w:ascii="Times New Roman" w:hAnsi="Times New Roman"/>
        </w:rPr>
        <w:lastRenderedPageBreak/>
        <w:t xml:space="preserve">28. Attiecībā uz ķīmisko kastrāciju (antiandrogēnu terapiju) </w:t>
      </w:r>
      <w:r>
        <w:rPr>
          <w:rFonts w:ascii="Times New Roman" w:hAnsi="Times New Roman"/>
          <w:i/>
          <w:iCs/>
        </w:rPr>
        <w:t>CPT</w:t>
      </w:r>
      <w:r>
        <w:rPr>
          <w:rFonts w:ascii="Times New Roman" w:hAnsi="Times New Roman"/>
        </w:rPr>
        <w:t xml:space="preserve"> ir skaidri norādījusi, ka to drīkst veikt “tikai brīvprātīgi”, pamatojoties uz “rūpīgu individuālu psihiatrisku un medicīnisku pārbaudi” (skat. komentāru par 6. noteikumu). Tā ir uzsvērusi, ka šāda terapija, ja tā tiek veikta, “ir jāapvieno ar psihoterapiju un cita veida konsultēšanu, lai samazinātu atkārtota noziedzīga nodarījuma izdarīšanas risku. ECT ir atzinusi, ka ķīmiskā kastrācija var būt pamatota, ja tā ir terapeitiska nepieciešamība. Turklāt Tiesa ir piekritusi, ka persona var arī brīvprātīgi piedalīties šādā terapijā. Saistībā ar to ECT ir norādījusi, ka noderīga var būt konkrēta veidlapa, kurā norādīta personas piekrišana, informējot personu par tiesībām jebkurā laikā atsaukt piekrišanu, kā arī informējot personu par šādas terapijas priekšrocībām un blakusparādībām; tomēr šādas procedūras neizmantošana pati par sevi nav pietiekams pamats, lai uzskatītu, ka notiek piespiedu ārstēšana un ka ir pārkāpts ECTK 3. pants.</w:t>
      </w:r>
      <w:r>
        <w:rPr>
          <w:rFonts w:ascii="Times New Roman" w:hAnsi="Times New Roman"/>
          <w:vertAlign w:val="superscript"/>
        </w:rPr>
        <w:t>[10]</w:t>
      </w:r>
    </w:p>
    <w:p w14:paraId="5362B503" w14:textId="77777777" w:rsidR="00687285" w:rsidRPr="00687285" w:rsidRDefault="00687285" w:rsidP="00687285">
      <w:pPr>
        <w:jc w:val="both"/>
        <w:rPr>
          <w:rFonts w:ascii="Times New Roman" w:hAnsi="Times New Roman" w:cs="Times New Roman"/>
          <w:noProof/>
          <w:sz w:val="24"/>
          <w:szCs w:val="24"/>
        </w:rPr>
      </w:pPr>
    </w:p>
    <w:p w14:paraId="0CC71D11" w14:textId="77777777" w:rsidR="00687285" w:rsidRPr="00687285" w:rsidRDefault="00687285" w:rsidP="00687285">
      <w:pPr>
        <w:jc w:val="both"/>
        <w:rPr>
          <w:rFonts w:ascii="Times New Roman" w:hAnsi="Times New Roman" w:cs="Times New Roman"/>
          <w:noProof/>
          <w:sz w:val="24"/>
          <w:szCs w:val="24"/>
        </w:rPr>
      </w:pPr>
      <w:r>
        <w:rPr>
          <w:rFonts w:ascii="Times New Roman" w:hAnsi="Times New Roman"/>
          <w:sz w:val="24"/>
        </w:rPr>
        <w:t>29. Attiecībā uz seksuālās orientācijas pārbaudēm (tostarp biomedicīniskiem testiem), kas rehabilitācijas ietvaros mēra personas uzbudinājumu, reaģējot uz nelegālu dzimumuzvedību, ECT ir atzinusi, ka dalība šādās pārbaudēs personām var būt pazemojoša. Tomēr tā ir pieņēmusi, ka iestādes var pamatoti uzskatīt, ka šādi izvērtējumi ir nepieciešami, lemjot par atbilstošu turpmāku konservatīvu terapiju un atbilstošu soda izpildes pasākumu plānošanu, kā arī par reintegrācijas stratēģijām. Tādos gadījumos, šādi izvērtējumi nedrīkst izpausties kā pazemojoša izturēšanās saskaņā ar ECTK 3. pantu. Konstatējot šādu novērtējumu nepieciešamību, svarīgs faktors var būt paļaušanās uz “alternatīviem un mazāk invazīviem novērtējuma veidiem”, līdz uzvedība parāda, ka ir nepieciešama “precīzāka analīze”, izmantojot seksuālās orientācijas pārbaudi.</w:t>
      </w:r>
      <w:r>
        <w:rPr>
          <w:rFonts w:ascii="Times New Roman" w:hAnsi="Times New Roman"/>
          <w:sz w:val="24"/>
          <w:vertAlign w:val="superscript"/>
        </w:rPr>
        <w:t>[11]</w:t>
      </w:r>
    </w:p>
    <w:p w14:paraId="4DB2DB02" w14:textId="77777777" w:rsidR="00687285" w:rsidRPr="00687285" w:rsidRDefault="00687285" w:rsidP="00687285">
      <w:pPr>
        <w:jc w:val="both"/>
        <w:rPr>
          <w:rFonts w:ascii="Times New Roman" w:eastAsia="Arial" w:hAnsi="Times New Roman" w:cs="Times New Roman"/>
          <w:noProof/>
          <w:sz w:val="24"/>
          <w:szCs w:val="24"/>
        </w:rPr>
      </w:pPr>
    </w:p>
    <w:p w14:paraId="6188C0A7" w14:textId="77777777" w:rsidR="00687285" w:rsidRPr="00687285" w:rsidRDefault="00687285" w:rsidP="00687285">
      <w:pPr>
        <w:pStyle w:val="BodyText"/>
        <w:ind w:left="0"/>
        <w:jc w:val="both"/>
        <w:rPr>
          <w:rFonts w:ascii="Times New Roman" w:hAnsi="Times New Roman" w:cs="Times New Roman"/>
          <w:noProof/>
        </w:rPr>
      </w:pPr>
      <w:r>
        <w:rPr>
          <w:rFonts w:ascii="Times New Roman" w:hAnsi="Times New Roman"/>
        </w:rPr>
        <w:t>6. noteikums</w:t>
      </w:r>
    </w:p>
    <w:p w14:paraId="5653BA35" w14:textId="77777777" w:rsidR="00687285" w:rsidRPr="00687285" w:rsidRDefault="00687285" w:rsidP="00687285">
      <w:pPr>
        <w:pStyle w:val="BodyText"/>
        <w:ind w:left="0"/>
        <w:jc w:val="both"/>
        <w:rPr>
          <w:rFonts w:ascii="Times New Roman" w:hAnsi="Times New Roman" w:cs="Times New Roman"/>
          <w:noProof/>
        </w:rPr>
      </w:pPr>
    </w:p>
    <w:p w14:paraId="651B608A" w14:textId="77777777" w:rsidR="00687285" w:rsidRPr="00687285" w:rsidRDefault="00687285" w:rsidP="00687285">
      <w:pPr>
        <w:pStyle w:val="BodyText"/>
        <w:tabs>
          <w:tab w:val="left" w:pos="1219"/>
        </w:tabs>
        <w:ind w:left="0"/>
        <w:jc w:val="both"/>
        <w:rPr>
          <w:rFonts w:ascii="Times New Roman" w:hAnsi="Times New Roman" w:cs="Times New Roman"/>
          <w:noProof/>
        </w:rPr>
      </w:pPr>
      <w:r>
        <w:rPr>
          <w:rFonts w:ascii="Times New Roman" w:hAnsi="Times New Roman"/>
        </w:rPr>
        <w:t xml:space="preserve">30. Šajā noteikumā atzīts, ka efektīvu novērtēšanas, pārvaldības un integrācijas plānu izstrādē ļoti svarīgas ir attiecības starp personu, kas apsūdzēta vai notiesāta par noziedzīgu nodarījumu pret dzimumneaizskaramību, un speciālistiem un dienestiem, ar kuriem tā sadarbojas, neatkarīgi no tā, vai tā ir tiesa, ieslodzījuma vietu pārvalde, policija, probācijas dienests vai cita organizācija. Ja starp iesaistītajām pusēm nav uzticības un cieņas, ir lielāka iespēja, ka process apstāsies. Ir svarīgi apzināties, ka sadarbība vēl nozīmē to, ka attiecīgā persona atzīst savu vainu, bet gan to, ka tā pilnīgi iesaistās riska novērtēšanā un jebkādos sociālās uzvedības korekcijas vai sociālās rehabilitācijas pasākumos, kas no tās izriet. </w:t>
      </w:r>
      <w:r>
        <w:rPr>
          <w:rFonts w:ascii="Times New Roman" w:hAnsi="Times New Roman"/>
          <w:i/>
          <w:iCs/>
        </w:rPr>
        <w:t>CPT</w:t>
      </w:r>
      <w:r>
        <w:rPr>
          <w:rFonts w:ascii="Times New Roman" w:hAnsi="Times New Roman"/>
        </w:rPr>
        <w:t xml:space="preserve"> jau iepriekš ir uzsvērusi, ka ir svarīgi izstrādāt vai pārskatīt individuālus rehabilitācijas pasākumu plānus, konsultējoties ar attiecīgo personu.</w:t>
      </w:r>
      <w:r>
        <w:rPr>
          <w:rFonts w:ascii="Times New Roman" w:hAnsi="Times New Roman"/>
          <w:vertAlign w:val="superscript"/>
        </w:rPr>
        <w:t>[12]</w:t>
      </w:r>
      <w:r>
        <w:rPr>
          <w:rFonts w:ascii="Times New Roman" w:hAnsi="Times New Roman"/>
        </w:rPr>
        <w:t xml:space="preserve"> Šis noteikums lasāms it īpaši kopā ar 1. un 3. noteikumu, bet tas ir visu minēto pamatprincipu pamatā.</w:t>
      </w:r>
    </w:p>
    <w:p w14:paraId="66536D71" w14:textId="77777777" w:rsidR="00687285" w:rsidRPr="00687285" w:rsidRDefault="00687285" w:rsidP="00687285">
      <w:pPr>
        <w:pStyle w:val="BodyText"/>
        <w:tabs>
          <w:tab w:val="left" w:pos="1248"/>
        </w:tabs>
        <w:ind w:left="0"/>
        <w:jc w:val="both"/>
        <w:rPr>
          <w:rFonts w:ascii="Times New Roman" w:hAnsi="Times New Roman" w:cs="Times New Roman"/>
          <w:noProof/>
        </w:rPr>
      </w:pPr>
    </w:p>
    <w:p w14:paraId="299A63B1" w14:textId="77777777" w:rsidR="00687285" w:rsidRPr="00687285" w:rsidRDefault="00687285" w:rsidP="00687285">
      <w:pPr>
        <w:pStyle w:val="BodyText"/>
        <w:tabs>
          <w:tab w:val="left" w:pos="1248"/>
        </w:tabs>
        <w:ind w:left="0"/>
        <w:jc w:val="both"/>
        <w:rPr>
          <w:rFonts w:ascii="Times New Roman" w:hAnsi="Times New Roman" w:cs="Times New Roman"/>
          <w:noProof/>
          <w:highlight w:val="yellow"/>
        </w:rPr>
      </w:pPr>
      <w:r>
        <w:rPr>
          <w:rFonts w:ascii="Times New Roman" w:hAnsi="Times New Roman"/>
        </w:rPr>
        <w:t xml:space="preserve">31. Ķīmiskās kastrācijas gadījumā ir jāsaņem formāla, brīvi izteikta un informēta personas piekrišana. </w:t>
      </w:r>
      <w:r>
        <w:rPr>
          <w:rFonts w:ascii="Times New Roman" w:hAnsi="Times New Roman"/>
          <w:i/>
          <w:iCs/>
        </w:rPr>
        <w:t>CPT</w:t>
      </w:r>
      <w:r>
        <w:rPr>
          <w:rFonts w:ascii="Times New Roman" w:hAnsi="Times New Roman"/>
        </w:rPr>
        <w:t xml:space="preserve"> ir uzsvērusi, ka “pirms antiandrogēnu [ķīmiskās kastrācijas] terapijas uzsākšanas ir jāsaņem attiecīgā pacienta brīva un informēta rakstiska piekrišana, ar to saprotot, ka piekrišanu var jebkurā laikā atsaukt; turklāt pacients pilnīgi jāinformē par visām iespējamajām terapijas sekām un blakusparādībām, kā arī par sekām gadījumā, ja viņš atsakās no šādas terapijas. Nevienu pacientu nedrīkst pakļaut spiedienam, lai tas piekristu antiandrogēnu terapijai.”</w:t>
      </w:r>
      <w:r>
        <w:rPr>
          <w:rFonts w:ascii="Times New Roman" w:hAnsi="Times New Roman"/>
          <w:vertAlign w:val="superscript"/>
        </w:rPr>
        <w:t>[13]</w:t>
      </w:r>
      <w:r>
        <w:rPr>
          <w:rFonts w:ascii="Times New Roman" w:hAnsi="Times New Roman"/>
        </w:rPr>
        <w:t xml:space="preserve"> Tai “vienmēr jābūt balstītai uz rūpīgu individuālu psihiatrisku un medicīnisku pārbaudi, un (..) tā jāpiemēro tikai brīvprātīgi.”</w:t>
      </w:r>
      <w:r>
        <w:rPr>
          <w:rFonts w:ascii="Times New Roman" w:hAnsi="Times New Roman"/>
          <w:vertAlign w:val="superscript"/>
        </w:rPr>
        <w:t>[14]</w:t>
      </w:r>
    </w:p>
    <w:p w14:paraId="22EF3666" w14:textId="77777777" w:rsidR="00687285" w:rsidRPr="00687285" w:rsidRDefault="00687285" w:rsidP="00687285">
      <w:pPr>
        <w:pStyle w:val="BodyText"/>
        <w:tabs>
          <w:tab w:val="left" w:pos="1248"/>
        </w:tabs>
        <w:ind w:left="0"/>
        <w:jc w:val="both"/>
        <w:rPr>
          <w:rFonts w:ascii="Times New Roman" w:hAnsi="Times New Roman" w:cs="Times New Roman"/>
          <w:noProof/>
        </w:rPr>
      </w:pPr>
    </w:p>
    <w:p w14:paraId="4E06AA44" w14:textId="77777777" w:rsidR="00687285" w:rsidRPr="00687285" w:rsidRDefault="00687285" w:rsidP="00020AD3">
      <w:pPr>
        <w:pStyle w:val="BodyText"/>
        <w:keepNext/>
        <w:keepLines/>
        <w:tabs>
          <w:tab w:val="left" w:pos="1248"/>
        </w:tabs>
        <w:ind w:left="0"/>
        <w:jc w:val="both"/>
        <w:rPr>
          <w:rFonts w:ascii="Times New Roman" w:hAnsi="Times New Roman" w:cs="Times New Roman"/>
          <w:noProof/>
        </w:rPr>
      </w:pPr>
      <w:r>
        <w:rPr>
          <w:rFonts w:ascii="Times New Roman" w:hAnsi="Times New Roman"/>
        </w:rPr>
        <w:lastRenderedPageBreak/>
        <w:t>7. noteikums</w:t>
      </w:r>
    </w:p>
    <w:p w14:paraId="70BEC9EB" w14:textId="77777777" w:rsidR="00687285" w:rsidRPr="00687285" w:rsidRDefault="00687285" w:rsidP="00020AD3">
      <w:pPr>
        <w:pStyle w:val="BodyText"/>
        <w:keepNext/>
        <w:keepLines/>
        <w:tabs>
          <w:tab w:val="left" w:pos="1219"/>
        </w:tabs>
        <w:ind w:left="0"/>
        <w:jc w:val="both"/>
        <w:rPr>
          <w:rFonts w:ascii="Times New Roman" w:hAnsi="Times New Roman" w:cs="Times New Roman"/>
          <w:noProof/>
        </w:rPr>
      </w:pPr>
    </w:p>
    <w:p w14:paraId="625526B1" w14:textId="77777777" w:rsidR="00687285" w:rsidRPr="00687285" w:rsidRDefault="00687285" w:rsidP="00020AD3">
      <w:pPr>
        <w:pStyle w:val="BodyText"/>
        <w:keepNext/>
        <w:keepLines/>
        <w:tabs>
          <w:tab w:val="left" w:pos="1219"/>
        </w:tabs>
        <w:ind w:left="0"/>
        <w:jc w:val="both"/>
        <w:rPr>
          <w:rFonts w:ascii="Times New Roman" w:hAnsi="Times New Roman" w:cs="Times New Roman"/>
          <w:noProof/>
        </w:rPr>
      </w:pPr>
      <w:r>
        <w:rPr>
          <w:rFonts w:ascii="Times New Roman" w:hAnsi="Times New Roman"/>
        </w:rPr>
        <w:t>32. Šis noteikums atbilst Eiropas cietumu noteikumu 103. noteikumam (Rec(2006)2-rev) un Eiropas Padomes Probācijas noteikumu 72.–75. noteikumam (CM/Rec(2010)1). Tas pastiprina 6. noteikumu, uzsverot, ka vissvarīgākā ir likumpārkāpēja līdzdalība un iesaistīšanās. Šā noteikuma mērķis ir nodrošināt, lai likumpārkāpēja viedoklis tiktu sadzirdēts, kā arī lai pārvaldības plāns, būdams sasniedzams no krimināltiesību perspektīvas, būtu sasniedzams arī attiecīgajai personai; tādējādi nodrošinot procesuālo taisnīgumu. Turklāt šā noteikuma mērķis ir mudināt sniegt nepārprotamus norādījumus pakalpojuma lietotāju atgriezeniskajai saitei, jautājumiem un sūdzībām.</w:t>
      </w:r>
    </w:p>
    <w:p w14:paraId="77BA4AE9" w14:textId="77777777" w:rsidR="00687285" w:rsidRPr="00687285" w:rsidRDefault="00687285" w:rsidP="00687285">
      <w:pPr>
        <w:pStyle w:val="BodyText"/>
        <w:tabs>
          <w:tab w:val="left" w:pos="1219"/>
        </w:tabs>
        <w:ind w:left="0"/>
        <w:jc w:val="both"/>
        <w:rPr>
          <w:rFonts w:ascii="Times New Roman" w:hAnsi="Times New Roman" w:cs="Times New Roman"/>
          <w:noProof/>
        </w:rPr>
      </w:pPr>
    </w:p>
    <w:p w14:paraId="40D8BB17" w14:textId="77777777" w:rsidR="00687285" w:rsidRPr="00687285" w:rsidRDefault="00687285" w:rsidP="00687285">
      <w:pPr>
        <w:pStyle w:val="BodyText"/>
        <w:tabs>
          <w:tab w:val="left" w:pos="1219"/>
        </w:tabs>
        <w:ind w:left="0"/>
        <w:jc w:val="both"/>
        <w:rPr>
          <w:rFonts w:ascii="Times New Roman" w:hAnsi="Times New Roman" w:cs="Times New Roman"/>
          <w:noProof/>
        </w:rPr>
      </w:pPr>
      <w:r>
        <w:rPr>
          <w:rFonts w:ascii="Times New Roman" w:hAnsi="Times New Roman"/>
        </w:rPr>
        <w:t>33. Personas virzībai caur krimināltiesību sistēmu ir jābūt plūstošai, racionālai un labi organizētai; vadībai un visaptverošam atbalstam jābūt skaidram un konsekventam. Tas ir īpaši svarīgi, ņemot vērā noteiktās problēmas, ar kurām saskaras tie, kas apsūdzēti vai notiesāti par noziedzīgu nodarījumu pret dzimumneaizskaramību (skat. 1. noteikumu). Skaidram un racionālam visaptverošam atbalstam ir nepieciešama iestāžu iekšējā un savstarpējā saziņa, iestāžu sadarbība un saskaņoti mērķi (skat. 19. noteikumu), kā arī skaidri noteikta procedūra, kas ir spēkā visā krimināltiesību sistēmas procesā, kas ir saistīts ar personas soda izpildes pasākumu plānu. Nepieciešamība pēc skaidra visaptveroša atbalsta ir būtiska pārejas punktos neatkarīgi no tā, vai pāreja notiek no viena dienesta uz citu (piemēram, policiju, ieslodzījuma vietu, uz probāciju) vai tā paša dienesta ietvaros (izmitināšanas vietas maiņa, probācijas darbinieka maiņa vai pārvietošana uz citu valsts daļu). Šādos pārmaiņu periodos ir ļoti būtiski pievērst uzmanību individuāli pielāgotu soda izpildes pasākumu plānu atjaunināšanai atbilstoši to mainīgajai videi. Dažos gadījumos, it īpaši saskaroties ar nepakļāvīgām personām, viņu pārvietošana no ieslodzījuma uz probāciju un atpakaļ var notikt vairākkārt. Ja visaptverošs atbalsts personai netiek pienācīgi pārvaldīts, tas var izraisīt sociālās uzvedības korekcijas un/vai sociālās rehabilitācijas pasākumu kavēšanos, pārtraukumus, kā arī sliktu attiecību izveidošanos starp personu un sistēmu; un tas viss var ietekmēt rehabilitāciju.</w:t>
      </w:r>
    </w:p>
    <w:p w14:paraId="558E314E" w14:textId="77777777" w:rsidR="00687285" w:rsidRPr="00687285" w:rsidRDefault="00687285" w:rsidP="00687285">
      <w:pPr>
        <w:pStyle w:val="BodyText"/>
        <w:ind w:left="0"/>
        <w:jc w:val="both"/>
        <w:rPr>
          <w:rFonts w:ascii="Times New Roman" w:hAnsi="Times New Roman" w:cs="Times New Roman"/>
          <w:noProof/>
        </w:rPr>
      </w:pPr>
    </w:p>
    <w:p w14:paraId="4B064FE8" w14:textId="77777777" w:rsidR="00687285" w:rsidRPr="00687285" w:rsidRDefault="00687285" w:rsidP="00687285">
      <w:pPr>
        <w:pStyle w:val="BodyText"/>
        <w:ind w:left="0"/>
        <w:jc w:val="both"/>
        <w:rPr>
          <w:rFonts w:ascii="Times New Roman" w:hAnsi="Times New Roman" w:cs="Times New Roman"/>
          <w:noProof/>
        </w:rPr>
      </w:pPr>
      <w:r>
        <w:rPr>
          <w:rFonts w:ascii="Times New Roman" w:hAnsi="Times New Roman"/>
        </w:rPr>
        <w:t>8. noteikums</w:t>
      </w:r>
    </w:p>
    <w:p w14:paraId="4C345790" w14:textId="77777777" w:rsidR="00687285" w:rsidRPr="00687285" w:rsidRDefault="00687285" w:rsidP="00687285">
      <w:pPr>
        <w:pStyle w:val="BodyText"/>
        <w:tabs>
          <w:tab w:val="left" w:pos="1219"/>
        </w:tabs>
        <w:ind w:left="0"/>
        <w:jc w:val="both"/>
        <w:rPr>
          <w:rFonts w:ascii="Times New Roman" w:hAnsi="Times New Roman" w:cs="Times New Roman"/>
          <w:noProof/>
        </w:rPr>
      </w:pPr>
    </w:p>
    <w:p w14:paraId="0F1018D1" w14:textId="77777777" w:rsidR="00687285" w:rsidRPr="00687285" w:rsidRDefault="00687285" w:rsidP="00687285">
      <w:pPr>
        <w:pStyle w:val="BodyText"/>
        <w:tabs>
          <w:tab w:val="left" w:pos="1219"/>
        </w:tabs>
        <w:ind w:left="0"/>
        <w:jc w:val="both"/>
        <w:rPr>
          <w:rFonts w:ascii="Times New Roman" w:hAnsi="Times New Roman" w:cs="Times New Roman"/>
          <w:noProof/>
        </w:rPr>
      </w:pPr>
      <w:r>
        <w:rPr>
          <w:rFonts w:ascii="Times New Roman" w:hAnsi="Times New Roman"/>
        </w:rPr>
        <w:t>34. Šis noteikums pastiprina 3. un 5. noteikumu, uzsverot, ka personas, kas apsūdzēta vai notiesāta par noziedzīgu nodarījumu pret dzimumneaizskaramību, novērtēšanai, pārvaldībai un integrācijai ir nepieciešama efektīva iestāžu sadarbība. Iestādes, kas ir atbildīgas par to personu pārvaldību, kas apsūdzētas vai notiesātas par noziedzīgu nodarījumu pret dzimumneaizskaramību, laika gaitā var mainīties, un tās var ietvert policiju, ieslodzījuma vietu pārvaldi, probācijas dienestu vai attiecīgā gadījumā atjaunojošās justīcijas iestādes (plašāku informāciju skat. Ieteikumā CM/Rec(2018)8 par atjaunojošo justīciju krimināllietās, kā arī 33. noteikumā). Ja ir vienošanās par apmainīšanos ar datiem, ir svarīgi, ka tā ir balstīta detalizētā politikā, lai nodrošinātu tiesības uz datu aizsardzību un nodrošinātu informācijas drošību attiecībā uz personām, kas apsūdzētas vai notiesātas par noziedzīgu nodarījumu pret dzimumneaizskaramību. Svarīgi, lai datu apmaiņa notiktu, pilnībā ievērojot konfidencialitāti, un atbilstu plašākām datu aizsardzības prasībām, kas paredzētas Eiropas Padomes Konvencijā par personu aizsardzību attiecībā uz personas datu automātisko apstrādi ELS Nr. 108, kas grozīta ar tās Protokolu EPLS Nr. 223 (modernizētā Konvencija Nr. 108), kā arī Ieteikumā Nr. R(87)15, kas nosaka personas datu izmantošanu policijas vajadzībām, un tā paskaidrojuma rakstā, un jo īpaši Praktiskajā rokasgrāmatā personas datu izmantošanai policijas vajadzībām (dokuments T-PD(2018)01).</w:t>
      </w:r>
    </w:p>
    <w:p w14:paraId="7794B3CF" w14:textId="77777777" w:rsidR="00687285" w:rsidRPr="00687285" w:rsidRDefault="00687285" w:rsidP="00687285">
      <w:pPr>
        <w:pStyle w:val="BodyText"/>
        <w:tabs>
          <w:tab w:val="left" w:pos="1248"/>
        </w:tabs>
        <w:ind w:left="0"/>
        <w:jc w:val="both"/>
        <w:rPr>
          <w:rFonts w:ascii="Times New Roman" w:hAnsi="Times New Roman" w:cs="Times New Roman"/>
          <w:noProof/>
        </w:rPr>
      </w:pPr>
    </w:p>
    <w:p w14:paraId="1EC2FAA5" w14:textId="77777777" w:rsidR="00687285" w:rsidRPr="00687285" w:rsidRDefault="00687285" w:rsidP="00020AD3">
      <w:pPr>
        <w:pStyle w:val="BodyText"/>
        <w:keepNext/>
        <w:keepLines/>
        <w:tabs>
          <w:tab w:val="left" w:pos="1248"/>
        </w:tabs>
        <w:ind w:left="0"/>
        <w:jc w:val="both"/>
        <w:rPr>
          <w:rFonts w:ascii="Times New Roman" w:hAnsi="Times New Roman" w:cs="Times New Roman"/>
          <w:noProof/>
        </w:rPr>
      </w:pPr>
      <w:r>
        <w:rPr>
          <w:rFonts w:ascii="Times New Roman" w:hAnsi="Times New Roman"/>
        </w:rPr>
        <w:lastRenderedPageBreak/>
        <w:t>35. Iestāžu sadarbībā jāpatur prātā, kā iestādes mijiedarbojas ar plašāku sabiedrību, kad tās izpauž informāciju un apmainās ar to, lai nodrošinātu, ka sabiedrības aizsardzība un personas tiesību aizsardzība vienmēr tiek ievērota līdzsvaroti. Informācijas apmaiņā vienmēr tiek ņemtas vērā personas tiesības uz privāto un ģimenes dzīvi, kas aizsargātas saskaņā ar ECTK 8. pantu un modernizēto Konvenciju Nr. 108.</w:t>
      </w:r>
    </w:p>
    <w:p w14:paraId="39165BE4" w14:textId="77777777" w:rsidR="00687285" w:rsidRPr="00687285" w:rsidRDefault="00687285" w:rsidP="00687285">
      <w:pPr>
        <w:pStyle w:val="BodyText"/>
        <w:ind w:left="0"/>
        <w:jc w:val="both"/>
        <w:rPr>
          <w:rFonts w:ascii="Times New Roman" w:hAnsi="Times New Roman" w:cs="Times New Roman"/>
          <w:noProof/>
        </w:rPr>
      </w:pPr>
    </w:p>
    <w:p w14:paraId="29D00C67" w14:textId="77777777" w:rsidR="00687285" w:rsidRPr="00687285" w:rsidRDefault="00687285" w:rsidP="00687285">
      <w:pPr>
        <w:pStyle w:val="BodyText"/>
        <w:ind w:left="0"/>
        <w:jc w:val="both"/>
        <w:rPr>
          <w:rFonts w:ascii="Times New Roman" w:hAnsi="Times New Roman" w:cs="Times New Roman"/>
          <w:noProof/>
        </w:rPr>
      </w:pPr>
      <w:r>
        <w:rPr>
          <w:rFonts w:ascii="Times New Roman" w:hAnsi="Times New Roman"/>
        </w:rPr>
        <w:t>9. noteikums</w:t>
      </w:r>
    </w:p>
    <w:p w14:paraId="2D788557" w14:textId="77777777" w:rsidR="00687285" w:rsidRPr="00687285" w:rsidRDefault="00687285" w:rsidP="00687285">
      <w:pPr>
        <w:pStyle w:val="BodyText"/>
        <w:tabs>
          <w:tab w:val="left" w:pos="1219"/>
        </w:tabs>
        <w:ind w:left="0"/>
        <w:jc w:val="both"/>
        <w:rPr>
          <w:rFonts w:ascii="Times New Roman" w:hAnsi="Times New Roman" w:cs="Times New Roman"/>
          <w:noProof/>
        </w:rPr>
      </w:pPr>
    </w:p>
    <w:p w14:paraId="03A01DBF" w14:textId="77777777" w:rsidR="00687285" w:rsidRPr="00687285" w:rsidRDefault="00687285" w:rsidP="00687285">
      <w:pPr>
        <w:pStyle w:val="BodyText"/>
        <w:tabs>
          <w:tab w:val="left" w:pos="1219"/>
        </w:tabs>
        <w:ind w:left="0"/>
        <w:jc w:val="both"/>
        <w:rPr>
          <w:rFonts w:ascii="Times New Roman" w:hAnsi="Times New Roman" w:cs="Times New Roman"/>
          <w:noProof/>
        </w:rPr>
      </w:pPr>
      <w:r>
        <w:rPr>
          <w:rFonts w:ascii="Times New Roman" w:hAnsi="Times New Roman"/>
        </w:rPr>
        <w:t>36. Šis noteikums nosaka, ka personām, kas ir probācijas uzraudzībā, jābūt soda izpildes pasākumu plānam ar skaidru nosacījumu pāriešanai no viena dienesta uz citu (t. i., no ieslodzījuma uz probāciju un otrādi). Šajā noteikumā uzsvērta visaptveroša atbalsta un dažādu iestāžu sadarbības, komunikācijas, kopīgu procesu, kopīgas valodas un kopīga redzējuma nozīme likumpārkāpēju pārvaldībā. Efektīvam pārejas plānam ir nepieciešama visas attiecīgās informācijas apmaiņa starp ieslodzījuma vietu, probācijas, policijas, veselības aprūpes un citām iestādēm saskaņā ar datu aizsardzības noteikumiem. Uzturēt aprūpes nepārtrauktību nozīmē arī to, ka, kad tas ir iespējams, sociālās uzvedības korekcijas un/vai sociālās rehabilitācijas pasākumos jāiesaista vieni un tie paši speciālisti, ja tas ir izdarāms un ja tas ir lietderīgi.</w:t>
      </w:r>
    </w:p>
    <w:p w14:paraId="30A1D246" w14:textId="77777777" w:rsidR="00687285" w:rsidRPr="00687285" w:rsidRDefault="00687285" w:rsidP="00687285">
      <w:pPr>
        <w:jc w:val="both"/>
        <w:rPr>
          <w:rFonts w:ascii="Times New Roman" w:hAnsi="Times New Roman" w:cs="Times New Roman"/>
          <w:noProof/>
          <w:sz w:val="24"/>
          <w:szCs w:val="24"/>
        </w:rPr>
      </w:pPr>
    </w:p>
    <w:p w14:paraId="4B0C8F83" w14:textId="77777777" w:rsidR="00687285" w:rsidRPr="00687285" w:rsidRDefault="00687285" w:rsidP="00687285">
      <w:pPr>
        <w:pStyle w:val="BodyText"/>
        <w:tabs>
          <w:tab w:val="left" w:pos="1219"/>
        </w:tabs>
        <w:ind w:left="0"/>
        <w:jc w:val="both"/>
        <w:rPr>
          <w:rFonts w:ascii="Times New Roman" w:hAnsi="Times New Roman" w:cs="Times New Roman"/>
          <w:noProof/>
        </w:rPr>
      </w:pPr>
      <w:r>
        <w:rPr>
          <w:rFonts w:ascii="Times New Roman" w:hAnsi="Times New Roman"/>
        </w:rPr>
        <w:t>37. Šis noteikums ir lasāms kopā ar 7. noteikumu, kurā galvenā uzmanība ir pievērsta tam, lai nodrošinātu personas soda izpildes pasākumu plāna nepārtrauktību starp pakalpojumu sniedzējiem katrā kriminālprocesa posmā, un kopā ar 8. noteikumu, kas nosaka, ka iestādēm, kuras pārvalda personas, kas apsūdzētas vai notiesātas par noziedzīgu nodarījumu pret dzimumneaizskaramību, attiecīgos gadījumos cieši jāsadarbojas ar vietējiem dienestiem un kopienām. Tas var būt galvenais instruments efektīvas pārejas un klienta lietas vadības nodrošināšanā. Galu galā notiks pāreja uz vietējo kopienu, tāpēc tās iesaistīšanās jau sākuma posmā maksimāli palielina iespēju, ka minētas personas ilgtermiņā atturēsies no noziegumu izdarīšanas. Par soda izpildes pasākumu plāniem ir jāinformē vietējie dienesti, kas personai ir pieejami pēc atbrīvošanas, lai tos varētu piedāvāt vai īstenot tur, kur ir piekļuve visatbilstošākajiem iejaukšanās pasākumiem, lai palīdzētu īstenot efektīvu riska vadību. Turklāt, ja personas nevar piekļūt soda izpildes pasākumiem vai ja tie nav pieejami vietā, kur personas atrodas, tad tām nedrīkst šos pasākumus ieteikt kā nosacījumu atbrīvošanai, ja tās nevar šiem pasākumiem piekļūt vai tie nav pieejami to atrašanās vietā, jo neierašanās uz šiem pasākumiem var tikt vērtēta kā atbrīvošanas nosacījumu pārkāpums. Turklāt prasības veikt lielus attālumus, lai piedalītos iejaukšanās pasākumos, var nelabvēlīgi ietekmēt personas integrāciju tās kopienā, kā arī, iespējams, radīt finansiālas grūtības.</w:t>
      </w:r>
    </w:p>
    <w:p w14:paraId="3BEA6464" w14:textId="77777777" w:rsidR="00687285" w:rsidRPr="00687285" w:rsidRDefault="00687285" w:rsidP="00687285">
      <w:pPr>
        <w:pStyle w:val="BodyText"/>
        <w:tabs>
          <w:tab w:val="left" w:pos="1219"/>
        </w:tabs>
        <w:ind w:left="0"/>
        <w:jc w:val="both"/>
        <w:rPr>
          <w:rFonts w:ascii="Times New Roman" w:hAnsi="Times New Roman" w:cs="Times New Roman"/>
          <w:noProof/>
        </w:rPr>
      </w:pPr>
    </w:p>
    <w:p w14:paraId="2A1A14F7" w14:textId="77777777" w:rsidR="00687285" w:rsidRPr="00687285" w:rsidRDefault="00687285" w:rsidP="00687285">
      <w:pPr>
        <w:pStyle w:val="BodyText"/>
        <w:tabs>
          <w:tab w:val="left" w:pos="1219"/>
        </w:tabs>
        <w:ind w:left="0"/>
        <w:jc w:val="both"/>
        <w:rPr>
          <w:rFonts w:ascii="Times New Roman" w:hAnsi="Times New Roman" w:cs="Times New Roman"/>
          <w:noProof/>
        </w:rPr>
      </w:pPr>
      <w:r>
        <w:rPr>
          <w:rFonts w:ascii="Times New Roman" w:hAnsi="Times New Roman"/>
        </w:rPr>
        <w:t>38. Kā minēts 7. noteikumā, soda izpildes pasākumu plāna pamatā ir jābūt individuālam riska novērtējumam. Visos riska vadības plānos galvenā uzmanība jāpievērš risku izvērtēšanai, sabiedrības aizsardzībai un iestāžu sadarbības vajadzībām. Efektīvai iestāžu sadarbībai nav nepieciešama visas informācijas apmaiņa, bet gan visas tās būtiskās informācijas apmaiņa, kas ir par konkrēto personu, lai speciālisti varētu pieņemt informētus lēmumus par minēto personu pārvaldību sabiedrībā.</w:t>
      </w:r>
    </w:p>
    <w:p w14:paraId="45A309E4" w14:textId="77777777" w:rsidR="00687285" w:rsidRPr="00687285" w:rsidRDefault="00687285" w:rsidP="00687285">
      <w:pPr>
        <w:pStyle w:val="BodyText"/>
        <w:tabs>
          <w:tab w:val="left" w:pos="1219"/>
        </w:tabs>
        <w:ind w:left="0"/>
        <w:jc w:val="both"/>
        <w:rPr>
          <w:rFonts w:ascii="Times New Roman" w:hAnsi="Times New Roman" w:cs="Times New Roman"/>
          <w:noProof/>
        </w:rPr>
      </w:pPr>
    </w:p>
    <w:p w14:paraId="1ABF5895" w14:textId="77777777" w:rsidR="00687285" w:rsidRPr="00687285" w:rsidRDefault="00687285" w:rsidP="00687285">
      <w:pPr>
        <w:pStyle w:val="BodyText"/>
        <w:tabs>
          <w:tab w:val="left" w:pos="1219"/>
        </w:tabs>
        <w:ind w:left="0"/>
        <w:jc w:val="both"/>
        <w:rPr>
          <w:rFonts w:ascii="Times New Roman" w:hAnsi="Times New Roman" w:cs="Times New Roman"/>
          <w:noProof/>
        </w:rPr>
      </w:pPr>
      <w:r>
        <w:rPr>
          <w:rFonts w:ascii="Times New Roman" w:hAnsi="Times New Roman"/>
        </w:rPr>
        <w:t xml:space="preserve">39. Probācijas riska vadības plāna izstrādē jāiekļauj: 1) personas risku, vajadzību un resursu pastāvīga novērtēšana; 2) tādu sociālās uzvedības korekcijas un/vai sociālās rehabilitācijas pasākumu noteikšana, kas atbilst personas vajadzībām; 3) kompetentu un atbildīgu darbinieku identificēšana un iesaistīšana jau agrīnā stadijā; 4) sociālās uzvedības korekcijas un/vai sociālās rehabilitācijas pasākumu plāna koordinēšana iesaistītajā probācijas dienestā; 5) attiecīgās politikas pastāvīga ievērošana, tostarp saistībā ar reģistrāciju, informācijas </w:t>
      </w:r>
      <w:r>
        <w:rPr>
          <w:rFonts w:ascii="Times New Roman" w:hAnsi="Times New Roman"/>
        </w:rPr>
        <w:lastRenderedPageBreak/>
        <w:t>atklāšanu, izmitināšanu, nodarbinātību un piekļuvi internetam, un 6) cietušo vērā ņemšanas un viņu aizsardzības nodrošināšana. Šajā noteikumā uzsvars likts uz to, ka neviena iestāde nepārtrauc strādāt ar personas lietu, pirms nav to nav pārņēmusi cita iestāde, tādējādi nodrošinot, ka visā soda izpildes laikā tiek sniegta atbilstoša līmeņa uzraudzība un palīdzība.</w:t>
      </w:r>
    </w:p>
    <w:p w14:paraId="39B5FD0F" w14:textId="77777777" w:rsidR="00687285" w:rsidRPr="00687285" w:rsidRDefault="00687285" w:rsidP="00687285">
      <w:pPr>
        <w:jc w:val="both"/>
        <w:rPr>
          <w:rFonts w:ascii="Times New Roman" w:eastAsia="Arial" w:hAnsi="Times New Roman" w:cs="Times New Roman"/>
          <w:noProof/>
          <w:sz w:val="24"/>
          <w:szCs w:val="24"/>
        </w:rPr>
      </w:pPr>
    </w:p>
    <w:p w14:paraId="15B9F361" w14:textId="77777777" w:rsidR="00687285" w:rsidRPr="00687285" w:rsidRDefault="00687285" w:rsidP="00687285">
      <w:pPr>
        <w:pStyle w:val="BodyText"/>
        <w:ind w:left="0"/>
        <w:jc w:val="both"/>
        <w:rPr>
          <w:rFonts w:ascii="Times New Roman" w:hAnsi="Times New Roman" w:cs="Times New Roman"/>
          <w:noProof/>
        </w:rPr>
      </w:pPr>
      <w:r>
        <w:rPr>
          <w:rFonts w:ascii="Times New Roman" w:hAnsi="Times New Roman"/>
        </w:rPr>
        <w:t>10. noteikums</w:t>
      </w:r>
    </w:p>
    <w:p w14:paraId="19BA9C4B" w14:textId="77777777" w:rsidR="00687285" w:rsidRPr="00687285" w:rsidRDefault="00687285" w:rsidP="00687285">
      <w:pPr>
        <w:pStyle w:val="BodyText"/>
        <w:tabs>
          <w:tab w:val="left" w:pos="1219"/>
        </w:tabs>
        <w:ind w:left="0"/>
        <w:jc w:val="both"/>
        <w:rPr>
          <w:rFonts w:ascii="Times New Roman" w:hAnsi="Times New Roman" w:cs="Times New Roman"/>
          <w:noProof/>
        </w:rPr>
      </w:pPr>
    </w:p>
    <w:p w14:paraId="270AAABC" w14:textId="77777777" w:rsidR="00687285" w:rsidRPr="00687285" w:rsidRDefault="00687285" w:rsidP="00687285">
      <w:pPr>
        <w:pStyle w:val="BodyText"/>
        <w:tabs>
          <w:tab w:val="left" w:pos="1219"/>
        </w:tabs>
        <w:ind w:left="0"/>
        <w:jc w:val="both"/>
        <w:rPr>
          <w:rFonts w:ascii="Times New Roman" w:hAnsi="Times New Roman" w:cs="Times New Roman"/>
          <w:noProof/>
        </w:rPr>
      </w:pPr>
      <w:r>
        <w:rPr>
          <w:rFonts w:ascii="Times New Roman" w:hAnsi="Times New Roman"/>
        </w:rPr>
        <w:t>40. Šajā noteikumā atzīts, ka saziņai un informācijas apmaiņai starptautiskajā un transnacionālajā sadarbībā starp policiju, izmeklēšanas un citām tiesībsargājošajām iestādēm un robežkontroles dienestiem vienmēr ir jābūt efektīvai, un tai jānotiek vai nu tieši, vai ar trešo pušu (t. i., Interpola, Eiropola) starpniecību, kuras laikā tiek garantēts atbilstīgs personas datu aizsardzības līmenis, kā noteikts modernizētās Konvencijas Nr. 108 14. pantā. Tomēr tas nedrīkst būt pretrunā ar 1. noteikumā ietverto principu, jo, kad personas ir izcietušas sodu un uz tām neattiecas papildsoda prasības, šo informāciju nedrīkst nodot tālāk, izņemot gadījumus, kad ir ieviesti būtiski un atbilstīgi aizsardzības pasākumi, lai veicinātu sabiedrības aizsardzību un viktimizācijas novēršanu. Šā noteikuma mērķis ir veicināt sabiedrības aizsardzību, attiecīgo personu aizsardzību un viņu tiesību aizsardzību, nevis personu sodīt vēl vairāk.</w:t>
      </w:r>
    </w:p>
    <w:p w14:paraId="5F44BEB1" w14:textId="77777777" w:rsidR="00687285" w:rsidRPr="00687285" w:rsidRDefault="00687285" w:rsidP="00687285">
      <w:pPr>
        <w:pStyle w:val="BodyText"/>
        <w:tabs>
          <w:tab w:val="left" w:pos="1219"/>
        </w:tabs>
        <w:ind w:left="0"/>
        <w:jc w:val="both"/>
        <w:rPr>
          <w:rFonts w:ascii="Times New Roman" w:hAnsi="Times New Roman" w:cs="Times New Roman"/>
          <w:noProof/>
        </w:rPr>
      </w:pPr>
    </w:p>
    <w:p w14:paraId="6B5488AE" w14:textId="77777777" w:rsidR="00687285" w:rsidRPr="00687285" w:rsidRDefault="00687285" w:rsidP="00687285">
      <w:pPr>
        <w:pStyle w:val="Heading2"/>
        <w:tabs>
          <w:tab w:val="left" w:pos="1189"/>
        </w:tabs>
        <w:spacing w:before="0"/>
        <w:ind w:left="0"/>
        <w:jc w:val="both"/>
        <w:rPr>
          <w:rFonts w:ascii="Times New Roman" w:hAnsi="Times New Roman" w:cs="Times New Roman"/>
          <w:noProof/>
          <w:sz w:val="24"/>
          <w:szCs w:val="24"/>
        </w:rPr>
      </w:pPr>
      <w:r>
        <w:rPr>
          <w:rFonts w:ascii="Times New Roman" w:hAnsi="Times New Roman"/>
          <w:sz w:val="24"/>
        </w:rPr>
        <w:t>III. RISKA UN VAJADZĪBU NOVĒRTĒJUMS</w:t>
      </w:r>
    </w:p>
    <w:p w14:paraId="250C6922" w14:textId="77777777" w:rsidR="00687285" w:rsidRPr="00687285" w:rsidRDefault="00687285" w:rsidP="00687285">
      <w:pPr>
        <w:jc w:val="both"/>
        <w:rPr>
          <w:rFonts w:ascii="Times New Roman" w:hAnsi="Times New Roman" w:cs="Times New Roman"/>
          <w:noProof/>
          <w:sz w:val="24"/>
          <w:szCs w:val="24"/>
        </w:rPr>
      </w:pPr>
    </w:p>
    <w:p w14:paraId="682A02CF" w14:textId="77777777" w:rsidR="00687285" w:rsidRPr="00687285" w:rsidRDefault="00687285" w:rsidP="00687285">
      <w:pPr>
        <w:pStyle w:val="BodyText"/>
        <w:tabs>
          <w:tab w:val="left" w:pos="1248"/>
        </w:tabs>
        <w:ind w:left="0"/>
        <w:jc w:val="both"/>
        <w:rPr>
          <w:rFonts w:ascii="Times New Roman" w:hAnsi="Times New Roman" w:cs="Times New Roman"/>
          <w:noProof/>
        </w:rPr>
      </w:pPr>
      <w:r>
        <w:rPr>
          <w:rFonts w:ascii="Times New Roman" w:hAnsi="Times New Roman"/>
        </w:rPr>
        <w:t>41. Riska novērtējumā tiek identificēti personas riska un vajadzību faktori, kā arī resursi un stiprās puses. Resursi un stiprās puses ir aizsardzības faktori, kas kopā ar piedāvātajiem iejaukšanās pasākumiem veicina pozitīvu personas attīstību un tam sekojošu riska un vajadzību faktoru samazināšanos.</w:t>
      </w:r>
    </w:p>
    <w:p w14:paraId="2EBAA7A7" w14:textId="77777777" w:rsidR="00687285" w:rsidRPr="00687285" w:rsidRDefault="00687285" w:rsidP="00687285">
      <w:pPr>
        <w:pStyle w:val="BodyText"/>
        <w:tabs>
          <w:tab w:val="left" w:pos="1219"/>
        </w:tabs>
        <w:ind w:left="0"/>
        <w:jc w:val="both"/>
        <w:rPr>
          <w:rFonts w:ascii="Times New Roman" w:hAnsi="Times New Roman" w:cs="Times New Roman"/>
          <w:noProof/>
        </w:rPr>
      </w:pPr>
    </w:p>
    <w:p w14:paraId="49BE6D16" w14:textId="77777777" w:rsidR="00687285" w:rsidRPr="00687285" w:rsidRDefault="00687285" w:rsidP="00687285">
      <w:pPr>
        <w:pStyle w:val="BodyText"/>
        <w:tabs>
          <w:tab w:val="left" w:pos="1219"/>
        </w:tabs>
        <w:ind w:left="0"/>
        <w:jc w:val="both"/>
        <w:rPr>
          <w:rFonts w:ascii="Times New Roman" w:hAnsi="Times New Roman" w:cs="Times New Roman"/>
          <w:noProof/>
        </w:rPr>
      </w:pPr>
      <w:r>
        <w:rPr>
          <w:rFonts w:ascii="Times New Roman" w:hAnsi="Times New Roman"/>
        </w:rPr>
        <w:t>42. Nosakot riska vadības pasākumus, ir ieteicams izmantot regulētus riska novērtēšanas rīkus, un tie var arī palīdzēt sniegt informāciju notiesāšanai, soda izpildes pasākumu plānošanai un atbilstošiem iejaukšanās pasākumiem, lai samazinātu atkārtota noziedzīga nodarījuma izdarīšanas iespējamību. Riska novērtēšanā un pārvaldībā vienmēr jāņem vērā atsevišķa gadījuma apstākļi, kas ietver nozieguma smaguma un veiktās terapijas novērtējumu. “Personas, kas apsūdzētas vai notiesātas par noziedzīgu nodarījumu pret dzimumneaizskaramību” ir plaša klasifikācija, un šajā kategorijā iekļautajām personām ir dažādas iezīmes, kas jāņem vērā, tostarp: konkrētas personiskās īpašības un sodāmas rīcības iemesli, kā arī vispārīgi riska faktori (piemēram, sodāmība, izglītība un nodarbinātība vai problemātiska narkotisko vielu lietošana) un īpaši riska faktori (piemēram, pārmērīga aizraušanās ar seksuālām fantāzijām vai garīgi traucējumi, kas saistīti ar noziedzīgu nodarījumu pret dzimumneaizskaramību izdarīšanu).</w:t>
      </w:r>
    </w:p>
    <w:p w14:paraId="296BC068" w14:textId="77777777" w:rsidR="00687285" w:rsidRPr="00687285" w:rsidRDefault="00687285" w:rsidP="00687285">
      <w:pPr>
        <w:jc w:val="both"/>
        <w:rPr>
          <w:rFonts w:ascii="Times New Roman" w:eastAsia="Arial" w:hAnsi="Times New Roman" w:cs="Times New Roman"/>
          <w:noProof/>
          <w:sz w:val="24"/>
          <w:szCs w:val="24"/>
        </w:rPr>
      </w:pPr>
    </w:p>
    <w:p w14:paraId="25C12056" w14:textId="77777777" w:rsidR="00687285" w:rsidRPr="00687285" w:rsidRDefault="00687285" w:rsidP="00687285">
      <w:pPr>
        <w:tabs>
          <w:tab w:val="left" w:pos="1119"/>
        </w:tabs>
        <w:jc w:val="both"/>
        <w:rPr>
          <w:rFonts w:ascii="Times New Roman" w:hAnsi="Times New Roman" w:cs="Times New Roman"/>
          <w:noProof/>
          <w:sz w:val="24"/>
          <w:szCs w:val="24"/>
        </w:rPr>
      </w:pPr>
      <w:r>
        <w:rPr>
          <w:rFonts w:ascii="Times New Roman" w:hAnsi="Times New Roman"/>
          <w:sz w:val="24"/>
        </w:rPr>
        <w:t>43. Riska novērtējumam jābūt galvenajai klienta lietas vadības sastāvdaļai ieslodzījuma vietā un probācijā, un to jāveic sagatavotam personālam.</w:t>
      </w:r>
    </w:p>
    <w:p w14:paraId="7D0252D0" w14:textId="77777777" w:rsidR="00687285" w:rsidRPr="00687285" w:rsidRDefault="00687285" w:rsidP="00687285">
      <w:pPr>
        <w:tabs>
          <w:tab w:val="left" w:pos="1104"/>
        </w:tabs>
        <w:jc w:val="both"/>
        <w:rPr>
          <w:rFonts w:ascii="Times New Roman" w:hAnsi="Times New Roman" w:cs="Times New Roman"/>
          <w:noProof/>
          <w:sz w:val="24"/>
          <w:szCs w:val="24"/>
        </w:rPr>
      </w:pPr>
    </w:p>
    <w:p w14:paraId="5D2FF204" w14:textId="77777777" w:rsidR="00687285" w:rsidRPr="00687285" w:rsidRDefault="00687285" w:rsidP="00687285">
      <w:pPr>
        <w:tabs>
          <w:tab w:val="left" w:pos="1104"/>
        </w:tabs>
        <w:jc w:val="both"/>
        <w:rPr>
          <w:rFonts w:ascii="Times New Roman" w:hAnsi="Times New Roman" w:cs="Times New Roman"/>
          <w:noProof/>
          <w:sz w:val="24"/>
          <w:szCs w:val="24"/>
        </w:rPr>
      </w:pPr>
      <w:r>
        <w:rPr>
          <w:rFonts w:ascii="Times New Roman" w:hAnsi="Times New Roman"/>
          <w:sz w:val="24"/>
        </w:rPr>
        <w:t>44. Riska izvērtēšanai var radīt iespaidu, ka personas vienmēr būs pakļautas riskam izdarīt citu noziedzīgu nodarījumu pret dzimumneaizskaramību un ka šāds risks nemainās. Tomēr pētījumi un profesionālā prakse liecina, ka tas tā nav un ka risks drīzāk ir dinamisks un individualizēts, kas nozīmē, ka personas risks izdarīt atkārtotu noziedzīgu nodarījumu laika gaitā var mainīties un pat samazināties, it īpaši, ja persona tiek labi motivēta un pārvaldīta un ja tiek nodrošināti atbilstoši iejaukšanās pasākumi.</w:t>
      </w:r>
    </w:p>
    <w:p w14:paraId="1364786B" w14:textId="77777777" w:rsidR="00687285" w:rsidRPr="00687285" w:rsidRDefault="00687285" w:rsidP="00687285">
      <w:pPr>
        <w:pStyle w:val="BodyText"/>
        <w:ind w:left="0"/>
        <w:jc w:val="both"/>
        <w:rPr>
          <w:rFonts w:ascii="Times New Roman" w:hAnsi="Times New Roman" w:cs="Times New Roman"/>
          <w:noProof/>
        </w:rPr>
      </w:pPr>
    </w:p>
    <w:p w14:paraId="106C691B" w14:textId="77777777" w:rsidR="00687285" w:rsidRPr="00687285" w:rsidRDefault="00687285" w:rsidP="00020AD3">
      <w:pPr>
        <w:pStyle w:val="BodyText"/>
        <w:keepNext/>
        <w:keepLines/>
        <w:ind w:left="0"/>
        <w:jc w:val="both"/>
        <w:rPr>
          <w:rFonts w:ascii="Times New Roman" w:hAnsi="Times New Roman" w:cs="Times New Roman"/>
          <w:noProof/>
        </w:rPr>
      </w:pPr>
      <w:r>
        <w:rPr>
          <w:rFonts w:ascii="Times New Roman" w:hAnsi="Times New Roman"/>
        </w:rPr>
        <w:lastRenderedPageBreak/>
        <w:t>11. noteikums</w:t>
      </w:r>
    </w:p>
    <w:p w14:paraId="2A08E82F" w14:textId="77777777" w:rsidR="00687285" w:rsidRPr="00687285" w:rsidRDefault="00687285" w:rsidP="00020AD3">
      <w:pPr>
        <w:pStyle w:val="BodyText"/>
        <w:keepNext/>
        <w:keepLines/>
        <w:tabs>
          <w:tab w:val="left" w:pos="1219"/>
        </w:tabs>
        <w:ind w:left="0"/>
        <w:jc w:val="both"/>
        <w:rPr>
          <w:rFonts w:ascii="Times New Roman" w:hAnsi="Times New Roman" w:cs="Times New Roman"/>
          <w:noProof/>
        </w:rPr>
      </w:pPr>
    </w:p>
    <w:p w14:paraId="32C00F78" w14:textId="77777777" w:rsidR="00687285" w:rsidRPr="00687285" w:rsidRDefault="00687285" w:rsidP="00020AD3">
      <w:pPr>
        <w:pStyle w:val="BodyText"/>
        <w:keepNext/>
        <w:keepLines/>
        <w:tabs>
          <w:tab w:val="left" w:pos="1219"/>
        </w:tabs>
        <w:ind w:left="0"/>
        <w:jc w:val="both"/>
        <w:rPr>
          <w:rFonts w:ascii="Times New Roman" w:hAnsi="Times New Roman" w:cs="Times New Roman"/>
          <w:noProof/>
        </w:rPr>
      </w:pPr>
      <w:r>
        <w:rPr>
          <w:rFonts w:ascii="Times New Roman" w:hAnsi="Times New Roman"/>
        </w:rPr>
        <w:t>45. Šajā noteikumā uzsvērta nepieciešamība pēc plānotas un uz pierādījumiem balstītas riska novērtēšanas procedūras, kas var ietvert tiesu psihiatrisko, psiholoģisko vai sociālo ekspertīzi, lai palīdzētu pieņemt lēmumus, kuri saistīti ar drošības līdzekli vai soda veidu, kas piemērojams personai, kura notiesāta par noziedzīgu nodarījumu pret dzimumneaizskaramību. Mērķis ir izveidot soda izpildes un iejaukšanās pasākumu plānu, kas ļautu personām, kas notiesātas par noziedzīgiem nodarījumiem pret dzimumneaizskaramību un kam piemērots gan ilgāks, gan īsāks soda termiņš, gūt labumu no rehabilitācijas, kas atbilst viņu vajadzībām.</w:t>
      </w:r>
    </w:p>
    <w:p w14:paraId="0D1E3182" w14:textId="77777777" w:rsidR="00687285" w:rsidRPr="00687285" w:rsidRDefault="00687285" w:rsidP="00687285">
      <w:pPr>
        <w:pStyle w:val="BodyText"/>
        <w:tabs>
          <w:tab w:val="left" w:pos="1219"/>
        </w:tabs>
        <w:ind w:left="0"/>
        <w:jc w:val="both"/>
        <w:rPr>
          <w:rFonts w:ascii="Times New Roman" w:hAnsi="Times New Roman" w:cs="Times New Roman"/>
          <w:noProof/>
        </w:rPr>
      </w:pPr>
    </w:p>
    <w:p w14:paraId="5A5E0392" w14:textId="77777777" w:rsidR="00687285" w:rsidRPr="00687285" w:rsidRDefault="00687285" w:rsidP="00687285">
      <w:pPr>
        <w:pStyle w:val="BodyText"/>
        <w:tabs>
          <w:tab w:val="left" w:pos="1219"/>
        </w:tabs>
        <w:ind w:left="0"/>
        <w:jc w:val="both"/>
        <w:rPr>
          <w:rFonts w:ascii="Times New Roman" w:hAnsi="Times New Roman" w:cs="Times New Roman"/>
          <w:noProof/>
        </w:rPr>
      </w:pPr>
      <w:r>
        <w:rPr>
          <w:rFonts w:ascii="Times New Roman" w:hAnsi="Times New Roman"/>
        </w:rPr>
        <w:t>46. Tiesa var nolemt piemērot sodu, kas ietver rehabilitāciju, vai nosacītu notiesāšanu ar rehabilitācijas nosacījumiem gadījumos, kad novērtējums parāda, ka personai ir zems riska un vajadzību līmenis un ka persona ir motivēta uzraudzībai un rehabilitācijai sabiedrībā.</w:t>
      </w:r>
    </w:p>
    <w:p w14:paraId="63BBCC7B" w14:textId="77777777" w:rsidR="00687285" w:rsidRPr="00687285" w:rsidRDefault="00687285" w:rsidP="00687285">
      <w:pPr>
        <w:pStyle w:val="BodyText"/>
        <w:tabs>
          <w:tab w:val="left" w:pos="1219"/>
        </w:tabs>
        <w:ind w:left="0"/>
        <w:jc w:val="both"/>
        <w:rPr>
          <w:rFonts w:ascii="Times New Roman" w:hAnsi="Times New Roman" w:cs="Times New Roman"/>
          <w:noProof/>
        </w:rPr>
      </w:pPr>
    </w:p>
    <w:p w14:paraId="36A07FB9" w14:textId="77777777" w:rsidR="00687285" w:rsidRPr="00687285" w:rsidRDefault="00687285" w:rsidP="00687285">
      <w:pPr>
        <w:pStyle w:val="BodyText"/>
        <w:tabs>
          <w:tab w:val="left" w:pos="1219"/>
        </w:tabs>
        <w:ind w:left="0"/>
        <w:jc w:val="both"/>
        <w:rPr>
          <w:rFonts w:ascii="Times New Roman" w:hAnsi="Times New Roman" w:cs="Times New Roman"/>
          <w:noProof/>
        </w:rPr>
      </w:pPr>
      <w:r>
        <w:rPr>
          <w:rFonts w:ascii="Times New Roman" w:hAnsi="Times New Roman"/>
        </w:rPr>
        <w:t>47. Apstiprināti riska vadības instrumenti ir jāiekļauj uz pētījumiem balstītā, profesionālā riska novērtēšanas pieejā. Riska novērtējuma precizitāte palielinās, ja vērtētāji izmanto strukturētus, empīriski pamatotus un, ja iespējams, apstiprinātus riska instrumentus, kuru mērķis ir izpētīt dinamiskos un statiskos riskus un vajadzības. Šie instrumenti palīdz nodrošināt, ka profesionālis lielāko uzmanību pievērš galvenajām uz pierādījumiem balstītajām riska izvērtēšanas jomām un tās pārbauda.</w:t>
      </w:r>
    </w:p>
    <w:p w14:paraId="4650AB68" w14:textId="77777777" w:rsidR="00687285" w:rsidRPr="00687285" w:rsidRDefault="00687285" w:rsidP="00687285">
      <w:pPr>
        <w:jc w:val="both"/>
        <w:rPr>
          <w:rFonts w:ascii="Times New Roman" w:eastAsia="Arial" w:hAnsi="Times New Roman" w:cs="Times New Roman"/>
          <w:noProof/>
          <w:sz w:val="24"/>
          <w:szCs w:val="24"/>
        </w:rPr>
      </w:pPr>
    </w:p>
    <w:p w14:paraId="1FCC8E66" w14:textId="77777777" w:rsidR="00687285" w:rsidRPr="00687285" w:rsidRDefault="00687285" w:rsidP="00687285">
      <w:pPr>
        <w:pStyle w:val="BodyText"/>
        <w:ind w:left="0"/>
        <w:jc w:val="both"/>
        <w:rPr>
          <w:rFonts w:ascii="Times New Roman" w:hAnsi="Times New Roman" w:cs="Times New Roman"/>
          <w:noProof/>
        </w:rPr>
      </w:pPr>
      <w:r>
        <w:rPr>
          <w:rFonts w:ascii="Times New Roman" w:hAnsi="Times New Roman"/>
        </w:rPr>
        <w:t>12. noteikums</w:t>
      </w:r>
    </w:p>
    <w:p w14:paraId="057F9BD3" w14:textId="77777777" w:rsidR="00687285" w:rsidRPr="00687285" w:rsidRDefault="00687285" w:rsidP="00687285">
      <w:pPr>
        <w:jc w:val="both"/>
        <w:rPr>
          <w:rFonts w:ascii="Times New Roman" w:hAnsi="Times New Roman" w:cs="Times New Roman"/>
          <w:noProof/>
          <w:sz w:val="24"/>
          <w:szCs w:val="24"/>
        </w:rPr>
      </w:pPr>
    </w:p>
    <w:p w14:paraId="0B89AD0C" w14:textId="77777777" w:rsidR="00687285" w:rsidRPr="00687285" w:rsidRDefault="00687285" w:rsidP="00687285">
      <w:pPr>
        <w:pStyle w:val="BodyText"/>
        <w:tabs>
          <w:tab w:val="left" w:pos="1219"/>
        </w:tabs>
        <w:ind w:left="0"/>
        <w:jc w:val="both"/>
        <w:rPr>
          <w:rFonts w:ascii="Times New Roman" w:hAnsi="Times New Roman" w:cs="Times New Roman"/>
          <w:noProof/>
        </w:rPr>
      </w:pPr>
      <w:r>
        <w:rPr>
          <w:rFonts w:ascii="Times New Roman" w:hAnsi="Times New Roman"/>
        </w:rPr>
        <w:t>48. Šis noteikums iesaka pastāvīgu, visaptverošu riska novērtēšanas procedūru no kriminālprocesa sākuma un turpinot ieslodzījuma un probācijas uzraudzības laikā. Riska novērtējumu atjaunināšana parasti ietver regulāru atkārtotu novērtējumu veikšanu. Personām, kas apsūdzētas vai notiesātas par noziedzīgu nodarījumu pret dzimumneaizskaramību un kam ir zems atkārtota noziedzīga nodarījuma izdarīšanas risks, var tikt piemēroti rehabilitācijas pasākumi un tās var tikt pārvaldītas sabiedrībā, un tas var palielināt viņu sociālās reintegrācijas iespējas. Turpretim personām, kurām ir vidējs vai augsts atkārtota noziedzīga nodarījuma pret dzimumneaizskaramību izdarīšanas risks, var būt nepieciešami īpaši iejaukšanās pasākumi drošā vidē, piemēram, ieslodzījuma vietās un speciālās slimnīcās. Šīs duālās pieejas mērķis ir samazināt jaunu noziedzīgu nodarījumu pret dzimumneaizskaramību izdarīšanas iespējamību. Skat. arī 7. noteikumu par soda izpildes pasākumu plāniem.</w:t>
      </w:r>
    </w:p>
    <w:p w14:paraId="3BC04C19" w14:textId="77777777" w:rsidR="00687285" w:rsidRPr="00687285" w:rsidRDefault="00687285" w:rsidP="00687285">
      <w:pPr>
        <w:pStyle w:val="BodyText"/>
        <w:ind w:left="0"/>
        <w:jc w:val="both"/>
        <w:rPr>
          <w:rFonts w:ascii="Times New Roman" w:hAnsi="Times New Roman" w:cs="Times New Roman"/>
          <w:noProof/>
        </w:rPr>
      </w:pPr>
    </w:p>
    <w:p w14:paraId="5B343166" w14:textId="77777777" w:rsidR="00687285" w:rsidRPr="00687285" w:rsidRDefault="00687285" w:rsidP="00687285">
      <w:pPr>
        <w:pStyle w:val="BodyText"/>
        <w:ind w:left="0"/>
        <w:jc w:val="both"/>
        <w:rPr>
          <w:rFonts w:ascii="Times New Roman" w:hAnsi="Times New Roman" w:cs="Times New Roman"/>
          <w:noProof/>
        </w:rPr>
      </w:pPr>
      <w:r>
        <w:rPr>
          <w:rFonts w:ascii="Times New Roman" w:hAnsi="Times New Roman"/>
        </w:rPr>
        <w:t>13. noteikums</w:t>
      </w:r>
    </w:p>
    <w:p w14:paraId="7C57F97B" w14:textId="77777777" w:rsidR="00687285" w:rsidRPr="00687285" w:rsidRDefault="00687285" w:rsidP="00687285">
      <w:pPr>
        <w:pStyle w:val="BodyText"/>
        <w:tabs>
          <w:tab w:val="left" w:pos="1219"/>
        </w:tabs>
        <w:ind w:left="0"/>
        <w:jc w:val="both"/>
        <w:rPr>
          <w:rFonts w:ascii="Times New Roman" w:hAnsi="Times New Roman" w:cs="Times New Roman"/>
          <w:noProof/>
        </w:rPr>
      </w:pPr>
    </w:p>
    <w:p w14:paraId="560AE54F" w14:textId="77777777" w:rsidR="00687285" w:rsidRPr="00687285" w:rsidRDefault="00687285" w:rsidP="00687285">
      <w:pPr>
        <w:pStyle w:val="BodyText"/>
        <w:tabs>
          <w:tab w:val="left" w:pos="1219"/>
        </w:tabs>
        <w:ind w:left="0"/>
        <w:jc w:val="both"/>
        <w:rPr>
          <w:rFonts w:ascii="Times New Roman" w:hAnsi="Times New Roman" w:cs="Times New Roman"/>
          <w:noProof/>
        </w:rPr>
      </w:pPr>
      <w:r>
        <w:rPr>
          <w:rFonts w:ascii="Times New Roman" w:hAnsi="Times New Roman"/>
        </w:rPr>
        <w:t>49. Šajā noteikumā atzīts, ka rīcība, ar kuru izdarīts noziedzīgs nodarījums pret dzimumneaizskaramību, var būt vienlaicīga ar garīgu slimību un traucējumiem. Tā kā seksuālas fantāzijas un sodāma rīcība var būt veids, kā tikt galā ar negatīvām emocijām vai garastāvokli, kas saistīti ar personas psiholoģiskajiem vai psihiskiem stāvokļiem, tad personas sodāmības izpratne ir būtiska, pieņemot lēmumus par rehabilitācijas pasākumu un sodu piemērošanu. Personas sodāmības, psihiatriskās un attīstības vēstures novērtēšana palīdz loģiski izvērtēt personas riskus un vajadzības, un tā ir jāveic atzītiem ekspertiem un jāpasūta tiesu iestādei vai citai kompetentai iestādei vai institūcijai. Pirms var sākt ar riska novērtējumu, kas saistīts ar noziedzīgu nodarījumu, cik vien iespējams, ir jāstabilizē personas garīgais stāvoklis.</w:t>
      </w:r>
    </w:p>
    <w:p w14:paraId="7B0BEAD3" w14:textId="77777777" w:rsidR="00687285" w:rsidRPr="00687285" w:rsidRDefault="00687285" w:rsidP="00687285">
      <w:pPr>
        <w:pStyle w:val="BodyText"/>
        <w:ind w:left="0"/>
        <w:jc w:val="both"/>
        <w:rPr>
          <w:rFonts w:ascii="Times New Roman" w:hAnsi="Times New Roman" w:cs="Times New Roman"/>
          <w:noProof/>
        </w:rPr>
      </w:pPr>
    </w:p>
    <w:p w14:paraId="133CACC5" w14:textId="77777777" w:rsidR="00687285" w:rsidRPr="00687285" w:rsidRDefault="00687285" w:rsidP="00020AD3">
      <w:pPr>
        <w:pStyle w:val="BodyText"/>
        <w:keepNext/>
        <w:keepLines/>
        <w:ind w:left="0"/>
        <w:jc w:val="both"/>
        <w:rPr>
          <w:rFonts w:ascii="Times New Roman" w:hAnsi="Times New Roman" w:cs="Times New Roman"/>
          <w:noProof/>
        </w:rPr>
      </w:pPr>
      <w:r>
        <w:rPr>
          <w:rFonts w:ascii="Times New Roman" w:hAnsi="Times New Roman"/>
        </w:rPr>
        <w:lastRenderedPageBreak/>
        <w:t>14. noteikums</w:t>
      </w:r>
    </w:p>
    <w:p w14:paraId="19BCCED2" w14:textId="77777777" w:rsidR="00687285" w:rsidRPr="00687285" w:rsidRDefault="00687285" w:rsidP="00020AD3">
      <w:pPr>
        <w:pStyle w:val="BodyText"/>
        <w:keepNext/>
        <w:keepLines/>
        <w:tabs>
          <w:tab w:val="left" w:pos="1248"/>
        </w:tabs>
        <w:ind w:left="0"/>
        <w:jc w:val="both"/>
        <w:rPr>
          <w:rFonts w:ascii="Times New Roman" w:hAnsi="Times New Roman" w:cs="Times New Roman"/>
          <w:noProof/>
        </w:rPr>
      </w:pPr>
    </w:p>
    <w:p w14:paraId="7B570C2D" w14:textId="77777777" w:rsidR="00687285" w:rsidRPr="00687285" w:rsidRDefault="00687285" w:rsidP="00020AD3">
      <w:pPr>
        <w:pStyle w:val="BodyText"/>
        <w:keepNext/>
        <w:keepLines/>
        <w:tabs>
          <w:tab w:val="left" w:pos="1248"/>
        </w:tabs>
        <w:ind w:left="0"/>
        <w:jc w:val="both"/>
        <w:rPr>
          <w:rFonts w:ascii="Times New Roman" w:hAnsi="Times New Roman" w:cs="Times New Roman"/>
          <w:noProof/>
        </w:rPr>
      </w:pPr>
      <w:r>
        <w:rPr>
          <w:rFonts w:ascii="Times New Roman" w:hAnsi="Times New Roman"/>
        </w:rPr>
        <w:t>50. Taisnīgums un objektivitāte ir neatņemamas profesionālās ētikas un prakses sastāvdaļas. Novērtējot par noziedzīgu nodarījumu pret dzimumneaizskaramību apsūdzētas vai notiesātas personas risku, vērtētājam jāapzinās novērtējuma iespējamās sekas uz sabiedrības drošību, ierobežojot tās personas brīvību, kas apsūdzēta vai notiesāta par noziedzīgu nodarījumu pret dzimumneaizskaramību. Riska vadībai vienmēr ir nepieciešami kādi brīvības ierobežojumi, taču tiem jābūt samērīgiem un pamatotiem, kā arī dinamiskiem atbilstoši mainīgajiem riska un vajadzību līmeņiem. Ja vērtētājs ir atbilstoši sagatavots un neatkarīgs, kā to pieprasa šis noteikums, šīs prasības visbiežāk tiks izpildītas. Visos riska novērtēšanas procesa posmos galvenajiem lēmumu pieņēmējiem, pieņemot lēmumus, jābūt objektīviem, un, lai saglabātu objektivitāti, viņi nedrīkst būt iesaistīti pašā riska novērtēšanā.</w:t>
      </w:r>
    </w:p>
    <w:p w14:paraId="557B1BE6" w14:textId="77777777" w:rsidR="00687285" w:rsidRPr="00687285" w:rsidRDefault="00687285" w:rsidP="00687285">
      <w:pPr>
        <w:tabs>
          <w:tab w:val="left" w:pos="1146"/>
        </w:tabs>
        <w:jc w:val="both"/>
        <w:rPr>
          <w:rFonts w:ascii="Times New Roman" w:hAnsi="Times New Roman" w:cs="Times New Roman"/>
          <w:noProof/>
          <w:sz w:val="24"/>
          <w:szCs w:val="24"/>
        </w:rPr>
      </w:pPr>
    </w:p>
    <w:p w14:paraId="6EEA22A4" w14:textId="77777777" w:rsidR="00687285" w:rsidRPr="00687285" w:rsidRDefault="00687285" w:rsidP="00687285">
      <w:pPr>
        <w:tabs>
          <w:tab w:val="left" w:pos="1146"/>
        </w:tabs>
        <w:jc w:val="both"/>
        <w:rPr>
          <w:rFonts w:ascii="Times New Roman" w:hAnsi="Times New Roman" w:cs="Times New Roman"/>
          <w:b/>
          <w:noProof/>
          <w:sz w:val="24"/>
          <w:szCs w:val="24"/>
        </w:rPr>
      </w:pPr>
      <w:r>
        <w:rPr>
          <w:rFonts w:ascii="Times New Roman" w:hAnsi="Times New Roman"/>
          <w:b/>
          <w:sz w:val="24"/>
        </w:rPr>
        <w:t>IV. PĀRVALDĪBA, SOCIĀLĀS UZVEDĪBAS KOREKCIJAS UN SOCIĀLĀS REHABILITĀCIJAS PASĀKUMI IESLODZĪJUMA VIETĀS</w:t>
      </w:r>
    </w:p>
    <w:p w14:paraId="273FD07C" w14:textId="77777777" w:rsidR="00687285" w:rsidRPr="00687285" w:rsidRDefault="00687285" w:rsidP="00687285">
      <w:pPr>
        <w:pStyle w:val="BodyText"/>
        <w:tabs>
          <w:tab w:val="left" w:pos="1219"/>
        </w:tabs>
        <w:ind w:left="0"/>
        <w:jc w:val="both"/>
        <w:rPr>
          <w:rFonts w:ascii="Times New Roman" w:hAnsi="Times New Roman" w:cs="Times New Roman"/>
          <w:noProof/>
        </w:rPr>
      </w:pPr>
    </w:p>
    <w:p w14:paraId="562DF5E5" w14:textId="77777777" w:rsidR="00687285" w:rsidRPr="00687285" w:rsidRDefault="00687285" w:rsidP="00687285">
      <w:pPr>
        <w:pStyle w:val="BodyText"/>
        <w:tabs>
          <w:tab w:val="left" w:pos="1219"/>
        </w:tabs>
        <w:ind w:left="0"/>
        <w:jc w:val="both"/>
        <w:rPr>
          <w:rFonts w:ascii="Times New Roman" w:hAnsi="Times New Roman" w:cs="Times New Roman"/>
          <w:noProof/>
        </w:rPr>
      </w:pPr>
      <w:r>
        <w:rPr>
          <w:rFonts w:ascii="Times New Roman" w:hAnsi="Times New Roman"/>
        </w:rPr>
        <w:t>51. Visā Eiropas Padomē ieslodzījuma vieta ir galvenais līdzeklis to personu pārvaldībai, kas notiesātas par noziedzīgu nodarījumu pret dzimumneaizskaramību, jo īpaši saistībā ar noziedzīgiem nodarījumiem pret dzimumneaizskaramību, kas izdarīti fiziskā saskarē. Svarīgs ieslodzījuma vietas mērķis ir novērst turpmāku noziedzīgu nodarījumu izdarīšanu un palīdzēt ieslodzītajiem dzīvot jēgpilnu un sabiedrisku dzīvi, neiesaistoties noziedzībā. Tāpēc ieslodzījuma vietā jābūt reintegrējošai un rehabilitējošai videi, kas veicina pozitīvas pārmaiņas.</w:t>
      </w:r>
    </w:p>
    <w:p w14:paraId="3C3F2BA8" w14:textId="77777777" w:rsidR="00687285" w:rsidRPr="00687285" w:rsidRDefault="00687285" w:rsidP="00687285">
      <w:pPr>
        <w:pStyle w:val="BodyText"/>
        <w:ind w:left="0"/>
        <w:jc w:val="both"/>
        <w:rPr>
          <w:rFonts w:ascii="Times New Roman" w:hAnsi="Times New Roman" w:cs="Times New Roman"/>
          <w:noProof/>
        </w:rPr>
      </w:pPr>
    </w:p>
    <w:p w14:paraId="5E7AA139" w14:textId="77777777" w:rsidR="00687285" w:rsidRPr="00687285" w:rsidRDefault="00687285" w:rsidP="00687285">
      <w:pPr>
        <w:pStyle w:val="BodyText"/>
        <w:ind w:left="0"/>
        <w:jc w:val="both"/>
        <w:rPr>
          <w:rFonts w:ascii="Times New Roman" w:hAnsi="Times New Roman" w:cs="Times New Roman"/>
          <w:noProof/>
        </w:rPr>
      </w:pPr>
      <w:r>
        <w:rPr>
          <w:rFonts w:ascii="Times New Roman" w:hAnsi="Times New Roman"/>
        </w:rPr>
        <w:t>15. noteikums</w:t>
      </w:r>
    </w:p>
    <w:p w14:paraId="2187F5B4" w14:textId="77777777" w:rsidR="00687285" w:rsidRPr="00687285" w:rsidRDefault="00687285" w:rsidP="00687285">
      <w:pPr>
        <w:pStyle w:val="BodyText"/>
        <w:tabs>
          <w:tab w:val="left" w:pos="1219"/>
        </w:tabs>
        <w:ind w:left="0"/>
        <w:jc w:val="both"/>
        <w:rPr>
          <w:rFonts w:ascii="Times New Roman" w:hAnsi="Times New Roman" w:cs="Times New Roman"/>
          <w:noProof/>
        </w:rPr>
      </w:pPr>
    </w:p>
    <w:p w14:paraId="77E9C6BD" w14:textId="77777777" w:rsidR="00687285" w:rsidRPr="00687285" w:rsidRDefault="00687285" w:rsidP="00687285">
      <w:pPr>
        <w:pStyle w:val="BodyText"/>
        <w:tabs>
          <w:tab w:val="left" w:pos="1219"/>
        </w:tabs>
        <w:ind w:left="0"/>
        <w:jc w:val="both"/>
        <w:rPr>
          <w:rFonts w:ascii="Times New Roman" w:hAnsi="Times New Roman" w:cs="Times New Roman"/>
          <w:noProof/>
        </w:rPr>
      </w:pPr>
      <w:r>
        <w:rPr>
          <w:rFonts w:ascii="Times New Roman" w:hAnsi="Times New Roman"/>
        </w:rPr>
        <w:t>52. Šis noteikums ir saistīts ar 12. noteikumu. Ir svarīgi, ka visā kriminālprocesā ir ieviests visaptverošs riska un sodu izpildes pārvaldības plāns. Kā uzsvērts 12. noteikumā, tas būs regulāri jāaktualizē, jo personas risks (attiecībā uz citiem un uz sevi) un citas būtiskas iezīmes, laikam ejot, noteikti mainās. Personas, kas apsūdzētas vai notiesātas par noziedzīgu nodarījumu pret dzimumneaizskaramību, kriminālprocesa laikā var kontaktēties ar dažādām iestādēm un personām, tostarp ieslodzījumu vietu pārvaldi un probācijas dienestu. Tās var kontaktēties ar šīm iestādēm vairāk nekā vienu reizi: piemēram, persona var tikt atbrīvota no ieslodzījuma vietas, lai izciestu papildsodu, kuru pārvalda probācijas dienests, un, ja viņa pārkāpj papildsoda nosacījumus, viņa var nonākt atpakaļ ieslodzījuma vietā un pēc atkārtotas atbrīvošanas – probācijas dienesta pārvaldībā. Līdzīgi personai var tikt piemērota probācijas uzraudzība pirms nonākšanas ieslodzījuma vietā. Ieslodzījuma vietai tas ir jāņem vērā un jāuzņemas atbildība par to, lai riska novērtējums būtu visaptverošs, balstoties uz iepriekšējiem riska novērtējumiem, lai tie varētu sniegt informāciju atjauninātiem riska novērtējumiem. Tas var ietvert arī ciešu sadarbību ar probācijas dienestu, lai nodrošinātu nepārtrauktību starp pakalpojumu sniedzējiem – skat. 18. noteikumu. Ja personai piemēro brīvības atņemšanas sodu, ieslodzījumu vietu pārvaldei iespējami ātri ir jāpadara pieejams attiecīgais novērtējums, kas veikts pirms soda piemērošanas.</w:t>
      </w:r>
    </w:p>
    <w:p w14:paraId="5E7A4462" w14:textId="77777777" w:rsidR="00687285" w:rsidRPr="00687285" w:rsidRDefault="00687285" w:rsidP="00687285">
      <w:pPr>
        <w:pStyle w:val="BodyText"/>
        <w:tabs>
          <w:tab w:val="left" w:pos="1248"/>
        </w:tabs>
        <w:ind w:left="0"/>
        <w:jc w:val="both"/>
        <w:rPr>
          <w:rFonts w:ascii="Times New Roman" w:hAnsi="Times New Roman" w:cs="Times New Roman"/>
          <w:noProof/>
        </w:rPr>
      </w:pPr>
    </w:p>
    <w:p w14:paraId="139E4A08" w14:textId="77777777" w:rsidR="00687285" w:rsidRPr="00687285" w:rsidRDefault="00687285" w:rsidP="00687285">
      <w:pPr>
        <w:pStyle w:val="BodyText"/>
        <w:tabs>
          <w:tab w:val="left" w:pos="1248"/>
        </w:tabs>
        <w:ind w:left="0"/>
        <w:jc w:val="both"/>
        <w:rPr>
          <w:rFonts w:ascii="Times New Roman" w:hAnsi="Times New Roman" w:cs="Times New Roman"/>
          <w:noProof/>
        </w:rPr>
      </w:pPr>
      <w:r>
        <w:rPr>
          <w:rFonts w:ascii="Times New Roman" w:hAnsi="Times New Roman"/>
        </w:rPr>
        <w:t xml:space="preserve">53. Efektīva riska novērtēšana ieslodzījuma vietās novērš neatbilstoša režīma (piemēram, stingrāka, nekā nepieciešams) īstenošanu, kas var kavēt rehabilitāciju un sagatavošanos atbrīvošanai. Tā jāveic starpdisciplinārai komandai, ko veido īpaši sagatavots personāls un kas attīsta kontaktus un profesionālas attiecības ar ieslodzīto, kuras raksturo savstarpēja uzticēšanās, cieņa, empātija un iesaistīšanās, bet netiek mazināts izdarītais noziedzīgais nodarījums. Riska novērtēšanai ir jāizvērtē, cik stabila ir ieslodzīto motivācija mainīties, kā </w:t>
      </w:r>
      <w:r>
        <w:rPr>
          <w:rFonts w:ascii="Times New Roman" w:hAnsi="Times New Roman"/>
        </w:rPr>
        <w:lastRenderedPageBreak/>
        <w:t>arī tas, cik piemērotas ir dažādas iejaukšanās pasākumu iespējas.</w:t>
      </w:r>
    </w:p>
    <w:p w14:paraId="3A8AD3FF" w14:textId="77777777" w:rsidR="00687285" w:rsidRPr="00687285" w:rsidRDefault="00687285" w:rsidP="00687285">
      <w:pPr>
        <w:pStyle w:val="BodyText"/>
        <w:tabs>
          <w:tab w:val="left" w:pos="1234"/>
        </w:tabs>
        <w:ind w:left="0"/>
        <w:jc w:val="both"/>
        <w:rPr>
          <w:rFonts w:ascii="Times New Roman" w:hAnsi="Times New Roman" w:cs="Times New Roman"/>
          <w:noProof/>
        </w:rPr>
      </w:pPr>
    </w:p>
    <w:p w14:paraId="7AF3B53A" w14:textId="77777777" w:rsidR="00687285" w:rsidRPr="00687285" w:rsidRDefault="00687285" w:rsidP="00687285">
      <w:pPr>
        <w:pStyle w:val="BodyText"/>
        <w:tabs>
          <w:tab w:val="left" w:pos="1234"/>
        </w:tabs>
        <w:ind w:left="0"/>
        <w:jc w:val="both"/>
        <w:rPr>
          <w:rFonts w:ascii="Times New Roman" w:hAnsi="Times New Roman" w:cs="Times New Roman"/>
          <w:noProof/>
        </w:rPr>
      </w:pPr>
      <w:r>
        <w:rPr>
          <w:rFonts w:ascii="Times New Roman" w:hAnsi="Times New Roman"/>
        </w:rPr>
        <w:t>54. Dažām personām, esot apcietinājumā, var turpināt pastāvēt risks izdarīt turpmākus noziedzīgus nodarījumus, tostarp izmantojot nelikumīgus digitālos līdzekļus. Ir svarīgi šim jautājumam pievērst uzmanību, lai pareizi novērtētu risku, ko šādas personas var radīt, un risinātu drošības problēmas, vienlaikus izvērtējot viņu vajadzības un veicinot sociālās uzvedības korekcijas un/vai sociālās rehabilitācijas pasākumus, kā arī viņu sociālo reintegrāciju.</w:t>
      </w:r>
    </w:p>
    <w:p w14:paraId="276A44F2" w14:textId="77777777" w:rsidR="00687285" w:rsidRPr="00687285" w:rsidRDefault="00687285" w:rsidP="00687285">
      <w:pPr>
        <w:pStyle w:val="BodyText"/>
        <w:tabs>
          <w:tab w:val="left" w:pos="1248"/>
        </w:tabs>
        <w:ind w:left="0"/>
        <w:jc w:val="both"/>
        <w:rPr>
          <w:rFonts w:ascii="Times New Roman" w:hAnsi="Times New Roman" w:cs="Times New Roman"/>
          <w:noProof/>
        </w:rPr>
      </w:pPr>
    </w:p>
    <w:p w14:paraId="32E3BAFA" w14:textId="77777777" w:rsidR="00687285" w:rsidRPr="00687285" w:rsidRDefault="00687285" w:rsidP="00687285">
      <w:pPr>
        <w:pStyle w:val="BodyText"/>
        <w:tabs>
          <w:tab w:val="left" w:pos="1248"/>
        </w:tabs>
        <w:ind w:left="0"/>
        <w:jc w:val="both"/>
        <w:rPr>
          <w:rFonts w:ascii="Times New Roman" w:hAnsi="Times New Roman" w:cs="Times New Roman"/>
          <w:noProof/>
        </w:rPr>
      </w:pPr>
      <w:r>
        <w:rPr>
          <w:rFonts w:ascii="Times New Roman" w:hAnsi="Times New Roman"/>
        </w:rPr>
        <w:t>55. Šajā novērtēšanas procesā un motivācijas darbā jāiesaista ieslodzījuma vietu darbinieki, jo viņi ik dienu saskaras ar ieslodzītajiem. Mērķis ir nodrošināt progresu virzībā no ieslodzījuma uz sabiedrību.</w:t>
      </w:r>
    </w:p>
    <w:p w14:paraId="6588D219" w14:textId="77777777" w:rsidR="00687285" w:rsidRPr="00687285" w:rsidRDefault="00687285" w:rsidP="00687285">
      <w:pPr>
        <w:pStyle w:val="BodyText"/>
        <w:tabs>
          <w:tab w:val="left" w:pos="1248"/>
        </w:tabs>
        <w:ind w:left="0"/>
        <w:jc w:val="both"/>
        <w:rPr>
          <w:rFonts w:ascii="Times New Roman" w:hAnsi="Times New Roman" w:cs="Times New Roman"/>
          <w:noProof/>
        </w:rPr>
      </w:pPr>
    </w:p>
    <w:p w14:paraId="4CF0FBA6" w14:textId="77777777" w:rsidR="00687285" w:rsidRPr="00687285" w:rsidRDefault="00687285" w:rsidP="00687285">
      <w:pPr>
        <w:pStyle w:val="BodyText"/>
        <w:tabs>
          <w:tab w:val="left" w:pos="1219"/>
        </w:tabs>
        <w:ind w:left="0"/>
        <w:jc w:val="both"/>
        <w:rPr>
          <w:rFonts w:ascii="Times New Roman" w:hAnsi="Times New Roman" w:cs="Times New Roman"/>
          <w:noProof/>
        </w:rPr>
      </w:pPr>
      <w:r>
        <w:rPr>
          <w:rFonts w:ascii="Times New Roman" w:hAnsi="Times New Roman"/>
        </w:rPr>
        <w:t xml:space="preserve">56. </w:t>
      </w:r>
      <w:r>
        <w:rPr>
          <w:rFonts w:ascii="Times New Roman" w:hAnsi="Times New Roman"/>
          <w:i/>
          <w:iCs/>
        </w:rPr>
        <w:t>CPT</w:t>
      </w:r>
      <w:r>
        <w:rPr>
          <w:rFonts w:ascii="Times New Roman" w:hAnsi="Times New Roman"/>
        </w:rPr>
        <w:t xml:space="preserve"> savos ziņojumos jau iepriekš ar bažām minēja, ka “citi uzņemšanas nodaļā esošie ieslodzītie slikti izturējās pret jaunpienākušajiem ieslodzītajiem, kas notiesāti par noziedzīgu nodarījumu pret dzimumneaizskaramību”. Kā daļēju risinājumu šādām problēmām tā ir uzsvērusi individualizēta riska un vajadzību novērtējuma nozīmi.</w:t>
      </w:r>
      <w:r>
        <w:rPr>
          <w:rFonts w:ascii="Times New Roman" w:hAnsi="Times New Roman"/>
          <w:vertAlign w:val="superscript"/>
        </w:rPr>
        <w:t>[15]</w:t>
      </w:r>
      <w:r>
        <w:rPr>
          <w:rFonts w:ascii="Times New Roman" w:hAnsi="Times New Roman"/>
        </w:rPr>
        <w:t xml:space="preserve"> Ja personas risks ir tāds, kas attaisno īpašus pastiprināta drošuma vai drošības pasākumus, Eiropas cietumu noteikumu 53.8. noteikumā ir norādīts, ka šādiem pasākumiem jābalstās tikai uz ieslodzītā pašreiz radīto risku, ka tiem jābūt samērīgiem ar šo risku un ka tie nedrīkst paredzēt vairāk ierobežojumu, kā nepieciešams šā riska novēršanai.</w:t>
      </w:r>
    </w:p>
    <w:p w14:paraId="53F2DEBA" w14:textId="77777777" w:rsidR="00687285" w:rsidRPr="00687285" w:rsidRDefault="00687285" w:rsidP="00687285">
      <w:pPr>
        <w:pStyle w:val="BodyText"/>
        <w:tabs>
          <w:tab w:val="left" w:pos="1219"/>
        </w:tabs>
        <w:ind w:left="0"/>
        <w:jc w:val="both"/>
        <w:rPr>
          <w:rFonts w:ascii="Times New Roman" w:hAnsi="Times New Roman" w:cs="Times New Roman"/>
          <w:noProof/>
          <w:highlight w:val="yellow"/>
        </w:rPr>
      </w:pPr>
    </w:p>
    <w:p w14:paraId="27577417" w14:textId="77777777" w:rsidR="00687285" w:rsidRPr="00687285" w:rsidRDefault="00687285" w:rsidP="00687285">
      <w:pPr>
        <w:pStyle w:val="BodyText"/>
        <w:ind w:left="0"/>
        <w:jc w:val="both"/>
        <w:rPr>
          <w:rFonts w:ascii="Times New Roman" w:hAnsi="Times New Roman" w:cs="Times New Roman"/>
          <w:noProof/>
        </w:rPr>
      </w:pPr>
      <w:r>
        <w:rPr>
          <w:rFonts w:ascii="Times New Roman" w:hAnsi="Times New Roman"/>
        </w:rPr>
        <w:t>57. ECT ir atzinusi, ka ilgstoša aizturēšana iestādē, kas nav piemērota personas stāvoklim (piemēram, ieslodzījuma vietas psihiatriskajā nodaļā tikai strukturāla alternatīvu trūkuma dēļ) ir pretrunā ECTK 5. panta 1. punkta e) apakšpunktam.</w:t>
      </w:r>
      <w:r>
        <w:rPr>
          <w:rFonts w:ascii="Times New Roman" w:hAnsi="Times New Roman"/>
          <w:vertAlign w:val="superscript"/>
        </w:rPr>
        <w:t>[16]</w:t>
      </w:r>
    </w:p>
    <w:p w14:paraId="610D6D1F" w14:textId="77777777" w:rsidR="00687285" w:rsidRPr="00687285" w:rsidRDefault="00687285" w:rsidP="00687285">
      <w:pPr>
        <w:pStyle w:val="BodyText"/>
        <w:ind w:left="0"/>
        <w:jc w:val="both"/>
        <w:rPr>
          <w:rFonts w:ascii="Times New Roman" w:hAnsi="Times New Roman" w:cs="Times New Roman"/>
          <w:noProof/>
        </w:rPr>
      </w:pPr>
    </w:p>
    <w:p w14:paraId="5B202523" w14:textId="77777777" w:rsidR="00687285" w:rsidRPr="00687285" w:rsidRDefault="00687285" w:rsidP="00687285">
      <w:pPr>
        <w:pStyle w:val="BodyText"/>
        <w:ind w:left="0"/>
        <w:jc w:val="both"/>
        <w:rPr>
          <w:rFonts w:ascii="Times New Roman" w:hAnsi="Times New Roman" w:cs="Times New Roman"/>
          <w:noProof/>
        </w:rPr>
      </w:pPr>
      <w:r>
        <w:rPr>
          <w:rFonts w:ascii="Times New Roman" w:hAnsi="Times New Roman"/>
        </w:rPr>
        <w:t>16. noteikums</w:t>
      </w:r>
    </w:p>
    <w:p w14:paraId="7B3D989C" w14:textId="77777777" w:rsidR="00687285" w:rsidRPr="00687285" w:rsidRDefault="00687285" w:rsidP="00687285">
      <w:pPr>
        <w:pStyle w:val="BodyText"/>
        <w:tabs>
          <w:tab w:val="left" w:pos="1248"/>
        </w:tabs>
        <w:ind w:left="0"/>
        <w:jc w:val="both"/>
        <w:rPr>
          <w:rFonts w:ascii="Times New Roman" w:hAnsi="Times New Roman" w:cs="Times New Roman"/>
          <w:noProof/>
        </w:rPr>
      </w:pPr>
    </w:p>
    <w:p w14:paraId="0514A444" w14:textId="77777777" w:rsidR="00687285" w:rsidRPr="00687285" w:rsidRDefault="00687285" w:rsidP="00687285">
      <w:pPr>
        <w:pStyle w:val="BodyText"/>
        <w:tabs>
          <w:tab w:val="left" w:pos="1248"/>
        </w:tabs>
        <w:ind w:left="0"/>
        <w:jc w:val="both"/>
        <w:rPr>
          <w:rFonts w:ascii="Times New Roman" w:hAnsi="Times New Roman" w:cs="Times New Roman"/>
          <w:noProof/>
        </w:rPr>
      </w:pPr>
      <w:r>
        <w:rPr>
          <w:rFonts w:ascii="Times New Roman" w:hAnsi="Times New Roman"/>
        </w:rPr>
        <w:t>58. Rehabilitācijai un sociālajai reintegrācijai jābūt jebkura soda vai drošības līdzekļa galvenajiem mērķiem. Šajā noteikumā ir uzsvērts, ka personas, kas apsūdzētas vai notiesātas par noziedzīgu nodarījumu pret dzimumneaizskaramību, ir dažādas, un tajā ir vērsta uzmanība uz vairākiem noziedzīga nodarījuma izdarīšanas pret dzimumneaizskaramību cēloņiem, dažādajiem riska līmeņiem un individuālajām rehabilitācijas vajadzībām, kas jāņem vērā, lai samazinātu individuālo atkārtota noziedzīga nodarījuma izdarīšanas risku.</w:t>
      </w:r>
    </w:p>
    <w:p w14:paraId="03EE8778" w14:textId="77777777" w:rsidR="00687285" w:rsidRPr="00687285" w:rsidRDefault="00687285" w:rsidP="00687285">
      <w:pPr>
        <w:pStyle w:val="BodyText"/>
        <w:tabs>
          <w:tab w:val="left" w:pos="1218"/>
        </w:tabs>
        <w:ind w:left="0"/>
        <w:jc w:val="both"/>
        <w:rPr>
          <w:rFonts w:ascii="Times New Roman" w:hAnsi="Times New Roman" w:cs="Times New Roman"/>
          <w:noProof/>
        </w:rPr>
      </w:pPr>
    </w:p>
    <w:p w14:paraId="70CFB3FF" w14:textId="77777777" w:rsidR="00687285" w:rsidRPr="00687285" w:rsidRDefault="00687285" w:rsidP="00687285">
      <w:pPr>
        <w:pStyle w:val="BodyText"/>
        <w:tabs>
          <w:tab w:val="left" w:pos="1218"/>
        </w:tabs>
        <w:ind w:left="0"/>
        <w:jc w:val="both"/>
        <w:rPr>
          <w:rFonts w:ascii="Times New Roman" w:hAnsi="Times New Roman" w:cs="Times New Roman"/>
          <w:noProof/>
        </w:rPr>
      </w:pPr>
      <w:r>
        <w:rPr>
          <w:rFonts w:ascii="Times New Roman" w:hAnsi="Times New Roman"/>
        </w:rPr>
        <w:t>59. Ja personas turpmāka turēšana apcietinājumā ir pamatota ar risku, ko tā rada sabiedrībai, par ko liecina apstiprināts riska novērtēšanas instruments, dalībvalstīm tomēr jāveicina piekļuve programmām, kuru mērķis ir uzlabot rehabilitāciju un samazināt risku. Tomēr ECT ir norādījusi, ka kavēšanās piekļuvē novērtējumiem un rehabilitācijas programmām pati par sevi nepadara par nelikumīgu apcietinājuma turpināšanu saskaņā ar ECTK 5. pantu</w:t>
      </w:r>
      <w:r>
        <w:rPr>
          <w:rFonts w:ascii="Times New Roman" w:hAnsi="Times New Roman"/>
          <w:vertAlign w:val="superscript"/>
        </w:rPr>
        <w:t>[17]</w:t>
      </w:r>
      <w:r>
        <w:rPr>
          <w:rFonts w:ascii="Times New Roman" w:hAnsi="Times New Roman"/>
        </w:rPr>
        <w:t>, ja vien šāda kavēšanās nav nepamatota un ja tiek nodrošināta reāla rehabilitācijas iespēja.</w:t>
      </w:r>
    </w:p>
    <w:p w14:paraId="6B3940AF" w14:textId="77777777" w:rsidR="00687285" w:rsidRPr="00687285" w:rsidRDefault="00687285" w:rsidP="00687285">
      <w:pPr>
        <w:pStyle w:val="BodyText"/>
        <w:tabs>
          <w:tab w:val="left" w:pos="1218"/>
        </w:tabs>
        <w:ind w:left="0"/>
        <w:jc w:val="both"/>
        <w:rPr>
          <w:rFonts w:ascii="Times New Roman" w:hAnsi="Times New Roman" w:cs="Times New Roman"/>
          <w:noProof/>
        </w:rPr>
      </w:pPr>
    </w:p>
    <w:p w14:paraId="0E736DF1" w14:textId="77777777" w:rsidR="00687285" w:rsidRPr="00687285" w:rsidRDefault="00687285" w:rsidP="00687285">
      <w:pPr>
        <w:pStyle w:val="BodyText"/>
        <w:tabs>
          <w:tab w:val="left" w:pos="1218"/>
        </w:tabs>
        <w:ind w:left="0"/>
        <w:jc w:val="both"/>
        <w:rPr>
          <w:rFonts w:ascii="Times New Roman" w:hAnsi="Times New Roman" w:cs="Times New Roman"/>
          <w:noProof/>
        </w:rPr>
      </w:pPr>
      <w:r>
        <w:rPr>
          <w:rFonts w:ascii="Times New Roman" w:hAnsi="Times New Roman"/>
        </w:rPr>
        <w:t>17. noteikums</w:t>
      </w:r>
    </w:p>
    <w:p w14:paraId="7D4D6D78" w14:textId="77777777" w:rsidR="00687285" w:rsidRPr="00687285" w:rsidRDefault="00687285" w:rsidP="00687285">
      <w:pPr>
        <w:pStyle w:val="BodyText"/>
        <w:tabs>
          <w:tab w:val="left" w:pos="1218"/>
        </w:tabs>
        <w:ind w:left="0"/>
        <w:jc w:val="both"/>
        <w:rPr>
          <w:rFonts w:ascii="Times New Roman" w:eastAsia="Times New Roman" w:hAnsi="Times New Roman" w:cs="Times New Roman"/>
          <w:noProof/>
        </w:rPr>
      </w:pPr>
    </w:p>
    <w:p w14:paraId="1E6D9A45" w14:textId="77777777" w:rsidR="00687285" w:rsidRPr="00687285" w:rsidRDefault="00687285" w:rsidP="00687285">
      <w:pPr>
        <w:pStyle w:val="BodyText"/>
        <w:tabs>
          <w:tab w:val="left" w:pos="1233"/>
        </w:tabs>
        <w:ind w:left="0"/>
        <w:jc w:val="both"/>
        <w:rPr>
          <w:rFonts w:ascii="Times New Roman" w:hAnsi="Times New Roman" w:cs="Times New Roman"/>
          <w:noProof/>
        </w:rPr>
      </w:pPr>
      <w:r>
        <w:rPr>
          <w:rFonts w:ascii="Times New Roman" w:hAnsi="Times New Roman"/>
        </w:rPr>
        <w:t>60. Nosodījums no citu ieslodzīto un ieslodzījuma vietas darbinieku puses palielina iespējamību, ka personas, kas apsūdzētas vai notiesātas par noziedzīgu nodarījumu pret dzimumneaizskaramību, izrāda aizsardzības reakciju un noliedz izdarīto noziedzīgo nodarījumu. Pastāv risks, ka ieslodzītais, kas apsūdzēts vai notiesāts par noziedzīgu nodarījumu pret dzimumneaizskaramību, apspiež bažas par savu uzvedību un vajadzību pēc iejaukšanās pasākumiem, lai netiktu saukts, piemēram, par pedofilu.</w:t>
      </w:r>
    </w:p>
    <w:p w14:paraId="6DC3FE57" w14:textId="77777777" w:rsidR="00687285" w:rsidRPr="00687285" w:rsidRDefault="00687285" w:rsidP="00687285">
      <w:pPr>
        <w:jc w:val="both"/>
        <w:rPr>
          <w:rFonts w:ascii="Times New Roman" w:eastAsia="Arial" w:hAnsi="Times New Roman" w:cs="Times New Roman"/>
          <w:noProof/>
          <w:sz w:val="24"/>
          <w:szCs w:val="24"/>
        </w:rPr>
      </w:pPr>
    </w:p>
    <w:p w14:paraId="13012F11" w14:textId="77777777" w:rsidR="00687285" w:rsidRPr="00687285" w:rsidRDefault="00687285" w:rsidP="00687285">
      <w:pPr>
        <w:pStyle w:val="BodyText"/>
        <w:tabs>
          <w:tab w:val="left" w:pos="1218"/>
        </w:tabs>
        <w:ind w:left="0"/>
        <w:jc w:val="both"/>
        <w:rPr>
          <w:rFonts w:ascii="Times New Roman" w:hAnsi="Times New Roman" w:cs="Times New Roman"/>
          <w:noProof/>
        </w:rPr>
      </w:pPr>
      <w:r>
        <w:rPr>
          <w:rFonts w:ascii="Times New Roman" w:hAnsi="Times New Roman"/>
        </w:rPr>
        <w:t>61. Tādēļ personas, kas ir apsūdzētas vai notiesātas par noziedzīgu nodarījumu pret dzimumneaizskaramību, ir mazāk motivētas pieņemt rehabilitācijas pasākumus, līdz ar to var tikt kavēti mēģinājumi samazināt viņu risku atkārtoti izdarīt noziedzīgu nodarījumu. Noziedzīga nodarījuma izdarīšanas noliegšana ir izplatīta ar atbildreakciju saistīta problēma, kas negatīvi ietekmē gan attiecības ar personālu, gan personas motivāciju un spēju mainīties.</w:t>
      </w:r>
    </w:p>
    <w:p w14:paraId="2F77628A" w14:textId="77777777" w:rsidR="00687285" w:rsidRPr="00687285" w:rsidRDefault="00687285" w:rsidP="00687285">
      <w:pPr>
        <w:pStyle w:val="BodyText"/>
        <w:tabs>
          <w:tab w:val="left" w:pos="1219"/>
        </w:tabs>
        <w:ind w:left="0"/>
        <w:jc w:val="both"/>
        <w:rPr>
          <w:rFonts w:ascii="Times New Roman" w:hAnsi="Times New Roman" w:cs="Times New Roman"/>
          <w:noProof/>
        </w:rPr>
      </w:pPr>
    </w:p>
    <w:p w14:paraId="120C06ED" w14:textId="77777777" w:rsidR="00687285" w:rsidRPr="00687285" w:rsidRDefault="00687285" w:rsidP="00687285">
      <w:pPr>
        <w:pStyle w:val="BodyText"/>
        <w:tabs>
          <w:tab w:val="left" w:pos="1219"/>
        </w:tabs>
        <w:ind w:left="0"/>
        <w:jc w:val="both"/>
        <w:rPr>
          <w:rFonts w:ascii="Times New Roman" w:hAnsi="Times New Roman" w:cs="Times New Roman"/>
          <w:noProof/>
        </w:rPr>
      </w:pPr>
      <w:r>
        <w:rPr>
          <w:rFonts w:ascii="Times New Roman" w:hAnsi="Times New Roman"/>
        </w:rPr>
        <w:t>62. Šajā noteikumā uzsvērtas ieslodzītā tiesības uz drošu ieslodzījumu, kurā nav riska, ka tam varētu tikt nodarīts fizisks vai garīgs kaitējums. Minētais var ietvert risku personām nodarīt kaitējumu sev. Aizsardzības pasākumus var pozitīvi izmantot, lai novērotu un lai paaugstinātu personas motivāciju iesaistīties sociālās uzvedības korekcijas un/vai sociālās rehabilitācijas pasākumos.</w:t>
      </w:r>
    </w:p>
    <w:p w14:paraId="72726DD0" w14:textId="77777777" w:rsidR="00687285" w:rsidRPr="00687285" w:rsidRDefault="00687285" w:rsidP="00687285">
      <w:pPr>
        <w:pStyle w:val="BodyText"/>
        <w:tabs>
          <w:tab w:val="left" w:pos="1248"/>
        </w:tabs>
        <w:ind w:left="0"/>
        <w:jc w:val="both"/>
        <w:rPr>
          <w:rFonts w:ascii="Times New Roman" w:hAnsi="Times New Roman" w:cs="Times New Roman"/>
          <w:noProof/>
        </w:rPr>
      </w:pPr>
    </w:p>
    <w:p w14:paraId="2AEBBBDA" w14:textId="77777777" w:rsidR="00687285" w:rsidRPr="00687285" w:rsidRDefault="00687285" w:rsidP="00687285">
      <w:pPr>
        <w:pStyle w:val="BodyText"/>
        <w:tabs>
          <w:tab w:val="left" w:pos="1248"/>
        </w:tabs>
        <w:ind w:left="0"/>
        <w:jc w:val="both"/>
        <w:rPr>
          <w:rFonts w:ascii="Times New Roman" w:hAnsi="Times New Roman" w:cs="Times New Roman"/>
          <w:noProof/>
        </w:rPr>
      </w:pPr>
      <w:r>
        <w:rPr>
          <w:rFonts w:ascii="Times New Roman" w:hAnsi="Times New Roman"/>
        </w:rPr>
        <w:t>63. Ieslodzītie, kas apsūdzēti vai notiesāti par noziedzīgu nodarījumu pret dzimumneaizskaramību, bieži vien ir pakļauti īpašam vardarbības riskam ieslodzīto starpā. ECT ir norādījusi, ka ieslodzījuma vietu pārvaldēm “ir pienākums veikt visus pasākumus, kuru veikšanu pamatoti varētu sagaidīt, lai novērstu tādus reālus un tūlītējus riskus ieslodzīto fiziskajai neaizskaramībai, kuri iestādēm bija zināmi vai par kuriem iestādēm būtu bijis jāzina”. Tā uzskata, ka, lai preventīvs mehānisms būtu efektīvs, “tam jāļauj attiecīgajām iestādēm īpaši steidzami reaģēt samērīgi iespējamajam riskam, ar kuru saskaras attiecīgā persona”. Šāda līdzekļa neesība var izraisīt “ilgstošas bailes un ciešanas” no nenovēršamas sliktas izturēšanās un ECTK 3. panta pārkāpumu.</w:t>
      </w:r>
      <w:r>
        <w:rPr>
          <w:rFonts w:ascii="Times New Roman" w:hAnsi="Times New Roman"/>
          <w:vertAlign w:val="superscript"/>
        </w:rPr>
        <w:t>[18]</w:t>
      </w:r>
    </w:p>
    <w:p w14:paraId="30925444" w14:textId="77777777" w:rsidR="00687285" w:rsidRPr="00687285" w:rsidRDefault="00687285" w:rsidP="00687285">
      <w:pPr>
        <w:pStyle w:val="BodyText"/>
        <w:tabs>
          <w:tab w:val="left" w:pos="1219"/>
        </w:tabs>
        <w:ind w:left="0"/>
        <w:jc w:val="both"/>
        <w:rPr>
          <w:rFonts w:ascii="Times New Roman" w:hAnsi="Times New Roman" w:cs="Times New Roman"/>
          <w:noProof/>
        </w:rPr>
      </w:pPr>
    </w:p>
    <w:p w14:paraId="78B785C6" w14:textId="77777777" w:rsidR="00687285" w:rsidRPr="00687285" w:rsidRDefault="00687285" w:rsidP="00687285">
      <w:pPr>
        <w:pStyle w:val="BodyText"/>
        <w:tabs>
          <w:tab w:val="left" w:pos="1219"/>
        </w:tabs>
        <w:ind w:left="0"/>
        <w:jc w:val="both"/>
        <w:rPr>
          <w:rFonts w:ascii="Times New Roman" w:hAnsi="Times New Roman" w:cs="Times New Roman"/>
          <w:noProof/>
        </w:rPr>
      </w:pPr>
      <w:r>
        <w:rPr>
          <w:rFonts w:ascii="Times New Roman" w:hAnsi="Times New Roman"/>
        </w:rPr>
        <w:t xml:space="preserve">64. Aizsardzības pasākumu īstenošana var ietvert personas nošķiršanu no ieslodzīto kopējā kontingenta. </w:t>
      </w:r>
      <w:r>
        <w:rPr>
          <w:rFonts w:ascii="Times New Roman" w:hAnsi="Times New Roman"/>
          <w:i/>
          <w:iCs/>
        </w:rPr>
        <w:t>CPT</w:t>
      </w:r>
      <w:r>
        <w:rPr>
          <w:rFonts w:ascii="Times New Roman" w:hAnsi="Times New Roman"/>
        </w:rPr>
        <w:t xml:space="preserve"> uzskata, ka visi atsevišķu ieslodzīto nošķiršanas veidi ir jāpamato. Tā norāda, ka jebkādai nošķiršanai ir jābūt “samērīgai”, “likumīgai”, “atbildīgai”, “nepieciešamai” un “nediskriminējošai” (</w:t>
      </w:r>
      <w:r>
        <w:rPr>
          <w:rFonts w:ascii="Times New Roman" w:hAnsi="Times New Roman"/>
          <w:i/>
          <w:iCs/>
        </w:rPr>
        <w:t>PLANN</w:t>
      </w:r>
      <w:r>
        <w:rPr>
          <w:rFonts w:ascii="Times New Roman" w:hAnsi="Times New Roman"/>
        </w:rPr>
        <w:t>).</w:t>
      </w:r>
      <w:r>
        <w:rPr>
          <w:rFonts w:ascii="Times New Roman" w:hAnsi="Times New Roman"/>
          <w:vertAlign w:val="superscript"/>
        </w:rPr>
        <w:t>[19]</w:t>
      </w:r>
      <w:r>
        <w:rPr>
          <w:rFonts w:ascii="Times New Roman" w:hAnsi="Times New Roman"/>
        </w:rPr>
        <w:t xml:space="preserve"> Tā jābūt arī tad, ja kā aizsardzības pasākums izmantotā nošķiršana ir brīvprātīga. Kā norādīts Eiropas cietumu noteikumu 53.A.4. noteikumā, uz nošķirtajiem ieslodzītajiem jāattiecas tikai tiem ierobežojumiem, kas nepieciešami šādas nošķiršanas nolūka sasniegšanai. Ja nošķiršana notiek aizsardzības nolūkos, ir mazāka iespējamība, ka strikti ierobežojumi būs pamatoti, jo nolūks ir neatstāt ieslodzīto situācijā, kurā viņam varētu tikt nodarīts kaitējums, nevis neļaut viņam nodarīt kaitējumu citiem. Lai gan nošķiršana var palīdzēt samazināt šāda kaitējuma risku, izolācija pati par sevi rada atsevišķu kaitējuma risku, kas attiecīgi ir jāuzrauga un jāmazina. Eiropas cietumu noteikumu 53.A noteikumā sniegta detalizētāka informācija par prasībām, kas attiecas uz nošķirtajiem ieslodzītajiem.</w:t>
      </w:r>
    </w:p>
    <w:p w14:paraId="3393EB4D" w14:textId="77777777" w:rsidR="00687285" w:rsidRPr="00687285" w:rsidRDefault="00687285" w:rsidP="00687285">
      <w:pPr>
        <w:pStyle w:val="BodyText"/>
        <w:tabs>
          <w:tab w:val="left" w:pos="1219"/>
        </w:tabs>
        <w:ind w:left="0"/>
        <w:jc w:val="both"/>
        <w:rPr>
          <w:rFonts w:ascii="Times New Roman" w:hAnsi="Times New Roman" w:cs="Times New Roman"/>
          <w:noProof/>
        </w:rPr>
      </w:pPr>
    </w:p>
    <w:p w14:paraId="4CB6B1E1" w14:textId="77777777" w:rsidR="00687285" w:rsidRPr="00687285" w:rsidRDefault="00687285" w:rsidP="00687285">
      <w:pPr>
        <w:pStyle w:val="BodyText"/>
        <w:tabs>
          <w:tab w:val="left" w:pos="1248"/>
        </w:tabs>
        <w:ind w:left="0"/>
        <w:jc w:val="both"/>
        <w:rPr>
          <w:rFonts w:ascii="Times New Roman" w:hAnsi="Times New Roman" w:cs="Times New Roman"/>
          <w:noProof/>
        </w:rPr>
      </w:pPr>
      <w:r>
        <w:rPr>
          <w:rFonts w:ascii="Times New Roman" w:hAnsi="Times New Roman"/>
        </w:rPr>
        <w:t xml:space="preserve">65. Tāpēc ir svarīgi, lai persona, kas apsūdzēta vai notiesāta par noziedzīgu nodarījumu pret dzimumneaizskaramību, netiktu nepamatoti izolēta no citiem ieslodzītajiem vai tai bez vajadzības netiktu liegts piedalīties noteiktās aktivitātēs kopā ar citiem ieslodzītajiem. Kā norādīts Eiropas cietumu noteikumu 53.A noteikumā, ikvienai nošķirtai personai ir jāpiedāvā vismaz divas stundas jēgpilnas saskarsmes ar cilvēkiem dienā. Ja aizsardzības līdzeklis ir ilgstoša personas nošķiršana, </w:t>
      </w:r>
      <w:r>
        <w:rPr>
          <w:rFonts w:ascii="Times New Roman" w:hAnsi="Times New Roman"/>
          <w:i/>
          <w:iCs/>
        </w:rPr>
        <w:t>CPT</w:t>
      </w:r>
      <w:r>
        <w:rPr>
          <w:rFonts w:ascii="Times New Roman" w:hAnsi="Times New Roman"/>
        </w:rPr>
        <w:t xml:space="preserve"> ir uzsvērusi, ka jāpieliek īpašas pūles, lai uzlabotu soda izpildes pasākumus ieslodzījuma vietā.</w:t>
      </w:r>
      <w:r>
        <w:rPr>
          <w:rFonts w:ascii="Times New Roman" w:hAnsi="Times New Roman"/>
          <w:vertAlign w:val="superscript"/>
        </w:rPr>
        <w:t>[20]</w:t>
      </w:r>
    </w:p>
    <w:p w14:paraId="17D2D477" w14:textId="77777777" w:rsidR="00687285" w:rsidRPr="00687285" w:rsidRDefault="00687285" w:rsidP="00687285">
      <w:pPr>
        <w:pStyle w:val="BodyText"/>
        <w:tabs>
          <w:tab w:val="left" w:pos="1219"/>
        </w:tabs>
        <w:ind w:left="0"/>
        <w:jc w:val="both"/>
        <w:rPr>
          <w:rFonts w:ascii="Times New Roman" w:hAnsi="Times New Roman" w:cs="Times New Roman"/>
          <w:noProof/>
        </w:rPr>
      </w:pPr>
    </w:p>
    <w:p w14:paraId="0E2D96E6" w14:textId="77777777" w:rsidR="00687285" w:rsidRPr="00687285" w:rsidRDefault="00687285" w:rsidP="00687285">
      <w:pPr>
        <w:pStyle w:val="BodyText"/>
        <w:tabs>
          <w:tab w:val="left" w:pos="1219"/>
        </w:tabs>
        <w:ind w:left="0"/>
        <w:jc w:val="both"/>
        <w:rPr>
          <w:rFonts w:ascii="Times New Roman" w:hAnsi="Times New Roman" w:cs="Times New Roman"/>
          <w:noProof/>
        </w:rPr>
      </w:pPr>
      <w:r>
        <w:rPr>
          <w:rFonts w:ascii="Times New Roman" w:hAnsi="Times New Roman"/>
        </w:rPr>
        <w:t xml:space="preserve">66. ECT ir atzinusi, ka “Ieslodzītā pārvietošana no kameras, kurā viņš ir bijis pakļauts draudiem, noteikti ir piemērots un vismaz īstermiņā atbilstošs pasākums”. Tomēr Tiesa ir uzsvērusi, ka “ja šādas pārvietošanas notiek bieži un regulāri bez jebkāda skaidri noteikta mērķa”, tad tas ir pretrunā ar principu aizsargāt mazāk aizsargātus ieslodzītos no kopējā ieslodzīto kontingenta. Jebkurā gadījumā īpašo aizsardzības pasākumu piemērošana nedrīkst </w:t>
      </w:r>
      <w:r>
        <w:rPr>
          <w:rFonts w:ascii="Times New Roman" w:hAnsi="Times New Roman"/>
        </w:rPr>
        <w:lastRenderedPageBreak/>
        <w:t>izraisīt nepamatotu un ilgstošu turēšanu vienieslodzījuma kamerā.</w:t>
      </w:r>
      <w:r>
        <w:rPr>
          <w:rFonts w:ascii="Times New Roman" w:hAnsi="Times New Roman"/>
          <w:vertAlign w:val="superscript"/>
        </w:rPr>
        <w:t>[21]</w:t>
      </w:r>
    </w:p>
    <w:p w14:paraId="0602BBD7" w14:textId="77777777" w:rsidR="00687285" w:rsidRPr="00687285" w:rsidRDefault="00687285" w:rsidP="00687285">
      <w:pPr>
        <w:pStyle w:val="BodyText"/>
        <w:ind w:left="0"/>
        <w:jc w:val="both"/>
        <w:rPr>
          <w:rFonts w:ascii="Times New Roman" w:hAnsi="Times New Roman" w:cs="Times New Roman"/>
          <w:noProof/>
        </w:rPr>
      </w:pPr>
    </w:p>
    <w:p w14:paraId="31ECE91E" w14:textId="77777777" w:rsidR="00687285" w:rsidRPr="00687285" w:rsidRDefault="00687285" w:rsidP="00687285">
      <w:pPr>
        <w:pStyle w:val="BodyText"/>
        <w:ind w:left="0"/>
        <w:jc w:val="both"/>
        <w:rPr>
          <w:rFonts w:ascii="Times New Roman" w:hAnsi="Times New Roman" w:cs="Times New Roman"/>
          <w:noProof/>
        </w:rPr>
      </w:pPr>
      <w:r>
        <w:rPr>
          <w:rFonts w:ascii="Times New Roman" w:hAnsi="Times New Roman"/>
        </w:rPr>
        <w:t>18. noteikums</w:t>
      </w:r>
    </w:p>
    <w:p w14:paraId="68B7FEB6" w14:textId="77777777" w:rsidR="00687285" w:rsidRPr="00687285" w:rsidRDefault="00687285" w:rsidP="00687285">
      <w:pPr>
        <w:pStyle w:val="BodyText"/>
        <w:tabs>
          <w:tab w:val="left" w:pos="1219"/>
        </w:tabs>
        <w:ind w:left="0"/>
        <w:jc w:val="both"/>
        <w:rPr>
          <w:rFonts w:ascii="Times New Roman" w:hAnsi="Times New Roman" w:cs="Times New Roman"/>
          <w:noProof/>
        </w:rPr>
      </w:pPr>
    </w:p>
    <w:p w14:paraId="75B36BA6" w14:textId="77777777" w:rsidR="00687285" w:rsidRPr="00687285" w:rsidRDefault="00687285" w:rsidP="00687285">
      <w:pPr>
        <w:pStyle w:val="BodyText"/>
        <w:tabs>
          <w:tab w:val="left" w:pos="1219"/>
        </w:tabs>
        <w:ind w:left="0"/>
        <w:jc w:val="both"/>
        <w:rPr>
          <w:rFonts w:ascii="Times New Roman" w:hAnsi="Times New Roman" w:cs="Times New Roman"/>
          <w:noProof/>
        </w:rPr>
      </w:pPr>
      <w:r>
        <w:rPr>
          <w:rFonts w:ascii="Times New Roman" w:hAnsi="Times New Roman"/>
        </w:rPr>
        <w:t>67. Šajā noteikumā uzsvērts, ka darbs atbalsta sniegšanai un atturēšanai no noziegumu izdarīšanas jāsāk līdz ar soda izpildes pasākumu plānu, kas ir spēkā no personas ieslodzījuma sākuma (skatīt 7. noteikumu), kur: 1) tiek novērtēti personas riski, vajadzības un resursi; 2) ir pieejami iejaukšanās pasākumi (ieslodzījuma vietā un/vai sabiedrībā); 3) tiek identificēti kompetenti un atbildīgi darbinieki, kas tiek iesaistīti agrīnā posmā; 4) sociālās uzvedības korekcijas / sociālās rehabilitācijas pasākumu plāns ir saskaņots ar iesaistīto probācijas dienestu un 5) neviens pakalpojuma sniedzējs nepārtrauc ar lietu saistīto darbu, pirms kāds cits nav pārņēmis preventīvo darbu, vienlaikus nodrošinot personas tiesības.</w:t>
      </w:r>
    </w:p>
    <w:p w14:paraId="7F35AFD8" w14:textId="77777777" w:rsidR="00687285" w:rsidRPr="00687285" w:rsidRDefault="00687285" w:rsidP="00687285">
      <w:pPr>
        <w:jc w:val="both"/>
        <w:rPr>
          <w:rFonts w:ascii="Times New Roman" w:eastAsia="Arial" w:hAnsi="Times New Roman" w:cs="Times New Roman"/>
          <w:noProof/>
          <w:sz w:val="24"/>
          <w:szCs w:val="24"/>
        </w:rPr>
      </w:pPr>
    </w:p>
    <w:p w14:paraId="49A7EB14" w14:textId="77777777" w:rsidR="00687285" w:rsidRPr="00687285" w:rsidRDefault="00687285" w:rsidP="00687285">
      <w:pPr>
        <w:pStyle w:val="BodyText"/>
        <w:tabs>
          <w:tab w:val="left" w:pos="1219"/>
        </w:tabs>
        <w:ind w:left="0"/>
        <w:jc w:val="both"/>
        <w:rPr>
          <w:rFonts w:ascii="Times New Roman" w:hAnsi="Times New Roman" w:cs="Times New Roman"/>
          <w:noProof/>
        </w:rPr>
      </w:pPr>
      <w:r>
        <w:rPr>
          <w:rFonts w:ascii="Times New Roman" w:hAnsi="Times New Roman"/>
        </w:rPr>
        <w:t>68. Vainas atzīšanai nav obligāti jābūt priekšnoteikumam, lai piedalītos sociālās uzvedības korekcijas un/vai sociālās rehabilitācijas pasākumos (skat. 6. noteikumu). Personu, kas apsūdzētas vai notiesātas par noziedzīgu nodarījumu pret dzimumneaizskaramību, noliegšana ir izplatīta daļēji aizspriedumu dēļ. Personas spēja mācīties no sociālās uzvedības korekcijas un/vai sociālās rehabilitācijas pasākumiem ir jāpalielina, pielāgojot sociālās uzvedības korekcijas un/vai sociālās rehabilitācijas pasākumus personas mācīšanās stilam, motivācijai, spējām un stiprajām pusēm. Noliegšanas mazināšana un atbildības veicināšana ir jāizvirza kā terapeitiskie mērķi.</w:t>
      </w:r>
    </w:p>
    <w:p w14:paraId="49F2309D" w14:textId="77777777" w:rsidR="00687285" w:rsidRPr="00687285" w:rsidRDefault="00687285" w:rsidP="00687285">
      <w:pPr>
        <w:pStyle w:val="BodyText"/>
        <w:tabs>
          <w:tab w:val="left" w:pos="1219"/>
        </w:tabs>
        <w:ind w:left="0"/>
        <w:jc w:val="both"/>
        <w:rPr>
          <w:rFonts w:ascii="Times New Roman" w:hAnsi="Times New Roman" w:cs="Times New Roman"/>
          <w:noProof/>
        </w:rPr>
      </w:pPr>
    </w:p>
    <w:p w14:paraId="6B3FC269" w14:textId="77777777" w:rsidR="00687285" w:rsidRPr="00687285" w:rsidRDefault="00687285" w:rsidP="00687285">
      <w:pPr>
        <w:pStyle w:val="BodyText"/>
        <w:tabs>
          <w:tab w:val="left" w:pos="1219"/>
        </w:tabs>
        <w:ind w:left="0"/>
        <w:jc w:val="both"/>
        <w:rPr>
          <w:rFonts w:ascii="Times New Roman" w:hAnsi="Times New Roman" w:cs="Times New Roman"/>
          <w:noProof/>
        </w:rPr>
      </w:pPr>
      <w:r>
        <w:rPr>
          <w:rFonts w:ascii="Times New Roman" w:hAnsi="Times New Roman"/>
        </w:rPr>
        <w:t>69. Sociālās uzvedības korekcijas un/vai sociālās rehabilitācijas pasākumi jāplāno atbilstoši noteiktajam personas riska līmenim, un intensīvākas programmas jāpiemēro tikai personām ar augstāku risku (skat. 5. noteikumu). Iejaukšanās pasākumiem jābūt vērstiem uz personas riskiem un vajadzībām.</w:t>
      </w:r>
    </w:p>
    <w:p w14:paraId="08122C03" w14:textId="77777777" w:rsidR="00687285" w:rsidRPr="00687285" w:rsidRDefault="00687285" w:rsidP="00687285">
      <w:pPr>
        <w:pStyle w:val="BodyText"/>
        <w:tabs>
          <w:tab w:val="left" w:pos="1219"/>
        </w:tabs>
        <w:ind w:left="0"/>
        <w:jc w:val="both"/>
        <w:rPr>
          <w:rFonts w:ascii="Times New Roman" w:hAnsi="Times New Roman" w:cs="Times New Roman"/>
          <w:noProof/>
        </w:rPr>
      </w:pPr>
    </w:p>
    <w:p w14:paraId="3C2F17ED" w14:textId="77777777" w:rsidR="00687285" w:rsidRPr="00687285" w:rsidRDefault="00687285" w:rsidP="00687285">
      <w:pPr>
        <w:pStyle w:val="BodyText"/>
        <w:tabs>
          <w:tab w:val="left" w:pos="1219"/>
        </w:tabs>
        <w:ind w:left="0"/>
        <w:jc w:val="both"/>
        <w:rPr>
          <w:rFonts w:ascii="Times New Roman" w:hAnsi="Times New Roman" w:cs="Times New Roman"/>
          <w:noProof/>
        </w:rPr>
      </w:pPr>
      <w:r>
        <w:rPr>
          <w:rFonts w:ascii="Times New Roman" w:hAnsi="Times New Roman"/>
        </w:rPr>
        <w:t xml:space="preserve">70. Sociālās uzvedības korekcijas un/vai sociālās rehabilitācijas pasākumiem jābalstās uz pierādījumiem, jābūt samērīgiem un tie nedrīkst būt necilvēcīgi vai pazemojoši (skat. 5. noteikumu). Lai gan, pieņemot lēmumus par pirmstermiņa atbrīvošanu, jāņem vērā piedalīšanās jebkuros sociālās uzvedības korekcijas un/vai sociālās rehabilitācijas pasākumos, kā uzsvērts šajā noteikumā, </w:t>
      </w:r>
      <w:r>
        <w:rPr>
          <w:rFonts w:ascii="Times New Roman" w:hAnsi="Times New Roman"/>
          <w:i/>
          <w:iCs/>
        </w:rPr>
        <w:t>CPT</w:t>
      </w:r>
      <w:r>
        <w:rPr>
          <w:rFonts w:ascii="Times New Roman" w:hAnsi="Times New Roman"/>
        </w:rPr>
        <w:t xml:space="preserve"> arī ir uzsvērusi, ka ķīmiskās kastrācijas terapijas pabeigšana “nedrīkst būt vispārējs nosacījums dzimumnoziegumu izdarītāju atbrīvošanai bet (..) tā ir jāizmanto pamatojoties uz individuālu novērtējumu atlasītajām personām”.</w:t>
      </w:r>
      <w:r>
        <w:rPr>
          <w:rFonts w:ascii="Times New Roman" w:hAnsi="Times New Roman"/>
          <w:vertAlign w:val="superscript"/>
        </w:rPr>
        <w:t>[22]</w:t>
      </w:r>
    </w:p>
    <w:p w14:paraId="75B5B8B5" w14:textId="77777777" w:rsidR="00687285" w:rsidRPr="00687285" w:rsidRDefault="00687285" w:rsidP="00687285">
      <w:pPr>
        <w:tabs>
          <w:tab w:val="left" w:pos="1146"/>
        </w:tabs>
        <w:jc w:val="both"/>
        <w:rPr>
          <w:rFonts w:ascii="Times New Roman" w:hAnsi="Times New Roman" w:cs="Times New Roman"/>
          <w:b/>
          <w:noProof/>
          <w:sz w:val="24"/>
          <w:szCs w:val="24"/>
        </w:rPr>
      </w:pPr>
    </w:p>
    <w:p w14:paraId="577C013F" w14:textId="77777777" w:rsidR="00687285" w:rsidRPr="00687285" w:rsidRDefault="00687285" w:rsidP="00687285">
      <w:pPr>
        <w:tabs>
          <w:tab w:val="left" w:pos="1146"/>
        </w:tabs>
        <w:jc w:val="both"/>
        <w:rPr>
          <w:rFonts w:ascii="Times New Roman" w:hAnsi="Times New Roman" w:cs="Times New Roman"/>
          <w:b/>
          <w:noProof/>
          <w:sz w:val="24"/>
          <w:szCs w:val="24"/>
        </w:rPr>
      </w:pPr>
      <w:r>
        <w:rPr>
          <w:rFonts w:ascii="Times New Roman" w:hAnsi="Times New Roman"/>
          <w:b/>
          <w:sz w:val="24"/>
        </w:rPr>
        <w:t>V. PĀRVALDĪBA, SOCIĀLĀS UZVEDĪBAS KOREKCIJAS UN SOCIĀLĀS REHABILITĀCIJAS PASĀKUMI PROBĀCIJAS LAIKĀ</w:t>
      </w:r>
    </w:p>
    <w:p w14:paraId="4B48B3B7" w14:textId="77777777" w:rsidR="00687285" w:rsidRPr="00687285" w:rsidRDefault="00687285" w:rsidP="00687285">
      <w:pPr>
        <w:jc w:val="both"/>
        <w:rPr>
          <w:rFonts w:ascii="Times New Roman" w:eastAsia="Arial" w:hAnsi="Times New Roman" w:cs="Times New Roman"/>
          <w:noProof/>
          <w:sz w:val="24"/>
          <w:szCs w:val="24"/>
        </w:rPr>
      </w:pPr>
    </w:p>
    <w:p w14:paraId="3F23478D" w14:textId="77777777" w:rsidR="00687285" w:rsidRPr="00687285" w:rsidRDefault="00687285" w:rsidP="00687285">
      <w:pPr>
        <w:pStyle w:val="BodyText"/>
        <w:tabs>
          <w:tab w:val="left" w:pos="1248"/>
        </w:tabs>
        <w:ind w:left="0"/>
        <w:jc w:val="both"/>
        <w:rPr>
          <w:rFonts w:ascii="Times New Roman" w:hAnsi="Times New Roman" w:cs="Times New Roman"/>
          <w:noProof/>
        </w:rPr>
      </w:pPr>
      <w:r>
        <w:rPr>
          <w:rFonts w:ascii="Times New Roman" w:hAnsi="Times New Roman"/>
        </w:rPr>
        <w:t>71. Ne visiem, kas notiesāti par noziedzīgu nodarījumu pret dzimumneaizskaramību, nekavējoties tiek piespriesta brīvības atņemšana. Tā vietā dažas personas, kas notiesātas par noziedzīgu nodarījumu pret dzimumneaizskaramību, tiek pārvaldītas tikai sabiedrībā, izmantojot probācijas vai līdzvērtīgus pakalpojumus. Pat ja kāds izcieš brīvības atņemšanas sodu, pēc tā var sekot periods uzraudzībai sabiedrībā. Dažās dalībvalstīs probācijas dienesti arī uzrauga un palīdz personām, kuras vēl nav notiesātas. Neatkarīgi no tā, vai persona pēc ieslodzījuma vietas nonāk probācijā vai ne, probācijas loma nemainās.</w:t>
      </w:r>
    </w:p>
    <w:p w14:paraId="477CBE6B" w14:textId="77777777" w:rsidR="00687285" w:rsidRPr="00687285" w:rsidRDefault="00687285" w:rsidP="00687285">
      <w:pPr>
        <w:pStyle w:val="BodyText"/>
        <w:tabs>
          <w:tab w:val="left" w:pos="1219"/>
        </w:tabs>
        <w:ind w:left="0"/>
        <w:jc w:val="both"/>
        <w:rPr>
          <w:rFonts w:ascii="Times New Roman" w:hAnsi="Times New Roman" w:cs="Times New Roman"/>
          <w:noProof/>
        </w:rPr>
      </w:pPr>
    </w:p>
    <w:p w14:paraId="17A1F2AE" w14:textId="77777777" w:rsidR="00687285" w:rsidRPr="00687285" w:rsidRDefault="00687285" w:rsidP="00687285">
      <w:pPr>
        <w:pStyle w:val="BodyText"/>
        <w:tabs>
          <w:tab w:val="left" w:pos="1219"/>
        </w:tabs>
        <w:ind w:left="0"/>
        <w:jc w:val="both"/>
        <w:rPr>
          <w:rFonts w:ascii="Times New Roman" w:hAnsi="Times New Roman" w:cs="Times New Roman"/>
          <w:noProof/>
        </w:rPr>
      </w:pPr>
      <w:r>
        <w:rPr>
          <w:rFonts w:ascii="Times New Roman" w:hAnsi="Times New Roman"/>
        </w:rPr>
        <w:t xml:space="preserve">72. Personai, kas notiesāta par noziedzīgu nodarījumu pret dzimumneaizskaramību un atrodas probācijas uzraudzībā, var tikt piemērots sabiedrībā izciešams sods vai drošības līdzeklis bez iepriekšēja ieslodzījuma vai arī vispirms var tikt piemērots brīvības atņemšanas sods. Probācijas vai līdzvērtīgu dienestu uzdevums ir uzraudzīt un palīdzēt veicināt sociāli </w:t>
      </w:r>
      <w:r>
        <w:rPr>
          <w:rFonts w:ascii="Times New Roman" w:hAnsi="Times New Roman"/>
        </w:rPr>
        <w:lastRenderedPageBreak/>
        <w:t>labvēlīgas pārmaiņas personām, kas notiesātas par noziedzīgu nodarījumu pret dzimumneaizskaramību, un reintegrēt tās sabiedrībā, jo īpaši, ja tām piemērots brīvības atņemšanas sods. Tāpēc probācija pilda gan sabiedrības aizsardzības, gan likumpārkāpēju pārvaldības funkciju. Sociālās uzvedības korekcijas un/vai sociālās rehabilitācijas pasākumi ir būtisks veids, kā samazināt atkārtota noziedzīga nodarījuma izdarīšanas risku, kā arī uzlabot to personu sociālo reintegrāciju, kas notiesātas par noziedzīgu nodarījumu pret dzimumneaizskaramību. Personām, kas notiesātas par noziedzīgu nodarījumu pret dzimumneaizskaramību, potenciāli pastāv risks izdarīt gan noziedzīgu nodarījumu, kas nav saistīts ar dzimumneaizskaramību, gan noziedzīgu nodarījumu pret dzimumneaizskaramību. Probācijas dienestam, kas pārvalda šādas personas, ir aktīva loma atbilstošu sociālās uzvedības korekcijas un/vai sociālās rehabilitācijas pasākumu ieteikšanā un veicināšanā, pamatojoties uz individuālām vajadzībām un tās risinot, lai šādas personas varētu atturēties no noziedzības.</w:t>
      </w:r>
    </w:p>
    <w:p w14:paraId="3AE7AE97" w14:textId="77777777" w:rsidR="00687285" w:rsidRPr="00687285" w:rsidRDefault="00687285" w:rsidP="00687285">
      <w:pPr>
        <w:pStyle w:val="BodyText"/>
        <w:ind w:left="0"/>
        <w:jc w:val="both"/>
        <w:rPr>
          <w:rFonts w:ascii="Times New Roman" w:hAnsi="Times New Roman" w:cs="Times New Roman"/>
          <w:noProof/>
        </w:rPr>
      </w:pPr>
    </w:p>
    <w:p w14:paraId="6521A53B" w14:textId="77777777" w:rsidR="00687285" w:rsidRPr="00687285" w:rsidRDefault="00687285" w:rsidP="00687285">
      <w:pPr>
        <w:pStyle w:val="BodyText"/>
        <w:ind w:left="0"/>
        <w:jc w:val="both"/>
        <w:rPr>
          <w:rFonts w:ascii="Times New Roman" w:hAnsi="Times New Roman" w:cs="Times New Roman"/>
          <w:noProof/>
        </w:rPr>
      </w:pPr>
      <w:r>
        <w:rPr>
          <w:rFonts w:ascii="Times New Roman" w:hAnsi="Times New Roman"/>
        </w:rPr>
        <w:t>19. noteikums</w:t>
      </w:r>
    </w:p>
    <w:p w14:paraId="56CCA21F" w14:textId="77777777" w:rsidR="00687285" w:rsidRPr="00687285" w:rsidRDefault="00687285" w:rsidP="00687285">
      <w:pPr>
        <w:pStyle w:val="BodyText"/>
        <w:tabs>
          <w:tab w:val="left" w:pos="1248"/>
        </w:tabs>
        <w:ind w:left="0"/>
        <w:jc w:val="both"/>
        <w:rPr>
          <w:rFonts w:ascii="Times New Roman" w:hAnsi="Times New Roman" w:cs="Times New Roman"/>
          <w:noProof/>
        </w:rPr>
      </w:pPr>
    </w:p>
    <w:p w14:paraId="0374695D" w14:textId="77777777" w:rsidR="00687285" w:rsidRPr="00687285" w:rsidRDefault="00687285" w:rsidP="00687285">
      <w:pPr>
        <w:pStyle w:val="BodyText"/>
        <w:tabs>
          <w:tab w:val="left" w:pos="1248"/>
        </w:tabs>
        <w:ind w:left="0"/>
        <w:jc w:val="both"/>
        <w:rPr>
          <w:rFonts w:ascii="Times New Roman" w:hAnsi="Times New Roman" w:cs="Times New Roman"/>
          <w:noProof/>
        </w:rPr>
      </w:pPr>
      <w:r>
        <w:rPr>
          <w:rFonts w:ascii="Times New Roman" w:hAnsi="Times New Roman"/>
        </w:rPr>
        <w:t>73. 19. noteikums darbojas kopā ar 18. noteikumu, uzsverot, cik svarīgi ir izstrādāt riska vadības plānus attiecīgo tiesību aktu un politikas kontekstā, lai persona, kurai piemērota probācija, nejauši nepārkāptu nosacījumus vai netiktu atkārtoti ievietota ieslodzījumā aizmuguriski. Šā noteikuma mērķis ir pārliecināties, ka personu riska vadības plāni nodrošina viņiem vislabāko iespēju dzīvot, neizdarot noziedzīgus nodarījumus. Koncentrēšanās uz esošajiem ierobežojumiem jo īpaši nozīmē uzmanības pievēršanu noteikumiem, kas ierobežo par noziedzīgu nodarījumu pret dzimumneaizskaramību notiesātas personas pārvietošanos, nodarbinātību vai mājvietu, pienācīgi ņemot vērā cietušo, lai izvairītos no turpmākas viktimizācijas. Tas ir īpaši svarīgi personas brīvības atņemšanas soda izciešanas termiņa beigās, jo probācijas dienestam ir izšķirošā loma, palīdzot personu sagatavot pārejai atpakaļ uz sabiedrību, kas var izrādīties sarežģīta un ko var būtiski ietekmēt vietējie dienesti, kas personai ir pieejami. Šis noteikums lasāms, ņemot vērā 7. noteikumu par individuāliem sodu izpildes pasākumu plāniem.</w:t>
      </w:r>
    </w:p>
    <w:p w14:paraId="23FAD00E" w14:textId="77777777" w:rsidR="00687285" w:rsidRPr="00687285" w:rsidRDefault="00687285" w:rsidP="00687285">
      <w:pPr>
        <w:pStyle w:val="BodyText"/>
        <w:tabs>
          <w:tab w:val="left" w:pos="1219"/>
        </w:tabs>
        <w:ind w:left="0"/>
        <w:jc w:val="both"/>
        <w:rPr>
          <w:rFonts w:ascii="Times New Roman" w:hAnsi="Times New Roman" w:cs="Times New Roman"/>
          <w:noProof/>
        </w:rPr>
      </w:pPr>
    </w:p>
    <w:p w14:paraId="680C768F" w14:textId="77777777" w:rsidR="00687285" w:rsidRPr="00687285" w:rsidRDefault="00687285" w:rsidP="00687285">
      <w:pPr>
        <w:pStyle w:val="BodyText"/>
        <w:tabs>
          <w:tab w:val="left" w:pos="1219"/>
        </w:tabs>
        <w:ind w:left="0"/>
        <w:jc w:val="both"/>
        <w:rPr>
          <w:rFonts w:ascii="Times New Roman" w:hAnsi="Times New Roman" w:cs="Times New Roman"/>
          <w:noProof/>
        </w:rPr>
      </w:pPr>
      <w:r>
        <w:rPr>
          <w:rFonts w:ascii="Times New Roman" w:hAnsi="Times New Roman"/>
        </w:rPr>
        <w:t>74. Vairāku iestāžu darbam ar personām, kas notiesātas par noziedzīgu nodarījumu pret dzimumneaizskaramību, tām atrodoties sabiedrībā, ir nepieciešama atbilstoša politika, saziņas iespējas un atbildība. Ir nepieciešami apstiprināti standarti darbam ar personām, kam ir dažādi riska līmeņi, jo no tā ir atkarīga iestāžu sadarbības intensitāte un apmērs. Tas uzsver 3., 5., 16. un 17. noteikumu, atzīstot, ka visām attiecīgajām iestādēm un trešajām pusēm jābūt atbilstošai politikai, saziņas iespējām un atbildībai. Iestāžu sadarbības intensitāte un apmērs ir atkarīgs no personas riska līmeņa; un ir ieteicams, lai komandām, ko veido vairākas iestādes, būtu kodificēti standarti darbam ar personām, kam ir dažādi riska līmeņi, šajos standartos izmantojot kopīgu terminoloģiju un ietverot vizīšu skaita samazināšanu, kopīgās uzraudzības ilgumu, atbildīgo/vadošo iestādi un rezerves plānus. Visi izmantojamie standarti un terminoloģija ir jāizstrādā sadarbojoties, tie ir jāsaskaņo, jāpieraksta, tiem jābūt piekļūstamiem un publiski pieejamiem attiecīgajā jurisdikcijā.</w:t>
      </w:r>
    </w:p>
    <w:p w14:paraId="412D451C" w14:textId="77777777" w:rsidR="00687285" w:rsidRPr="00687285" w:rsidRDefault="00687285" w:rsidP="00687285">
      <w:pPr>
        <w:pStyle w:val="BodyText"/>
        <w:ind w:left="0"/>
        <w:jc w:val="both"/>
        <w:rPr>
          <w:rFonts w:ascii="Times New Roman" w:hAnsi="Times New Roman" w:cs="Times New Roman"/>
          <w:noProof/>
        </w:rPr>
      </w:pPr>
    </w:p>
    <w:p w14:paraId="00C11200" w14:textId="77777777" w:rsidR="00687285" w:rsidRPr="00687285" w:rsidRDefault="00687285" w:rsidP="00687285">
      <w:pPr>
        <w:pStyle w:val="BodyText"/>
        <w:ind w:left="0"/>
        <w:jc w:val="both"/>
        <w:rPr>
          <w:rFonts w:ascii="Times New Roman" w:hAnsi="Times New Roman" w:cs="Times New Roman"/>
          <w:noProof/>
        </w:rPr>
      </w:pPr>
      <w:r>
        <w:rPr>
          <w:rFonts w:ascii="Times New Roman" w:hAnsi="Times New Roman"/>
        </w:rPr>
        <w:t>20. noteikums</w:t>
      </w:r>
    </w:p>
    <w:p w14:paraId="09DC40C7" w14:textId="77777777" w:rsidR="00687285" w:rsidRPr="00687285" w:rsidRDefault="00687285" w:rsidP="00687285">
      <w:pPr>
        <w:pStyle w:val="BodyText"/>
        <w:tabs>
          <w:tab w:val="left" w:pos="1219"/>
        </w:tabs>
        <w:ind w:left="0"/>
        <w:jc w:val="both"/>
        <w:rPr>
          <w:rFonts w:ascii="Times New Roman" w:hAnsi="Times New Roman" w:cs="Times New Roman"/>
          <w:noProof/>
        </w:rPr>
      </w:pPr>
    </w:p>
    <w:p w14:paraId="61ADBD4D" w14:textId="77777777" w:rsidR="00687285" w:rsidRPr="00687285" w:rsidRDefault="00687285" w:rsidP="00687285">
      <w:pPr>
        <w:pStyle w:val="BodyText"/>
        <w:tabs>
          <w:tab w:val="left" w:pos="1219"/>
        </w:tabs>
        <w:ind w:left="0"/>
        <w:jc w:val="both"/>
        <w:rPr>
          <w:rFonts w:ascii="Times New Roman" w:hAnsi="Times New Roman" w:cs="Times New Roman"/>
          <w:noProof/>
        </w:rPr>
      </w:pPr>
      <w:r>
        <w:rPr>
          <w:rFonts w:ascii="Times New Roman" w:hAnsi="Times New Roman"/>
        </w:rPr>
        <w:t xml:space="preserve">75. Šis noteikums uzsver to personu atbildību, kas pārrauga personas riska vadību. Ja notiek izmaiņas probācijas personāla sastāvā un/vai persona, kas ir probācijas uzraudzībā, pārceļas uz dzīvi citur, ir jānodod informācija un dokumentācija, nodrošinot pārskatāmību. Tā ir laba prakse, un tam jānotiek saskaņā ar spēkā esošajām ieslodzījuma vietu un probācijas vadlīnijām. Šis noteikums vēl vairāk uzsver, cik svarīgi, lai komanda, kas strādā ar personu, </w:t>
      </w:r>
      <w:r>
        <w:rPr>
          <w:rFonts w:ascii="Times New Roman" w:hAnsi="Times New Roman"/>
        </w:rPr>
        <w:lastRenderedPageBreak/>
        <w:t>būtu daudzdisciplināra, un tā var ietvert tiesībsargājošās iestādes, sociālās aprūpes un sociālās labklājības iestādes, veselības organizācijas un attiecīgās labdarības organizācijas.</w:t>
      </w:r>
    </w:p>
    <w:p w14:paraId="6144225A" w14:textId="77777777" w:rsidR="00687285" w:rsidRPr="00687285" w:rsidRDefault="00687285" w:rsidP="00687285">
      <w:pPr>
        <w:pStyle w:val="BodyText"/>
        <w:tabs>
          <w:tab w:val="left" w:pos="1219"/>
        </w:tabs>
        <w:ind w:left="0"/>
        <w:jc w:val="both"/>
        <w:rPr>
          <w:rFonts w:ascii="Times New Roman" w:hAnsi="Times New Roman" w:cs="Times New Roman"/>
          <w:noProof/>
        </w:rPr>
      </w:pPr>
    </w:p>
    <w:p w14:paraId="0DE6C418" w14:textId="77777777" w:rsidR="00687285" w:rsidRPr="00687285" w:rsidRDefault="00687285" w:rsidP="00687285">
      <w:pPr>
        <w:pStyle w:val="BodyText"/>
        <w:tabs>
          <w:tab w:val="left" w:pos="1219"/>
        </w:tabs>
        <w:ind w:left="0"/>
        <w:jc w:val="both"/>
        <w:rPr>
          <w:rFonts w:ascii="Times New Roman" w:hAnsi="Times New Roman" w:cs="Times New Roman"/>
          <w:noProof/>
        </w:rPr>
      </w:pPr>
      <w:r>
        <w:rPr>
          <w:rFonts w:ascii="Times New Roman" w:hAnsi="Times New Roman"/>
        </w:rPr>
        <w:t>76. Šā noteikuma mērķis ir arī uzsvērt profesionālas un savlaicīgas prakses nozīmi darbā ar personām, kas apsūdzētas vai notiesātas par noziedzīgu nodarījumu pret dzimumneaizskaramību. Personām, kas apsūdzētas vai notiesātas par noziedzīgu nodarījumu pret dzimumneaizskaramību, jāpiemēro tādas pašas procedūras un pret tām jāizturas ar tādu pašu rūpību kā pret citām personām, kas ir probācijas dienesta pārraudzībā vai uzraudzībā. Tāpat kā visām personām, kas ir probācijas personāla pārraudzībā, jābūt skaidrām vadlīnijām par procedūrām, etiķeti un vadlīnijām, kā reaģēt problemātisku tikšanos vai klientu gadījumā.</w:t>
      </w:r>
    </w:p>
    <w:p w14:paraId="68FD87AF" w14:textId="77777777" w:rsidR="00687285" w:rsidRPr="00687285" w:rsidRDefault="00687285" w:rsidP="00687285">
      <w:pPr>
        <w:pStyle w:val="BodyText"/>
        <w:ind w:left="0"/>
        <w:jc w:val="both"/>
        <w:rPr>
          <w:rFonts w:ascii="Times New Roman" w:hAnsi="Times New Roman" w:cs="Times New Roman"/>
          <w:noProof/>
        </w:rPr>
      </w:pPr>
    </w:p>
    <w:p w14:paraId="614B42E7" w14:textId="77777777" w:rsidR="00687285" w:rsidRPr="00687285" w:rsidRDefault="00687285" w:rsidP="00687285">
      <w:pPr>
        <w:pStyle w:val="BodyText"/>
        <w:ind w:left="0"/>
        <w:jc w:val="both"/>
        <w:rPr>
          <w:rFonts w:ascii="Times New Roman" w:hAnsi="Times New Roman" w:cs="Times New Roman"/>
          <w:noProof/>
        </w:rPr>
      </w:pPr>
      <w:r>
        <w:rPr>
          <w:rFonts w:ascii="Times New Roman" w:hAnsi="Times New Roman"/>
        </w:rPr>
        <w:t>21. noteikums</w:t>
      </w:r>
    </w:p>
    <w:p w14:paraId="1F527B33" w14:textId="77777777" w:rsidR="00687285" w:rsidRPr="00687285" w:rsidRDefault="00687285" w:rsidP="00687285">
      <w:pPr>
        <w:pStyle w:val="BodyText"/>
        <w:tabs>
          <w:tab w:val="left" w:pos="1219"/>
        </w:tabs>
        <w:ind w:left="0"/>
        <w:jc w:val="both"/>
        <w:rPr>
          <w:rFonts w:ascii="Times New Roman" w:hAnsi="Times New Roman" w:cs="Times New Roman"/>
          <w:noProof/>
        </w:rPr>
      </w:pPr>
    </w:p>
    <w:p w14:paraId="3A4D20DB" w14:textId="77777777" w:rsidR="00687285" w:rsidRPr="00687285" w:rsidRDefault="00687285" w:rsidP="00687285">
      <w:pPr>
        <w:pStyle w:val="BodyText"/>
        <w:tabs>
          <w:tab w:val="left" w:pos="1219"/>
        </w:tabs>
        <w:ind w:left="0"/>
        <w:jc w:val="both"/>
        <w:rPr>
          <w:rFonts w:ascii="Times New Roman" w:hAnsi="Times New Roman" w:cs="Times New Roman"/>
          <w:noProof/>
        </w:rPr>
      </w:pPr>
      <w:r>
        <w:rPr>
          <w:rFonts w:ascii="Times New Roman" w:hAnsi="Times New Roman"/>
        </w:rPr>
        <w:t>77. Šis noteikums attiecas uz sociālās uzvedības korekcijas un/vai sociālās rehabilitācijas pasākumu pieejamību sabiedrībā un ir saistīts ar 18. noteikumu, kurā aplūkota sociālās uzvedības korekcijas un/vai sociālās rehabilitācijas pasākumu pieejamība ieslodzījuma vietās. 18. noteikumā ir izklāstīti pieci galvenie principi, kas ar to saistīti, un tie ir attiecināmi arī uz šo noteikumu. Visos gadījumos personas jāinformē par to, kā notiek sociālās uzvedības korekcijas un/vai sociālās rehabilitācijas pasākumi, lai tās pieņemtu informētu lēmumu par to, vai tās vēlētos šādās programmās piedalīties. Viens no iejaukšanās pasākumiem, kas var būt pieejams, ir atjaunojošā justīcija, kas sīkāk aprakstīta 33. noteikumā. Kā iztirzāts 33. noteikumā, noteiktos apstākļos atjaunojošā justīcija var nebūt pieejama vai piemērota, un tai ir nepieciešama informēta piekrišana gan no cietušā, gan no noziedzīgā nodarījuma izdarītāja un atbalsts no probācijas vai jebkuras citas atbilstošas iestādes.</w:t>
      </w:r>
    </w:p>
    <w:p w14:paraId="3BF2366B" w14:textId="77777777" w:rsidR="00687285" w:rsidRPr="00687285" w:rsidRDefault="00687285" w:rsidP="00687285">
      <w:pPr>
        <w:pStyle w:val="BodyText"/>
        <w:ind w:left="0"/>
        <w:jc w:val="both"/>
        <w:rPr>
          <w:rFonts w:ascii="Times New Roman" w:hAnsi="Times New Roman" w:cs="Times New Roman"/>
          <w:noProof/>
        </w:rPr>
      </w:pPr>
    </w:p>
    <w:p w14:paraId="561E7DF0" w14:textId="77777777" w:rsidR="00687285" w:rsidRPr="00687285" w:rsidRDefault="00687285" w:rsidP="00687285">
      <w:pPr>
        <w:pStyle w:val="BodyText"/>
        <w:ind w:left="0"/>
        <w:jc w:val="both"/>
        <w:rPr>
          <w:rFonts w:ascii="Times New Roman" w:hAnsi="Times New Roman" w:cs="Times New Roman"/>
          <w:noProof/>
        </w:rPr>
      </w:pPr>
      <w:r>
        <w:rPr>
          <w:rFonts w:ascii="Times New Roman" w:hAnsi="Times New Roman"/>
        </w:rPr>
        <w:t>22. noteikums</w:t>
      </w:r>
    </w:p>
    <w:p w14:paraId="6AD23C92" w14:textId="77777777" w:rsidR="00687285" w:rsidRPr="00687285" w:rsidRDefault="00687285" w:rsidP="00687285">
      <w:pPr>
        <w:pStyle w:val="BodyText"/>
        <w:tabs>
          <w:tab w:val="left" w:pos="1219"/>
        </w:tabs>
        <w:ind w:left="0"/>
        <w:jc w:val="both"/>
        <w:rPr>
          <w:rFonts w:ascii="Times New Roman" w:hAnsi="Times New Roman" w:cs="Times New Roman"/>
          <w:noProof/>
        </w:rPr>
      </w:pPr>
    </w:p>
    <w:p w14:paraId="1E6AABD2" w14:textId="77777777" w:rsidR="00687285" w:rsidRPr="00687285" w:rsidRDefault="00687285" w:rsidP="00687285">
      <w:pPr>
        <w:pStyle w:val="BodyText"/>
        <w:tabs>
          <w:tab w:val="left" w:pos="1219"/>
        </w:tabs>
        <w:ind w:left="0"/>
        <w:jc w:val="both"/>
        <w:rPr>
          <w:rFonts w:ascii="Times New Roman" w:hAnsi="Times New Roman" w:cs="Times New Roman"/>
          <w:noProof/>
        </w:rPr>
      </w:pPr>
      <w:r>
        <w:rPr>
          <w:rFonts w:ascii="Times New Roman" w:hAnsi="Times New Roman"/>
        </w:rPr>
        <w:t>78. Šis noteikums balstās uz 6. noteikumu un to papildina, tajā ir teikts, ka probācijas pārraudzībā esošajai personai jābūt informētai par visu politiku un praksi, kas uz to attiecas, kamēr tā atrodas probācijas pārraudzībā (vai ilgāk, ja nepieciešams), tostarp to personu reģistrāciju, kas notiesātas par noziedzīgu nodarījumu pret dzimumneaizskaramību, iespējamu viņu informācijas izpaušanu, jebkādiem mājvietas ierobežojumiem, kas saistīti ar viņu apstākļiem, vai jebkādiem nodarbinātības ierobežojumiem. Tie ir jāatjaunina, ja mainās politika.</w:t>
      </w:r>
    </w:p>
    <w:p w14:paraId="7D4E57A6" w14:textId="77777777" w:rsidR="00687285" w:rsidRPr="00687285" w:rsidRDefault="00687285" w:rsidP="00687285">
      <w:pPr>
        <w:tabs>
          <w:tab w:val="left" w:pos="1119"/>
        </w:tabs>
        <w:jc w:val="both"/>
        <w:rPr>
          <w:rFonts w:ascii="Times New Roman" w:hAnsi="Times New Roman" w:cs="Times New Roman"/>
          <w:noProof/>
          <w:sz w:val="24"/>
          <w:szCs w:val="24"/>
        </w:rPr>
      </w:pPr>
    </w:p>
    <w:p w14:paraId="41857CA2" w14:textId="77777777" w:rsidR="00687285" w:rsidRPr="00687285" w:rsidRDefault="00687285" w:rsidP="00687285">
      <w:pPr>
        <w:tabs>
          <w:tab w:val="left" w:pos="1119"/>
        </w:tabs>
        <w:jc w:val="both"/>
        <w:rPr>
          <w:rFonts w:ascii="Times New Roman" w:eastAsia="Arial" w:hAnsi="Times New Roman" w:cs="Times New Roman"/>
          <w:noProof/>
          <w:sz w:val="24"/>
          <w:szCs w:val="24"/>
        </w:rPr>
      </w:pPr>
      <w:r>
        <w:rPr>
          <w:rFonts w:ascii="Times New Roman" w:hAnsi="Times New Roman"/>
          <w:sz w:val="24"/>
        </w:rPr>
        <w:t>79. ECT jau iepriekš ir atzinusi, ka, lai gan personām, uz kurām attiecas reģistrācijas pasākumi, tie var šķist sodoši, bet ar to vien nepietiek, lai konstatētu, ka reģistrācijas prasības ir “sodošas” vai ka to mērķis ir sodīt, lai tās uztvertu kā sodu ECTK 7. panta izpratnē. Tas ietver gadījumus, kad reģistrācijas prasību neievērošana ir noziedzīgs nodarījums. ECT ir uzsvērusi, ka reģistrācijas prasību galvenais mērķis ir novērst atkārtotu likumpārkāpumu izdarīšanu, tostarp nodrošinot, ka policija var izsekot personas, kas tiek turētas aizdomās par atkārtotu likumpārkāpumu izdarīšanu.</w:t>
      </w:r>
      <w:r>
        <w:rPr>
          <w:rFonts w:ascii="Times New Roman" w:hAnsi="Times New Roman"/>
          <w:sz w:val="24"/>
          <w:vertAlign w:val="superscript"/>
        </w:rPr>
        <w:t>[23]</w:t>
      </w:r>
      <w:r>
        <w:rPr>
          <w:rFonts w:ascii="Times New Roman" w:hAnsi="Times New Roman"/>
          <w:sz w:val="24"/>
        </w:rPr>
        <w:t xml:space="preserve"> Tā ir konstatējusi, ka pienākumiem, kas izriet no reģistrācijas, ir “prevencijas un atturēšanas mērķis, un nevar uzskatīt, ka tie ir sodoši vai ka tās ir sankcijas”. Pienākums “reizi sešos mēnešos iesniegt pierādījumus par savu adresi un par adreses maiņu paziņot ne vēlāk kā piecpadsmit dienu laikā” pat trīsdesmit gadu periodā “nav pietiekami bargs, lai būtu sods” ECTK 7. panta izpratnē.</w:t>
      </w:r>
      <w:r>
        <w:rPr>
          <w:rFonts w:ascii="Times New Roman" w:hAnsi="Times New Roman"/>
          <w:sz w:val="24"/>
          <w:vertAlign w:val="superscript"/>
        </w:rPr>
        <w:t>[24]</w:t>
      </w:r>
    </w:p>
    <w:p w14:paraId="390B1A1C" w14:textId="77777777" w:rsidR="00687285" w:rsidRPr="00687285" w:rsidRDefault="00687285" w:rsidP="00687285">
      <w:pPr>
        <w:jc w:val="both"/>
        <w:rPr>
          <w:rFonts w:ascii="Times New Roman" w:eastAsia="Arial" w:hAnsi="Times New Roman" w:cs="Times New Roman"/>
          <w:noProof/>
          <w:sz w:val="24"/>
          <w:szCs w:val="24"/>
        </w:rPr>
      </w:pPr>
    </w:p>
    <w:p w14:paraId="79F5740B" w14:textId="77777777" w:rsidR="00687285" w:rsidRPr="00687285" w:rsidRDefault="00687285" w:rsidP="00687285">
      <w:pPr>
        <w:tabs>
          <w:tab w:val="left" w:pos="1133"/>
        </w:tabs>
        <w:jc w:val="both"/>
        <w:rPr>
          <w:rFonts w:ascii="Times New Roman" w:hAnsi="Times New Roman" w:cs="Times New Roman"/>
          <w:noProof/>
          <w:sz w:val="24"/>
          <w:szCs w:val="24"/>
        </w:rPr>
      </w:pPr>
      <w:r>
        <w:rPr>
          <w:rFonts w:ascii="Times New Roman" w:hAnsi="Times New Roman"/>
          <w:sz w:val="24"/>
        </w:rPr>
        <w:t xml:space="preserve">80. Reģistrācijas pasākumi un prasības par paziņošanu var sasniegt līmeni, kad tās uzskatāmas par iejaukšanos personas privātajā dzīvē ECTK 8. panta 1. punkta izpratnē. Tomēr jebkura iejaukšanās ir jāizvērtē, to salīdzinot ar šādu pasākumu mērķiem, un to var pamatot ar </w:t>
      </w:r>
      <w:r>
        <w:rPr>
          <w:rFonts w:ascii="Times New Roman" w:hAnsi="Times New Roman"/>
          <w:sz w:val="24"/>
        </w:rPr>
        <w:lastRenderedPageBreak/>
        <w:t>dalībvalstu pienākumiem aizsargāt personas no smaga kaitējuma, ko rada noziedzīgi nodarījumi pret dzimumneaizskaramību, ar noteikumu, ka tā ir samērīga reakcija.</w:t>
      </w:r>
      <w:r>
        <w:rPr>
          <w:rFonts w:ascii="Times New Roman" w:hAnsi="Times New Roman"/>
          <w:sz w:val="24"/>
          <w:vertAlign w:val="superscript"/>
        </w:rPr>
        <w:t>[25]</w:t>
      </w:r>
      <w:r>
        <w:rPr>
          <w:rFonts w:ascii="Times New Roman" w:hAnsi="Times New Roman"/>
          <w:sz w:val="24"/>
        </w:rPr>
        <w:t xml:space="preserve"> Prasības var tikt pamatotas saskaņā ar ECTK 8. panta 2. punktu, ja tās ir saskaņā ar likumu, lai sasniegtu leģitīmu mērķi, un ir nepieciešamas demokrātiskā sabiedrībā. ECT ir konstatējusi, ka nenoteiktas prasības par paziņošanu var būt pamatotas, ja tās ir samērīgas attiecībā pret sasniedzamo mērķi.</w:t>
      </w:r>
      <w:r>
        <w:rPr>
          <w:rFonts w:ascii="Times New Roman" w:hAnsi="Times New Roman"/>
          <w:sz w:val="24"/>
          <w:vertAlign w:val="superscript"/>
        </w:rPr>
        <w:t>[26]</w:t>
      </w:r>
      <w:r>
        <w:rPr>
          <w:rFonts w:ascii="Times New Roman" w:hAnsi="Times New Roman"/>
          <w:sz w:val="24"/>
        </w:rPr>
        <w:t xml:space="preserve"> Turklāt tā ir konstatējusi, ka atsevišķu datu glabāšana ilgstošu periodu reģistrācijas nolūkos “varētu radīt problēmu saskaņā ar Konvencijas 8. pantu”, taču tas var būt samērīgi, ja personai ir “praktiska iespēja” šos datus izņemt, kad to glabāšana vairs nav nepieciešama.</w:t>
      </w:r>
      <w:r>
        <w:rPr>
          <w:rFonts w:ascii="Times New Roman" w:hAnsi="Times New Roman"/>
          <w:sz w:val="24"/>
          <w:vertAlign w:val="superscript"/>
        </w:rPr>
        <w:t>[27]</w:t>
      </w:r>
    </w:p>
    <w:p w14:paraId="5871BBF6" w14:textId="77777777" w:rsidR="00687285" w:rsidRPr="00687285" w:rsidRDefault="00687285" w:rsidP="00687285">
      <w:pPr>
        <w:pStyle w:val="BodyText"/>
        <w:tabs>
          <w:tab w:val="left" w:pos="1248"/>
        </w:tabs>
        <w:ind w:left="0"/>
        <w:jc w:val="both"/>
        <w:rPr>
          <w:rFonts w:ascii="Times New Roman" w:hAnsi="Times New Roman" w:cs="Times New Roman"/>
          <w:noProof/>
        </w:rPr>
      </w:pPr>
    </w:p>
    <w:p w14:paraId="1E44B0D9" w14:textId="77777777" w:rsidR="00687285" w:rsidRPr="00687285" w:rsidRDefault="00687285" w:rsidP="00687285">
      <w:pPr>
        <w:pStyle w:val="BodyText"/>
        <w:tabs>
          <w:tab w:val="left" w:pos="1248"/>
        </w:tabs>
        <w:ind w:left="0"/>
        <w:jc w:val="both"/>
        <w:rPr>
          <w:rFonts w:ascii="Times New Roman" w:hAnsi="Times New Roman" w:cs="Times New Roman"/>
          <w:noProof/>
        </w:rPr>
      </w:pPr>
      <w:r>
        <w:rPr>
          <w:rFonts w:ascii="Times New Roman" w:hAnsi="Times New Roman"/>
        </w:rPr>
        <w:t>81. Viennozīmīgi ir jāpaskaidro personai, kādu datu apmaiņa ir nepieciešama riska vadības plānā un kādi datu aizsardzības noteikumi to regulē. Ja persona vēlas izmantot savas tiesības vai iesniegt sūdzību, attiecīgā persona jāinformē par tās tiesībām saistībā ar tās personas datiem un sūdzību iesniegšanas kārtību, kas saistīta ar datu apmaiņu. Turklāt jāievieš datu aizsardzības politika, kas varētu ietvert skaidrus aizsardzības pasākumus, lai aizsargātu reģistrā iekļauto personu, tās ģimeni un cietušos, ņemot vērā sabiedrības un plašsaziņas līdzekļu interesi un bažas par noziedzīgu nodarījumu pret dzimumneaizskaramību izdarīšanu, un skaidru kārtību, kā reaģēt uz datu reģistrācijas pārkāpumiem un tos izmeklēt.</w:t>
      </w:r>
    </w:p>
    <w:p w14:paraId="4C413E90" w14:textId="77777777" w:rsidR="00687285" w:rsidRPr="00687285" w:rsidRDefault="00687285" w:rsidP="00687285">
      <w:pPr>
        <w:pStyle w:val="BodyText"/>
        <w:ind w:left="0"/>
        <w:jc w:val="both"/>
        <w:rPr>
          <w:rFonts w:ascii="Times New Roman" w:hAnsi="Times New Roman" w:cs="Times New Roman"/>
          <w:noProof/>
        </w:rPr>
      </w:pPr>
    </w:p>
    <w:p w14:paraId="7E09E9F5" w14:textId="77777777" w:rsidR="00687285" w:rsidRPr="00687285" w:rsidRDefault="00687285" w:rsidP="00687285">
      <w:pPr>
        <w:pStyle w:val="BodyText"/>
        <w:ind w:left="0"/>
        <w:jc w:val="both"/>
        <w:rPr>
          <w:rFonts w:ascii="Times New Roman" w:hAnsi="Times New Roman" w:cs="Times New Roman"/>
          <w:noProof/>
        </w:rPr>
      </w:pPr>
      <w:r>
        <w:rPr>
          <w:rFonts w:ascii="Times New Roman" w:hAnsi="Times New Roman"/>
        </w:rPr>
        <w:t>23. noteikums</w:t>
      </w:r>
    </w:p>
    <w:p w14:paraId="5D615F6D" w14:textId="77777777" w:rsidR="00687285" w:rsidRPr="00687285" w:rsidRDefault="00687285" w:rsidP="00687285">
      <w:pPr>
        <w:pStyle w:val="BodyText"/>
        <w:tabs>
          <w:tab w:val="left" w:pos="1219"/>
        </w:tabs>
        <w:ind w:left="0"/>
        <w:jc w:val="both"/>
        <w:rPr>
          <w:rFonts w:ascii="Times New Roman" w:hAnsi="Times New Roman" w:cs="Times New Roman"/>
          <w:noProof/>
        </w:rPr>
      </w:pPr>
    </w:p>
    <w:p w14:paraId="7B96C983" w14:textId="77777777" w:rsidR="00687285" w:rsidRPr="00687285" w:rsidRDefault="00687285" w:rsidP="00687285">
      <w:pPr>
        <w:pStyle w:val="BodyText"/>
        <w:tabs>
          <w:tab w:val="left" w:pos="1219"/>
        </w:tabs>
        <w:ind w:left="0"/>
        <w:jc w:val="both"/>
        <w:rPr>
          <w:rFonts w:ascii="Times New Roman" w:hAnsi="Times New Roman" w:cs="Times New Roman"/>
          <w:noProof/>
        </w:rPr>
      </w:pPr>
      <w:r>
        <w:rPr>
          <w:rFonts w:ascii="Times New Roman" w:hAnsi="Times New Roman"/>
        </w:rPr>
        <w:t>82. Šajā noteikumā aprakstīta likumā noteiktās uzraudzības izbeigšana un soda izciešanas sabiedrībā noteikumi, kas ir laba prakse un kam jānotiek saskaņā ar valsts tiesību aktiem un ieražām. Tomēr, ja pēc uzraudzības beigām joprojām pastāv personas riska vadības aspekti (t. i., atrašanās reģistrā vai personas datu izmantošana sodāmības reģistru pārbaudēs), nepieciešamības gadījumā šīs personas par to ir jāinformē saskaņā ar valstī pieņemtajiem standartiem un jāinformē, kad šis periods ir beidzies.</w:t>
      </w:r>
    </w:p>
    <w:p w14:paraId="62BD9C86" w14:textId="77777777" w:rsidR="00687285" w:rsidRPr="00687285" w:rsidRDefault="00687285" w:rsidP="00687285">
      <w:pPr>
        <w:tabs>
          <w:tab w:val="left" w:pos="1147"/>
        </w:tabs>
        <w:jc w:val="both"/>
        <w:rPr>
          <w:rFonts w:ascii="Times New Roman" w:hAnsi="Times New Roman" w:cs="Times New Roman"/>
          <w:b/>
          <w:noProof/>
          <w:sz w:val="24"/>
          <w:szCs w:val="24"/>
        </w:rPr>
      </w:pPr>
    </w:p>
    <w:p w14:paraId="1F2ABD4A" w14:textId="77777777" w:rsidR="00687285" w:rsidRPr="00687285" w:rsidRDefault="00687285" w:rsidP="00687285">
      <w:pPr>
        <w:tabs>
          <w:tab w:val="left" w:pos="1147"/>
        </w:tabs>
        <w:jc w:val="both"/>
        <w:rPr>
          <w:rFonts w:ascii="Times New Roman" w:hAnsi="Times New Roman" w:cs="Times New Roman"/>
          <w:b/>
          <w:noProof/>
          <w:sz w:val="24"/>
          <w:szCs w:val="24"/>
        </w:rPr>
      </w:pPr>
      <w:r>
        <w:rPr>
          <w:rFonts w:ascii="Times New Roman" w:hAnsi="Times New Roman"/>
          <w:b/>
          <w:sz w:val="24"/>
        </w:rPr>
        <w:t>VI. DATU VĀKŠANA, INFORMĀCIJAS APMAIŅA UN IESTĀŽU SADARBĪBA</w:t>
      </w:r>
    </w:p>
    <w:p w14:paraId="45AC75FB" w14:textId="77777777" w:rsidR="00687285" w:rsidRPr="00687285" w:rsidRDefault="00687285" w:rsidP="00687285">
      <w:pPr>
        <w:pStyle w:val="BodyText"/>
        <w:ind w:left="0"/>
        <w:jc w:val="both"/>
        <w:rPr>
          <w:rFonts w:ascii="Times New Roman" w:hAnsi="Times New Roman" w:cs="Times New Roman"/>
          <w:noProof/>
        </w:rPr>
      </w:pPr>
    </w:p>
    <w:p w14:paraId="0436FD92" w14:textId="77777777" w:rsidR="00687285" w:rsidRPr="00687285" w:rsidRDefault="00687285" w:rsidP="00687285">
      <w:pPr>
        <w:pStyle w:val="BodyText"/>
        <w:ind w:left="0"/>
        <w:jc w:val="both"/>
        <w:rPr>
          <w:rFonts w:ascii="Times New Roman" w:hAnsi="Times New Roman" w:cs="Times New Roman"/>
          <w:noProof/>
        </w:rPr>
      </w:pPr>
      <w:r>
        <w:rPr>
          <w:rFonts w:ascii="Times New Roman" w:hAnsi="Times New Roman"/>
        </w:rPr>
        <w:t>24. noteikums</w:t>
      </w:r>
    </w:p>
    <w:p w14:paraId="4CAA8648" w14:textId="77777777" w:rsidR="00687285" w:rsidRPr="00687285" w:rsidRDefault="00687285" w:rsidP="00687285">
      <w:pPr>
        <w:pStyle w:val="BodyText"/>
        <w:tabs>
          <w:tab w:val="left" w:pos="1248"/>
        </w:tabs>
        <w:ind w:left="0"/>
        <w:jc w:val="both"/>
        <w:rPr>
          <w:rFonts w:ascii="Times New Roman" w:hAnsi="Times New Roman" w:cs="Times New Roman"/>
          <w:noProof/>
        </w:rPr>
      </w:pPr>
    </w:p>
    <w:p w14:paraId="44EE537E" w14:textId="77777777" w:rsidR="00687285" w:rsidRPr="00687285" w:rsidRDefault="00687285" w:rsidP="00687285">
      <w:pPr>
        <w:pStyle w:val="BodyText"/>
        <w:tabs>
          <w:tab w:val="left" w:pos="1248"/>
        </w:tabs>
        <w:ind w:left="0"/>
        <w:jc w:val="both"/>
        <w:rPr>
          <w:rFonts w:ascii="Times New Roman" w:hAnsi="Times New Roman" w:cs="Times New Roman"/>
          <w:noProof/>
        </w:rPr>
      </w:pPr>
      <w:r>
        <w:rPr>
          <w:rFonts w:ascii="Times New Roman" w:hAnsi="Times New Roman"/>
        </w:rPr>
        <w:t>83. Par personu, kas apsūdzēta vai notiesāta par noziedzīgu nodarījumu pret dzimumneaizskaramību, nedrīkst apstrādāt nekādus nevajadzīgus datus. Vienīgie dati, kas ir jāapkopo, ir tiesu, policijas vai ieslodzījuma vietas un probācijas dienestu izmantotie dati, lai novērtētu, pārvaldītu un reintegrētu personu, kas apsūdzēta vai notiesāta par noziedzīgu nodarījumu pret dzimumneaizskaramību. “Dati” šajā kontekstā var ietvert personas datus, novērtējuma datus un datus par sociālās uzvedības korekcijas un/vai sociālās rehabilitācijas pasākumiem. Turklāt ar partnerorganizāciju ievāktajiem datiem jāapmainās tikai saskaņā ar vispārīgiem datu aizsardzības principiem un noteikumiem, kā norādīts turpmāk, un turklāt tikai nepieciešamības gadījumā, ar datiem nedrīkst apmainīties neatbilstošā veidā vai bez tiesiska pamata, un ar tiem jāapmainās tikai tad, ja attiecīgie dati ir nepieciešami, lai samazinātu atkārtota likumpārkāpuma izdarīšanas risku, lai nodrošinātu efektīvu personas integrācijas sabiedrībā pārvaldību vai lai aizsargātu sabiedrību. Datu vākšanai un apmaiņai ir jāatbilst datu aizsardzības noteikumiem, kā arī sabiedrības aizsardzības, sabiedrības drošības un efektīvas riska vadības interesēm. Izstrādājot un īstenojot soda izpildes pasākumu plānu, iespēju robežās jānoskaidro probācijas uzraudzībā esošās personas viedoklis un jāsadarbojas ar viņu, lai radītu kopīgu redzējumu par šīs personas sociālo reintegrāciju.</w:t>
      </w:r>
    </w:p>
    <w:p w14:paraId="0605F2BA" w14:textId="77777777" w:rsidR="00687285" w:rsidRPr="00687285" w:rsidRDefault="00687285" w:rsidP="00687285">
      <w:pPr>
        <w:jc w:val="both"/>
        <w:rPr>
          <w:rFonts w:ascii="Times New Roman" w:hAnsi="Times New Roman" w:cs="Times New Roman"/>
          <w:noProof/>
          <w:sz w:val="24"/>
          <w:szCs w:val="24"/>
        </w:rPr>
      </w:pPr>
    </w:p>
    <w:p w14:paraId="2D3D76E7" w14:textId="77777777" w:rsidR="00687285" w:rsidRPr="00687285" w:rsidRDefault="00687285" w:rsidP="00020AD3">
      <w:pPr>
        <w:pStyle w:val="BodyText"/>
        <w:keepNext/>
        <w:keepLines/>
        <w:ind w:left="0"/>
        <w:jc w:val="both"/>
        <w:rPr>
          <w:rFonts w:ascii="Times New Roman" w:hAnsi="Times New Roman" w:cs="Times New Roman"/>
          <w:noProof/>
        </w:rPr>
      </w:pPr>
      <w:r>
        <w:rPr>
          <w:rFonts w:ascii="Times New Roman" w:hAnsi="Times New Roman"/>
        </w:rPr>
        <w:lastRenderedPageBreak/>
        <w:t>84. Šis noteikums pastiprina 6. noteikumu, uzsverot, ka vissvarīgākā ir probācijas uzraudzībā esošās personas līdzdalība un iesaistīšanās. Šā noteikuma mērķis ir nodrošināt, lai pakalpojuma lietotāja viedoklis tiktu sadzirdēts, kā arī lai pārvaldības plāns, būdams sasniedzams no krimināltiesību perspektīvas, būtu sasniedzams arī attiecīgajai personai, tādējādi nodrošinot procesuālo taisnīgumu. Turklāt šā noteikuma mērķis ir mudināt sniegt nepārprotamus norādījumus pakalpojuma lietotāju atgriezeniskajai saitei, jautājumiem un sūdzībām.</w:t>
      </w:r>
    </w:p>
    <w:p w14:paraId="2A0751A3" w14:textId="77777777" w:rsidR="00687285" w:rsidRPr="00687285" w:rsidRDefault="00687285" w:rsidP="00687285">
      <w:pPr>
        <w:pStyle w:val="BodyText"/>
        <w:tabs>
          <w:tab w:val="left" w:pos="1219"/>
        </w:tabs>
        <w:ind w:left="0"/>
        <w:jc w:val="both"/>
        <w:rPr>
          <w:rFonts w:ascii="Times New Roman" w:hAnsi="Times New Roman" w:cs="Times New Roman"/>
          <w:noProof/>
        </w:rPr>
      </w:pPr>
    </w:p>
    <w:p w14:paraId="75D3AC42" w14:textId="77777777" w:rsidR="00687285" w:rsidRPr="00687285" w:rsidRDefault="00687285" w:rsidP="00687285">
      <w:pPr>
        <w:pStyle w:val="BodyText"/>
        <w:tabs>
          <w:tab w:val="left" w:pos="1219"/>
        </w:tabs>
        <w:ind w:left="0"/>
        <w:jc w:val="both"/>
        <w:rPr>
          <w:rFonts w:ascii="Times New Roman" w:hAnsi="Times New Roman" w:cs="Times New Roman"/>
          <w:noProof/>
        </w:rPr>
      </w:pPr>
      <w:r>
        <w:rPr>
          <w:rFonts w:ascii="Times New Roman" w:hAnsi="Times New Roman"/>
        </w:rPr>
        <w:t>85. Šis noteikums norāda uz to, ka datu apstrādi pielāgo atbilstoši modernizētajai Konvencijai Nr. 108, kā arī Ieteikumam Nr. R(87)15, kas regulē personas datu izmantošanu policijas nozarē, un tā paskaidrojuma rakstam, un jo īpaši Praktiskajai rokasgrāmatai personas datu izmantošanai policijas vajadzībām (dokuments T-PD(2018)01). Visai datu apstrādei ir jāatbilst nepieciešamības, samērīguma un mērķa ierobežošanas principiem. Tas nozīmē, ka personas datu apstrādei jābalstās uz iepriekš noteiktiem, konkrētiem, skaidriem un leģitīmiem mērķiem, kas noteikti likumā, apstrādei jābūt nepieciešamai un samērīgai ar šiem leģitīmajiem mērķiem, un datus nedrīkst apstrādāt šiem mērķiem neatbilstošā veidā. Datu apstrāde jāveic likumīgi, taisnīgi un pārredzami. Turklāt personas datiem jābūt adekvātiem, atbilstošiem un tie nedrīkst būt pārmērīgi attiecībā pret nolūkiem. Visbeidzot, tiem jābūt precīziem un atjauninātiem, lai nodrošinātu visaugstāko iespējamo datu kvalitāti.</w:t>
      </w:r>
    </w:p>
    <w:p w14:paraId="54845C35" w14:textId="77777777" w:rsidR="00687285" w:rsidRPr="00687285" w:rsidRDefault="00687285" w:rsidP="00687285">
      <w:pPr>
        <w:pStyle w:val="BodyText"/>
        <w:ind w:left="0"/>
        <w:jc w:val="both"/>
        <w:rPr>
          <w:rFonts w:ascii="Times New Roman" w:hAnsi="Times New Roman" w:cs="Times New Roman"/>
          <w:noProof/>
        </w:rPr>
      </w:pPr>
    </w:p>
    <w:p w14:paraId="74D23D62" w14:textId="77777777" w:rsidR="00687285" w:rsidRPr="00687285" w:rsidRDefault="00687285" w:rsidP="00687285">
      <w:pPr>
        <w:pStyle w:val="BodyText"/>
        <w:ind w:left="0"/>
        <w:jc w:val="both"/>
        <w:rPr>
          <w:rFonts w:ascii="Times New Roman" w:hAnsi="Times New Roman" w:cs="Times New Roman"/>
          <w:noProof/>
        </w:rPr>
      </w:pPr>
      <w:r>
        <w:rPr>
          <w:rFonts w:ascii="Times New Roman" w:hAnsi="Times New Roman"/>
        </w:rPr>
        <w:t>25. noteikums</w:t>
      </w:r>
    </w:p>
    <w:p w14:paraId="4089DA87" w14:textId="77777777" w:rsidR="00687285" w:rsidRPr="00687285" w:rsidRDefault="00687285" w:rsidP="00687285">
      <w:pPr>
        <w:pStyle w:val="BodyText"/>
        <w:tabs>
          <w:tab w:val="left" w:pos="1219"/>
        </w:tabs>
        <w:ind w:left="0"/>
        <w:jc w:val="both"/>
        <w:rPr>
          <w:rFonts w:ascii="Times New Roman" w:hAnsi="Times New Roman" w:cs="Times New Roman"/>
          <w:noProof/>
        </w:rPr>
      </w:pPr>
    </w:p>
    <w:p w14:paraId="039145B0" w14:textId="77777777" w:rsidR="00687285" w:rsidRPr="00687285" w:rsidRDefault="00687285" w:rsidP="00687285">
      <w:pPr>
        <w:pStyle w:val="BodyText"/>
        <w:tabs>
          <w:tab w:val="left" w:pos="1219"/>
        </w:tabs>
        <w:ind w:left="0"/>
        <w:jc w:val="both"/>
        <w:rPr>
          <w:rFonts w:ascii="Times New Roman" w:hAnsi="Times New Roman" w:cs="Times New Roman"/>
          <w:noProof/>
        </w:rPr>
      </w:pPr>
      <w:r>
        <w:rPr>
          <w:rFonts w:ascii="Times New Roman" w:hAnsi="Times New Roman"/>
        </w:rPr>
        <w:t>86. Šis noteikums balstās uz nepieciešamību tiesībaizsardzības organizācijām Eiropas Padomes dalībvalstīs stingri ievērot augstus datu apstrādes standartus, kas noteikti modernizētajā Konvencijā Nr. 108. Citi standartu noteikšanas instrumenti, piemēram, Ieteikums Nr. Rec(87)15, kas regulē personas datu izmantošanu policijas nozarē, un tā paskaidrojuma raksts, kā arī Praktiskā rokasgrāmata personas datu izmantošanai policijas vajadzībām (dokuments T-PD(2018)01), šeit var palīdzēt turpināt šajā ieteikumā uzsvērto efektīvo dažādu iestāžu sadarbību. Nedrīkst dalīties ar nevajadzīgiem datiem par personu, kas apsūdzēta vai notiesāta par noziedzīgu nodarījumu pret dzimumneaizskaramību, un ar visiem privāto organizāciju rīcībā esošajiem datiem jārīkojas tikpat stingri kā ar datiem, ar kuriem apmainās valsts organizācijas un kuri sniegti valsts organizācijām. Tas ietver šādu datu izmantošanu un apmaiņu, ko veic privātas iestādes, kas ir atbildīgas par apcietinājumā esošo un sabiedrībā esošo personu uzraudzību.</w:t>
      </w:r>
    </w:p>
    <w:p w14:paraId="772B1FD7" w14:textId="77777777" w:rsidR="00687285" w:rsidRPr="00687285" w:rsidRDefault="00687285" w:rsidP="00687285">
      <w:pPr>
        <w:pStyle w:val="BodyText"/>
        <w:ind w:left="0"/>
        <w:jc w:val="both"/>
        <w:rPr>
          <w:rFonts w:ascii="Times New Roman" w:hAnsi="Times New Roman" w:cs="Times New Roman"/>
          <w:noProof/>
        </w:rPr>
      </w:pPr>
    </w:p>
    <w:p w14:paraId="4C717011" w14:textId="77777777" w:rsidR="00687285" w:rsidRPr="00687285" w:rsidRDefault="00687285" w:rsidP="00687285">
      <w:pPr>
        <w:pStyle w:val="BodyText"/>
        <w:ind w:left="0"/>
        <w:jc w:val="both"/>
        <w:rPr>
          <w:rFonts w:ascii="Times New Roman" w:hAnsi="Times New Roman" w:cs="Times New Roman"/>
          <w:noProof/>
        </w:rPr>
      </w:pPr>
      <w:r>
        <w:rPr>
          <w:rFonts w:ascii="Times New Roman" w:hAnsi="Times New Roman"/>
        </w:rPr>
        <w:t>26. noteikums</w:t>
      </w:r>
    </w:p>
    <w:p w14:paraId="36E52AD9" w14:textId="77777777" w:rsidR="00687285" w:rsidRPr="00687285" w:rsidRDefault="00687285" w:rsidP="00687285">
      <w:pPr>
        <w:pStyle w:val="BodyText"/>
        <w:tabs>
          <w:tab w:val="left" w:pos="1219"/>
        </w:tabs>
        <w:ind w:left="0"/>
        <w:jc w:val="both"/>
        <w:rPr>
          <w:rFonts w:ascii="Times New Roman" w:hAnsi="Times New Roman" w:cs="Times New Roman"/>
          <w:noProof/>
        </w:rPr>
      </w:pPr>
    </w:p>
    <w:p w14:paraId="10A9852D" w14:textId="77777777" w:rsidR="00687285" w:rsidRPr="00687285" w:rsidRDefault="00687285" w:rsidP="00687285">
      <w:pPr>
        <w:pStyle w:val="BodyText"/>
        <w:tabs>
          <w:tab w:val="left" w:pos="1219"/>
        </w:tabs>
        <w:ind w:left="0"/>
        <w:jc w:val="both"/>
        <w:rPr>
          <w:rFonts w:ascii="Times New Roman" w:hAnsi="Times New Roman" w:cs="Times New Roman"/>
          <w:noProof/>
        </w:rPr>
      </w:pPr>
      <w:r>
        <w:rPr>
          <w:rFonts w:ascii="Times New Roman" w:hAnsi="Times New Roman"/>
        </w:rPr>
        <w:t>87. Visām organizācijām un iestādēm saskaņā ar labu praksi ir jābūt skaidrai politikai un pamata noteikumiem, lai reaģētu uz nepareizu datu pārvaldību un pārkāpumiem. Šajos pamata noteikumos ir jāietver iekšējās vadlīnijas, mācību un disciplinārie pasākumi un mehānismi, lai samazinātu nepareizas datu apstrādes ietekmi. Turklāt jābūt pašsaprotamam, ka, uzsākot darbu organizācijā, šī politika un pamata noteikumi ir jāizskaidro personālam un tiem ir jābūt pieejamiem personālam. Ja notiek politikas un pamata noteikumu atjaunināšana vai izmaiņas, par to ir jāinformē personāls, kā arī partneriestādes.</w:t>
      </w:r>
    </w:p>
    <w:p w14:paraId="5266C79E" w14:textId="77777777" w:rsidR="00687285" w:rsidRPr="00687285" w:rsidRDefault="00687285" w:rsidP="00687285">
      <w:pPr>
        <w:pStyle w:val="BodyText"/>
        <w:ind w:left="0"/>
        <w:jc w:val="both"/>
        <w:rPr>
          <w:rFonts w:ascii="Times New Roman" w:hAnsi="Times New Roman" w:cs="Times New Roman"/>
          <w:noProof/>
        </w:rPr>
      </w:pPr>
    </w:p>
    <w:p w14:paraId="4C04E20C" w14:textId="77777777" w:rsidR="00687285" w:rsidRPr="00687285" w:rsidRDefault="00687285" w:rsidP="00687285">
      <w:pPr>
        <w:pStyle w:val="BodyText"/>
        <w:ind w:left="0"/>
        <w:jc w:val="both"/>
        <w:rPr>
          <w:rFonts w:ascii="Times New Roman" w:hAnsi="Times New Roman" w:cs="Times New Roman"/>
          <w:noProof/>
        </w:rPr>
      </w:pPr>
      <w:r>
        <w:rPr>
          <w:rFonts w:ascii="Times New Roman" w:hAnsi="Times New Roman"/>
        </w:rPr>
        <w:t>27. noteikums</w:t>
      </w:r>
    </w:p>
    <w:p w14:paraId="7260C48B" w14:textId="77777777" w:rsidR="00687285" w:rsidRPr="00687285" w:rsidRDefault="00687285" w:rsidP="00687285">
      <w:pPr>
        <w:jc w:val="both"/>
        <w:rPr>
          <w:rFonts w:ascii="Times New Roman" w:hAnsi="Times New Roman" w:cs="Times New Roman"/>
          <w:noProof/>
          <w:sz w:val="24"/>
          <w:szCs w:val="24"/>
        </w:rPr>
      </w:pPr>
    </w:p>
    <w:p w14:paraId="0560EEB4" w14:textId="77777777" w:rsidR="00687285" w:rsidRPr="00687285" w:rsidRDefault="00687285" w:rsidP="00687285">
      <w:pPr>
        <w:pStyle w:val="BodyText"/>
        <w:tabs>
          <w:tab w:val="left" w:pos="1219"/>
        </w:tabs>
        <w:ind w:left="0"/>
        <w:jc w:val="both"/>
        <w:rPr>
          <w:rFonts w:ascii="Times New Roman" w:hAnsi="Times New Roman" w:cs="Times New Roman"/>
          <w:noProof/>
        </w:rPr>
      </w:pPr>
      <w:r>
        <w:rPr>
          <w:rFonts w:ascii="Times New Roman" w:hAnsi="Times New Roman"/>
        </w:rPr>
        <w:t xml:space="preserve">88. Šajā noteikumā uzsvērta skaidras datu uzglabāšanas un datu iznīcināšanas politikas nozīme. Tā ir jāizskaidro attiecīgajai personai kriminālprocesa sākumā, kā arī tā beigās un kad dati tiek iznīcināti. Visām iestādēm, kas saistītas ar personām, kuras apsūdzētas vai notiesātas </w:t>
      </w:r>
      <w:r>
        <w:rPr>
          <w:rFonts w:ascii="Times New Roman" w:hAnsi="Times New Roman"/>
        </w:rPr>
        <w:lastRenderedPageBreak/>
        <w:t>par noziedzīgu nodarījumu pret dzimumneaizskaramību, ir jābūt šādiem noteikumiem un politikai, ne tikai ieslodzījumu vietu pārvaldei un probācijas dienestam. Šis noteikums jāsasaista ar attiecīgiem nacionālajiem sodāmības reģistra norādījumiem, un tajā jāiekļauj periodiska datu uzglabāšanas pārskatīšana. Kā norādīts citur šajā ieteikumā, pakalpojumu lietotāju iesaiste ir svarīga novērtēšanā, rehabilitācijā un sociālajā reintegrācijā (6. noteikums), un viņi ir jāinformē par to, kā viņu dati tiek izmantoti un kad tie tiek iznīcināti (25. un 26. noteikums) saskaņā ar modernizēto Konvenciju Nr. 108 un attiecīgajiem datu aizsardzības noteikumiem.</w:t>
      </w:r>
    </w:p>
    <w:p w14:paraId="72B21993" w14:textId="77777777" w:rsidR="00687285" w:rsidRPr="00687285" w:rsidRDefault="00687285" w:rsidP="00687285">
      <w:pPr>
        <w:pStyle w:val="BodyText"/>
        <w:tabs>
          <w:tab w:val="left" w:pos="1219"/>
        </w:tabs>
        <w:ind w:left="0"/>
        <w:jc w:val="both"/>
        <w:rPr>
          <w:rFonts w:ascii="Times New Roman" w:hAnsi="Times New Roman" w:cs="Times New Roman"/>
          <w:noProof/>
        </w:rPr>
      </w:pPr>
    </w:p>
    <w:p w14:paraId="358C005C" w14:textId="77777777" w:rsidR="00687285" w:rsidRPr="00687285" w:rsidRDefault="00687285" w:rsidP="00687285">
      <w:pPr>
        <w:pStyle w:val="BodyText"/>
        <w:tabs>
          <w:tab w:val="left" w:pos="1219"/>
        </w:tabs>
        <w:ind w:left="0"/>
        <w:jc w:val="both"/>
        <w:rPr>
          <w:rFonts w:ascii="Times New Roman" w:hAnsi="Times New Roman" w:cs="Times New Roman"/>
          <w:noProof/>
        </w:rPr>
      </w:pPr>
      <w:r>
        <w:rPr>
          <w:rFonts w:ascii="Times New Roman" w:hAnsi="Times New Roman"/>
        </w:rPr>
        <w:t>28. noteikums</w:t>
      </w:r>
    </w:p>
    <w:p w14:paraId="56F688E3" w14:textId="77777777" w:rsidR="00687285" w:rsidRPr="00687285" w:rsidRDefault="00687285" w:rsidP="00687285">
      <w:pPr>
        <w:pStyle w:val="BodyText"/>
        <w:tabs>
          <w:tab w:val="left" w:pos="1219"/>
        </w:tabs>
        <w:ind w:left="0"/>
        <w:jc w:val="both"/>
        <w:rPr>
          <w:rFonts w:ascii="Times New Roman" w:hAnsi="Times New Roman" w:cs="Times New Roman"/>
          <w:noProof/>
        </w:rPr>
      </w:pPr>
    </w:p>
    <w:p w14:paraId="4AEE4089" w14:textId="77777777" w:rsidR="00687285" w:rsidRPr="00687285" w:rsidRDefault="00687285" w:rsidP="00687285">
      <w:pPr>
        <w:pStyle w:val="BodyText"/>
        <w:tabs>
          <w:tab w:val="left" w:pos="1219"/>
        </w:tabs>
        <w:ind w:left="0"/>
        <w:jc w:val="both"/>
        <w:rPr>
          <w:rFonts w:ascii="Times New Roman" w:hAnsi="Times New Roman" w:cs="Times New Roman"/>
          <w:noProof/>
        </w:rPr>
      </w:pPr>
      <w:r>
        <w:rPr>
          <w:rFonts w:ascii="Times New Roman" w:hAnsi="Times New Roman"/>
        </w:rPr>
        <w:t>89. Šā noteikuma mērķis nav ne aizstāvēt reģistrāciju, ne arī informācijas izpaušanas sistēmu attiecībā uz personām, kas ir notiesātas par noziedzīgu nodarījumu pret dzimumneaizskaramību. Politikas veidotājiem, pieņemot šādus lēmumus, ir ieteicams ņemt vērā esošo pierādījumu bāzi. Reģistrācijas un informēšanas noteikumi un prakse dažādās valstīs atšķiras, taču ir svarīgi, lai valstis ievērotu savas valsts tiesību aktus un konsekventi īstenotu pastāvošās sistēmas starp dažādām to personu kategorijām, kas apsūdzētas vai notiesātas par noziedzīgiem nodarījumiem pret dzimumneaizskaramību.</w:t>
      </w:r>
    </w:p>
    <w:p w14:paraId="312E99F8" w14:textId="77777777" w:rsidR="00687285" w:rsidRPr="00687285" w:rsidRDefault="00687285" w:rsidP="00687285">
      <w:pPr>
        <w:pStyle w:val="BodyText"/>
        <w:tabs>
          <w:tab w:val="left" w:pos="1248"/>
        </w:tabs>
        <w:ind w:left="0"/>
        <w:jc w:val="both"/>
        <w:rPr>
          <w:rFonts w:ascii="Times New Roman" w:hAnsi="Times New Roman" w:cs="Times New Roman"/>
          <w:noProof/>
        </w:rPr>
      </w:pPr>
    </w:p>
    <w:p w14:paraId="63D57C88" w14:textId="77777777" w:rsidR="00687285" w:rsidRPr="00687285" w:rsidRDefault="00687285" w:rsidP="00687285">
      <w:pPr>
        <w:pStyle w:val="BodyText"/>
        <w:tabs>
          <w:tab w:val="left" w:pos="1248"/>
        </w:tabs>
        <w:ind w:left="0"/>
        <w:jc w:val="both"/>
        <w:rPr>
          <w:rFonts w:ascii="Times New Roman" w:hAnsi="Times New Roman" w:cs="Times New Roman"/>
          <w:noProof/>
        </w:rPr>
      </w:pPr>
      <w:r>
        <w:rPr>
          <w:rFonts w:ascii="Times New Roman" w:hAnsi="Times New Roman"/>
        </w:rPr>
        <w:t>90. Ja valstī ir reģistrācijas un/vai informēšanas sistēma attiecībā uz personām, kas notiesātas par noziedzīgu nodarījumu pret dzimumneaizskaramību, tai ir konsekventi jāievēro šī politika, jāsagatavo personāls un saistītās iestādes, jāinformē personas, kas ir iekļautas šajās sistēmās, un jāpārliecinās, ka šī politika darbojas par labu sabiedrības aizsardzībai, vienlaikus aizsargājot un palīdzot personām sociāli reintegrēties un atturēties no turpmāku noziedzīgu nodarījumu pret dzimumneaizskaramību izdarīšanas. Ir svarīgi, lai tur, kur ir šādas sistēmas, attiecīgās personas tiktu precīzi informētas par to, kam ir piekļuve šai informācijai, kā viņi to var izmantot un kāpēc viņiem šāda piekļuve ir nepieciešama.</w:t>
      </w:r>
    </w:p>
    <w:p w14:paraId="10176B84" w14:textId="77777777" w:rsidR="00687285" w:rsidRPr="00687285" w:rsidRDefault="00687285" w:rsidP="00687285">
      <w:pPr>
        <w:jc w:val="both"/>
        <w:rPr>
          <w:rFonts w:ascii="Times New Roman" w:eastAsia="Arial" w:hAnsi="Times New Roman" w:cs="Times New Roman"/>
          <w:noProof/>
          <w:sz w:val="24"/>
          <w:szCs w:val="24"/>
        </w:rPr>
      </w:pPr>
    </w:p>
    <w:p w14:paraId="6D844EF6" w14:textId="77777777" w:rsidR="00687285" w:rsidRPr="00687285" w:rsidRDefault="00687285" w:rsidP="00687285">
      <w:pPr>
        <w:pStyle w:val="BodyText"/>
        <w:ind w:left="0"/>
        <w:jc w:val="both"/>
        <w:rPr>
          <w:rFonts w:ascii="Times New Roman" w:hAnsi="Times New Roman" w:cs="Times New Roman"/>
          <w:noProof/>
        </w:rPr>
      </w:pPr>
      <w:r>
        <w:rPr>
          <w:rFonts w:ascii="Times New Roman" w:hAnsi="Times New Roman"/>
        </w:rPr>
        <w:t>29. noteikums</w:t>
      </w:r>
    </w:p>
    <w:p w14:paraId="07D6336C" w14:textId="77777777" w:rsidR="00687285" w:rsidRPr="00687285" w:rsidRDefault="00687285" w:rsidP="00687285">
      <w:pPr>
        <w:pStyle w:val="BodyText"/>
        <w:ind w:left="0"/>
        <w:jc w:val="both"/>
        <w:rPr>
          <w:rFonts w:ascii="Times New Roman" w:hAnsi="Times New Roman" w:cs="Times New Roman"/>
          <w:noProof/>
        </w:rPr>
      </w:pPr>
    </w:p>
    <w:p w14:paraId="3F7F7A0B" w14:textId="77777777" w:rsidR="00687285" w:rsidRPr="00687285" w:rsidRDefault="00687285" w:rsidP="00687285">
      <w:pPr>
        <w:pStyle w:val="BodyText"/>
        <w:ind w:left="0"/>
        <w:jc w:val="both"/>
        <w:rPr>
          <w:rFonts w:ascii="Times New Roman" w:hAnsi="Times New Roman" w:cs="Times New Roman"/>
          <w:noProof/>
        </w:rPr>
      </w:pPr>
      <w:r>
        <w:rPr>
          <w:rFonts w:ascii="Times New Roman" w:hAnsi="Times New Roman"/>
        </w:rPr>
        <w:t>91. Šis noteikums pastiprina 3., 8., 10. un 25. noteikumu. Pētījumi norāda uz tādiem jautājumiem datu apmaiņā dažādās jurisdikcijās, kas var radīt problēmas riska vadībā un seksuālas vardarbības novēršanā. Tāpēc valstīm jāsadarbojas, lai vajadzības gadījumā un saskaņā ar spēkā esošajiem noteikumiem atvieglotu šo datu apmaiņu. Datu apmaiņas mērķim ir jābūt sabiedrības aizsardzībai, personu aizsardzībai, pašreizējo riska vadības plānu nodrošināšanai un uzturēšanai.</w:t>
      </w:r>
    </w:p>
    <w:p w14:paraId="1879E099" w14:textId="77777777" w:rsidR="00687285" w:rsidRPr="00687285" w:rsidRDefault="00687285" w:rsidP="00687285">
      <w:pPr>
        <w:pStyle w:val="Heading2"/>
        <w:tabs>
          <w:tab w:val="left" w:pos="1176"/>
        </w:tabs>
        <w:spacing w:before="0"/>
        <w:ind w:left="0"/>
        <w:jc w:val="both"/>
        <w:rPr>
          <w:rFonts w:ascii="Times New Roman" w:hAnsi="Times New Roman" w:cs="Times New Roman"/>
          <w:noProof/>
          <w:sz w:val="24"/>
          <w:szCs w:val="24"/>
        </w:rPr>
      </w:pPr>
    </w:p>
    <w:p w14:paraId="16AA16F1" w14:textId="77777777" w:rsidR="00687285" w:rsidRPr="00687285" w:rsidRDefault="00687285" w:rsidP="00687285">
      <w:pPr>
        <w:pStyle w:val="Heading2"/>
        <w:tabs>
          <w:tab w:val="left" w:pos="1176"/>
        </w:tabs>
        <w:spacing w:before="0"/>
        <w:ind w:left="0"/>
        <w:jc w:val="both"/>
        <w:rPr>
          <w:rFonts w:ascii="Times New Roman" w:hAnsi="Times New Roman" w:cs="Times New Roman"/>
          <w:noProof/>
          <w:sz w:val="24"/>
          <w:szCs w:val="24"/>
        </w:rPr>
      </w:pPr>
      <w:r>
        <w:rPr>
          <w:rFonts w:ascii="Times New Roman" w:hAnsi="Times New Roman"/>
          <w:sz w:val="24"/>
        </w:rPr>
        <w:t>VII. CIETUŠIE UN KOPIENAS ATBALSTS</w:t>
      </w:r>
    </w:p>
    <w:p w14:paraId="163EC85C" w14:textId="77777777" w:rsidR="00687285" w:rsidRPr="00687285" w:rsidRDefault="00687285" w:rsidP="00687285">
      <w:pPr>
        <w:pStyle w:val="BodyText"/>
        <w:ind w:left="0"/>
        <w:jc w:val="both"/>
        <w:rPr>
          <w:rFonts w:ascii="Times New Roman" w:hAnsi="Times New Roman" w:cs="Times New Roman"/>
          <w:noProof/>
        </w:rPr>
      </w:pPr>
    </w:p>
    <w:p w14:paraId="01993CBB" w14:textId="77777777" w:rsidR="00687285" w:rsidRPr="00687285" w:rsidRDefault="00687285" w:rsidP="00687285">
      <w:pPr>
        <w:pStyle w:val="BodyText"/>
        <w:ind w:left="0"/>
        <w:jc w:val="both"/>
        <w:rPr>
          <w:rFonts w:ascii="Times New Roman" w:hAnsi="Times New Roman" w:cs="Times New Roman"/>
          <w:noProof/>
        </w:rPr>
      </w:pPr>
      <w:r>
        <w:rPr>
          <w:rFonts w:ascii="Times New Roman" w:hAnsi="Times New Roman"/>
        </w:rPr>
        <w:t>30. noteikums</w:t>
      </w:r>
    </w:p>
    <w:p w14:paraId="6EBB7419" w14:textId="77777777" w:rsidR="00687285" w:rsidRPr="00687285" w:rsidRDefault="00687285" w:rsidP="00687285">
      <w:pPr>
        <w:pStyle w:val="BodyText"/>
        <w:tabs>
          <w:tab w:val="left" w:pos="1219"/>
        </w:tabs>
        <w:ind w:left="0"/>
        <w:jc w:val="both"/>
        <w:rPr>
          <w:rFonts w:ascii="Times New Roman" w:hAnsi="Times New Roman" w:cs="Times New Roman"/>
          <w:noProof/>
        </w:rPr>
      </w:pPr>
    </w:p>
    <w:p w14:paraId="2861DCB2" w14:textId="77777777" w:rsidR="00687285" w:rsidRPr="00687285" w:rsidRDefault="00687285" w:rsidP="00687285">
      <w:pPr>
        <w:pStyle w:val="BodyText"/>
        <w:tabs>
          <w:tab w:val="left" w:pos="1219"/>
        </w:tabs>
        <w:ind w:left="0"/>
        <w:jc w:val="both"/>
        <w:rPr>
          <w:rFonts w:ascii="Times New Roman" w:hAnsi="Times New Roman" w:cs="Times New Roman"/>
          <w:noProof/>
        </w:rPr>
      </w:pPr>
      <w:r>
        <w:rPr>
          <w:rFonts w:ascii="Times New Roman" w:hAnsi="Times New Roman"/>
        </w:rPr>
        <w:t>92. Pārvaldot un integrējot atpakaļ sabiedrībā personas, kas notiesātas par noziedzīgu nodarījumu pret dzimumneaizskaramību, jāievēro cietušo tiesības. Šā noteikuma mērķis ir turpināt aizsargāt cietušo saskaņā ar datu aizsardzības standartiem, kas noteikti modernizētajā Konvencijā Nr. 108. Tas jāīsteno saskaņā ar sabiedrības aizsardzības nodrošināšanas un cietušo tiesību politiku. Visa informācija, kas cietušajam tiek sniegta par personu, kas apsūdzēta vai notiesāta par noziedzīgu nodarījumu pret dzimumneaizskaramību, ir jāsniedz drošā, aizsargātā un empātiskā veidā, un tas ir jādara sagatavotam speciālistam.</w:t>
      </w:r>
    </w:p>
    <w:p w14:paraId="4D5C502F" w14:textId="77777777" w:rsidR="00687285" w:rsidRPr="00687285" w:rsidRDefault="00687285" w:rsidP="00687285">
      <w:pPr>
        <w:jc w:val="both"/>
        <w:rPr>
          <w:rFonts w:ascii="Times New Roman" w:hAnsi="Times New Roman" w:cs="Times New Roman"/>
          <w:noProof/>
          <w:sz w:val="24"/>
          <w:szCs w:val="24"/>
        </w:rPr>
      </w:pPr>
    </w:p>
    <w:p w14:paraId="697D0BC4" w14:textId="77777777" w:rsidR="00687285" w:rsidRPr="00687285" w:rsidRDefault="00687285" w:rsidP="00020AD3">
      <w:pPr>
        <w:pStyle w:val="BodyText"/>
        <w:keepNext/>
        <w:keepLines/>
        <w:tabs>
          <w:tab w:val="left" w:pos="1219"/>
        </w:tabs>
        <w:ind w:left="0"/>
        <w:jc w:val="both"/>
        <w:rPr>
          <w:rFonts w:ascii="Times New Roman" w:hAnsi="Times New Roman" w:cs="Times New Roman"/>
          <w:noProof/>
        </w:rPr>
      </w:pPr>
      <w:r>
        <w:rPr>
          <w:rFonts w:ascii="Times New Roman" w:hAnsi="Times New Roman"/>
        </w:rPr>
        <w:lastRenderedPageBreak/>
        <w:t>93. Šis noteikums nedrīkst pārkāpt nevienas personas, kas notiesāta par noziedzīgu nodarījumu pret dzimumneaizskaramību, tiesības, un, ja ir jāievieš papildu aizsardzības pasākumi vai papildu informācijas izpaušanas ierobežojumi, tas ir jāietver riska vadības plānā un jāsaskaņo ar augstāka līmeņa darbinieku. Tas ir īpaši svarīgi, ņemot vērā noziedzīga nodarījuma pret dzimumneaizskaramību veidu, jo bieži vien starp cietušo un noziedzīga nodarījuma izdarītāju (t. i., ģimenes locekli, draugu, kolēģi vai vienaudzi) iepriekš ir pastāvējušas attiecības, un ir reāli sagaidāms, ka noteiktos apstākļos tie varētu tieši vai netieši sastapties viens ar otru.</w:t>
      </w:r>
    </w:p>
    <w:p w14:paraId="7D393F3B" w14:textId="77777777" w:rsidR="00687285" w:rsidRPr="00687285" w:rsidRDefault="00687285" w:rsidP="00687285">
      <w:pPr>
        <w:pStyle w:val="BodyText"/>
        <w:tabs>
          <w:tab w:val="left" w:pos="1248"/>
        </w:tabs>
        <w:ind w:left="0"/>
        <w:jc w:val="both"/>
        <w:rPr>
          <w:rFonts w:ascii="Times New Roman" w:hAnsi="Times New Roman" w:cs="Times New Roman"/>
          <w:noProof/>
        </w:rPr>
      </w:pPr>
    </w:p>
    <w:p w14:paraId="183BC341" w14:textId="77777777" w:rsidR="00687285" w:rsidRPr="00687285" w:rsidRDefault="00687285" w:rsidP="00687285">
      <w:pPr>
        <w:pStyle w:val="BodyText"/>
        <w:tabs>
          <w:tab w:val="left" w:pos="1248"/>
        </w:tabs>
        <w:ind w:left="0"/>
        <w:jc w:val="both"/>
        <w:rPr>
          <w:rFonts w:ascii="Times New Roman" w:hAnsi="Times New Roman" w:cs="Times New Roman"/>
          <w:noProof/>
        </w:rPr>
      </w:pPr>
      <w:r>
        <w:rPr>
          <w:rFonts w:ascii="Times New Roman" w:hAnsi="Times New Roman"/>
        </w:rPr>
        <w:t>94. Ir svarīgi norādīt, ka šā noteikuma mērķis ir atbalstīt cietušos. Tas nav paredzēts, lai ļautu cietušajiem ietekmēt to personu kriminālprocesa gaitā, kas notiesāta par noziedzīgu nodarījumu pret dzimumneaizskaramību. Šis noteikums neaprobežojas tikai ar personas galīgo atbrīvošanu no ieslodzījuma vietas, un tas var ietvert arī ieslodzījuma vietas īslaicīgu atstāšanu, papildsoda beigas, ar darbu saistītu atbrīvošanu vai aizturēšanas iestādes maiņu (piemēram, pārvietošanu no slēgta tipa, apsargātas ieslodzījuma vietas uz atvērta tipa ieslodzījuma vietu vai hosteli).</w:t>
      </w:r>
    </w:p>
    <w:p w14:paraId="47BE622A" w14:textId="77777777" w:rsidR="00687285" w:rsidRPr="00687285" w:rsidRDefault="00687285" w:rsidP="00687285">
      <w:pPr>
        <w:pStyle w:val="BodyText"/>
        <w:ind w:left="0"/>
        <w:jc w:val="both"/>
        <w:rPr>
          <w:rFonts w:ascii="Times New Roman" w:hAnsi="Times New Roman" w:cs="Times New Roman"/>
          <w:noProof/>
        </w:rPr>
      </w:pPr>
    </w:p>
    <w:p w14:paraId="6DC8BF05" w14:textId="77777777" w:rsidR="00687285" w:rsidRPr="00687285" w:rsidRDefault="00687285" w:rsidP="00687285">
      <w:pPr>
        <w:pStyle w:val="BodyText"/>
        <w:ind w:left="0"/>
        <w:jc w:val="both"/>
        <w:rPr>
          <w:rFonts w:ascii="Times New Roman" w:hAnsi="Times New Roman" w:cs="Times New Roman"/>
          <w:noProof/>
        </w:rPr>
      </w:pPr>
      <w:r>
        <w:rPr>
          <w:rFonts w:ascii="Times New Roman" w:hAnsi="Times New Roman"/>
        </w:rPr>
        <w:t>31. noteikums</w:t>
      </w:r>
    </w:p>
    <w:p w14:paraId="495513E2" w14:textId="77777777" w:rsidR="00687285" w:rsidRPr="00687285" w:rsidRDefault="00687285" w:rsidP="00687285">
      <w:pPr>
        <w:pStyle w:val="BodyText"/>
        <w:tabs>
          <w:tab w:val="left" w:pos="1219"/>
        </w:tabs>
        <w:ind w:left="0"/>
        <w:jc w:val="both"/>
        <w:rPr>
          <w:rFonts w:ascii="Times New Roman" w:hAnsi="Times New Roman" w:cs="Times New Roman"/>
          <w:noProof/>
        </w:rPr>
      </w:pPr>
    </w:p>
    <w:p w14:paraId="5FE8A2AF" w14:textId="77777777" w:rsidR="00687285" w:rsidRPr="00687285" w:rsidRDefault="00687285" w:rsidP="00687285">
      <w:pPr>
        <w:pStyle w:val="BodyText"/>
        <w:tabs>
          <w:tab w:val="left" w:pos="1219"/>
        </w:tabs>
        <w:ind w:left="0"/>
        <w:jc w:val="both"/>
        <w:rPr>
          <w:rFonts w:ascii="Times New Roman" w:hAnsi="Times New Roman" w:cs="Times New Roman"/>
          <w:noProof/>
        </w:rPr>
      </w:pPr>
      <w:r>
        <w:rPr>
          <w:rFonts w:ascii="Times New Roman" w:hAnsi="Times New Roman"/>
        </w:rPr>
        <w:t>95. Noteikums pastiprina 8. un 32. noteikumu. Probācijai un saistītajiem dienestiem pienācīgi un profesionāli jāsadarbojas ar cietušo dienestiem, lai nodrošinātu un aizsargātu cietušo tiesības. Tas ir īpaši svarīgi gadījumos, kad cietušais ietilpst mazāk aizsargātā vai aizsargājamā grupā vai ja viņam ir pastāvīgas tiešas vai netiešas attiecības ar personu, kas apsūdzēta vai notiesāta par noziedzīgu nodarījumu pret dzimumneaizskaramību. Kā norādīts 30. noteikumā, šā noteikuma mērķis ir atbalstīt cietušos procesa gaitā, nevis ļaut cietušajiem ietekmēt personas, kas notiesāta par noziedzīgu nodarījumu pret dzimumneaizskaramību, sodu vai atbrīvošanu. Attiecībā uz atjaunojošo justīciju cietušais var lūgt uz atjaunojošo justīciju balstītus iejaukšanās pasākumus, ja tie ir ietverti pasākumu kopumā, kas viņam ir pieejams notiesāšanas laikā vai pēc tās.</w:t>
      </w:r>
    </w:p>
    <w:p w14:paraId="7AB60EC1" w14:textId="77777777" w:rsidR="00687285" w:rsidRPr="00687285" w:rsidRDefault="00687285" w:rsidP="00687285">
      <w:pPr>
        <w:pStyle w:val="BodyText"/>
        <w:ind w:left="0"/>
        <w:jc w:val="both"/>
        <w:rPr>
          <w:rFonts w:ascii="Times New Roman" w:hAnsi="Times New Roman" w:cs="Times New Roman"/>
          <w:noProof/>
        </w:rPr>
      </w:pPr>
    </w:p>
    <w:p w14:paraId="3560F3A1" w14:textId="77777777" w:rsidR="00687285" w:rsidRPr="00687285" w:rsidRDefault="00687285" w:rsidP="00687285">
      <w:pPr>
        <w:pStyle w:val="BodyText"/>
        <w:ind w:left="0"/>
        <w:jc w:val="both"/>
        <w:rPr>
          <w:rFonts w:ascii="Times New Roman" w:hAnsi="Times New Roman" w:cs="Times New Roman"/>
          <w:noProof/>
        </w:rPr>
      </w:pPr>
      <w:r>
        <w:rPr>
          <w:rFonts w:ascii="Times New Roman" w:hAnsi="Times New Roman"/>
        </w:rPr>
        <w:t>32. noteikums</w:t>
      </w:r>
    </w:p>
    <w:p w14:paraId="636F4885" w14:textId="77777777" w:rsidR="00687285" w:rsidRPr="00687285" w:rsidRDefault="00687285" w:rsidP="00687285">
      <w:pPr>
        <w:pStyle w:val="BodyText"/>
        <w:tabs>
          <w:tab w:val="left" w:pos="1248"/>
        </w:tabs>
        <w:ind w:left="0"/>
        <w:jc w:val="both"/>
        <w:rPr>
          <w:rFonts w:ascii="Times New Roman" w:hAnsi="Times New Roman" w:cs="Times New Roman"/>
          <w:noProof/>
        </w:rPr>
      </w:pPr>
    </w:p>
    <w:p w14:paraId="3F3DF8C6" w14:textId="77777777" w:rsidR="00687285" w:rsidRPr="00687285" w:rsidRDefault="00687285" w:rsidP="00687285">
      <w:pPr>
        <w:pStyle w:val="BodyText"/>
        <w:tabs>
          <w:tab w:val="left" w:pos="1248"/>
        </w:tabs>
        <w:ind w:left="0"/>
        <w:jc w:val="both"/>
        <w:rPr>
          <w:rFonts w:ascii="Times New Roman" w:hAnsi="Times New Roman" w:cs="Times New Roman"/>
          <w:noProof/>
        </w:rPr>
      </w:pPr>
      <w:r>
        <w:rPr>
          <w:rFonts w:ascii="Times New Roman" w:hAnsi="Times New Roman"/>
        </w:rPr>
        <w:t>96. Riska vadība ietilpst sagatavotu speciālistu kompetencē, tomēr, ja tiek veikti atbilstīgi aizsardzības pasākumi, var izmantot tādas resocializācijas programmas, kurās ir iesaistīti sagatavoti sabiedrības locekļi (t. i., Atbildīguma un atbalsta apļi vai sabiedrības Atjaunojošās justīcijas programma / iejaukšanās pasākumi, skat. 33. noteikumu).</w:t>
      </w:r>
    </w:p>
    <w:p w14:paraId="477D9155" w14:textId="77777777" w:rsidR="00687285" w:rsidRPr="00687285" w:rsidRDefault="00687285" w:rsidP="00687285">
      <w:pPr>
        <w:pStyle w:val="BodyText"/>
        <w:tabs>
          <w:tab w:val="left" w:pos="1219"/>
        </w:tabs>
        <w:ind w:left="0"/>
        <w:jc w:val="both"/>
        <w:rPr>
          <w:rFonts w:ascii="Times New Roman" w:hAnsi="Times New Roman" w:cs="Times New Roman"/>
          <w:noProof/>
        </w:rPr>
      </w:pPr>
    </w:p>
    <w:p w14:paraId="373D35B5" w14:textId="77777777" w:rsidR="00687285" w:rsidRPr="00687285" w:rsidRDefault="00687285" w:rsidP="00687285">
      <w:pPr>
        <w:pStyle w:val="BodyText"/>
        <w:tabs>
          <w:tab w:val="left" w:pos="1219"/>
        </w:tabs>
        <w:ind w:left="0"/>
        <w:jc w:val="both"/>
        <w:rPr>
          <w:rFonts w:ascii="Times New Roman" w:hAnsi="Times New Roman" w:cs="Times New Roman"/>
          <w:noProof/>
        </w:rPr>
      </w:pPr>
      <w:r>
        <w:rPr>
          <w:rFonts w:ascii="Times New Roman" w:hAnsi="Times New Roman"/>
        </w:rPr>
        <w:t>97. Šādas resocializācijas programmas tiek izmantotas, lai atbalstītu, nevis aizstātu pilnvarotās iestādes, un tāpēc šīm programmām jādarbojas kopā ar minētajām iestādēm un paralēli tām. Jābūt izstrādātām skaidrām nacionālās politikas direktīvām, iestāžu sadarbības vadlīnijām, iekšējās kārtības noteikumiem un saziņas stratēģijām. Atbilstoši jānovērtē risks un jāpiemēro nepieciešamais riska vadības līmenis attiecībā uz visām personām, kas ar šo programmu starpniecību pēc notiesāšanas tiek integrētas atpakaļ sabiedrībā. Atbildīgajām iestādēm (tostarp policijai un probācijai) ir jāsadarbojas, lai nodrošinātu sabiedrības drošību un sabiedrības aizsardzību.</w:t>
      </w:r>
    </w:p>
    <w:p w14:paraId="424233B3" w14:textId="77777777" w:rsidR="00687285" w:rsidRPr="00687285" w:rsidRDefault="00687285" w:rsidP="00687285">
      <w:pPr>
        <w:jc w:val="both"/>
        <w:rPr>
          <w:rFonts w:ascii="Times New Roman" w:eastAsia="Arial" w:hAnsi="Times New Roman" w:cs="Times New Roman"/>
          <w:noProof/>
          <w:sz w:val="24"/>
          <w:szCs w:val="24"/>
        </w:rPr>
      </w:pPr>
    </w:p>
    <w:p w14:paraId="00C636CB" w14:textId="77777777" w:rsidR="00687285" w:rsidRPr="00687285" w:rsidRDefault="00687285" w:rsidP="002E7AE1">
      <w:pPr>
        <w:pStyle w:val="BodyText"/>
        <w:keepNext/>
        <w:keepLines/>
        <w:ind w:left="0"/>
        <w:jc w:val="both"/>
        <w:rPr>
          <w:rFonts w:ascii="Times New Roman" w:hAnsi="Times New Roman" w:cs="Times New Roman"/>
          <w:noProof/>
        </w:rPr>
      </w:pPr>
      <w:r>
        <w:rPr>
          <w:rFonts w:ascii="Times New Roman" w:hAnsi="Times New Roman"/>
        </w:rPr>
        <w:lastRenderedPageBreak/>
        <w:t>33. noteikums</w:t>
      </w:r>
    </w:p>
    <w:p w14:paraId="4F30B847" w14:textId="77777777" w:rsidR="00687285" w:rsidRPr="00687285" w:rsidRDefault="00687285" w:rsidP="002E7AE1">
      <w:pPr>
        <w:pStyle w:val="BodyText"/>
        <w:keepNext/>
        <w:keepLines/>
        <w:tabs>
          <w:tab w:val="left" w:pos="1219"/>
        </w:tabs>
        <w:ind w:left="0"/>
        <w:jc w:val="both"/>
        <w:rPr>
          <w:rFonts w:ascii="Times New Roman" w:hAnsi="Times New Roman" w:cs="Times New Roman"/>
          <w:noProof/>
        </w:rPr>
      </w:pPr>
    </w:p>
    <w:p w14:paraId="1B1A4DEB" w14:textId="77777777" w:rsidR="00687285" w:rsidRPr="00687285" w:rsidRDefault="00687285" w:rsidP="002E7AE1">
      <w:pPr>
        <w:pStyle w:val="BodyText"/>
        <w:keepNext/>
        <w:keepLines/>
        <w:tabs>
          <w:tab w:val="left" w:pos="1219"/>
        </w:tabs>
        <w:ind w:left="0"/>
        <w:jc w:val="both"/>
        <w:rPr>
          <w:rFonts w:ascii="Times New Roman" w:hAnsi="Times New Roman" w:cs="Times New Roman"/>
          <w:noProof/>
        </w:rPr>
      </w:pPr>
      <w:r>
        <w:rPr>
          <w:rFonts w:ascii="Times New Roman" w:hAnsi="Times New Roman"/>
        </w:rPr>
        <w:t>98. “Atjaunojošā justīcija” ir jebkādi procesi, kas ļauj tiem, kam ar noziegumu nodarīts kaitējums, un tiem, kas par šo kaitējumu ir atbildīgi, ja viņi tam nepiespiesti piekrīt, aktīvi piedalīties no noziedzīgā nodarījuma izrietošo jautājumu risināšanā ar sagatavotas un objektīvas trešās puses palīdzību. Atjaunojošā justīcija bieži vien notiek (tiešā vai netiešā) dialogā starp cietušo un personu, kas ir izdarījusi noziedzīgu nodarījumu, un attiecīgā gadījumā tajā var tikt iesaistītas arī citas personas, kuras tieši vai netieši skāris noziegums. Tas var ietvert cietušo atbalstītājus un personas, kas notiesātas par noziedzīgu nodarījumu pret dzimumneaizskaramību, attiecīgos speciālistus un skarto kopienu locekļus vai pārstāvjus (skat. Ieteikuma CM/Rec(2018)8 3. un 4. noteikumu par atjaunojošo justīciju krimināllietās un komentārus par tiem).</w:t>
      </w:r>
    </w:p>
    <w:p w14:paraId="5B2BF24F" w14:textId="77777777" w:rsidR="00687285" w:rsidRPr="00687285" w:rsidRDefault="00687285" w:rsidP="00687285">
      <w:pPr>
        <w:pStyle w:val="BodyText"/>
        <w:tabs>
          <w:tab w:val="left" w:pos="1248"/>
        </w:tabs>
        <w:ind w:left="0"/>
        <w:jc w:val="both"/>
        <w:rPr>
          <w:rFonts w:ascii="Times New Roman" w:hAnsi="Times New Roman" w:cs="Times New Roman"/>
          <w:noProof/>
        </w:rPr>
      </w:pPr>
    </w:p>
    <w:p w14:paraId="3FFB948B" w14:textId="77777777" w:rsidR="00687285" w:rsidRPr="00687285" w:rsidRDefault="00687285" w:rsidP="00687285">
      <w:pPr>
        <w:pStyle w:val="BodyText"/>
        <w:tabs>
          <w:tab w:val="left" w:pos="1248"/>
        </w:tabs>
        <w:ind w:left="0"/>
        <w:jc w:val="both"/>
        <w:rPr>
          <w:rFonts w:ascii="Times New Roman" w:hAnsi="Times New Roman" w:cs="Times New Roman"/>
          <w:noProof/>
        </w:rPr>
      </w:pPr>
      <w:r>
        <w:rPr>
          <w:rFonts w:ascii="Times New Roman" w:hAnsi="Times New Roman"/>
        </w:rPr>
        <w:t>99. Atjaunojošā justīcija var nebūt pieejama visos gadījumos un var nebūt piemērota. Ja tā ir pieejama, ir ļoti svarīgi, lai tiktu iekļauta uz dzimumu balstīta perspektīva un lai cietušā tiesības būtu īpaši svarīgas. Lēmumu par to, vai turpināt ar šādu iejaukšanās pasākumu piemērošanu, pieņem iestāde, kas strādā ar personu, kas notiesāta par noziedzīgu nodarījumu pret dzimumneaizskaramību, un lēmumā ir jāapsver, vai laiks un konteksts ir atbilstošs šo pasākumu piemērošanai personas rehabilitācijas un atturēšanās no noziedzīgu nodarījumu izdarīšanas procesā.</w:t>
      </w:r>
    </w:p>
    <w:p w14:paraId="317E7C27" w14:textId="77777777" w:rsidR="00687285" w:rsidRPr="00687285" w:rsidRDefault="00687285" w:rsidP="00687285">
      <w:pPr>
        <w:pStyle w:val="BodyText"/>
        <w:tabs>
          <w:tab w:val="left" w:pos="1306"/>
        </w:tabs>
        <w:ind w:left="0"/>
        <w:jc w:val="both"/>
        <w:rPr>
          <w:rFonts w:ascii="Times New Roman" w:hAnsi="Times New Roman" w:cs="Times New Roman"/>
          <w:noProof/>
        </w:rPr>
      </w:pPr>
    </w:p>
    <w:p w14:paraId="5C6DADF9" w14:textId="77777777" w:rsidR="00687285" w:rsidRPr="00687285" w:rsidRDefault="00687285" w:rsidP="00687285">
      <w:pPr>
        <w:pStyle w:val="BodyText"/>
        <w:tabs>
          <w:tab w:val="left" w:pos="1306"/>
        </w:tabs>
        <w:ind w:left="0"/>
        <w:jc w:val="both"/>
        <w:rPr>
          <w:rFonts w:ascii="Times New Roman" w:hAnsi="Times New Roman" w:cs="Times New Roman"/>
          <w:noProof/>
        </w:rPr>
      </w:pPr>
      <w:r>
        <w:rPr>
          <w:rFonts w:ascii="Times New Roman" w:hAnsi="Times New Roman"/>
        </w:rPr>
        <w:t>100. Lai gan atjaunojošajai justīcijai parasti raksturīgs pušu dialogs, daudzos gadījumos, stingri ievērojot atjaunojošās justīcijas principus, var izstrādāt un īstenot iejaukšanās pasākumus, kas nav saistīti ar dialogu starp cietušo un personu, kas ir izdarījusi noziedzīgu nodarījumu. Tie ietver dažādas inovatīvas pieejas, kā īstenot atlīdzināšanu, cietušo atveseļošanos un to personu sociālo reintegrāciju, kas apsūdzētas vai notiesātas par noziedzīgu nodarījumu pret dzimumneaizskaramību, ja tās tiek piemērotas saskaņā ar atjaunojošās justīcijas pamatprincipiem (skat. Ieteikuma CM/Rec(2018)8 par atjaunojošo justīciju krimināllietās 59. noteikumu).</w:t>
      </w:r>
    </w:p>
    <w:p w14:paraId="76B80012" w14:textId="77777777" w:rsidR="00687285" w:rsidRPr="00687285" w:rsidRDefault="00687285" w:rsidP="00687285">
      <w:pPr>
        <w:pStyle w:val="BodyText"/>
        <w:tabs>
          <w:tab w:val="left" w:pos="1306"/>
        </w:tabs>
        <w:ind w:left="0"/>
        <w:jc w:val="both"/>
        <w:rPr>
          <w:rFonts w:ascii="Times New Roman" w:hAnsi="Times New Roman" w:cs="Times New Roman"/>
          <w:noProof/>
        </w:rPr>
      </w:pPr>
    </w:p>
    <w:p w14:paraId="0BE7B1D9" w14:textId="77777777" w:rsidR="00687285" w:rsidRPr="00687285" w:rsidRDefault="00687285" w:rsidP="00687285">
      <w:pPr>
        <w:pStyle w:val="BodyText"/>
        <w:tabs>
          <w:tab w:val="left" w:pos="1306"/>
        </w:tabs>
        <w:ind w:left="0"/>
        <w:jc w:val="both"/>
        <w:rPr>
          <w:rFonts w:ascii="Times New Roman" w:hAnsi="Times New Roman" w:cs="Times New Roman"/>
          <w:noProof/>
        </w:rPr>
      </w:pPr>
      <w:r>
        <w:rPr>
          <w:rFonts w:ascii="Times New Roman" w:hAnsi="Times New Roman"/>
        </w:rPr>
        <w:t>101. Ja cietušie vēlas piedalīties atjaunojošās justīcijas iejaukšanās pasākumos, pēc informētu lēmumu pieņemšanas ir jāatvieglo piekļuve šādiem pasākumiem. Šādos gadījumos piedalīšanos atjaunojošās justīcijas iejaukšanās pasākumos var noteikt tiesu iestādes, tiesībsargājošās iestādes, kā arī cietušo atbalsta un atjaunojošās justīcijas dienesti vai arī pati persona. Lai šādi iejaukšanās pasākumi notiktu, ir nepieciešama arī informēta tās personas līdzdalība, kas notiesāta par noziedzīgu nodarījumu pret dzimumneaizskaramību. Visām pusēm jābūt atbilstoši sagatavotām šādiem iejaukšanās pasākumiem, ko veic sagatavoti atjaunojošās justīcijas speciālisti, un šādu iejaukšanos pasākumu rezultāti jāņem vērā to personu reintegrācijas plānos, kas notiesātas par noziedzīgiem nodarījumiem pret dzimumneaizskaramību.</w:t>
      </w:r>
    </w:p>
    <w:p w14:paraId="529E7652" w14:textId="77777777" w:rsidR="00687285" w:rsidRPr="00687285" w:rsidRDefault="00687285" w:rsidP="00687285">
      <w:pPr>
        <w:tabs>
          <w:tab w:val="left" w:pos="1233"/>
        </w:tabs>
        <w:jc w:val="both"/>
        <w:rPr>
          <w:rFonts w:ascii="Times New Roman" w:hAnsi="Times New Roman" w:cs="Times New Roman"/>
          <w:noProof/>
          <w:sz w:val="24"/>
          <w:szCs w:val="24"/>
        </w:rPr>
      </w:pPr>
    </w:p>
    <w:p w14:paraId="242E133D" w14:textId="77777777" w:rsidR="00687285" w:rsidRPr="00687285" w:rsidRDefault="00687285" w:rsidP="00687285">
      <w:pPr>
        <w:tabs>
          <w:tab w:val="left" w:pos="1233"/>
        </w:tabs>
        <w:jc w:val="both"/>
        <w:rPr>
          <w:rFonts w:ascii="Times New Roman" w:hAnsi="Times New Roman" w:cs="Times New Roman"/>
          <w:b/>
          <w:noProof/>
          <w:sz w:val="24"/>
          <w:szCs w:val="24"/>
        </w:rPr>
      </w:pPr>
      <w:r>
        <w:rPr>
          <w:rFonts w:ascii="Times New Roman" w:hAnsi="Times New Roman"/>
          <w:b/>
          <w:sz w:val="24"/>
        </w:rPr>
        <w:t>VIII. PERSONĀLA ATLASE UN MĀCĪBAS</w:t>
      </w:r>
    </w:p>
    <w:p w14:paraId="16A4D0C5" w14:textId="77777777" w:rsidR="00687285" w:rsidRPr="00687285" w:rsidRDefault="00687285" w:rsidP="00687285">
      <w:pPr>
        <w:pStyle w:val="BodyText"/>
        <w:ind w:left="0"/>
        <w:jc w:val="both"/>
        <w:rPr>
          <w:rFonts w:ascii="Times New Roman" w:hAnsi="Times New Roman" w:cs="Times New Roman"/>
          <w:noProof/>
        </w:rPr>
      </w:pPr>
    </w:p>
    <w:p w14:paraId="4BE9E597" w14:textId="77777777" w:rsidR="00687285" w:rsidRPr="00687285" w:rsidRDefault="00687285" w:rsidP="00687285">
      <w:pPr>
        <w:pStyle w:val="BodyText"/>
        <w:ind w:left="0"/>
        <w:jc w:val="both"/>
        <w:rPr>
          <w:rFonts w:ascii="Times New Roman" w:hAnsi="Times New Roman" w:cs="Times New Roman"/>
          <w:noProof/>
        </w:rPr>
      </w:pPr>
      <w:r>
        <w:rPr>
          <w:rFonts w:ascii="Times New Roman" w:hAnsi="Times New Roman"/>
        </w:rPr>
        <w:t>34. noteikums</w:t>
      </w:r>
    </w:p>
    <w:p w14:paraId="6719AB65" w14:textId="77777777" w:rsidR="00687285" w:rsidRPr="00687285" w:rsidRDefault="00687285" w:rsidP="00687285">
      <w:pPr>
        <w:pStyle w:val="BodyText"/>
        <w:tabs>
          <w:tab w:val="left" w:pos="1291"/>
        </w:tabs>
        <w:ind w:left="0"/>
        <w:jc w:val="both"/>
        <w:rPr>
          <w:rFonts w:ascii="Times New Roman" w:hAnsi="Times New Roman" w:cs="Times New Roman"/>
          <w:noProof/>
        </w:rPr>
      </w:pPr>
    </w:p>
    <w:p w14:paraId="5ED11DDA" w14:textId="77777777" w:rsidR="00687285" w:rsidRPr="00687285" w:rsidRDefault="00687285" w:rsidP="00687285">
      <w:pPr>
        <w:pStyle w:val="BodyText"/>
        <w:tabs>
          <w:tab w:val="left" w:pos="1291"/>
        </w:tabs>
        <w:ind w:left="0"/>
        <w:jc w:val="both"/>
        <w:rPr>
          <w:rFonts w:ascii="Times New Roman" w:hAnsi="Times New Roman" w:cs="Times New Roman"/>
          <w:noProof/>
        </w:rPr>
      </w:pPr>
      <w:r>
        <w:rPr>
          <w:rFonts w:ascii="Times New Roman" w:hAnsi="Times New Roman"/>
        </w:rPr>
        <w:t xml:space="preserve">102. Novērtēšana, pārvaldība, sociālās uzvedības korekcijas un sociālās rehabilitācijas pasākumi personām, kas apsūdzētas vai notiesātas par noziedzīgu nodarījumu pret dzimumneaizskaramību, ir atkarīga no tā personāla kvalitātes, kas tos veic. Šajā noteikumā uzsvērts, ka kompetento iestāžu uzdevums ir atlasīt un pieņemt darbā pietiekamu skaitu iespējami profesionālāku darbinieku, nodrošināt viņiem pienācīgas mācības un sekmēt </w:t>
      </w:r>
      <w:r>
        <w:rPr>
          <w:rFonts w:ascii="Times New Roman" w:hAnsi="Times New Roman"/>
        </w:rPr>
        <w:lastRenderedPageBreak/>
        <w:t>profesionālās kvalifikācijas celšanu, lai dotu viņiem iespēju strādāt, ievērojot augstus ētikas standartus, lai nodrošinātu apsūdzēto un notiesāto personu taisnīgu un efektīvu uzraudzību, nodrošinot konstruktīvu aprūpi un sniedzot palīdzību, kas var palielināt viņu reintegrācijas izredzes un uzlabot sociālo integrāciju, no kā parasti ir atkarīga turpmāka atturēšanās no noziegumu izdarīšanas.</w:t>
      </w:r>
    </w:p>
    <w:p w14:paraId="17731E12" w14:textId="77777777" w:rsidR="00687285" w:rsidRPr="00687285" w:rsidRDefault="00687285" w:rsidP="00687285">
      <w:pPr>
        <w:pStyle w:val="BodyText"/>
        <w:tabs>
          <w:tab w:val="left" w:pos="1306"/>
        </w:tabs>
        <w:ind w:left="0"/>
        <w:jc w:val="both"/>
        <w:rPr>
          <w:rFonts w:ascii="Times New Roman" w:hAnsi="Times New Roman" w:cs="Times New Roman"/>
          <w:noProof/>
        </w:rPr>
      </w:pPr>
    </w:p>
    <w:p w14:paraId="36556544" w14:textId="77777777" w:rsidR="00687285" w:rsidRPr="00687285" w:rsidRDefault="00687285" w:rsidP="00687285">
      <w:pPr>
        <w:pStyle w:val="BodyText"/>
        <w:tabs>
          <w:tab w:val="left" w:pos="1306"/>
        </w:tabs>
        <w:ind w:left="0"/>
        <w:jc w:val="both"/>
        <w:rPr>
          <w:rFonts w:ascii="Times New Roman" w:hAnsi="Times New Roman" w:cs="Times New Roman"/>
          <w:noProof/>
        </w:rPr>
      </w:pPr>
      <w:r>
        <w:rPr>
          <w:rFonts w:ascii="Times New Roman" w:hAnsi="Times New Roman"/>
        </w:rPr>
        <w:t>103. Galvenā nozīme ir personāla atlasei, mācībām un atbalstam, un pieņemšanai darbā var izmantot speciālu protokolu, saskaņā ar kuru tiek novērtētas zināšanas, sniegums un attieksme pret personām, kas ir apsūdzētas vai notiesātas par noziedzīgu nodarījumu pret dzimumneaizskaramību, kā arī ar noturību saistītās personiskās īpašības.</w:t>
      </w:r>
      <w:r>
        <w:rPr>
          <w:rFonts w:ascii="Times New Roman" w:hAnsi="Times New Roman"/>
          <w:color w:val="181818"/>
        </w:rPr>
        <w:t xml:space="preserve"> </w:t>
      </w:r>
      <w:r>
        <w:rPr>
          <w:rFonts w:ascii="Times New Roman" w:hAnsi="Times New Roman"/>
        </w:rPr>
        <w:t>Papildu noteikumi par personāla pieņemšanu darbā, atlasi, mācībām un profesionālās kvalifikācijas celšanu ieslodzījumu vietu pārvaldē un probācijas dienestā, tostarp par attiecīgajiem izglītības līmeņiem, vakanču izsludināšanu un novērtēšanas procedūrām, iestājoties darbā, ir sīkāk izklāstīti Eiropas Padomes Vadlīnijās par ieslodzījuma vietu un probācijas dienestu personāla pieņemšanu darbā, atlasi, izglītību, mācībām un profesionālās kvalifikācijas celšanu (CM(2019)111-add).</w:t>
      </w:r>
    </w:p>
    <w:p w14:paraId="051ABB8C" w14:textId="77777777" w:rsidR="00687285" w:rsidRPr="00687285" w:rsidRDefault="00687285" w:rsidP="00687285">
      <w:pPr>
        <w:jc w:val="both"/>
        <w:rPr>
          <w:rFonts w:ascii="Times New Roman" w:hAnsi="Times New Roman" w:cs="Times New Roman"/>
          <w:noProof/>
        </w:rPr>
      </w:pPr>
    </w:p>
    <w:p w14:paraId="6D99952A" w14:textId="77777777" w:rsidR="00687285" w:rsidRPr="00687285" w:rsidRDefault="00687285" w:rsidP="00687285">
      <w:pPr>
        <w:pStyle w:val="BodyText"/>
        <w:ind w:left="0"/>
        <w:jc w:val="both"/>
        <w:rPr>
          <w:rFonts w:ascii="Times New Roman" w:hAnsi="Times New Roman" w:cs="Times New Roman"/>
          <w:noProof/>
        </w:rPr>
      </w:pPr>
      <w:r>
        <w:rPr>
          <w:rFonts w:ascii="Times New Roman" w:hAnsi="Times New Roman"/>
        </w:rPr>
        <w:t>35. noteikums</w:t>
      </w:r>
    </w:p>
    <w:p w14:paraId="37FC6C03" w14:textId="77777777" w:rsidR="00687285" w:rsidRPr="00687285" w:rsidRDefault="00687285" w:rsidP="00687285">
      <w:pPr>
        <w:pStyle w:val="BodyText"/>
        <w:tabs>
          <w:tab w:val="left" w:pos="1291"/>
        </w:tabs>
        <w:ind w:left="0"/>
        <w:jc w:val="both"/>
        <w:rPr>
          <w:rFonts w:ascii="Times New Roman" w:hAnsi="Times New Roman" w:cs="Times New Roman"/>
          <w:noProof/>
        </w:rPr>
      </w:pPr>
    </w:p>
    <w:p w14:paraId="69C87D63" w14:textId="77777777" w:rsidR="00687285" w:rsidRPr="00687285" w:rsidRDefault="00687285" w:rsidP="00687285">
      <w:pPr>
        <w:pStyle w:val="BodyText"/>
        <w:tabs>
          <w:tab w:val="left" w:pos="1291"/>
        </w:tabs>
        <w:ind w:left="0"/>
        <w:jc w:val="both"/>
        <w:rPr>
          <w:rFonts w:ascii="Times New Roman" w:hAnsi="Times New Roman" w:cs="Times New Roman"/>
          <w:noProof/>
        </w:rPr>
      </w:pPr>
      <w:r>
        <w:rPr>
          <w:rFonts w:ascii="Times New Roman" w:hAnsi="Times New Roman"/>
        </w:rPr>
        <w:t>104. Šis noteikums ir pamats tam, lai personām, kas apsūdzētas vai notiesātas par noziedzīgu nodarījumu pret dzimumneaizskaramību, tiktu nodrošināta uz pierādījumiem balstīta pārvaldība, sociālās uzvedības korekcijas un/vai sociālās rehabilitācijas pasākumi. Laika gaitā attīstās uz pierādījumiem balstītas rehabilitācijas un sociālās reintegrācijas modeļu pētījumi, un ir svarīgi, lai ieslodzījumu vietu pārvaldes un probācijas dienesti apņemtos šīs zināšanas izmantot savā darbā. Ieslodzījuma vietu un probācijas personāla nozīme rehabilitācijas un sociālās reintegrācijas veicināšanā ir uzsvērta Vadlīnijās par ieslodzījuma vietu un probācijas dienestu personāla pieņemšanu darbā, atlasi, izglītību, mācībām un profesionālās kvalifikācijas celšanu (CM(2019)111-add). Tās savos galvenajos principos nosaka, ka “Cietumu pārvalžu un probācijas dienestu personāla pamatuzdevums ir ievērojami uzlabot sabiedrisko drošību, īstenojot aizdomās turēto un likumpārkāpēju drošu, aizsargātu un humānu pārvaldīšanu un nodrošinot rehabilitācijas un reintegrācijas iespējas”.</w:t>
      </w:r>
    </w:p>
    <w:p w14:paraId="4B7F380C" w14:textId="77777777" w:rsidR="00687285" w:rsidRPr="00687285" w:rsidRDefault="00687285" w:rsidP="00687285">
      <w:pPr>
        <w:pStyle w:val="BodyText"/>
        <w:ind w:left="0"/>
        <w:jc w:val="both"/>
        <w:rPr>
          <w:rFonts w:ascii="Times New Roman" w:hAnsi="Times New Roman" w:cs="Times New Roman"/>
          <w:noProof/>
        </w:rPr>
      </w:pPr>
    </w:p>
    <w:p w14:paraId="6A961294" w14:textId="77777777" w:rsidR="00687285" w:rsidRPr="00687285" w:rsidRDefault="00687285" w:rsidP="00687285">
      <w:pPr>
        <w:pStyle w:val="BodyText"/>
        <w:ind w:left="0"/>
        <w:jc w:val="both"/>
        <w:rPr>
          <w:rFonts w:ascii="Times New Roman" w:hAnsi="Times New Roman" w:cs="Times New Roman"/>
          <w:noProof/>
        </w:rPr>
      </w:pPr>
      <w:r>
        <w:rPr>
          <w:rFonts w:ascii="Times New Roman" w:hAnsi="Times New Roman"/>
        </w:rPr>
        <w:t>36. noteikums</w:t>
      </w:r>
    </w:p>
    <w:p w14:paraId="1A539906" w14:textId="77777777" w:rsidR="00687285" w:rsidRPr="00687285" w:rsidRDefault="00687285" w:rsidP="00687285">
      <w:pPr>
        <w:pStyle w:val="BodyText"/>
        <w:tabs>
          <w:tab w:val="left" w:pos="1320"/>
        </w:tabs>
        <w:ind w:left="0"/>
        <w:jc w:val="both"/>
        <w:rPr>
          <w:rFonts w:ascii="Times New Roman" w:hAnsi="Times New Roman" w:cs="Times New Roman"/>
          <w:noProof/>
        </w:rPr>
      </w:pPr>
    </w:p>
    <w:p w14:paraId="14224C2E" w14:textId="77777777" w:rsidR="00687285" w:rsidRPr="00687285" w:rsidRDefault="00687285" w:rsidP="00687285">
      <w:pPr>
        <w:pStyle w:val="BodyText"/>
        <w:tabs>
          <w:tab w:val="left" w:pos="1320"/>
        </w:tabs>
        <w:ind w:left="0"/>
        <w:jc w:val="both"/>
        <w:rPr>
          <w:rFonts w:ascii="Times New Roman" w:hAnsi="Times New Roman" w:cs="Times New Roman"/>
          <w:noProof/>
        </w:rPr>
      </w:pPr>
      <w:r>
        <w:rPr>
          <w:rFonts w:ascii="Times New Roman" w:hAnsi="Times New Roman"/>
        </w:rPr>
        <w:t>105. Tā kā darbs ar personām, kas apsūdzētas vai notiesātas par noziedzīgu nodarījumu pret dzimumneaizskaramību, ir sarežģīts un var būt traumējošs, būtiska ir uzraudzība un atbalsts, tajā skaitā līdzcilvēku atbalsts, tostarp, kad tiek veikta riska novērtēšana, kā arī sociālās uzvedības korekcijas un sociālās rehabilitācijas pasākumu programmu ietvaros. Pastāvīga uzraudzība ir nepieciešama arī pārskatāmības nodrošināšanai, lai uzturētu personāla locekļu darba kompetenci. Ir arī svarīgi, lai šādu darbu uzraugošie speciālisti būtu pietiekami kvalificēti. Šāda uzraudzība jāpārrauga speciālistiem, tostarp psihologiem, psihiatriem, sociālajiem pedagogiem, sociālajiem darbiniekiem un seksologiem, kam ir plašas teorētiskās un praktiskās zināšanas, kā izturēties pret personām, kas apsūdzētas vai notiesātas par noziedzīgu nodarījumu pret dzimumneaizskaramību. Šis noteikums atzīst vajadzību pēc formālas kvalifikācijas, lai piemērotu vai veiktu sociālās uzvedības korekcijas un/vai sociālās rehabilitācijas pasākumus, kas ir atbilstoši personām, kas apsūdzētas vai notiesātas par noziedzīgu nodarījumu pret dzimumneaizskaramību (skat. 37. noteikumu).</w:t>
      </w:r>
    </w:p>
    <w:p w14:paraId="02D141C1" w14:textId="77777777" w:rsidR="00687285" w:rsidRPr="00687285" w:rsidRDefault="00687285" w:rsidP="00687285">
      <w:pPr>
        <w:pStyle w:val="BodyText"/>
        <w:ind w:left="0"/>
        <w:jc w:val="both"/>
        <w:rPr>
          <w:rFonts w:ascii="Times New Roman" w:hAnsi="Times New Roman" w:cs="Times New Roman"/>
          <w:noProof/>
        </w:rPr>
      </w:pPr>
    </w:p>
    <w:p w14:paraId="30D42FB4" w14:textId="77777777" w:rsidR="00687285" w:rsidRPr="00687285" w:rsidRDefault="00687285" w:rsidP="002E7AE1">
      <w:pPr>
        <w:pStyle w:val="BodyText"/>
        <w:keepNext/>
        <w:keepLines/>
        <w:ind w:left="0"/>
        <w:jc w:val="both"/>
        <w:rPr>
          <w:rFonts w:ascii="Times New Roman" w:hAnsi="Times New Roman" w:cs="Times New Roman"/>
          <w:noProof/>
        </w:rPr>
      </w:pPr>
      <w:r>
        <w:rPr>
          <w:rFonts w:ascii="Times New Roman" w:hAnsi="Times New Roman"/>
        </w:rPr>
        <w:lastRenderedPageBreak/>
        <w:t>37. noteikums</w:t>
      </w:r>
    </w:p>
    <w:p w14:paraId="5736D4C6" w14:textId="77777777" w:rsidR="00687285" w:rsidRPr="00687285" w:rsidRDefault="00687285" w:rsidP="002E7AE1">
      <w:pPr>
        <w:pStyle w:val="BodyText"/>
        <w:keepNext/>
        <w:keepLines/>
        <w:tabs>
          <w:tab w:val="left" w:pos="1320"/>
        </w:tabs>
        <w:ind w:left="0"/>
        <w:jc w:val="both"/>
        <w:rPr>
          <w:rFonts w:ascii="Times New Roman" w:hAnsi="Times New Roman" w:cs="Times New Roman"/>
          <w:noProof/>
        </w:rPr>
      </w:pPr>
    </w:p>
    <w:p w14:paraId="6D8D8C3D" w14:textId="77777777" w:rsidR="00687285" w:rsidRPr="00687285" w:rsidRDefault="00687285" w:rsidP="002E7AE1">
      <w:pPr>
        <w:pStyle w:val="BodyText"/>
        <w:keepNext/>
        <w:keepLines/>
        <w:tabs>
          <w:tab w:val="left" w:pos="1320"/>
        </w:tabs>
        <w:ind w:left="0"/>
        <w:jc w:val="both"/>
        <w:rPr>
          <w:rFonts w:ascii="Times New Roman" w:hAnsi="Times New Roman" w:cs="Times New Roman"/>
          <w:noProof/>
        </w:rPr>
      </w:pPr>
      <w:r>
        <w:rPr>
          <w:rFonts w:ascii="Times New Roman" w:hAnsi="Times New Roman"/>
        </w:rPr>
        <w:t>106. Ir ļoti svarīgi, lai visu jomu darbinieki, kas strādā ar personām, kas apsūdzētas vai notiesātas par noziedzīgu nodarījumu pret dzimumneaizskaramību, būtu atbilstoši sagatavoti, lai nodrošinātu darba kompetenci, kas ir būtiska nodrošinot efektīvu to personu pārvaldību, rehabilitāciju un sociālo reintegrāciju, kas apsūdzētas vai notiesātas par noziedzīgu nodarījumu pret dzimumneaizskaramību. Pastāvīgu un regulāru mācību organizēšana palīdz nodrošināt, ka personāls ir informēts par jaunākajiem notikumiem, kas ļauj tam labāk pildīt pienākumus (skat. arī 13. noteikumu par riska novērtēšanu). Visos gadījumos personu, kas apsūdzētas vai notiesātas par noziedzīgu nodarījumu pret dzimumneaizskaramību, pārvaldība, rehabilitācija un sociālā reintegrācija ir jomas, kurās nepieciešamas speciālas mācības par noziedzīgu nodarījumu pret dzimumneaizskaramību dinamiku.</w:t>
      </w:r>
    </w:p>
    <w:p w14:paraId="6A49F7F8" w14:textId="77777777" w:rsidR="00687285" w:rsidRPr="00687285" w:rsidRDefault="00687285" w:rsidP="00687285">
      <w:pPr>
        <w:pStyle w:val="BodyText"/>
        <w:tabs>
          <w:tab w:val="left" w:pos="1320"/>
        </w:tabs>
        <w:ind w:left="0"/>
        <w:jc w:val="both"/>
        <w:rPr>
          <w:rFonts w:ascii="Times New Roman" w:hAnsi="Times New Roman" w:cs="Times New Roman"/>
          <w:noProof/>
        </w:rPr>
      </w:pPr>
    </w:p>
    <w:p w14:paraId="32BAD004" w14:textId="77777777" w:rsidR="00687285" w:rsidRPr="00687285" w:rsidRDefault="00687285" w:rsidP="00687285">
      <w:pPr>
        <w:pStyle w:val="BodyText"/>
        <w:tabs>
          <w:tab w:val="left" w:pos="1320"/>
        </w:tabs>
        <w:ind w:left="0"/>
        <w:jc w:val="both"/>
        <w:rPr>
          <w:rFonts w:ascii="Times New Roman" w:hAnsi="Times New Roman" w:cs="Times New Roman"/>
          <w:noProof/>
        </w:rPr>
      </w:pPr>
      <w:r>
        <w:rPr>
          <w:rFonts w:ascii="Times New Roman" w:hAnsi="Times New Roman"/>
        </w:rPr>
        <w:t>107. Sīki izstrādāti noteikumi par ieslodzījuma vietu un probācijas darbinieku izglītību un mācībām ir ietverti Vadlīnijās par ieslodzījuma vietu un probācijas dienestu personāla pieņemšanu darbā, atlasi, izglītību, mācībām un profesionālās kvalifikācijas celšanu (CM(2019)111-add).</w:t>
      </w:r>
    </w:p>
    <w:p w14:paraId="43CB0B03" w14:textId="77777777" w:rsidR="00687285" w:rsidRPr="00687285" w:rsidRDefault="00687285" w:rsidP="00687285">
      <w:pPr>
        <w:pStyle w:val="BodyText"/>
        <w:tabs>
          <w:tab w:val="left" w:pos="1320"/>
        </w:tabs>
        <w:ind w:left="0"/>
        <w:jc w:val="both"/>
        <w:rPr>
          <w:rFonts w:ascii="Times New Roman" w:hAnsi="Times New Roman" w:cs="Times New Roman"/>
          <w:noProof/>
        </w:rPr>
      </w:pPr>
    </w:p>
    <w:p w14:paraId="5F723899" w14:textId="77777777" w:rsidR="00687285" w:rsidRPr="00687285" w:rsidRDefault="00687285" w:rsidP="00687285">
      <w:pPr>
        <w:pStyle w:val="BodyText"/>
        <w:tabs>
          <w:tab w:val="left" w:pos="1320"/>
        </w:tabs>
        <w:ind w:left="0"/>
        <w:jc w:val="both"/>
        <w:rPr>
          <w:rFonts w:ascii="Times New Roman" w:hAnsi="Times New Roman" w:cs="Times New Roman"/>
          <w:noProof/>
        </w:rPr>
      </w:pPr>
      <w:r>
        <w:rPr>
          <w:rFonts w:ascii="Times New Roman" w:hAnsi="Times New Roman"/>
        </w:rPr>
        <w:t>108. Sīki izstrādāti noteikumi par atjaunojošās justīcijas dienestu darbību, tostarp par tādas kārtības izstrādi, kas attiecas uz atjaunojošās justīcijas starpnieku atlasi, mācībām, atbalstu un novērtēšanu, ir ietverti Ieteikuma CM/Rec(2018)8 par atjaunojošo justīciju krimināllietās VI iedaļā. Minētā Ieteikuma 42. noteikumā īpaši noteikts, ka “starpniekiem jābūt pieredzējušiem un jāpabeidz paplašinātas mācības pirms atjaunojošās justīcijas nodrošināšanas delikātās, sarežģītās vai nopietnās lietās”, kas attiecas arī uz noziedzīgu nodarījumu pret dzimumneaizskaramību lietām (skat. minētā Ieteikuma 42. noteikuma komentāru).</w:t>
      </w:r>
    </w:p>
    <w:p w14:paraId="3BF21C80" w14:textId="77777777" w:rsidR="00687285" w:rsidRPr="00687285" w:rsidRDefault="00687285" w:rsidP="00687285">
      <w:pPr>
        <w:pStyle w:val="BodyText"/>
        <w:tabs>
          <w:tab w:val="left" w:pos="1320"/>
        </w:tabs>
        <w:ind w:left="0"/>
        <w:jc w:val="both"/>
        <w:rPr>
          <w:rFonts w:ascii="Times New Roman" w:hAnsi="Times New Roman" w:cs="Times New Roman"/>
          <w:noProof/>
        </w:rPr>
      </w:pPr>
    </w:p>
    <w:p w14:paraId="523C28F3" w14:textId="77777777" w:rsidR="00687285" w:rsidRPr="00687285" w:rsidRDefault="00687285" w:rsidP="00687285">
      <w:pPr>
        <w:pStyle w:val="BodyText"/>
        <w:tabs>
          <w:tab w:val="left" w:pos="1320"/>
        </w:tabs>
        <w:ind w:left="0"/>
        <w:jc w:val="both"/>
        <w:rPr>
          <w:rFonts w:ascii="Times New Roman" w:hAnsi="Times New Roman" w:cs="Times New Roman"/>
          <w:noProof/>
        </w:rPr>
      </w:pPr>
      <w:r>
        <w:rPr>
          <w:rFonts w:ascii="Times New Roman" w:hAnsi="Times New Roman"/>
        </w:rPr>
        <w:t xml:space="preserve">109. Mācīšanās var notikt formālās mācību programmās vai stažējoties, un to var nodrošināt mājās, vai tai var būt nepieciešama citu kompetento iestāžu ekspertu palīdzība. Personāla mācībās galvenā uzmanība jāpievērš visjaunākajiem, uz pierādījumiem balstītajiem pētījumiem un praksei. Tāpēc regulāri jāpārskata literatūra un pētījumi, piemēram, par recidīvismu un riska novērtēšanu, lai īstenotu vispiemērotākās procedūras un programmas. Ņemot to vērā, </w:t>
      </w:r>
      <w:r>
        <w:rPr>
          <w:rFonts w:ascii="Times New Roman" w:hAnsi="Times New Roman"/>
          <w:i/>
          <w:iCs/>
        </w:rPr>
        <w:t>CPT</w:t>
      </w:r>
      <w:r>
        <w:rPr>
          <w:rFonts w:ascii="Times New Roman" w:hAnsi="Times New Roman"/>
        </w:rPr>
        <w:t xml:space="preserve"> savos valsts ziņojumos ir atzīmējusi, cik svarīgi personālam ir saņemt “nepieciešamās sākotnējās un paplašinātās mācības visas karjeras laikā”. Visiem speciālistiem, kas strādā ar personām, kas apsūdzētas vai notiesātas par noziedzīgu nodarījumu pret dzimumneaizskaramību, ir jāzina par jauniem instrumentiem un notikumiem šajā jomā, tostarp mūsdienu pētījumiem, un viņiem jābūt pietiekami sagatavotiem un kompetentiem. Pietiekamām mācībām ir nepieciešama laba teorētiskā izpratne par seksuālas izmantošanas un vardarbības būtību, cēloņiem un pārvaldību.</w:t>
      </w:r>
    </w:p>
    <w:p w14:paraId="68FBD2EF" w14:textId="77777777" w:rsidR="00687285" w:rsidRPr="00687285" w:rsidRDefault="00687285" w:rsidP="00687285">
      <w:pPr>
        <w:jc w:val="both"/>
        <w:rPr>
          <w:rFonts w:ascii="Times New Roman" w:eastAsia="Arial" w:hAnsi="Times New Roman" w:cs="Times New Roman"/>
          <w:noProof/>
          <w:sz w:val="24"/>
          <w:szCs w:val="24"/>
        </w:rPr>
      </w:pPr>
    </w:p>
    <w:p w14:paraId="1FD800CE" w14:textId="77777777" w:rsidR="00687285" w:rsidRPr="00687285" w:rsidRDefault="00687285" w:rsidP="00687285">
      <w:pPr>
        <w:pStyle w:val="BodyText"/>
        <w:ind w:left="0"/>
        <w:jc w:val="both"/>
        <w:rPr>
          <w:rFonts w:ascii="Times New Roman" w:hAnsi="Times New Roman" w:cs="Times New Roman"/>
          <w:noProof/>
        </w:rPr>
      </w:pPr>
      <w:r>
        <w:rPr>
          <w:rFonts w:ascii="Times New Roman" w:hAnsi="Times New Roman"/>
        </w:rPr>
        <w:t>38. noteikums</w:t>
      </w:r>
    </w:p>
    <w:p w14:paraId="3CA39A7B" w14:textId="77777777" w:rsidR="00687285" w:rsidRPr="00687285" w:rsidRDefault="00687285" w:rsidP="00687285">
      <w:pPr>
        <w:pStyle w:val="BodyText"/>
        <w:tabs>
          <w:tab w:val="left" w:pos="1291"/>
        </w:tabs>
        <w:ind w:left="0"/>
        <w:jc w:val="both"/>
        <w:rPr>
          <w:rFonts w:ascii="Times New Roman" w:hAnsi="Times New Roman" w:cs="Times New Roman"/>
          <w:noProof/>
        </w:rPr>
      </w:pPr>
    </w:p>
    <w:p w14:paraId="6B6A2AA3" w14:textId="77777777" w:rsidR="00687285" w:rsidRPr="00687285" w:rsidRDefault="00687285" w:rsidP="00687285">
      <w:pPr>
        <w:pStyle w:val="BodyText"/>
        <w:tabs>
          <w:tab w:val="left" w:pos="1291"/>
        </w:tabs>
        <w:ind w:left="0"/>
        <w:jc w:val="both"/>
        <w:rPr>
          <w:rFonts w:ascii="Times New Roman" w:hAnsi="Times New Roman" w:cs="Times New Roman"/>
          <w:noProof/>
        </w:rPr>
      </w:pPr>
      <w:r>
        <w:rPr>
          <w:rFonts w:ascii="Times New Roman" w:hAnsi="Times New Roman"/>
        </w:rPr>
        <w:t xml:space="preserve">110. Noteikumos ir atzīts, ka ieslodzījuma vietu un probācijas darbinieki, kas strādā ar personām, kas apsūdzētas vai notiesātas par noziedzīgu nodarījumu pret dzimumneaizskaramību, var saskarties ar nosodījumu vai noraidījumu no kolēģiem un sabiedrības kopumā. Darbu ar šo personu grupu var uzskatīt par “riskantu nodarbošanos”, kas ietver paaugstinātu risku darbiniekam saskarties ar traumējošiem notikumiem. “Emocijas izraisoša” informācija nozīmē gan noziedzīgus nodarījumus, par kuriem viņiem top zināms, gan ietekmi uz cietušajiem, pašu to personu dzīvesstāstus, kas apsūdzētas vai notiesātas par noziedzīgu nodarījumu pret dzimumneaizskaramību, un emociju pieņemšanu, kas notiek </w:t>
      </w:r>
      <w:r>
        <w:rPr>
          <w:rFonts w:ascii="Times New Roman" w:hAnsi="Times New Roman"/>
        </w:rPr>
        <w:lastRenderedPageBreak/>
        <w:t>grupu vai individuālā darba laikā. Šajā ziņā Vadlīnijās par ieslodzījuma vietu un probācijas dienestu personāla pieņemšanu darbā, atlasi, izglītību, mācībām un profesionālās kvalifikācijas celšanu (CM(2019)1 11-add) ir uzsvērts, ka profesionālās kvalifikācijas celšanai ir būtisks personāla atbalsts un uzraudzības iespējas, lai palīdzētu tam veikt funkcijas (11. vadlīnija).</w:t>
      </w:r>
    </w:p>
    <w:p w14:paraId="62F293C4" w14:textId="77777777" w:rsidR="00687285" w:rsidRPr="00687285" w:rsidRDefault="00687285" w:rsidP="00687285">
      <w:pPr>
        <w:pStyle w:val="BodyText"/>
        <w:tabs>
          <w:tab w:val="left" w:pos="1291"/>
        </w:tabs>
        <w:ind w:left="0"/>
        <w:jc w:val="both"/>
        <w:rPr>
          <w:rFonts w:ascii="Times New Roman" w:hAnsi="Times New Roman" w:cs="Times New Roman"/>
          <w:noProof/>
        </w:rPr>
      </w:pPr>
    </w:p>
    <w:p w14:paraId="0F1BBD6B" w14:textId="77777777" w:rsidR="00687285" w:rsidRPr="00687285" w:rsidRDefault="00687285" w:rsidP="00687285">
      <w:pPr>
        <w:pStyle w:val="BodyText"/>
        <w:tabs>
          <w:tab w:val="left" w:pos="1291"/>
        </w:tabs>
        <w:ind w:left="0"/>
        <w:jc w:val="both"/>
        <w:rPr>
          <w:rFonts w:ascii="Times New Roman" w:hAnsi="Times New Roman" w:cs="Times New Roman"/>
          <w:noProof/>
        </w:rPr>
      </w:pPr>
      <w:r>
        <w:rPr>
          <w:rFonts w:ascii="Times New Roman" w:hAnsi="Times New Roman"/>
        </w:rPr>
        <w:t>111. Šāds darba veids padara iespējamu vikarējošu traumatizāciju, reakciju uz netiešu traumu ar simptomiem, kas var izpausties kā pēctraumas stresa sindroms, neaizsargātības sajūta, samazināta uzticēšanās citiem, pārmērīga modrība, pastāvīgas bažas, izmaiņas uzvedībā ar bērniem, emocionāla nocietināšanās, seksuālo veselību ietekmējošas uzmācīgas atmiņas, kauns no dzimuma, līdzjūtības spējas samazināšanās un izdegšana.</w:t>
      </w:r>
    </w:p>
    <w:p w14:paraId="363E64F9" w14:textId="77777777" w:rsidR="00687285" w:rsidRPr="00687285" w:rsidRDefault="00687285" w:rsidP="00687285">
      <w:pPr>
        <w:pStyle w:val="BodyText"/>
        <w:tabs>
          <w:tab w:val="left" w:pos="1306"/>
        </w:tabs>
        <w:ind w:left="0"/>
        <w:jc w:val="both"/>
        <w:rPr>
          <w:rFonts w:ascii="Times New Roman" w:hAnsi="Times New Roman" w:cs="Times New Roman"/>
          <w:noProof/>
        </w:rPr>
      </w:pPr>
    </w:p>
    <w:p w14:paraId="12B479A7" w14:textId="77777777" w:rsidR="00687285" w:rsidRPr="00687285" w:rsidRDefault="00687285" w:rsidP="00687285">
      <w:pPr>
        <w:pStyle w:val="BodyText"/>
        <w:tabs>
          <w:tab w:val="left" w:pos="1306"/>
        </w:tabs>
        <w:ind w:left="0"/>
        <w:jc w:val="both"/>
        <w:rPr>
          <w:rFonts w:ascii="Times New Roman" w:hAnsi="Times New Roman" w:cs="Times New Roman"/>
          <w:noProof/>
        </w:rPr>
      </w:pPr>
      <w:r>
        <w:rPr>
          <w:rFonts w:ascii="Times New Roman" w:hAnsi="Times New Roman"/>
        </w:rPr>
        <w:t>112. Dienesti, kas sniedz rehabilitācijas pasākumus personām, kas apsūdzētas vai notiesātas par noziedzīgu nodarījumu pret dzimumneaizskaramību, ir atbildīgi par potenciālo risku personālam tikt pakļautam negatīvai ietekmei. Ir jāpiedāvā uzraudzība, kuras laikā personālam ļauj pārdomāt viņu darbu, pārskatīt pēdējā laika sadursmes un attīstīt prasmes. Pieredzējušam terapeitam, kurš spēj mācīt, modelēt un attīstīt savu kolēģu praksi, ir jāveicina uzraudzības iespējas. Uzraudzība sniedz galveno profesionālās kvalifikācijas celšanas avotu tiem, kas veic riska novērtēšanu un sociālās uzvedības korekcijas un/vai sociālās rehabilitācijas pasākumus, bet tai jābūt pieejamai arī ieslodzījuma vietu un probācijas personālam, kas ikdienā saskaras ar personām, kas apsūdzētas vai notiesātas par noziedzīgiem nodarījumiem pret dzimumneaizskaramību.</w:t>
      </w:r>
    </w:p>
    <w:p w14:paraId="30ABC34D" w14:textId="77777777" w:rsidR="00687285" w:rsidRPr="00687285" w:rsidRDefault="00687285" w:rsidP="00687285">
      <w:pPr>
        <w:pStyle w:val="Heading2"/>
        <w:tabs>
          <w:tab w:val="left" w:pos="1161"/>
        </w:tabs>
        <w:spacing w:before="0"/>
        <w:ind w:left="0"/>
        <w:jc w:val="both"/>
        <w:rPr>
          <w:rFonts w:ascii="Times New Roman" w:hAnsi="Times New Roman" w:cs="Times New Roman"/>
          <w:b w:val="0"/>
          <w:noProof/>
          <w:sz w:val="24"/>
          <w:szCs w:val="24"/>
        </w:rPr>
      </w:pPr>
    </w:p>
    <w:p w14:paraId="48702D53" w14:textId="77777777" w:rsidR="00687285" w:rsidRPr="00687285" w:rsidRDefault="00687285" w:rsidP="00687285">
      <w:pPr>
        <w:pStyle w:val="Heading2"/>
        <w:tabs>
          <w:tab w:val="left" w:pos="1161"/>
        </w:tabs>
        <w:spacing w:before="0"/>
        <w:ind w:left="0"/>
        <w:jc w:val="both"/>
        <w:rPr>
          <w:rFonts w:ascii="Times New Roman" w:hAnsi="Times New Roman" w:cs="Times New Roman"/>
          <w:noProof/>
          <w:sz w:val="24"/>
          <w:szCs w:val="24"/>
        </w:rPr>
      </w:pPr>
      <w:r>
        <w:rPr>
          <w:rFonts w:ascii="Times New Roman" w:hAnsi="Times New Roman"/>
          <w:sz w:val="24"/>
        </w:rPr>
        <w:t>IX. PLAŠSAZIŅAS LĪDZEKĻI UN SAZIŅAS STRATĒĢIJA</w:t>
      </w:r>
    </w:p>
    <w:p w14:paraId="1287A684" w14:textId="77777777" w:rsidR="00687285" w:rsidRPr="00687285" w:rsidRDefault="00687285" w:rsidP="00687285">
      <w:pPr>
        <w:jc w:val="both"/>
        <w:rPr>
          <w:rFonts w:ascii="Times New Roman" w:hAnsi="Times New Roman" w:cs="Times New Roman"/>
          <w:noProof/>
          <w:sz w:val="24"/>
          <w:szCs w:val="24"/>
        </w:rPr>
      </w:pPr>
    </w:p>
    <w:p w14:paraId="790BD5DD" w14:textId="77777777" w:rsidR="00687285" w:rsidRPr="00687285" w:rsidRDefault="00687285" w:rsidP="00687285">
      <w:pPr>
        <w:pStyle w:val="BodyText"/>
        <w:ind w:left="0"/>
        <w:jc w:val="both"/>
        <w:rPr>
          <w:rFonts w:ascii="Times New Roman" w:hAnsi="Times New Roman" w:cs="Times New Roman"/>
          <w:noProof/>
        </w:rPr>
      </w:pPr>
      <w:r>
        <w:rPr>
          <w:rFonts w:ascii="Times New Roman" w:hAnsi="Times New Roman"/>
        </w:rPr>
        <w:t>39. noteikums</w:t>
      </w:r>
    </w:p>
    <w:p w14:paraId="56187D2A" w14:textId="77777777" w:rsidR="00687285" w:rsidRPr="00687285" w:rsidRDefault="00687285" w:rsidP="00687285">
      <w:pPr>
        <w:pStyle w:val="BodyText"/>
        <w:tabs>
          <w:tab w:val="left" w:pos="1291"/>
        </w:tabs>
        <w:ind w:left="0"/>
        <w:jc w:val="both"/>
        <w:rPr>
          <w:rFonts w:ascii="Times New Roman" w:hAnsi="Times New Roman" w:cs="Times New Roman"/>
          <w:noProof/>
        </w:rPr>
      </w:pPr>
    </w:p>
    <w:p w14:paraId="04869418" w14:textId="77777777" w:rsidR="00687285" w:rsidRPr="00687285" w:rsidRDefault="00687285" w:rsidP="00687285">
      <w:pPr>
        <w:pStyle w:val="BodyText"/>
        <w:tabs>
          <w:tab w:val="left" w:pos="1291"/>
        </w:tabs>
        <w:ind w:left="0"/>
        <w:jc w:val="both"/>
        <w:rPr>
          <w:rFonts w:ascii="Times New Roman" w:hAnsi="Times New Roman" w:cs="Times New Roman"/>
          <w:noProof/>
        </w:rPr>
      </w:pPr>
      <w:r>
        <w:rPr>
          <w:rFonts w:ascii="Times New Roman" w:hAnsi="Times New Roman"/>
        </w:rPr>
        <w:t>113. Šis noteikums nosaka, ka visām tiesībsargājošām iestādēm, kas ir saistītas ar personām, kas apsūdzētas vai notiesātas par noziedzīgu nodarījumu pret dzimumneaizskaramību, jāpublisko sava riska vadības politika, izmantojot esošos un apstiprinātos kanālus, tostarp gan tiešsaistes, gan drukātos materiālus.</w:t>
      </w:r>
    </w:p>
    <w:p w14:paraId="39EC1C69" w14:textId="77777777" w:rsidR="00687285" w:rsidRPr="00687285" w:rsidRDefault="00687285" w:rsidP="00687285">
      <w:pPr>
        <w:pStyle w:val="BodyText"/>
        <w:tabs>
          <w:tab w:val="left" w:pos="1320"/>
        </w:tabs>
        <w:ind w:left="0"/>
        <w:jc w:val="both"/>
        <w:rPr>
          <w:rFonts w:ascii="Times New Roman" w:hAnsi="Times New Roman" w:cs="Times New Roman"/>
          <w:noProof/>
        </w:rPr>
      </w:pPr>
    </w:p>
    <w:p w14:paraId="320AAAC2" w14:textId="77777777" w:rsidR="00687285" w:rsidRPr="00687285" w:rsidRDefault="00687285" w:rsidP="00687285">
      <w:pPr>
        <w:pStyle w:val="BodyText"/>
        <w:tabs>
          <w:tab w:val="left" w:pos="1320"/>
        </w:tabs>
        <w:ind w:left="0"/>
        <w:jc w:val="both"/>
        <w:rPr>
          <w:rFonts w:ascii="Times New Roman" w:hAnsi="Times New Roman" w:cs="Times New Roman"/>
          <w:noProof/>
        </w:rPr>
      </w:pPr>
      <w:r>
        <w:rPr>
          <w:rFonts w:ascii="Times New Roman" w:hAnsi="Times New Roman"/>
        </w:rPr>
        <w:t>114. Politikai, tostarp tai, kas saistīta ar novērtēšanu, notiesāšanu, sociālās uzvedības korekcijas un/vai sociālās rehabilitācijas pasākumiem, ieslodzījuma vietu pārvaldīšanu, pārvaldību probācijas laikā, saistīto politiku attiecībā uz pārvaldību sabiedrībā (t. i., reģistrāciju, informācijas atklāšanu, sabiedrības informēšanu, mājvietas, nodarbinātības un veselības politiku), un personāla politikai vai iekšējās kārtības noteikumiem jābūt pieejamiem tiešsaistē vai pēc pieprasījuma. Tas ļauj sabiedrībai, speciālistiem un citiem interesentiem apskatīt un izprast izmantojamos riska novērtēšanas rīkus, riska vadības procedūras un politiku, kā arī sociālās uzvedības korekcijas un/vai sociālās rehabilitācijas pasākumus. Šī pārredzamība ir svarīga, lai būtu labs pakalpojumu lietotāju iesaistīšanās līmenis (skat. 6. noteikumu), izveidotos laba iestāžu sadarbība (3. noteikums) un laba sadarbība ar plašsaziņas līdzekļiem (40., 41. un 42. pants), kā arī lai veicinātu sabiedrības uzticību.</w:t>
      </w:r>
    </w:p>
    <w:p w14:paraId="5E459A4F" w14:textId="77777777" w:rsidR="00687285" w:rsidRPr="00687285" w:rsidRDefault="00687285" w:rsidP="00687285">
      <w:pPr>
        <w:pStyle w:val="BodyText"/>
        <w:ind w:left="0"/>
        <w:jc w:val="both"/>
        <w:rPr>
          <w:rFonts w:ascii="Times New Roman" w:hAnsi="Times New Roman" w:cs="Times New Roman"/>
          <w:noProof/>
        </w:rPr>
      </w:pPr>
    </w:p>
    <w:p w14:paraId="2F3DADA1" w14:textId="77777777" w:rsidR="00687285" w:rsidRPr="00687285" w:rsidRDefault="00687285" w:rsidP="00687285">
      <w:pPr>
        <w:pStyle w:val="BodyText"/>
        <w:ind w:left="0"/>
        <w:jc w:val="both"/>
        <w:rPr>
          <w:rFonts w:ascii="Times New Roman" w:hAnsi="Times New Roman" w:cs="Times New Roman"/>
          <w:noProof/>
        </w:rPr>
      </w:pPr>
      <w:r>
        <w:rPr>
          <w:rFonts w:ascii="Times New Roman" w:hAnsi="Times New Roman"/>
        </w:rPr>
        <w:t>40. noteikums</w:t>
      </w:r>
    </w:p>
    <w:p w14:paraId="6C3AC6A9" w14:textId="77777777" w:rsidR="00687285" w:rsidRPr="00687285" w:rsidRDefault="00687285" w:rsidP="00687285">
      <w:pPr>
        <w:pStyle w:val="BodyText"/>
        <w:tabs>
          <w:tab w:val="left" w:pos="1291"/>
        </w:tabs>
        <w:ind w:left="0"/>
        <w:jc w:val="both"/>
        <w:rPr>
          <w:rFonts w:ascii="Times New Roman" w:hAnsi="Times New Roman" w:cs="Times New Roman"/>
          <w:noProof/>
        </w:rPr>
      </w:pPr>
    </w:p>
    <w:p w14:paraId="25E4450C" w14:textId="77777777" w:rsidR="00687285" w:rsidRPr="00687285" w:rsidRDefault="00687285" w:rsidP="00687285">
      <w:pPr>
        <w:pStyle w:val="BodyText"/>
        <w:tabs>
          <w:tab w:val="left" w:pos="1291"/>
        </w:tabs>
        <w:ind w:left="0"/>
        <w:jc w:val="both"/>
        <w:rPr>
          <w:rFonts w:ascii="Times New Roman" w:hAnsi="Times New Roman" w:cs="Times New Roman"/>
          <w:noProof/>
        </w:rPr>
      </w:pPr>
      <w:r>
        <w:rPr>
          <w:rFonts w:ascii="Times New Roman" w:hAnsi="Times New Roman"/>
        </w:rPr>
        <w:t xml:space="preserve">115. Šis noteikums nosaka, ka ieslodzījumu vietu pārvaldei un probācijas dienestam jābūt skaidrām stratēģijām attiecībā uz saziņu un plašsaziņas līdzekļiem. Tiem ir jābūt skaidrai saziņas hierarhijai, tostarp, bet ne tikai, plašsaziņas līdzekļu / sabiedrisko attiecību komandai un nepārprotami identificējamam pārstāvim. Šā noteikuma mērķis ir nostiprināt skaidras </w:t>
      </w:r>
      <w:r>
        <w:rPr>
          <w:rFonts w:ascii="Times New Roman" w:hAnsi="Times New Roman"/>
        </w:rPr>
        <w:lastRenderedPageBreak/>
        <w:t>saziņas stratēģijas nozīmi attiecībā uz noziedzīgiem nodarījumiem pret dzimumneaizskaramību, ņemot vērā sabiedrības attieksmi un plašsaziņas līdzekļu ziņošanu par šiem nodarījumiem, un nepieciešamību ievērot to personu tiesības, kas ir apsūdzētas vai notiesātas par tiem. Šādām saziņas stratēģijām ir jāatbilst datu aizsardzības standartiem, kā aprakstīts VI iedaļā.</w:t>
      </w:r>
    </w:p>
    <w:p w14:paraId="41399661" w14:textId="77777777" w:rsidR="00687285" w:rsidRPr="00687285" w:rsidRDefault="00687285" w:rsidP="00687285">
      <w:pPr>
        <w:jc w:val="both"/>
        <w:rPr>
          <w:rFonts w:ascii="Times New Roman" w:eastAsia="Arial" w:hAnsi="Times New Roman" w:cs="Times New Roman"/>
          <w:noProof/>
          <w:sz w:val="24"/>
          <w:szCs w:val="24"/>
        </w:rPr>
      </w:pPr>
    </w:p>
    <w:p w14:paraId="594AE9D8" w14:textId="77777777" w:rsidR="00687285" w:rsidRPr="00687285" w:rsidRDefault="00687285" w:rsidP="00687285">
      <w:pPr>
        <w:pStyle w:val="BodyText"/>
        <w:tabs>
          <w:tab w:val="left" w:pos="1291"/>
        </w:tabs>
        <w:ind w:left="0"/>
        <w:jc w:val="both"/>
        <w:rPr>
          <w:rFonts w:ascii="Times New Roman" w:hAnsi="Times New Roman" w:cs="Times New Roman"/>
          <w:noProof/>
        </w:rPr>
      </w:pPr>
      <w:r>
        <w:rPr>
          <w:rFonts w:ascii="Times New Roman" w:hAnsi="Times New Roman"/>
        </w:rPr>
        <w:t>116. Visa oficiālā saziņa ar plašsaziņas līdzekļiem jāveic īpaši ieceltām un šim nolūkam sagatavotām personām. Tomēr ir arī svarīgi sabiedriskās attiecības iekļaut visu galveno darbinieku, tostarp pārstāvja, profesionālajā izaugsmē un mācībās. Sabiedrisko attiecību un komunikācijas speciālistu funkcijām jābūt skaidri noteiktām viņu līgumos, un viņiem jābūt sagatavotiem šajā jomā. Visi pārējie ieslodzījuma vietu un probācijas darbinieki ir jāinformē par ieceltajām personām, viņu lomu un to, kā ar minētajām personām sazināties.</w:t>
      </w:r>
    </w:p>
    <w:p w14:paraId="29F9DECF" w14:textId="77777777" w:rsidR="00687285" w:rsidRPr="00687285" w:rsidRDefault="00687285" w:rsidP="00687285">
      <w:pPr>
        <w:pStyle w:val="BodyText"/>
        <w:ind w:left="0"/>
        <w:jc w:val="both"/>
        <w:rPr>
          <w:rFonts w:ascii="Times New Roman" w:hAnsi="Times New Roman" w:cs="Times New Roman"/>
          <w:noProof/>
        </w:rPr>
      </w:pPr>
    </w:p>
    <w:p w14:paraId="71E56EC8" w14:textId="77777777" w:rsidR="00687285" w:rsidRPr="00687285" w:rsidRDefault="00687285" w:rsidP="00687285">
      <w:pPr>
        <w:pStyle w:val="BodyText"/>
        <w:ind w:left="0"/>
        <w:jc w:val="both"/>
        <w:rPr>
          <w:rFonts w:ascii="Times New Roman" w:hAnsi="Times New Roman" w:cs="Times New Roman"/>
          <w:noProof/>
        </w:rPr>
      </w:pPr>
      <w:r>
        <w:rPr>
          <w:rFonts w:ascii="Times New Roman" w:hAnsi="Times New Roman"/>
        </w:rPr>
        <w:t>41. noteikums</w:t>
      </w:r>
    </w:p>
    <w:p w14:paraId="09D7E8B8" w14:textId="77777777" w:rsidR="00687285" w:rsidRPr="00687285" w:rsidRDefault="00687285" w:rsidP="00687285">
      <w:pPr>
        <w:pStyle w:val="BodyText"/>
        <w:tabs>
          <w:tab w:val="left" w:pos="1291"/>
        </w:tabs>
        <w:ind w:left="0"/>
        <w:jc w:val="both"/>
        <w:rPr>
          <w:rFonts w:ascii="Times New Roman" w:hAnsi="Times New Roman" w:cs="Times New Roman"/>
          <w:noProof/>
        </w:rPr>
      </w:pPr>
    </w:p>
    <w:p w14:paraId="3B078A46" w14:textId="77777777" w:rsidR="00687285" w:rsidRPr="00687285" w:rsidRDefault="00687285" w:rsidP="00687285">
      <w:pPr>
        <w:pStyle w:val="BodyText"/>
        <w:tabs>
          <w:tab w:val="left" w:pos="1291"/>
        </w:tabs>
        <w:ind w:left="0"/>
        <w:jc w:val="both"/>
        <w:rPr>
          <w:rFonts w:ascii="Times New Roman" w:hAnsi="Times New Roman" w:cs="Times New Roman"/>
          <w:noProof/>
        </w:rPr>
      </w:pPr>
      <w:r>
        <w:rPr>
          <w:rFonts w:ascii="Times New Roman" w:hAnsi="Times New Roman"/>
        </w:rPr>
        <w:t>117. Šis noteikums ir saistīts ar 40. noteikumu, kurā uzsvērts tas, cik svarīgi, lai ieslodzījumu vietu pārvaldei un probācijas dienestam būtu gan galvenais pārstāvis, kas strādā ar plašsaziņas līdzekļu jautājumiem, gan saziņas stratēģija. Šā noteikuma mērķis ir nodrošināt, lai atsevišķi darbinieki, saziņā ar plašsaziņas līdzekļiem, ievērotu 40. noteikumā ietvertos principus, neatkarīgi no tā, vai tas ir darīts ar labiem nodomiem vai ne. Lemjot par to, vai ir ieteicams iesaistīties saziņā ar plašsaziņas līdzekļiem, jāņem vērā par noziedzīgu nodarījumu pret dzimumneaizskaramību apsūdzētās vai notiesātās personas un cietušā tiesības un intereses. Tas ir īpaši svarīgi saistībā ar ievērību guvušām vai izskatīšanā esošām lietām par noziedzīgiem nodarījumiem pret dzimumneaizskaramību, tostarp (bet ne tikai) ārkārtīgi vardarbīgiem noziedzīgiem nodarījumiem pret dzimumneaizskaramību, institucionāliem noziedzīgiem nodarījumiem pret dzimumneaizskaramību vai gadījumiem, kam pievērsta pastiprināta plašsaziņas līdzekļu uzmanība (attiecībā uz cietušo vai noziedzīga nodarījuma izdarītāju), kā arī plašiem noziedznieku tīkliem; pastāv liela iespēja, ka minētās lietas interesēs sabiedrību, un tāpēc ir lielāka iespējamība, ka prese par tiem ziņos.</w:t>
      </w:r>
    </w:p>
    <w:p w14:paraId="2B507872" w14:textId="77777777" w:rsidR="00687285" w:rsidRPr="00687285" w:rsidRDefault="00687285" w:rsidP="00687285">
      <w:pPr>
        <w:jc w:val="both"/>
        <w:rPr>
          <w:rFonts w:ascii="Times New Roman" w:hAnsi="Times New Roman" w:cs="Times New Roman"/>
          <w:noProof/>
          <w:sz w:val="24"/>
          <w:szCs w:val="24"/>
        </w:rPr>
      </w:pPr>
    </w:p>
    <w:p w14:paraId="49297F29" w14:textId="77777777" w:rsidR="00687285" w:rsidRPr="00687285" w:rsidRDefault="00687285" w:rsidP="00687285">
      <w:pPr>
        <w:pStyle w:val="BodyText"/>
        <w:tabs>
          <w:tab w:val="left" w:pos="1291"/>
        </w:tabs>
        <w:ind w:left="0"/>
        <w:jc w:val="both"/>
        <w:rPr>
          <w:rFonts w:ascii="Times New Roman" w:hAnsi="Times New Roman" w:cs="Times New Roman"/>
          <w:noProof/>
        </w:rPr>
      </w:pPr>
      <w:r>
        <w:rPr>
          <w:rFonts w:ascii="Times New Roman" w:hAnsi="Times New Roman"/>
        </w:rPr>
        <w:t>118. Visiem darbiniekiem jābūt informētiem par savas organizācijas kārtību un vadlīnijām, kas attiecas uz saziņu ar sabiedrību, tostarp presi, par jautājumiem, kas saistīti ar personu, kas izdarījušas noziedzīgus nodarījumus pret dzimumneaizskaramību, novērtēšanu, pārvaldību un integrāciju, kā arī par šīs kārtības pārkāpšanas sekām. Personāla tiesības atklāt informāciju par neatbilstošu vai nelikumīgu praksi, kas saistīta ar to personu sociālās uzvedības korekcijas vai sociālās rehabilitācijas pasākumiem vai pārvaldību, kas apsūdzētas vai notiesātas par noziedzīgiem nodarījumiem pret dzimumneaizskaramību, jāaizsargā ar valsts tiesību aktiem.</w:t>
      </w:r>
    </w:p>
    <w:p w14:paraId="58002840" w14:textId="77777777" w:rsidR="00687285" w:rsidRPr="00687285" w:rsidRDefault="00687285" w:rsidP="00687285">
      <w:pPr>
        <w:pStyle w:val="BodyText"/>
        <w:ind w:left="0"/>
        <w:jc w:val="both"/>
        <w:rPr>
          <w:rFonts w:ascii="Times New Roman" w:hAnsi="Times New Roman" w:cs="Times New Roman"/>
          <w:noProof/>
        </w:rPr>
      </w:pPr>
    </w:p>
    <w:p w14:paraId="19150FB8" w14:textId="77777777" w:rsidR="00687285" w:rsidRPr="00687285" w:rsidRDefault="00687285" w:rsidP="00687285">
      <w:pPr>
        <w:pStyle w:val="BodyText"/>
        <w:ind w:left="0"/>
        <w:jc w:val="both"/>
        <w:rPr>
          <w:rFonts w:ascii="Times New Roman" w:hAnsi="Times New Roman" w:cs="Times New Roman"/>
          <w:noProof/>
        </w:rPr>
      </w:pPr>
      <w:r>
        <w:rPr>
          <w:rFonts w:ascii="Times New Roman" w:hAnsi="Times New Roman"/>
        </w:rPr>
        <w:t>42. noteikums</w:t>
      </w:r>
    </w:p>
    <w:p w14:paraId="5808D1F8" w14:textId="77777777" w:rsidR="00687285" w:rsidRPr="00687285" w:rsidRDefault="00687285" w:rsidP="00687285">
      <w:pPr>
        <w:pStyle w:val="BodyText"/>
        <w:tabs>
          <w:tab w:val="left" w:pos="1291"/>
        </w:tabs>
        <w:ind w:left="0"/>
        <w:jc w:val="both"/>
        <w:rPr>
          <w:rFonts w:ascii="Times New Roman" w:hAnsi="Times New Roman" w:cs="Times New Roman"/>
          <w:noProof/>
        </w:rPr>
      </w:pPr>
    </w:p>
    <w:p w14:paraId="656C05E9" w14:textId="77777777" w:rsidR="00687285" w:rsidRPr="00687285" w:rsidRDefault="00687285" w:rsidP="00687285">
      <w:pPr>
        <w:pStyle w:val="BodyText"/>
        <w:tabs>
          <w:tab w:val="left" w:pos="1291"/>
        </w:tabs>
        <w:ind w:left="0"/>
        <w:jc w:val="both"/>
        <w:rPr>
          <w:rFonts w:ascii="Times New Roman" w:hAnsi="Times New Roman" w:cs="Times New Roman"/>
          <w:noProof/>
        </w:rPr>
      </w:pPr>
      <w:r>
        <w:rPr>
          <w:rFonts w:ascii="Times New Roman" w:hAnsi="Times New Roman"/>
        </w:rPr>
        <w:t xml:space="preserve">119. Noziedzīgi nodarījumi pret dzimumneaizskaramību piesaista plašu sabiedrības un plašsaziņas līdzekļu interesi, kas jāņem vērā, pārvaldot personas, kas apsūdzētas vai notiesātas par noziedzīgu nodarījumu pret dzimumneaizskaramību. Attiecībā uz personām ar augstu risku, kā arī ievērību guvušām personām vai lietām iepriekš jāizstrādā atbilstoša plašsaziņas līdzekļu stratēģija. Šādos gadījumos plašsaziņas līdzekļu stratēģijai ir jābūt neatņemamai personas riska vadības plāna sastāvdaļai, plānam tiekot izstrādātam laikā, kamēr persona ir saistīta ar ieslodzījumu vietu pārvaldi un probācijas dienestu. Tādējādi plašsaziņas līdzekļu stratēģija jāizstrādā no vairāku iestāžu perspektīvas, vadošajai organizācijai attiecīgajā brīdī uzņemoties par to atbildību. Stratēģijai jāaptver visi aspekti, kas saistīti ar personas novērtēšanu, pārvaldību un integrāciju atpakaļ sabiedrībā, un tā ir regulāri jāpārskata un </w:t>
      </w:r>
      <w:r>
        <w:rPr>
          <w:rFonts w:ascii="Times New Roman" w:hAnsi="Times New Roman"/>
        </w:rPr>
        <w:lastRenderedPageBreak/>
        <w:t>jāatjaunina. Šīs plašsaziņas līdzekļu stratēģijas izstrādei jābūt balstītai uz riska vadību, sabiedrības aizsardzību un cietušā, noziedzīga nodarījuma izdarītāja un saistīto darbinieku tiesību aizsardzību.</w:t>
      </w:r>
    </w:p>
    <w:p w14:paraId="7C2BAE48" w14:textId="77777777" w:rsidR="00687285" w:rsidRPr="00687285" w:rsidRDefault="00687285" w:rsidP="00687285">
      <w:pPr>
        <w:tabs>
          <w:tab w:val="left" w:pos="1146"/>
        </w:tabs>
        <w:jc w:val="both"/>
        <w:rPr>
          <w:rFonts w:ascii="Times New Roman" w:hAnsi="Times New Roman" w:cs="Times New Roman"/>
          <w:b/>
          <w:noProof/>
          <w:sz w:val="24"/>
          <w:szCs w:val="24"/>
        </w:rPr>
      </w:pPr>
    </w:p>
    <w:p w14:paraId="32C9FCEA" w14:textId="77777777" w:rsidR="00687285" w:rsidRPr="00687285" w:rsidRDefault="00687285" w:rsidP="00687285">
      <w:pPr>
        <w:tabs>
          <w:tab w:val="left" w:pos="1146"/>
        </w:tabs>
        <w:jc w:val="both"/>
        <w:rPr>
          <w:rFonts w:ascii="Times New Roman" w:hAnsi="Times New Roman" w:cs="Times New Roman"/>
          <w:b/>
          <w:noProof/>
          <w:sz w:val="24"/>
          <w:szCs w:val="24"/>
        </w:rPr>
      </w:pPr>
      <w:r>
        <w:rPr>
          <w:rFonts w:ascii="Times New Roman" w:hAnsi="Times New Roman"/>
          <w:b/>
          <w:sz w:val="24"/>
        </w:rPr>
        <w:t>X. PĒTĪJUMI, IZVĒRTĒŠANA UN ATTĪSTĪBA</w:t>
      </w:r>
    </w:p>
    <w:p w14:paraId="09F8611F" w14:textId="77777777" w:rsidR="00687285" w:rsidRPr="00687285" w:rsidRDefault="00687285" w:rsidP="00687285">
      <w:pPr>
        <w:pStyle w:val="BodyText"/>
        <w:ind w:left="0"/>
        <w:jc w:val="both"/>
        <w:rPr>
          <w:rFonts w:ascii="Times New Roman" w:hAnsi="Times New Roman" w:cs="Times New Roman"/>
          <w:noProof/>
        </w:rPr>
      </w:pPr>
    </w:p>
    <w:p w14:paraId="18B29A03" w14:textId="77777777" w:rsidR="00687285" w:rsidRPr="00687285" w:rsidRDefault="00687285" w:rsidP="00687285">
      <w:pPr>
        <w:pStyle w:val="BodyText"/>
        <w:ind w:left="0"/>
        <w:jc w:val="both"/>
        <w:rPr>
          <w:rFonts w:ascii="Times New Roman" w:hAnsi="Times New Roman" w:cs="Times New Roman"/>
          <w:noProof/>
        </w:rPr>
      </w:pPr>
      <w:r>
        <w:rPr>
          <w:rFonts w:ascii="Times New Roman" w:hAnsi="Times New Roman"/>
        </w:rPr>
        <w:t>43. noteikums</w:t>
      </w:r>
    </w:p>
    <w:p w14:paraId="16CB1DF7" w14:textId="77777777" w:rsidR="00687285" w:rsidRPr="00687285" w:rsidRDefault="00687285" w:rsidP="00687285">
      <w:pPr>
        <w:pStyle w:val="BodyText"/>
        <w:tabs>
          <w:tab w:val="left" w:pos="1291"/>
        </w:tabs>
        <w:ind w:left="0"/>
        <w:jc w:val="both"/>
        <w:rPr>
          <w:rFonts w:ascii="Times New Roman" w:hAnsi="Times New Roman" w:cs="Times New Roman"/>
          <w:noProof/>
        </w:rPr>
      </w:pPr>
    </w:p>
    <w:p w14:paraId="09493B0A" w14:textId="77777777" w:rsidR="00687285" w:rsidRPr="00687285" w:rsidRDefault="00687285" w:rsidP="00687285">
      <w:pPr>
        <w:pStyle w:val="BodyText"/>
        <w:tabs>
          <w:tab w:val="left" w:pos="1291"/>
        </w:tabs>
        <w:ind w:left="0"/>
        <w:jc w:val="both"/>
        <w:rPr>
          <w:rFonts w:ascii="Times New Roman" w:hAnsi="Times New Roman" w:cs="Times New Roman"/>
          <w:noProof/>
        </w:rPr>
      </w:pPr>
      <w:r>
        <w:rPr>
          <w:rFonts w:ascii="Times New Roman" w:hAnsi="Times New Roman"/>
        </w:rPr>
        <w:t>120. Šā noteikuma mērķis ir nodrošināt izpēti un izvērtēšanu, lai uzlabotu praksi un politiku visās tajās jomās, kas skar to personu pārvaldību un integrāciju atpakaļ sabiedrībā, kas pasūdzētas vai notiesātas par noziedzīgu nodarījumu pret dzimumneaizskaramību. Tā ir jāveic regulāri, lai nodrošinātu, ka, pamatojoties uz visaptverošu pierādījumu bāzi, iedibināto labo praksi var attīstīt.</w:t>
      </w:r>
    </w:p>
    <w:p w14:paraId="596AABD9" w14:textId="77777777" w:rsidR="00687285" w:rsidRPr="00687285" w:rsidRDefault="00687285" w:rsidP="00687285">
      <w:pPr>
        <w:pStyle w:val="BodyText"/>
        <w:tabs>
          <w:tab w:val="left" w:pos="1291"/>
        </w:tabs>
        <w:ind w:left="0"/>
        <w:jc w:val="both"/>
        <w:rPr>
          <w:rFonts w:ascii="Times New Roman" w:hAnsi="Times New Roman" w:cs="Times New Roman"/>
          <w:noProof/>
        </w:rPr>
      </w:pPr>
    </w:p>
    <w:p w14:paraId="6C4F8D07" w14:textId="77777777" w:rsidR="00687285" w:rsidRPr="00687285" w:rsidRDefault="00687285" w:rsidP="00687285">
      <w:pPr>
        <w:pStyle w:val="BodyText"/>
        <w:tabs>
          <w:tab w:val="left" w:pos="1291"/>
        </w:tabs>
        <w:ind w:left="0"/>
        <w:jc w:val="both"/>
        <w:rPr>
          <w:rFonts w:ascii="Times New Roman" w:hAnsi="Times New Roman" w:cs="Times New Roman"/>
          <w:noProof/>
        </w:rPr>
      </w:pPr>
      <w:r>
        <w:rPr>
          <w:rFonts w:ascii="Times New Roman" w:hAnsi="Times New Roman"/>
        </w:rPr>
        <w:t>121. Šis noteikums atzīst, ka pētījumiem un izvērtēšanai ir jābūt galvenajai sastāvdaļai ieslodzījumu vietu pārvaldes un probācijas dienesta, kā arī citu iestāžu darbā ar personām, kas ir apsūdzētas vai notiesātas par noziedzīgu nodarījumu pret dzimumneaizskaramību. Ieslodzījuma vietu pārvaldei un probācijas dienestam ir jāizstrādā sava pierādījumu bāze par to, kas darbojas labi, lai tie varētu pārskatīt, pielāgot un vajadzības gadījumā atjaunināt savu politiku un praksi. Tāpēc šādi pētījumi un izvērtēšana ir jāuzskata par daļu no šo dienestu pamatfunkcijām, un tai ir jānodrošina atbilstoši resursi.</w:t>
      </w:r>
    </w:p>
    <w:p w14:paraId="42E246A5" w14:textId="77777777" w:rsidR="00687285" w:rsidRPr="00687285" w:rsidRDefault="00687285" w:rsidP="00687285">
      <w:pPr>
        <w:jc w:val="both"/>
        <w:rPr>
          <w:rFonts w:ascii="Times New Roman" w:eastAsia="Arial" w:hAnsi="Times New Roman" w:cs="Times New Roman"/>
          <w:noProof/>
          <w:sz w:val="24"/>
          <w:szCs w:val="24"/>
        </w:rPr>
      </w:pPr>
    </w:p>
    <w:p w14:paraId="7DBD0094" w14:textId="77777777" w:rsidR="00687285" w:rsidRPr="00687285" w:rsidRDefault="00687285" w:rsidP="00687285">
      <w:pPr>
        <w:pStyle w:val="BodyText"/>
        <w:tabs>
          <w:tab w:val="left" w:pos="1320"/>
        </w:tabs>
        <w:ind w:left="0"/>
        <w:jc w:val="both"/>
        <w:rPr>
          <w:rFonts w:ascii="Times New Roman" w:hAnsi="Times New Roman" w:cs="Times New Roman"/>
          <w:noProof/>
        </w:rPr>
      </w:pPr>
      <w:r>
        <w:rPr>
          <w:rFonts w:ascii="Times New Roman" w:hAnsi="Times New Roman"/>
        </w:rPr>
        <w:t>122. Izpēte un novērtēšana jāveic sagatavotiem darbiniekiem, kam ir dots laiks, telpa, piekļuve un resursi, lai pienācīgi veiktu darbu, dažos gadījumos šis pētījums var aptvert vairākas iestādes, un tāpēc jau iepriekš ir jāsastāda datu apmaiņas līgumi. Šādu pētījumu rezultāti ir jāpārskata un jāiekļauj iestāžu plānošanas posmos, attiecīgajos riska vadības plānos, personāla mācībās, iestāžu sadarbībā un sabiedriskajās attiecībās/komunikācijā. Turklāt jaunu novērtēšanas rīku, iejaukšanās pasākumu un/vai riska vadības stratēģijas vērtēšanai jābūt pašsaprotamai.</w:t>
      </w:r>
    </w:p>
    <w:p w14:paraId="56CC2965" w14:textId="77777777" w:rsidR="00687285" w:rsidRPr="00687285" w:rsidRDefault="00687285" w:rsidP="00687285">
      <w:pPr>
        <w:jc w:val="both"/>
        <w:rPr>
          <w:rFonts w:ascii="Times New Roman" w:hAnsi="Times New Roman" w:cs="Times New Roman"/>
          <w:noProof/>
          <w:sz w:val="24"/>
          <w:szCs w:val="24"/>
        </w:rPr>
      </w:pPr>
    </w:p>
    <w:p w14:paraId="715CFCCD" w14:textId="77777777" w:rsidR="00687285" w:rsidRPr="00687285" w:rsidRDefault="00687285" w:rsidP="00687285">
      <w:pPr>
        <w:pStyle w:val="BodyText"/>
        <w:tabs>
          <w:tab w:val="left" w:pos="1320"/>
        </w:tabs>
        <w:ind w:left="0"/>
        <w:jc w:val="both"/>
        <w:rPr>
          <w:rFonts w:ascii="Times New Roman" w:hAnsi="Times New Roman" w:cs="Times New Roman"/>
          <w:noProof/>
        </w:rPr>
      </w:pPr>
      <w:r>
        <w:rPr>
          <w:rFonts w:ascii="Times New Roman" w:hAnsi="Times New Roman"/>
        </w:rPr>
        <w:t>123. Ieslodzījuma vietu pārvaldei un probācijas dienestam, kā arī citām iestādēm, kas strādā ar personām, kas apsūdzētas vai notiesātas par noziedzīgu nodarījumu pret dzimumneaizskaramību, jāizstrādā pētījumu un izvērtēšanas stratēģija. Tajā jāietver pētījumu termiņi, labas ētiskās prakses izstrādāšana un uzturēšana, speciālistu veikta salīdzinoša pārskatīšanas stratēģija (iekšējā un ārējā), kā arī publiskošanas stratēģija, un tajā jāpievērš pienācīga uzmanība datu aizsardzības apsvērumiem. Visiem pētījumu un izvērtēšanas ziņojumiem jāatbilst datu aizsardzības principiem un noteikumiem, un tiem jābūt pieejamiem attiecīgajās tīmekļa vietnēs vai pēc pieprasījuma.</w:t>
      </w:r>
    </w:p>
    <w:p w14:paraId="175B4102" w14:textId="77777777" w:rsidR="00687285" w:rsidRPr="00687285" w:rsidRDefault="00687285" w:rsidP="00687285">
      <w:pPr>
        <w:pStyle w:val="BodyText"/>
        <w:tabs>
          <w:tab w:val="left" w:pos="1320"/>
        </w:tabs>
        <w:ind w:left="0"/>
        <w:jc w:val="both"/>
        <w:rPr>
          <w:rFonts w:ascii="Times New Roman" w:hAnsi="Times New Roman" w:cs="Times New Roman"/>
          <w:noProof/>
        </w:rPr>
      </w:pPr>
    </w:p>
    <w:p w14:paraId="22D99902" w14:textId="77777777" w:rsidR="00687285" w:rsidRPr="00687285" w:rsidRDefault="00687285" w:rsidP="00687285">
      <w:pPr>
        <w:pStyle w:val="BodyText"/>
        <w:tabs>
          <w:tab w:val="left" w:pos="1320"/>
        </w:tabs>
        <w:ind w:left="0"/>
        <w:jc w:val="both"/>
        <w:rPr>
          <w:rFonts w:ascii="Times New Roman" w:hAnsi="Times New Roman" w:cs="Times New Roman"/>
          <w:noProof/>
        </w:rPr>
      </w:pPr>
      <w:r>
        <w:rPr>
          <w:rFonts w:ascii="Times New Roman" w:hAnsi="Times New Roman"/>
        </w:rPr>
        <w:t>124. Pētījumiem un izvērtēšanai jābūt virzītiem uz rezultātu, ņemot vērā iejaukšanās pasākumu panākumus, uzvedības maiņu, atturēšanos no noziedzīgu nodarījumu izdarīšanas un atkārtotu noziedzīgu nodarījumu izdarīšanas samazināšanu. Tas nozīmē, ka nav vienas izmantojamās pētniecības metodikas, bet drīzāk pētījuma jautājumam ir jānosaka pētījuma metodes izvēle. Jābūt skaidrai un konsekventai pieejai datu vākšanai par laiku, kad persona ir bijusi saistīta ar krimināltiesību sistēmu; dati jāapstrādā tikai saskaņā ar šā ieteikuma VI iedaļu. Ņemot vērā šo iedzīvotāju novērtēšanas, pārvaldības un reintegrācijas sarežģītību, ir svarīgi, lai datu punkti un datu vākšanas rīki būtu precīzi un stabili.</w:t>
      </w:r>
    </w:p>
    <w:p w14:paraId="10CFACCF" w14:textId="77777777" w:rsidR="00687285" w:rsidRPr="00687285" w:rsidRDefault="00687285" w:rsidP="00687285">
      <w:pPr>
        <w:pStyle w:val="BodyText"/>
        <w:tabs>
          <w:tab w:val="left" w:pos="1306"/>
        </w:tabs>
        <w:ind w:left="0"/>
        <w:jc w:val="both"/>
        <w:rPr>
          <w:rFonts w:ascii="Times New Roman" w:hAnsi="Times New Roman" w:cs="Times New Roman"/>
          <w:noProof/>
        </w:rPr>
      </w:pPr>
    </w:p>
    <w:p w14:paraId="0A2534D4" w14:textId="77777777" w:rsidR="00687285" w:rsidRPr="00687285" w:rsidRDefault="00687285" w:rsidP="002E7AE1">
      <w:pPr>
        <w:pStyle w:val="BodyText"/>
        <w:keepNext/>
        <w:keepLines/>
        <w:tabs>
          <w:tab w:val="left" w:pos="1306"/>
        </w:tabs>
        <w:ind w:left="0"/>
        <w:jc w:val="both"/>
        <w:rPr>
          <w:rFonts w:ascii="Times New Roman" w:hAnsi="Times New Roman" w:cs="Times New Roman"/>
          <w:noProof/>
        </w:rPr>
      </w:pPr>
      <w:r>
        <w:rPr>
          <w:rFonts w:ascii="Times New Roman" w:hAnsi="Times New Roman"/>
        </w:rPr>
        <w:lastRenderedPageBreak/>
        <w:t>125. Šādiem datiem jābūt anonimizētiem, un tajos jāiekļauj:</w:t>
      </w:r>
    </w:p>
    <w:p w14:paraId="50686243" w14:textId="77777777" w:rsidR="00687285" w:rsidRPr="00687285" w:rsidRDefault="00687285" w:rsidP="002E7AE1">
      <w:pPr>
        <w:pStyle w:val="BodyText"/>
        <w:keepNext/>
        <w:keepLines/>
        <w:numPr>
          <w:ilvl w:val="0"/>
          <w:numId w:val="13"/>
        </w:numPr>
        <w:tabs>
          <w:tab w:val="left" w:pos="709"/>
          <w:tab w:val="left" w:pos="1306"/>
        </w:tabs>
        <w:ind w:left="142" w:firstLine="0"/>
        <w:jc w:val="both"/>
        <w:rPr>
          <w:rFonts w:ascii="Times New Roman" w:hAnsi="Times New Roman" w:cs="Times New Roman"/>
          <w:noProof/>
        </w:rPr>
      </w:pPr>
      <w:r>
        <w:rPr>
          <w:rFonts w:ascii="Times New Roman" w:hAnsi="Times New Roman"/>
        </w:rPr>
        <w:t>demogrāfiskie dati;</w:t>
      </w:r>
    </w:p>
    <w:p w14:paraId="4F8E757D" w14:textId="77777777" w:rsidR="00687285" w:rsidRPr="00687285" w:rsidRDefault="00687285" w:rsidP="002E7AE1">
      <w:pPr>
        <w:pStyle w:val="BodyText"/>
        <w:keepNext/>
        <w:keepLines/>
        <w:numPr>
          <w:ilvl w:val="0"/>
          <w:numId w:val="13"/>
        </w:numPr>
        <w:tabs>
          <w:tab w:val="left" w:pos="709"/>
        </w:tabs>
        <w:ind w:left="142" w:firstLine="0"/>
        <w:jc w:val="both"/>
        <w:rPr>
          <w:rFonts w:ascii="Times New Roman" w:hAnsi="Times New Roman" w:cs="Times New Roman"/>
          <w:noProof/>
        </w:rPr>
      </w:pPr>
      <w:r>
        <w:rPr>
          <w:rFonts w:ascii="Times New Roman" w:hAnsi="Times New Roman"/>
        </w:rPr>
        <w:t>dati par noziedzīgu nodarījumu (tostarp par noziedzīgā nodarījuma veidu, cietušo(-ajiem), piemēroto sodu);</w:t>
      </w:r>
    </w:p>
    <w:p w14:paraId="273E0B63" w14:textId="77777777" w:rsidR="00687285" w:rsidRPr="00687285" w:rsidRDefault="00687285" w:rsidP="00687285">
      <w:pPr>
        <w:pStyle w:val="BodyText"/>
        <w:numPr>
          <w:ilvl w:val="0"/>
          <w:numId w:val="13"/>
        </w:numPr>
        <w:tabs>
          <w:tab w:val="left" w:pos="709"/>
        </w:tabs>
        <w:ind w:left="142" w:firstLine="0"/>
        <w:jc w:val="both"/>
        <w:rPr>
          <w:rFonts w:ascii="Times New Roman" w:hAnsi="Times New Roman" w:cs="Times New Roman"/>
          <w:noProof/>
        </w:rPr>
      </w:pPr>
      <w:r>
        <w:rPr>
          <w:rFonts w:ascii="Times New Roman" w:hAnsi="Times New Roman"/>
        </w:rPr>
        <w:t>sākotnējie un pašreizējie riska novērtējuma dati;</w:t>
      </w:r>
    </w:p>
    <w:p w14:paraId="124799AD" w14:textId="77777777" w:rsidR="00687285" w:rsidRPr="00687285" w:rsidRDefault="00687285" w:rsidP="00687285">
      <w:pPr>
        <w:pStyle w:val="BodyText"/>
        <w:numPr>
          <w:ilvl w:val="0"/>
          <w:numId w:val="13"/>
        </w:numPr>
        <w:tabs>
          <w:tab w:val="left" w:pos="709"/>
        </w:tabs>
        <w:ind w:left="142" w:firstLine="0"/>
        <w:jc w:val="both"/>
        <w:rPr>
          <w:rFonts w:ascii="Times New Roman" w:hAnsi="Times New Roman" w:cs="Times New Roman"/>
          <w:noProof/>
        </w:rPr>
      </w:pPr>
      <w:r>
        <w:rPr>
          <w:rFonts w:ascii="Times New Roman" w:hAnsi="Times New Roman"/>
        </w:rPr>
        <w:t>dati par rehabilitācijas rezultātiem, tostarp dati pirms rehabilitācijas, tās laikā un pēc tās;</w:t>
      </w:r>
    </w:p>
    <w:p w14:paraId="5FDF4AFA" w14:textId="77777777" w:rsidR="00687285" w:rsidRPr="00687285" w:rsidRDefault="00687285" w:rsidP="00687285">
      <w:pPr>
        <w:pStyle w:val="BodyText"/>
        <w:numPr>
          <w:ilvl w:val="0"/>
          <w:numId w:val="13"/>
        </w:numPr>
        <w:tabs>
          <w:tab w:val="left" w:pos="709"/>
        </w:tabs>
        <w:ind w:left="142" w:firstLine="0"/>
        <w:jc w:val="both"/>
        <w:rPr>
          <w:rFonts w:ascii="Times New Roman" w:hAnsi="Times New Roman" w:cs="Times New Roman"/>
          <w:noProof/>
        </w:rPr>
      </w:pPr>
      <w:r>
        <w:rPr>
          <w:rFonts w:ascii="Times New Roman" w:hAnsi="Times New Roman"/>
        </w:rPr>
        <w:t>dati par atkārtotu notiesāšanu, pārkāpumiem un atkārtotu ievietošanu ieslodzījumā;</w:t>
      </w:r>
    </w:p>
    <w:p w14:paraId="144C3D74" w14:textId="77777777" w:rsidR="00687285" w:rsidRPr="00687285" w:rsidRDefault="00687285" w:rsidP="00687285">
      <w:pPr>
        <w:pStyle w:val="BodyText"/>
        <w:numPr>
          <w:ilvl w:val="0"/>
          <w:numId w:val="13"/>
        </w:numPr>
        <w:tabs>
          <w:tab w:val="left" w:pos="709"/>
        </w:tabs>
        <w:ind w:left="142" w:firstLine="0"/>
        <w:jc w:val="both"/>
        <w:rPr>
          <w:rFonts w:ascii="Times New Roman" w:hAnsi="Times New Roman" w:cs="Times New Roman"/>
          <w:noProof/>
        </w:rPr>
      </w:pPr>
      <w:r>
        <w:rPr>
          <w:rFonts w:ascii="Times New Roman" w:hAnsi="Times New Roman"/>
        </w:rPr>
        <w:t>dati, kas saistīti ar laiku ieslodzījuma vietā un probācijā;</w:t>
      </w:r>
    </w:p>
    <w:p w14:paraId="4BDE3C71" w14:textId="77777777" w:rsidR="00687285" w:rsidRPr="00687285" w:rsidRDefault="00687285" w:rsidP="00687285">
      <w:pPr>
        <w:pStyle w:val="BodyText"/>
        <w:numPr>
          <w:ilvl w:val="0"/>
          <w:numId w:val="13"/>
        </w:numPr>
        <w:tabs>
          <w:tab w:val="left" w:pos="709"/>
        </w:tabs>
        <w:ind w:left="142" w:firstLine="0"/>
        <w:jc w:val="both"/>
        <w:rPr>
          <w:rFonts w:ascii="Times New Roman" w:hAnsi="Times New Roman" w:cs="Times New Roman"/>
          <w:noProof/>
        </w:rPr>
      </w:pPr>
      <w:r>
        <w:rPr>
          <w:rFonts w:ascii="Times New Roman" w:hAnsi="Times New Roman"/>
        </w:rPr>
        <w:t>dati, kas saistīti ar viņu iziešanu no krimināltiesību sistēmas.</w:t>
      </w:r>
    </w:p>
    <w:p w14:paraId="27C1A8D3" w14:textId="77777777" w:rsidR="00687285" w:rsidRPr="00687285" w:rsidRDefault="00687285" w:rsidP="00687285">
      <w:pPr>
        <w:pStyle w:val="BodyText"/>
        <w:tabs>
          <w:tab w:val="left" w:pos="1291"/>
        </w:tabs>
        <w:ind w:left="0"/>
        <w:jc w:val="both"/>
        <w:rPr>
          <w:rFonts w:ascii="Times New Roman" w:hAnsi="Times New Roman" w:cs="Times New Roman"/>
          <w:noProof/>
        </w:rPr>
      </w:pPr>
    </w:p>
    <w:p w14:paraId="4B765E19" w14:textId="77777777" w:rsidR="00687285" w:rsidRPr="00687285" w:rsidRDefault="00687285" w:rsidP="00687285">
      <w:pPr>
        <w:pStyle w:val="BodyText"/>
        <w:tabs>
          <w:tab w:val="left" w:pos="1291"/>
        </w:tabs>
        <w:ind w:left="0"/>
        <w:jc w:val="both"/>
        <w:rPr>
          <w:rFonts w:ascii="Times New Roman" w:hAnsi="Times New Roman" w:cs="Times New Roman"/>
          <w:noProof/>
        </w:rPr>
      </w:pPr>
      <w:r>
        <w:rPr>
          <w:rFonts w:ascii="Times New Roman" w:hAnsi="Times New Roman"/>
        </w:rPr>
        <w:t>126. Šis saraksts nav izsmeļošs, bet tajā ir sniegtas norādes par to datu veidu un tvērumu, kas ir nepieciešami, lai efektīvi pētītu un izvērtētu krimināltiesību sistēmas panākumus darbā ar personām, kas apsūdzētas vai notiesātas par noziedzīgu nodarījumu pret dzimumneaizskaramību. Ja iespējams, katrai jurisdikcijai jāapkopo tādi paši vai līdzvērtīgi dati, lai varētu veikt salīdzinājumus starp jurisdikcijām. Pētījumu un novērtējuma ziņojumus var kopīgot ar valsts un starptautisko organizāciju starpniecību. Kopīgošanai un publicēšanai saistītajos ziņojumos ir jāatbilst datu aizsardzības politikai, kas noteikta VI iedaļā.</w:t>
      </w:r>
    </w:p>
    <w:p w14:paraId="1704CECF" w14:textId="77777777" w:rsidR="00687285" w:rsidRPr="00687285" w:rsidRDefault="00687285" w:rsidP="00687285">
      <w:pPr>
        <w:pStyle w:val="BodyText"/>
        <w:ind w:left="0"/>
        <w:jc w:val="both"/>
        <w:rPr>
          <w:rFonts w:ascii="Times New Roman" w:hAnsi="Times New Roman" w:cs="Times New Roman"/>
          <w:noProof/>
        </w:rPr>
      </w:pPr>
    </w:p>
    <w:p w14:paraId="2E7E99FE" w14:textId="77777777" w:rsidR="00687285" w:rsidRPr="00687285" w:rsidRDefault="00687285" w:rsidP="00687285">
      <w:pPr>
        <w:pStyle w:val="BodyText"/>
        <w:ind w:left="0"/>
        <w:jc w:val="both"/>
        <w:rPr>
          <w:rFonts w:ascii="Times New Roman" w:hAnsi="Times New Roman" w:cs="Times New Roman"/>
          <w:noProof/>
        </w:rPr>
      </w:pPr>
      <w:r>
        <w:rPr>
          <w:rFonts w:ascii="Times New Roman" w:hAnsi="Times New Roman"/>
        </w:rPr>
        <w:t>44. noteikums</w:t>
      </w:r>
    </w:p>
    <w:p w14:paraId="49E660FE" w14:textId="77777777" w:rsidR="00687285" w:rsidRPr="00687285" w:rsidRDefault="00687285" w:rsidP="00687285">
      <w:pPr>
        <w:pStyle w:val="BodyText"/>
        <w:tabs>
          <w:tab w:val="left" w:pos="1320"/>
        </w:tabs>
        <w:ind w:left="0"/>
        <w:jc w:val="both"/>
        <w:rPr>
          <w:rFonts w:ascii="Times New Roman" w:hAnsi="Times New Roman" w:cs="Times New Roman"/>
          <w:noProof/>
        </w:rPr>
      </w:pPr>
    </w:p>
    <w:p w14:paraId="2623C133" w14:textId="77777777" w:rsidR="00687285" w:rsidRPr="00687285" w:rsidRDefault="00687285" w:rsidP="00687285">
      <w:pPr>
        <w:pStyle w:val="BodyText"/>
        <w:tabs>
          <w:tab w:val="left" w:pos="1320"/>
        </w:tabs>
        <w:ind w:left="0"/>
        <w:jc w:val="both"/>
        <w:rPr>
          <w:rFonts w:ascii="Times New Roman" w:hAnsi="Times New Roman" w:cs="Times New Roman"/>
          <w:noProof/>
        </w:rPr>
      </w:pPr>
      <w:r>
        <w:rPr>
          <w:rFonts w:ascii="Times New Roman" w:hAnsi="Times New Roman"/>
        </w:rPr>
        <w:t>127. Ir svarīgi, lai tiktu veikti pētījumi un izvērtēšana saistībā ar personām, kas apsūdzētas vai notiesātas par noziedzīgu nodarījumu pret dzimumneaizskaramību un kas atrodas ieslodzījuma vietās un probācijas uzraudzībā, kā norādīts 43. noteikumā. Lai palīdzētu sasniegt šo mērķi, šiem dienestiem jāapkopo attiecīgie atbilstošie dati un jāievieš nepieciešamie drošības pasākumi šo datu aizsardzībai, kā norādīts modernizētajā Konvencijā Nr. 108. Pētījumi un izvērtēšana palīdzēs izveidot stabilu pierādījumu bāzi attiecībā uz noziedzīgu nodarījumu pret dzimumneaizskaramību izdarīšanu, rehabilitāciju un pārvaldību, kā arī palīdzēs noziedzīga nodarījuma izdarītāju pārvietošanā starp iestādēm un/vai jurisdikcijām. Vajadzības gadījumā policijai, probācijas dienestam un ieslodzījuma vietai jāveic pētījumi ar ārējiem, atzītiem partneriem.</w:t>
      </w:r>
    </w:p>
    <w:p w14:paraId="44B77B99" w14:textId="0E1B4D80" w:rsidR="0037029E" w:rsidRDefault="0037029E">
      <w:pPr>
        <w:rPr>
          <w:rFonts w:ascii="Times New Roman" w:hAnsi="Times New Roman" w:cs="Times New Roman"/>
          <w:noProof/>
          <w:sz w:val="24"/>
          <w:szCs w:val="24"/>
        </w:rPr>
      </w:pPr>
      <w:r>
        <w:rPr>
          <w:rFonts w:ascii="Times New Roman" w:hAnsi="Times New Roman" w:cs="Times New Roman"/>
          <w:noProof/>
          <w:sz w:val="24"/>
          <w:szCs w:val="24"/>
        </w:rPr>
        <w:br w:type="page"/>
      </w:r>
    </w:p>
    <w:p w14:paraId="4878EF6D" w14:textId="77777777" w:rsidR="00687285" w:rsidRPr="00687285" w:rsidRDefault="00687285" w:rsidP="00687285">
      <w:pPr>
        <w:jc w:val="both"/>
        <w:rPr>
          <w:rFonts w:ascii="Times New Roman" w:hAnsi="Times New Roman" w:cs="Times New Roman"/>
          <w:noProof/>
          <w:sz w:val="24"/>
          <w:szCs w:val="24"/>
        </w:rPr>
      </w:pPr>
    </w:p>
    <w:p w14:paraId="4E0D6DA7" w14:textId="77777777" w:rsidR="00687285" w:rsidRPr="00687285" w:rsidRDefault="00687285" w:rsidP="00687285">
      <w:pPr>
        <w:jc w:val="both"/>
        <w:rPr>
          <w:rFonts w:ascii="Times New Roman" w:hAnsi="Times New Roman" w:cs="Times New Roman"/>
          <w:noProof/>
          <w:sz w:val="24"/>
          <w:szCs w:val="24"/>
        </w:rPr>
      </w:pPr>
      <w:r>
        <w:rPr>
          <w:rFonts w:ascii="Times New Roman" w:hAnsi="Times New Roman"/>
          <w:sz w:val="24"/>
        </w:rPr>
        <w:t xml:space="preserve">[1] </w:t>
      </w:r>
      <w:r>
        <w:rPr>
          <w:rFonts w:ascii="Times New Roman" w:hAnsi="Times New Roman"/>
          <w:i/>
          <w:sz w:val="24"/>
        </w:rPr>
        <w:t xml:space="preserve">De Schepper v. Belgium, </w:t>
      </w:r>
      <w:r>
        <w:rPr>
          <w:rFonts w:ascii="Times New Roman" w:hAnsi="Times New Roman"/>
          <w:sz w:val="24"/>
        </w:rPr>
        <w:t>no. 27428/07, 13 October 2009.</w:t>
      </w:r>
    </w:p>
    <w:p w14:paraId="74348E09" w14:textId="77777777" w:rsidR="00687285" w:rsidRPr="00687285" w:rsidRDefault="00687285" w:rsidP="00687285">
      <w:pPr>
        <w:jc w:val="both"/>
        <w:rPr>
          <w:rFonts w:ascii="Times New Roman" w:hAnsi="Times New Roman" w:cs="Times New Roman"/>
          <w:noProof/>
          <w:sz w:val="24"/>
          <w:szCs w:val="24"/>
        </w:rPr>
      </w:pPr>
      <w:r>
        <w:rPr>
          <w:rFonts w:ascii="Times New Roman" w:hAnsi="Times New Roman"/>
          <w:sz w:val="24"/>
        </w:rPr>
        <w:t xml:space="preserve">[2] </w:t>
      </w:r>
      <w:r>
        <w:rPr>
          <w:rFonts w:ascii="Times New Roman" w:hAnsi="Times New Roman"/>
          <w:i/>
          <w:sz w:val="24"/>
        </w:rPr>
        <w:t xml:space="preserve">De Schepper v. Belgium, </w:t>
      </w:r>
      <w:r>
        <w:rPr>
          <w:rFonts w:ascii="Times New Roman" w:hAnsi="Times New Roman"/>
          <w:sz w:val="24"/>
        </w:rPr>
        <w:t xml:space="preserve">no. 27428/07, 13 October 2009; </w:t>
      </w:r>
      <w:r>
        <w:rPr>
          <w:rFonts w:ascii="Times New Roman" w:hAnsi="Times New Roman"/>
          <w:i/>
          <w:sz w:val="24"/>
        </w:rPr>
        <w:t xml:space="preserve">Swennen v. Belgium, </w:t>
      </w:r>
      <w:r>
        <w:rPr>
          <w:rFonts w:ascii="Times New Roman" w:hAnsi="Times New Roman"/>
          <w:sz w:val="24"/>
        </w:rPr>
        <w:t>no. 53448/10, 10 January 2013.</w:t>
      </w:r>
    </w:p>
    <w:p w14:paraId="1F39DE77" w14:textId="77777777" w:rsidR="00687285" w:rsidRPr="00687285" w:rsidRDefault="00687285" w:rsidP="00687285">
      <w:pPr>
        <w:jc w:val="both"/>
        <w:rPr>
          <w:rFonts w:ascii="Times New Roman" w:hAnsi="Times New Roman" w:cs="Times New Roman"/>
          <w:noProof/>
          <w:sz w:val="24"/>
          <w:szCs w:val="24"/>
        </w:rPr>
      </w:pPr>
      <w:r>
        <w:rPr>
          <w:rFonts w:ascii="Times New Roman" w:hAnsi="Times New Roman"/>
          <w:sz w:val="24"/>
        </w:rPr>
        <w:t xml:space="preserve">[3] </w:t>
      </w:r>
      <w:r>
        <w:rPr>
          <w:rFonts w:ascii="Times New Roman" w:hAnsi="Times New Roman"/>
          <w:i/>
          <w:sz w:val="24"/>
        </w:rPr>
        <w:t xml:space="preserve">W. D. v. Belgium, </w:t>
      </w:r>
      <w:r>
        <w:rPr>
          <w:rFonts w:ascii="Times New Roman" w:hAnsi="Times New Roman"/>
          <w:sz w:val="24"/>
        </w:rPr>
        <w:t>no. 73548/13, 6 September 2016.</w:t>
      </w:r>
    </w:p>
    <w:p w14:paraId="0A1843FD" w14:textId="77777777" w:rsidR="00687285" w:rsidRPr="00687285" w:rsidRDefault="00687285" w:rsidP="00687285">
      <w:pPr>
        <w:jc w:val="both"/>
        <w:rPr>
          <w:rFonts w:ascii="Times New Roman" w:hAnsi="Times New Roman" w:cs="Times New Roman"/>
          <w:noProof/>
          <w:sz w:val="24"/>
          <w:szCs w:val="24"/>
        </w:rPr>
      </w:pPr>
      <w:r>
        <w:rPr>
          <w:rFonts w:ascii="Times New Roman" w:hAnsi="Times New Roman"/>
          <w:sz w:val="24"/>
        </w:rPr>
        <w:t xml:space="preserve">[4] </w:t>
      </w:r>
      <w:r>
        <w:rPr>
          <w:rFonts w:ascii="Times New Roman" w:hAnsi="Times New Roman"/>
          <w:i/>
          <w:sz w:val="24"/>
        </w:rPr>
        <w:t xml:space="preserve">llnseher v. Germany </w:t>
      </w:r>
      <w:r>
        <w:rPr>
          <w:rFonts w:ascii="Times New Roman" w:hAnsi="Times New Roman"/>
          <w:sz w:val="24"/>
        </w:rPr>
        <w:t>[GC], nos. 10211/12 and 27505/14, 4 December 2018. Paras 164, 169.</w:t>
      </w:r>
    </w:p>
    <w:p w14:paraId="5FF502B2" w14:textId="77777777" w:rsidR="00687285" w:rsidRPr="00687285" w:rsidRDefault="00687285" w:rsidP="00687285">
      <w:pPr>
        <w:jc w:val="both"/>
        <w:rPr>
          <w:rFonts w:ascii="Times New Roman" w:hAnsi="Times New Roman" w:cs="Times New Roman"/>
          <w:noProof/>
          <w:sz w:val="24"/>
          <w:szCs w:val="24"/>
        </w:rPr>
      </w:pPr>
      <w:r>
        <w:rPr>
          <w:rFonts w:ascii="Times New Roman" w:hAnsi="Times New Roman"/>
          <w:sz w:val="24"/>
        </w:rPr>
        <w:t>[5] CPT, Germany: Visit 2013. [CPT/lnf (2014) 23]. Para 21.</w:t>
      </w:r>
    </w:p>
    <w:p w14:paraId="557552EF" w14:textId="77777777" w:rsidR="00687285" w:rsidRPr="00687285" w:rsidRDefault="00687285" w:rsidP="00687285">
      <w:pPr>
        <w:jc w:val="both"/>
        <w:rPr>
          <w:rFonts w:ascii="Times New Roman" w:hAnsi="Times New Roman" w:cs="Times New Roman"/>
          <w:noProof/>
          <w:sz w:val="24"/>
          <w:szCs w:val="24"/>
        </w:rPr>
      </w:pPr>
      <w:r>
        <w:rPr>
          <w:rFonts w:ascii="Times New Roman" w:hAnsi="Times New Roman"/>
          <w:sz w:val="24"/>
        </w:rPr>
        <w:t>[6] CPT, Turkey: Visit 2013. [CPT/lnf (2015) 6]. Paras 61, 62.</w:t>
      </w:r>
    </w:p>
    <w:p w14:paraId="10FB86B9" w14:textId="77777777" w:rsidR="00687285" w:rsidRPr="00687285" w:rsidRDefault="00687285" w:rsidP="00687285">
      <w:pPr>
        <w:jc w:val="both"/>
        <w:rPr>
          <w:rFonts w:ascii="Times New Roman" w:hAnsi="Times New Roman" w:cs="Times New Roman"/>
          <w:noProof/>
          <w:sz w:val="24"/>
          <w:szCs w:val="24"/>
        </w:rPr>
      </w:pPr>
      <w:r>
        <w:rPr>
          <w:rFonts w:ascii="Times New Roman" w:hAnsi="Times New Roman"/>
          <w:sz w:val="24"/>
        </w:rPr>
        <w:t>[7] Committee for the Prevention of Torture (CPT), Czech Republic, Visit 2018. [CPT/Inf (2019) 23]. Para 135-6; CPT, Germany: Visit 2015. [CPT/lnf (2017) 13]. Para 131-2; CPT, Czech Republic: Visit 2014. [CPT/lnf (2015) 18]. Para 181-4; CPT, Germany: Visit 2013. [CPT/lnf (2014) 23]. Para 49-51.</w:t>
      </w:r>
    </w:p>
    <w:p w14:paraId="1C6C3044" w14:textId="77777777" w:rsidR="00687285" w:rsidRPr="00687285" w:rsidRDefault="00687285" w:rsidP="00687285">
      <w:pPr>
        <w:jc w:val="both"/>
        <w:rPr>
          <w:rFonts w:ascii="Times New Roman" w:hAnsi="Times New Roman" w:cs="Times New Roman"/>
          <w:noProof/>
          <w:sz w:val="24"/>
          <w:szCs w:val="24"/>
        </w:rPr>
      </w:pPr>
      <w:r>
        <w:rPr>
          <w:rFonts w:ascii="Times New Roman" w:hAnsi="Times New Roman"/>
          <w:sz w:val="24"/>
        </w:rPr>
        <w:t xml:space="preserve">[8] </w:t>
      </w:r>
      <w:r>
        <w:rPr>
          <w:rFonts w:ascii="Times New Roman" w:hAnsi="Times New Roman"/>
          <w:i/>
          <w:sz w:val="24"/>
        </w:rPr>
        <w:t xml:space="preserve">Dvořáček v. the Czech Republic, </w:t>
      </w:r>
      <w:r>
        <w:rPr>
          <w:rFonts w:ascii="Times New Roman" w:hAnsi="Times New Roman"/>
          <w:sz w:val="24"/>
        </w:rPr>
        <w:t>no. 12927/13, 6 November 2014.</w:t>
      </w:r>
    </w:p>
    <w:p w14:paraId="7D8457FF" w14:textId="77777777" w:rsidR="00687285" w:rsidRPr="00687285" w:rsidRDefault="00687285" w:rsidP="00687285">
      <w:pPr>
        <w:jc w:val="both"/>
        <w:rPr>
          <w:rFonts w:ascii="Times New Roman" w:hAnsi="Times New Roman" w:cs="Times New Roman"/>
          <w:noProof/>
          <w:sz w:val="24"/>
          <w:szCs w:val="24"/>
        </w:rPr>
      </w:pPr>
      <w:r>
        <w:rPr>
          <w:rFonts w:ascii="Times New Roman" w:hAnsi="Times New Roman"/>
          <w:sz w:val="24"/>
        </w:rPr>
        <w:t xml:space="preserve">[9] </w:t>
      </w:r>
      <w:r>
        <w:rPr>
          <w:rFonts w:ascii="Times New Roman" w:hAnsi="Times New Roman"/>
          <w:i/>
          <w:sz w:val="24"/>
        </w:rPr>
        <w:t xml:space="preserve">Bäcker v. Germany, </w:t>
      </w:r>
      <w:r>
        <w:rPr>
          <w:rFonts w:ascii="Times New Roman" w:hAnsi="Times New Roman"/>
          <w:sz w:val="24"/>
        </w:rPr>
        <w:t xml:space="preserve">no. 44183/12, 21 October 2014. Paras 35-38. </w:t>
      </w:r>
    </w:p>
    <w:p w14:paraId="5930D3C9" w14:textId="77777777" w:rsidR="00687285" w:rsidRPr="00687285" w:rsidRDefault="00687285" w:rsidP="00687285">
      <w:pPr>
        <w:jc w:val="both"/>
        <w:rPr>
          <w:rFonts w:ascii="Times New Roman" w:hAnsi="Times New Roman" w:cs="Times New Roman"/>
          <w:noProof/>
          <w:sz w:val="24"/>
          <w:szCs w:val="24"/>
        </w:rPr>
      </w:pPr>
      <w:r>
        <w:rPr>
          <w:rFonts w:ascii="Times New Roman" w:hAnsi="Times New Roman"/>
          <w:sz w:val="24"/>
        </w:rPr>
        <w:t xml:space="preserve">[10] </w:t>
      </w:r>
      <w:r>
        <w:rPr>
          <w:rFonts w:ascii="Times New Roman" w:hAnsi="Times New Roman"/>
          <w:i/>
          <w:sz w:val="24"/>
        </w:rPr>
        <w:t xml:space="preserve">Dvořáček v. the Czech Republic, </w:t>
      </w:r>
      <w:r>
        <w:rPr>
          <w:rFonts w:ascii="Times New Roman" w:hAnsi="Times New Roman"/>
          <w:sz w:val="24"/>
        </w:rPr>
        <w:t xml:space="preserve">no. 12927/13, 6 November 2014. </w:t>
      </w:r>
    </w:p>
    <w:p w14:paraId="4139B37D" w14:textId="77777777" w:rsidR="00687285" w:rsidRPr="00687285" w:rsidRDefault="00687285" w:rsidP="00687285">
      <w:pPr>
        <w:jc w:val="both"/>
        <w:rPr>
          <w:rFonts w:ascii="Times New Roman" w:hAnsi="Times New Roman" w:cs="Times New Roman"/>
          <w:noProof/>
          <w:sz w:val="24"/>
          <w:szCs w:val="24"/>
        </w:rPr>
      </w:pPr>
      <w:r>
        <w:rPr>
          <w:rFonts w:ascii="Times New Roman" w:hAnsi="Times New Roman"/>
          <w:sz w:val="24"/>
        </w:rPr>
        <w:t xml:space="preserve">[11] </w:t>
      </w:r>
      <w:r>
        <w:rPr>
          <w:rFonts w:ascii="Times New Roman" w:hAnsi="Times New Roman"/>
          <w:i/>
          <w:sz w:val="24"/>
        </w:rPr>
        <w:t xml:space="preserve">Toomey v. the United Kingdom, </w:t>
      </w:r>
      <w:r>
        <w:rPr>
          <w:rFonts w:ascii="Times New Roman" w:hAnsi="Times New Roman"/>
          <w:sz w:val="24"/>
        </w:rPr>
        <w:t xml:space="preserve">no. 37231/97, 14 September 1999. </w:t>
      </w:r>
    </w:p>
    <w:p w14:paraId="5DA7AAB5" w14:textId="77777777" w:rsidR="00687285" w:rsidRPr="00687285" w:rsidRDefault="00687285" w:rsidP="00687285">
      <w:pPr>
        <w:jc w:val="both"/>
        <w:rPr>
          <w:rFonts w:ascii="Times New Roman" w:hAnsi="Times New Roman" w:cs="Times New Roman"/>
          <w:noProof/>
          <w:sz w:val="24"/>
          <w:szCs w:val="24"/>
        </w:rPr>
      </w:pPr>
      <w:r>
        <w:rPr>
          <w:rFonts w:ascii="Times New Roman" w:hAnsi="Times New Roman"/>
          <w:sz w:val="24"/>
        </w:rPr>
        <w:t>[12] CPT, Germany: Visit 2015. [CPT/lnf (2017) 13]. Para 97.</w:t>
      </w:r>
    </w:p>
    <w:p w14:paraId="044CDBF7" w14:textId="77777777" w:rsidR="00687285" w:rsidRPr="00687285" w:rsidRDefault="00687285" w:rsidP="00687285">
      <w:pPr>
        <w:jc w:val="both"/>
        <w:rPr>
          <w:rFonts w:ascii="Times New Roman" w:hAnsi="Times New Roman" w:cs="Times New Roman"/>
          <w:noProof/>
          <w:sz w:val="24"/>
          <w:szCs w:val="24"/>
        </w:rPr>
      </w:pPr>
      <w:r>
        <w:rPr>
          <w:rFonts w:ascii="Times New Roman" w:hAnsi="Times New Roman"/>
          <w:sz w:val="24"/>
        </w:rPr>
        <w:t>[13] CPT, Germany: Visit 2015. [CPT/lnf (2017) 13]. Para 97.</w:t>
      </w:r>
    </w:p>
    <w:p w14:paraId="139F5006" w14:textId="77777777" w:rsidR="00687285" w:rsidRPr="00687285" w:rsidRDefault="00687285" w:rsidP="00687285">
      <w:pPr>
        <w:jc w:val="both"/>
        <w:rPr>
          <w:rFonts w:ascii="Times New Roman" w:hAnsi="Times New Roman" w:cs="Times New Roman"/>
          <w:noProof/>
          <w:sz w:val="24"/>
          <w:szCs w:val="24"/>
        </w:rPr>
      </w:pPr>
      <w:r>
        <w:rPr>
          <w:rFonts w:ascii="Times New Roman" w:hAnsi="Times New Roman"/>
          <w:sz w:val="24"/>
        </w:rPr>
        <w:t>[14] CPT, Austria: Visit 2015. [CPT/lnf (2015) 34]. Para 113; see also CPT, Czech Republic: Visit 2014. [CPT/lnf (2015) 18]. Para 158.</w:t>
      </w:r>
    </w:p>
    <w:p w14:paraId="61CDBFFB" w14:textId="77777777" w:rsidR="00687285" w:rsidRPr="00687285" w:rsidRDefault="00687285" w:rsidP="00687285">
      <w:pPr>
        <w:jc w:val="both"/>
        <w:rPr>
          <w:rFonts w:ascii="Times New Roman" w:hAnsi="Times New Roman" w:cs="Times New Roman"/>
          <w:noProof/>
          <w:sz w:val="24"/>
          <w:szCs w:val="24"/>
        </w:rPr>
      </w:pPr>
      <w:r>
        <w:rPr>
          <w:rFonts w:ascii="Times New Roman" w:hAnsi="Times New Roman"/>
          <w:sz w:val="24"/>
        </w:rPr>
        <w:t>[15] CPT, The former Yugoslav Republic of Macedonia: Visit 2016. [CPT/lnf (2017) 30]. Para 9, 11.</w:t>
      </w:r>
    </w:p>
    <w:p w14:paraId="2D4AFD2A" w14:textId="77777777" w:rsidR="00687285" w:rsidRPr="00687285" w:rsidRDefault="00687285" w:rsidP="00687285">
      <w:pPr>
        <w:jc w:val="both"/>
        <w:rPr>
          <w:rFonts w:ascii="Times New Roman" w:hAnsi="Times New Roman" w:cs="Times New Roman"/>
          <w:noProof/>
          <w:sz w:val="24"/>
          <w:szCs w:val="24"/>
        </w:rPr>
      </w:pPr>
      <w:r>
        <w:rPr>
          <w:rFonts w:ascii="Times New Roman" w:hAnsi="Times New Roman"/>
          <w:sz w:val="24"/>
        </w:rPr>
        <w:t xml:space="preserve">[16] </w:t>
      </w:r>
      <w:r>
        <w:rPr>
          <w:rFonts w:ascii="Times New Roman" w:hAnsi="Times New Roman"/>
          <w:i/>
          <w:sz w:val="24"/>
        </w:rPr>
        <w:t xml:space="preserve">W.D. v. Belgium, </w:t>
      </w:r>
      <w:r>
        <w:rPr>
          <w:rFonts w:ascii="Times New Roman" w:hAnsi="Times New Roman"/>
          <w:sz w:val="24"/>
        </w:rPr>
        <w:t>no. 73548/13, 6 September 2016.</w:t>
      </w:r>
    </w:p>
    <w:p w14:paraId="30DF0D33" w14:textId="77777777" w:rsidR="00687285" w:rsidRPr="00687285" w:rsidRDefault="00687285" w:rsidP="00687285">
      <w:pPr>
        <w:jc w:val="both"/>
        <w:rPr>
          <w:rFonts w:ascii="Times New Roman" w:hAnsi="Times New Roman" w:cs="Times New Roman"/>
          <w:noProof/>
          <w:sz w:val="24"/>
          <w:szCs w:val="24"/>
        </w:rPr>
      </w:pPr>
      <w:r>
        <w:rPr>
          <w:rFonts w:ascii="Times New Roman" w:hAnsi="Times New Roman"/>
          <w:sz w:val="24"/>
        </w:rPr>
        <w:t xml:space="preserve">[17] </w:t>
      </w:r>
      <w:r>
        <w:rPr>
          <w:rFonts w:ascii="Times New Roman" w:hAnsi="Times New Roman"/>
          <w:i/>
          <w:sz w:val="24"/>
        </w:rPr>
        <w:t xml:space="preserve">David Thomas v. the United Kingdom, </w:t>
      </w:r>
      <w:r>
        <w:rPr>
          <w:rFonts w:ascii="Times New Roman" w:hAnsi="Times New Roman"/>
          <w:sz w:val="24"/>
        </w:rPr>
        <w:t>no. 55863/11, 4 November 2014. Paras 54-55.</w:t>
      </w:r>
    </w:p>
    <w:p w14:paraId="780A284D" w14:textId="77777777" w:rsidR="00687285" w:rsidRPr="00687285" w:rsidRDefault="00687285" w:rsidP="00687285">
      <w:pPr>
        <w:jc w:val="both"/>
        <w:rPr>
          <w:rFonts w:ascii="Times New Roman" w:hAnsi="Times New Roman" w:cs="Times New Roman"/>
          <w:noProof/>
          <w:sz w:val="24"/>
          <w:szCs w:val="24"/>
        </w:rPr>
      </w:pPr>
      <w:r>
        <w:rPr>
          <w:rFonts w:ascii="Times New Roman" w:hAnsi="Times New Roman"/>
          <w:sz w:val="24"/>
        </w:rPr>
        <w:t xml:space="preserve">[18] </w:t>
      </w:r>
      <w:r>
        <w:rPr>
          <w:rFonts w:ascii="Times New Roman" w:hAnsi="Times New Roman"/>
          <w:i/>
          <w:sz w:val="24"/>
        </w:rPr>
        <w:t xml:space="preserve">D.F. v. Latvia, </w:t>
      </w:r>
      <w:r>
        <w:rPr>
          <w:rFonts w:ascii="Times New Roman" w:hAnsi="Times New Roman"/>
          <w:sz w:val="24"/>
        </w:rPr>
        <w:t>no. 11160/07, 29 October 2013. Paras 84, 91, 95.</w:t>
      </w:r>
    </w:p>
    <w:p w14:paraId="38B91CD1" w14:textId="77777777" w:rsidR="00687285" w:rsidRPr="00687285" w:rsidRDefault="00687285" w:rsidP="00687285">
      <w:pPr>
        <w:jc w:val="both"/>
        <w:rPr>
          <w:rFonts w:ascii="Times New Roman" w:hAnsi="Times New Roman" w:cs="Times New Roman"/>
          <w:noProof/>
          <w:sz w:val="24"/>
          <w:szCs w:val="24"/>
        </w:rPr>
      </w:pPr>
      <w:r>
        <w:rPr>
          <w:rFonts w:ascii="Times New Roman" w:hAnsi="Times New Roman"/>
          <w:sz w:val="24"/>
        </w:rPr>
        <w:t>[19] 21st General Report of the CPT [CPT/Inf (2011) 28], paragraph 61.</w:t>
      </w:r>
    </w:p>
    <w:p w14:paraId="309347BB" w14:textId="77777777" w:rsidR="00687285" w:rsidRPr="00687285" w:rsidRDefault="00687285" w:rsidP="00687285">
      <w:pPr>
        <w:jc w:val="both"/>
        <w:rPr>
          <w:rFonts w:ascii="Times New Roman" w:eastAsia="Arial" w:hAnsi="Times New Roman" w:cs="Times New Roman"/>
          <w:noProof/>
          <w:sz w:val="24"/>
          <w:szCs w:val="24"/>
        </w:rPr>
      </w:pPr>
      <w:r>
        <w:rPr>
          <w:rFonts w:ascii="Times New Roman" w:hAnsi="Times New Roman"/>
          <w:sz w:val="24"/>
        </w:rPr>
        <w:t>[20] 21st General Report of the CPT [CPT/Inf (2011) 28], paragraph 61.</w:t>
      </w:r>
    </w:p>
    <w:p w14:paraId="1D33A78E" w14:textId="77777777" w:rsidR="00687285" w:rsidRPr="00687285" w:rsidRDefault="00687285" w:rsidP="00687285">
      <w:pPr>
        <w:jc w:val="both"/>
        <w:rPr>
          <w:rFonts w:ascii="Times New Roman" w:hAnsi="Times New Roman" w:cs="Times New Roman"/>
          <w:noProof/>
          <w:sz w:val="24"/>
          <w:szCs w:val="24"/>
        </w:rPr>
      </w:pPr>
      <w:r>
        <w:rPr>
          <w:rFonts w:ascii="Times New Roman" w:hAnsi="Times New Roman"/>
          <w:sz w:val="24"/>
        </w:rPr>
        <w:t xml:space="preserve">[21] </w:t>
      </w:r>
      <w:r>
        <w:rPr>
          <w:rFonts w:ascii="Times New Roman" w:hAnsi="Times New Roman"/>
          <w:i/>
          <w:sz w:val="24"/>
        </w:rPr>
        <w:t xml:space="preserve">D.F. v. Latvia, </w:t>
      </w:r>
      <w:r>
        <w:rPr>
          <w:rFonts w:ascii="Times New Roman" w:hAnsi="Times New Roman"/>
          <w:sz w:val="24"/>
        </w:rPr>
        <w:t>no. 11160/07, 29 October 2013. Para 87.</w:t>
      </w:r>
    </w:p>
    <w:p w14:paraId="61AFA529" w14:textId="77777777" w:rsidR="00687285" w:rsidRPr="00687285" w:rsidRDefault="00687285" w:rsidP="00687285">
      <w:pPr>
        <w:jc w:val="both"/>
        <w:rPr>
          <w:rFonts w:ascii="Times New Roman" w:hAnsi="Times New Roman" w:cs="Times New Roman"/>
          <w:noProof/>
          <w:sz w:val="24"/>
          <w:szCs w:val="24"/>
        </w:rPr>
      </w:pPr>
      <w:r>
        <w:rPr>
          <w:rFonts w:ascii="Times New Roman" w:hAnsi="Times New Roman"/>
          <w:sz w:val="24"/>
        </w:rPr>
        <w:t>[22] CPT, Austria: Visit 2015. [CPT/lnf (2015) 34]. Para 113.</w:t>
      </w:r>
    </w:p>
    <w:p w14:paraId="2A60070A" w14:textId="77777777" w:rsidR="00687285" w:rsidRPr="00687285" w:rsidRDefault="00687285" w:rsidP="00687285">
      <w:pPr>
        <w:jc w:val="both"/>
        <w:rPr>
          <w:rFonts w:ascii="Times New Roman" w:eastAsia="Arial" w:hAnsi="Times New Roman" w:cs="Times New Roman"/>
          <w:noProof/>
          <w:sz w:val="24"/>
          <w:szCs w:val="24"/>
        </w:rPr>
      </w:pPr>
      <w:r>
        <w:rPr>
          <w:rFonts w:ascii="Times New Roman" w:hAnsi="Times New Roman"/>
          <w:sz w:val="24"/>
        </w:rPr>
        <w:t xml:space="preserve">[23] </w:t>
      </w:r>
      <w:r>
        <w:rPr>
          <w:rFonts w:ascii="Times New Roman" w:hAnsi="Times New Roman"/>
          <w:i/>
          <w:sz w:val="24"/>
        </w:rPr>
        <w:t xml:space="preserve">Adamson v. the United Kingdom, </w:t>
      </w:r>
      <w:r>
        <w:rPr>
          <w:rFonts w:ascii="Times New Roman" w:hAnsi="Times New Roman"/>
          <w:sz w:val="24"/>
        </w:rPr>
        <w:t>no. 42293/98, 26 January 1999</w:t>
      </w:r>
      <w:r>
        <w:rPr>
          <w:rFonts w:ascii="Times New Roman" w:hAnsi="Times New Roman"/>
          <w:color w:val="1C1C1C"/>
          <w:sz w:val="24"/>
        </w:rPr>
        <w:t>.</w:t>
      </w:r>
    </w:p>
    <w:p w14:paraId="40FAC8C0" w14:textId="77777777" w:rsidR="00687285" w:rsidRPr="00687285" w:rsidRDefault="00687285" w:rsidP="00687285">
      <w:pPr>
        <w:jc w:val="both"/>
        <w:rPr>
          <w:rFonts w:ascii="Times New Roman" w:hAnsi="Times New Roman" w:cs="Times New Roman"/>
          <w:noProof/>
          <w:sz w:val="24"/>
          <w:szCs w:val="24"/>
        </w:rPr>
      </w:pPr>
      <w:r>
        <w:rPr>
          <w:rFonts w:ascii="Times New Roman" w:hAnsi="Times New Roman"/>
          <w:sz w:val="24"/>
        </w:rPr>
        <w:t xml:space="preserve">[24] </w:t>
      </w:r>
      <w:r>
        <w:rPr>
          <w:rFonts w:ascii="Times New Roman" w:hAnsi="Times New Roman"/>
          <w:i/>
          <w:sz w:val="24"/>
        </w:rPr>
        <w:t xml:space="preserve">Gardel v. France, </w:t>
      </w:r>
      <w:r>
        <w:rPr>
          <w:rFonts w:ascii="Times New Roman" w:hAnsi="Times New Roman"/>
          <w:sz w:val="24"/>
        </w:rPr>
        <w:t>no. 16428/05, 17 December 2009. Para. 43.</w:t>
      </w:r>
    </w:p>
    <w:p w14:paraId="6FF4377A" w14:textId="77777777" w:rsidR="00687285" w:rsidRPr="00687285" w:rsidRDefault="00687285" w:rsidP="00687285">
      <w:pPr>
        <w:jc w:val="both"/>
        <w:rPr>
          <w:rFonts w:ascii="Times New Roman" w:eastAsia="Arial" w:hAnsi="Times New Roman" w:cs="Times New Roman"/>
          <w:noProof/>
          <w:sz w:val="24"/>
          <w:szCs w:val="24"/>
        </w:rPr>
      </w:pPr>
      <w:r>
        <w:rPr>
          <w:rFonts w:ascii="Times New Roman" w:hAnsi="Times New Roman"/>
          <w:sz w:val="24"/>
        </w:rPr>
        <w:t xml:space="preserve">[25] </w:t>
      </w:r>
      <w:r>
        <w:rPr>
          <w:rFonts w:ascii="Times New Roman" w:hAnsi="Times New Roman"/>
          <w:i/>
          <w:sz w:val="24"/>
        </w:rPr>
        <w:t xml:space="preserve">Adamson v. the United Kingdom, </w:t>
      </w:r>
      <w:r>
        <w:rPr>
          <w:rFonts w:ascii="Times New Roman" w:hAnsi="Times New Roman"/>
          <w:sz w:val="24"/>
        </w:rPr>
        <w:t>no. 42293/98, 26 January 1999</w:t>
      </w:r>
      <w:r>
        <w:rPr>
          <w:rFonts w:ascii="Times New Roman" w:hAnsi="Times New Roman"/>
          <w:color w:val="1C1C1C"/>
          <w:sz w:val="24"/>
        </w:rPr>
        <w:t>.</w:t>
      </w:r>
    </w:p>
    <w:p w14:paraId="07013956" w14:textId="77777777" w:rsidR="00687285" w:rsidRPr="00687285" w:rsidRDefault="00687285" w:rsidP="00687285">
      <w:pPr>
        <w:jc w:val="both"/>
        <w:rPr>
          <w:rFonts w:ascii="Times New Roman" w:hAnsi="Times New Roman" w:cs="Times New Roman"/>
          <w:noProof/>
          <w:sz w:val="24"/>
          <w:szCs w:val="24"/>
        </w:rPr>
      </w:pPr>
      <w:r>
        <w:rPr>
          <w:rFonts w:ascii="Times New Roman" w:hAnsi="Times New Roman"/>
          <w:sz w:val="24"/>
        </w:rPr>
        <w:t xml:space="preserve">[26] </w:t>
      </w:r>
      <w:r>
        <w:rPr>
          <w:rFonts w:ascii="Times New Roman" w:hAnsi="Times New Roman"/>
          <w:i/>
          <w:sz w:val="24"/>
        </w:rPr>
        <w:t xml:space="preserve">Minter v. the United Kingdom, </w:t>
      </w:r>
      <w:r>
        <w:rPr>
          <w:rFonts w:ascii="Times New Roman" w:hAnsi="Times New Roman"/>
          <w:sz w:val="24"/>
        </w:rPr>
        <w:t>no. 62964/14, 2 May 2017.</w:t>
      </w:r>
    </w:p>
    <w:p w14:paraId="55014F04" w14:textId="77777777" w:rsidR="00687285" w:rsidRPr="00687285" w:rsidRDefault="00687285" w:rsidP="00687285">
      <w:pPr>
        <w:jc w:val="both"/>
        <w:rPr>
          <w:rFonts w:ascii="Times New Roman" w:hAnsi="Times New Roman" w:cs="Times New Roman"/>
          <w:noProof/>
          <w:sz w:val="24"/>
          <w:szCs w:val="24"/>
        </w:rPr>
      </w:pPr>
      <w:r>
        <w:rPr>
          <w:rFonts w:ascii="Times New Roman" w:hAnsi="Times New Roman"/>
          <w:sz w:val="24"/>
        </w:rPr>
        <w:t xml:space="preserve">[27] </w:t>
      </w:r>
      <w:r>
        <w:rPr>
          <w:rFonts w:ascii="Times New Roman" w:hAnsi="Times New Roman"/>
          <w:i/>
          <w:sz w:val="24"/>
        </w:rPr>
        <w:t xml:space="preserve">Gardel v. France, </w:t>
      </w:r>
      <w:r>
        <w:rPr>
          <w:rFonts w:ascii="Times New Roman" w:hAnsi="Times New Roman"/>
          <w:sz w:val="24"/>
        </w:rPr>
        <w:t>no. 16428/05, 17 December 2009. Para 68-71.</w:t>
      </w:r>
    </w:p>
    <w:p w14:paraId="2E411DD4" w14:textId="77777777" w:rsidR="00687285" w:rsidRPr="00687285" w:rsidRDefault="00687285" w:rsidP="00687285">
      <w:pPr>
        <w:jc w:val="both"/>
        <w:rPr>
          <w:rFonts w:ascii="Times New Roman" w:hAnsi="Times New Roman" w:cs="Times New Roman"/>
          <w:noProof/>
          <w:sz w:val="24"/>
          <w:szCs w:val="24"/>
        </w:rPr>
      </w:pPr>
    </w:p>
    <w:p w14:paraId="13220B89" w14:textId="77777777" w:rsidR="00687285" w:rsidRPr="00687285" w:rsidRDefault="00687285" w:rsidP="00687285">
      <w:pPr>
        <w:jc w:val="both"/>
        <w:rPr>
          <w:rFonts w:ascii="Times New Roman" w:hAnsi="Times New Roman" w:cs="Times New Roman"/>
          <w:noProof/>
          <w:sz w:val="28"/>
          <w:szCs w:val="28"/>
        </w:rPr>
      </w:pPr>
      <w:r>
        <w:rPr>
          <w:rFonts w:ascii="Times New Roman" w:hAnsi="Times New Roman"/>
          <w:sz w:val="28"/>
        </w:rPr>
        <w:t>Saistītie dokumenti</w:t>
      </w:r>
    </w:p>
    <w:p w14:paraId="1C213F1E" w14:textId="77777777" w:rsidR="00687285" w:rsidRPr="00687285" w:rsidRDefault="00687285" w:rsidP="00687285">
      <w:pPr>
        <w:jc w:val="both"/>
        <w:rPr>
          <w:rFonts w:ascii="Times New Roman" w:hAnsi="Times New Roman" w:cs="Times New Roman"/>
          <w:noProof/>
          <w:sz w:val="24"/>
          <w:szCs w:val="24"/>
        </w:rPr>
      </w:pPr>
    </w:p>
    <w:p w14:paraId="427F2C27" w14:textId="77777777" w:rsidR="00687285" w:rsidRPr="00687285" w:rsidRDefault="00687285" w:rsidP="00687285">
      <w:pPr>
        <w:jc w:val="both"/>
        <w:rPr>
          <w:rFonts w:ascii="Times New Roman" w:hAnsi="Times New Roman" w:cs="Times New Roman"/>
          <w:b/>
          <w:bCs/>
          <w:noProof/>
          <w:sz w:val="24"/>
          <w:szCs w:val="24"/>
        </w:rPr>
      </w:pPr>
      <w:r>
        <w:rPr>
          <w:rFonts w:ascii="Times New Roman" w:hAnsi="Times New Roman"/>
          <w:b/>
          <w:sz w:val="24"/>
        </w:rPr>
        <w:t>CM (2021)123</w:t>
      </w:r>
    </w:p>
    <w:p w14:paraId="23CDAE3C" w14:textId="77777777" w:rsidR="00687285" w:rsidRPr="00687285" w:rsidRDefault="00687285" w:rsidP="00687285">
      <w:pPr>
        <w:pStyle w:val="BodyText"/>
        <w:ind w:left="0"/>
        <w:jc w:val="both"/>
        <w:rPr>
          <w:rFonts w:ascii="Times New Roman" w:hAnsi="Times New Roman" w:cs="Times New Roman"/>
          <w:noProof/>
        </w:rPr>
      </w:pPr>
      <w:r>
        <w:rPr>
          <w:rFonts w:ascii="Times New Roman" w:hAnsi="Times New Roman"/>
        </w:rPr>
        <w:t>[1415/10.3] Eiropas Padomes Noziedzības problēmu komiteja (</w:t>
      </w:r>
      <w:r>
        <w:rPr>
          <w:rFonts w:ascii="Times New Roman" w:hAnsi="Times New Roman"/>
          <w:i/>
          <w:iCs/>
        </w:rPr>
        <w:t>CDPC</w:t>
      </w:r>
      <w:r>
        <w:rPr>
          <w:rFonts w:ascii="Times New Roman" w:hAnsi="Times New Roman"/>
        </w:rPr>
        <w:t>) – a) 79. plenārsēdes saīsinātais ziņojums (Strasbūrā, 2021. gada 28.–30. jūnijā)</w:t>
      </w:r>
    </w:p>
    <w:p w14:paraId="24A1F403" w14:textId="77777777" w:rsidR="00687285" w:rsidRPr="00687285" w:rsidRDefault="00687285" w:rsidP="00687285">
      <w:pPr>
        <w:pStyle w:val="BodyText"/>
        <w:ind w:left="0"/>
        <w:jc w:val="both"/>
        <w:rPr>
          <w:rFonts w:ascii="Times New Roman" w:hAnsi="Times New Roman" w:cs="Times New Roman"/>
          <w:noProof/>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1446"/>
        <w:gridCol w:w="197"/>
        <w:gridCol w:w="1220"/>
        <w:gridCol w:w="170"/>
        <w:gridCol w:w="1094"/>
        <w:gridCol w:w="243"/>
        <w:gridCol w:w="1328"/>
        <w:gridCol w:w="3433"/>
      </w:tblGrid>
      <w:tr w:rsidR="00687285" w:rsidRPr="00687285" w14:paraId="780D3AB3" w14:textId="77777777" w:rsidTr="002A5CEF">
        <w:tc>
          <w:tcPr>
            <w:tcW w:w="792" w:type="pct"/>
            <w:tcBorders>
              <w:right w:val="single" w:sz="4" w:space="0" w:color="auto"/>
            </w:tcBorders>
          </w:tcPr>
          <w:p w14:paraId="741AE41D" w14:textId="77777777" w:rsidR="00687285" w:rsidRPr="00687285" w:rsidRDefault="00687285" w:rsidP="002A5CEF">
            <w:pPr>
              <w:pStyle w:val="BodyText"/>
              <w:ind w:left="0"/>
              <w:jc w:val="center"/>
              <w:rPr>
                <w:rFonts w:ascii="Times New Roman" w:hAnsi="Times New Roman" w:cs="Times New Roman"/>
                <w:noProof/>
              </w:rPr>
            </w:pPr>
            <w:r>
              <w:rPr>
                <w:rFonts w:ascii="Times New Roman" w:hAnsi="Times New Roman"/>
                <w:noProof/>
              </w:rPr>
              <w:drawing>
                <wp:inline distT="0" distB="0" distL="0" distR="0" wp14:anchorId="673C3E15" wp14:editId="0D26A551">
                  <wp:extent cx="200025" cy="247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0053" cy="247685"/>
                          </a:xfrm>
                          <a:prstGeom prst="rect">
                            <a:avLst/>
                          </a:prstGeom>
                        </pic:spPr>
                      </pic:pic>
                    </a:graphicData>
                  </a:graphic>
                </wp:inline>
              </w:drawing>
            </w:r>
            <w:r>
              <w:rPr>
                <w:rFonts w:ascii="Times New Roman" w:hAnsi="Times New Roman"/>
              </w:rPr>
              <w:t>DOCX</w:t>
            </w:r>
          </w:p>
        </w:tc>
        <w:tc>
          <w:tcPr>
            <w:tcW w:w="108" w:type="pct"/>
            <w:tcBorders>
              <w:top w:val="nil"/>
              <w:left w:val="single" w:sz="4" w:space="0" w:color="auto"/>
              <w:bottom w:val="nil"/>
              <w:right w:val="single" w:sz="4" w:space="0" w:color="auto"/>
            </w:tcBorders>
            <w:vAlign w:val="center"/>
          </w:tcPr>
          <w:p w14:paraId="46AE223F" w14:textId="77777777" w:rsidR="00687285" w:rsidRPr="00687285" w:rsidRDefault="00687285" w:rsidP="002A5CEF">
            <w:pPr>
              <w:pStyle w:val="BodyText"/>
              <w:ind w:left="0"/>
              <w:jc w:val="center"/>
              <w:rPr>
                <w:rFonts w:ascii="Times New Roman" w:hAnsi="Times New Roman" w:cs="Times New Roman"/>
                <w:noProof/>
              </w:rPr>
            </w:pPr>
          </w:p>
        </w:tc>
        <w:tc>
          <w:tcPr>
            <w:tcW w:w="668" w:type="pct"/>
            <w:tcBorders>
              <w:left w:val="single" w:sz="4" w:space="0" w:color="auto"/>
              <w:right w:val="single" w:sz="4" w:space="0" w:color="auto"/>
            </w:tcBorders>
            <w:vAlign w:val="center"/>
          </w:tcPr>
          <w:p w14:paraId="2164B284" w14:textId="77777777" w:rsidR="00687285" w:rsidRPr="00687285" w:rsidRDefault="00687285" w:rsidP="002A5CEF">
            <w:pPr>
              <w:pStyle w:val="BodyText"/>
              <w:ind w:left="0"/>
              <w:jc w:val="center"/>
              <w:rPr>
                <w:rFonts w:ascii="Times New Roman" w:hAnsi="Times New Roman" w:cs="Times New Roman"/>
                <w:noProof/>
              </w:rPr>
            </w:pPr>
            <w:r>
              <w:rPr>
                <w:rFonts w:ascii="Times New Roman" w:hAnsi="Times New Roman"/>
              </w:rPr>
              <w:t>13/09/2021</w:t>
            </w:r>
          </w:p>
        </w:tc>
        <w:tc>
          <w:tcPr>
            <w:tcW w:w="93" w:type="pct"/>
            <w:tcBorders>
              <w:top w:val="nil"/>
              <w:left w:val="single" w:sz="4" w:space="0" w:color="auto"/>
              <w:bottom w:val="nil"/>
              <w:right w:val="single" w:sz="4" w:space="0" w:color="auto"/>
            </w:tcBorders>
            <w:vAlign w:val="center"/>
          </w:tcPr>
          <w:p w14:paraId="2F212D73" w14:textId="77777777" w:rsidR="00687285" w:rsidRPr="00687285" w:rsidRDefault="00687285" w:rsidP="002A5CEF">
            <w:pPr>
              <w:pStyle w:val="BodyText"/>
              <w:ind w:left="0"/>
              <w:jc w:val="center"/>
              <w:rPr>
                <w:rFonts w:ascii="Times New Roman" w:hAnsi="Times New Roman" w:cs="Times New Roman"/>
                <w:noProof/>
              </w:rPr>
            </w:pPr>
          </w:p>
        </w:tc>
        <w:tc>
          <w:tcPr>
            <w:tcW w:w="599" w:type="pct"/>
            <w:tcBorders>
              <w:left w:val="single" w:sz="4" w:space="0" w:color="auto"/>
              <w:right w:val="single" w:sz="4" w:space="0" w:color="auto"/>
            </w:tcBorders>
            <w:vAlign w:val="center"/>
          </w:tcPr>
          <w:p w14:paraId="26D950CC" w14:textId="77777777" w:rsidR="00687285" w:rsidRPr="00687285" w:rsidRDefault="00687285" w:rsidP="002A5CEF">
            <w:pPr>
              <w:pStyle w:val="BodyText"/>
              <w:ind w:left="0"/>
              <w:jc w:val="center"/>
              <w:rPr>
                <w:rFonts w:ascii="Times New Roman" w:hAnsi="Times New Roman" w:cs="Times New Roman"/>
                <w:noProof/>
              </w:rPr>
            </w:pPr>
            <w:r>
              <w:rPr>
                <w:rFonts w:ascii="Times New Roman" w:hAnsi="Times New Roman"/>
              </w:rPr>
              <w:t>Angliski</w:t>
            </w:r>
          </w:p>
        </w:tc>
        <w:tc>
          <w:tcPr>
            <w:tcW w:w="133" w:type="pct"/>
            <w:tcBorders>
              <w:top w:val="nil"/>
              <w:left w:val="single" w:sz="4" w:space="0" w:color="auto"/>
              <w:bottom w:val="nil"/>
              <w:right w:val="single" w:sz="4" w:space="0" w:color="auto"/>
            </w:tcBorders>
            <w:vAlign w:val="center"/>
          </w:tcPr>
          <w:p w14:paraId="79FD688A" w14:textId="77777777" w:rsidR="00687285" w:rsidRPr="00687285" w:rsidRDefault="00687285" w:rsidP="002A5CEF">
            <w:pPr>
              <w:pStyle w:val="BodyText"/>
              <w:ind w:left="0"/>
              <w:jc w:val="center"/>
              <w:rPr>
                <w:rFonts w:ascii="Times New Roman" w:hAnsi="Times New Roman" w:cs="Times New Roman"/>
                <w:noProof/>
              </w:rPr>
            </w:pPr>
          </w:p>
        </w:tc>
        <w:tc>
          <w:tcPr>
            <w:tcW w:w="727" w:type="pct"/>
            <w:tcBorders>
              <w:left w:val="single" w:sz="4" w:space="0" w:color="auto"/>
              <w:right w:val="single" w:sz="4" w:space="0" w:color="auto"/>
            </w:tcBorders>
            <w:vAlign w:val="center"/>
          </w:tcPr>
          <w:p w14:paraId="09A06C73" w14:textId="77777777" w:rsidR="00687285" w:rsidRPr="00687285" w:rsidRDefault="00687285" w:rsidP="002A5CEF">
            <w:pPr>
              <w:pStyle w:val="BodyText"/>
              <w:ind w:left="0"/>
              <w:jc w:val="center"/>
              <w:rPr>
                <w:rFonts w:ascii="Times New Roman" w:hAnsi="Times New Roman" w:cs="Times New Roman"/>
                <w:noProof/>
              </w:rPr>
            </w:pPr>
            <w:r>
              <w:rPr>
                <w:rFonts w:ascii="Times New Roman" w:hAnsi="Times New Roman"/>
                <w:i/>
                <w:iCs/>
              </w:rPr>
              <w:t>CM-Public</w:t>
            </w:r>
          </w:p>
        </w:tc>
        <w:tc>
          <w:tcPr>
            <w:tcW w:w="1880" w:type="pct"/>
            <w:tcBorders>
              <w:top w:val="nil"/>
              <w:left w:val="single" w:sz="4" w:space="0" w:color="auto"/>
              <w:bottom w:val="nil"/>
              <w:right w:val="nil"/>
            </w:tcBorders>
          </w:tcPr>
          <w:p w14:paraId="6A6D240F" w14:textId="77777777" w:rsidR="00687285" w:rsidRPr="00687285" w:rsidRDefault="00687285" w:rsidP="002A5CEF">
            <w:pPr>
              <w:pStyle w:val="BodyText"/>
              <w:ind w:left="0"/>
              <w:jc w:val="center"/>
              <w:rPr>
                <w:rFonts w:ascii="Times New Roman" w:hAnsi="Times New Roman" w:cs="Times New Roman"/>
                <w:noProof/>
              </w:rPr>
            </w:pPr>
          </w:p>
        </w:tc>
      </w:tr>
    </w:tbl>
    <w:p w14:paraId="2E91CA68" w14:textId="77777777" w:rsidR="00687285" w:rsidRPr="00687285" w:rsidRDefault="00687285" w:rsidP="00687285">
      <w:pPr>
        <w:pStyle w:val="BodyText"/>
        <w:ind w:left="0"/>
        <w:jc w:val="both"/>
        <w:rPr>
          <w:rFonts w:ascii="Times New Roman" w:hAnsi="Times New Roman" w:cs="Times New Roman"/>
          <w:noProof/>
        </w:rPr>
      </w:pPr>
    </w:p>
    <w:p w14:paraId="2A0EC87B" w14:textId="77777777" w:rsidR="00687285" w:rsidRPr="00687285" w:rsidRDefault="00687285" w:rsidP="00687285">
      <w:pPr>
        <w:jc w:val="both"/>
        <w:rPr>
          <w:rFonts w:ascii="Times New Roman" w:hAnsi="Times New Roman" w:cs="Times New Roman"/>
          <w:noProof/>
          <w:sz w:val="24"/>
          <w:szCs w:val="24"/>
        </w:rPr>
      </w:pPr>
      <w:r>
        <w:rPr>
          <w:rFonts w:ascii="Times New Roman" w:hAnsi="Times New Roman"/>
          <w:sz w:val="24"/>
        </w:rPr>
        <w:t xml:space="preserve">Ministru vietnieku 1415. sanāksme (2021. gada 20. oktobrī) ... </w:t>
      </w:r>
      <w:r>
        <w:rPr>
          <w:rFonts w:ascii="Times New Roman" w:hAnsi="Times New Roman"/>
          <w:b/>
          <w:sz w:val="24"/>
        </w:rPr>
        <w:t xml:space="preserve">27/07/2021 </w:t>
      </w:r>
      <w:r>
        <w:rPr>
          <w:rFonts w:ascii="Times New Roman" w:hAnsi="Times New Roman"/>
          <w:sz w:val="24"/>
        </w:rPr>
        <w:t>www.coe.int/.../october-2021?p_p_id=101_1NSTANCE_FJJuJash2rEF&amp;p ...</w:t>
      </w:r>
    </w:p>
    <w:p w14:paraId="142DE237" w14:textId="77777777" w:rsidR="00687285" w:rsidRPr="00687285" w:rsidRDefault="00687285" w:rsidP="00687285">
      <w:pPr>
        <w:jc w:val="both"/>
        <w:rPr>
          <w:rFonts w:ascii="Times New Roman" w:hAnsi="Times New Roman" w:cs="Times New Roman"/>
          <w:noProof/>
          <w:sz w:val="24"/>
          <w:szCs w:val="24"/>
        </w:rPr>
      </w:pPr>
    </w:p>
    <w:p w14:paraId="63EA52F7" w14:textId="02BB437B" w:rsidR="00687285" w:rsidRPr="00687285" w:rsidRDefault="00687285" w:rsidP="00687285">
      <w:pPr>
        <w:jc w:val="both"/>
        <w:rPr>
          <w:rFonts w:ascii="Times New Roman" w:hAnsi="Times New Roman" w:cs="Times New Roman"/>
          <w:noProof/>
          <w:sz w:val="24"/>
          <w:szCs w:val="24"/>
        </w:rPr>
      </w:pPr>
      <w:r>
        <w:rPr>
          <w:rFonts w:ascii="Times New Roman" w:hAnsi="Times New Roman"/>
          <w:sz w:val="24"/>
        </w:rPr>
        <w:t xml:space="preserve">2021. gada 12. oktobrī – Sanāksme – </w:t>
      </w:r>
      <w:r>
        <w:rPr>
          <w:rFonts w:ascii="Times New Roman" w:hAnsi="Times New Roman"/>
          <w:i/>
          <w:iCs/>
          <w:sz w:val="24"/>
        </w:rPr>
        <w:t>GR-J</w:t>
      </w:r>
      <w:r>
        <w:rPr>
          <w:rFonts w:ascii="Times New Roman" w:hAnsi="Times New Roman"/>
          <w:sz w:val="24"/>
        </w:rPr>
        <w:t xml:space="preserve"> – Sanāksmes un pasākumi – oktobris ... </w:t>
      </w:r>
      <w:r>
        <w:rPr>
          <w:rFonts w:ascii="Times New Roman" w:hAnsi="Times New Roman"/>
          <w:b/>
          <w:sz w:val="24"/>
        </w:rPr>
        <w:t xml:space="preserve">26/07/2021 </w:t>
      </w:r>
      <w:r>
        <w:rPr>
          <w:rFonts w:ascii="Times New Roman" w:hAnsi="Times New Roman"/>
          <w:sz w:val="24"/>
        </w:rPr>
        <w:t>www.coe.int/.../october-2021?p_p_id=101_1NSTANCE_FJJuJash2rEF&amp;p ...</w:t>
      </w:r>
    </w:p>
    <w:p w14:paraId="2F7DC77E" w14:textId="77777777" w:rsidR="00687285" w:rsidRPr="00687285" w:rsidRDefault="00687285" w:rsidP="00687285">
      <w:pPr>
        <w:jc w:val="both"/>
        <w:rPr>
          <w:rFonts w:ascii="Times New Roman" w:hAnsi="Times New Roman" w:cs="Times New Roman"/>
          <w:noProof/>
          <w:sz w:val="24"/>
          <w:szCs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131"/>
      </w:tblGrid>
      <w:tr w:rsidR="00687285" w:rsidRPr="00687285" w14:paraId="454E1DEE" w14:textId="77777777" w:rsidTr="002A5CEF">
        <w:tc>
          <w:tcPr>
            <w:tcW w:w="5000" w:type="pct"/>
          </w:tcPr>
          <w:p w14:paraId="075AE69F" w14:textId="77777777" w:rsidR="00687285" w:rsidRPr="00687285" w:rsidRDefault="00687285" w:rsidP="002A5CEF">
            <w:pPr>
              <w:jc w:val="center"/>
              <w:rPr>
                <w:rFonts w:ascii="Times New Roman" w:hAnsi="Times New Roman" w:cs="Times New Roman"/>
                <w:b/>
                <w:bCs/>
                <w:noProof/>
                <w:sz w:val="28"/>
                <w:szCs w:val="28"/>
              </w:rPr>
            </w:pPr>
            <w:r>
              <w:rPr>
                <w:rFonts w:ascii="Times New Roman" w:hAnsi="Times New Roman"/>
                <w:b/>
                <w:sz w:val="28"/>
              </w:rPr>
              <w:t>Ienākt. Lai ienāktu un redzētu klasificētu informāciju, klikšķiniet šeit</w:t>
            </w:r>
          </w:p>
        </w:tc>
      </w:tr>
    </w:tbl>
    <w:p w14:paraId="60DF07D4" w14:textId="77777777" w:rsidR="00687285" w:rsidRPr="00687285" w:rsidRDefault="00687285" w:rsidP="00687285">
      <w:pPr>
        <w:jc w:val="both"/>
        <w:rPr>
          <w:rFonts w:ascii="Times New Roman" w:hAnsi="Times New Roman" w:cs="Times New Roman"/>
          <w:noProof/>
          <w:color w:val="FF0000"/>
          <w:sz w:val="24"/>
          <w:szCs w:val="24"/>
        </w:rPr>
      </w:pPr>
    </w:p>
    <w:sectPr w:rsidR="00687285" w:rsidRPr="00687285" w:rsidSect="00B30A68">
      <w:headerReference w:type="default" r:id="rId11"/>
      <w:footerReference w:type="default" r:id="rId12"/>
      <w:headerReference w:type="first" r:id="rId13"/>
      <w:footerReference w:type="first" r:id="rId14"/>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9D080" w14:textId="77777777" w:rsidR="009130C8" w:rsidRPr="00687285" w:rsidRDefault="009130C8" w:rsidP="007E4FA8">
      <w:pPr>
        <w:rPr>
          <w:noProof/>
        </w:rPr>
      </w:pPr>
      <w:r w:rsidRPr="00687285">
        <w:rPr>
          <w:noProof/>
        </w:rPr>
        <w:separator/>
      </w:r>
    </w:p>
  </w:endnote>
  <w:endnote w:type="continuationSeparator" w:id="0">
    <w:p w14:paraId="12655DE3" w14:textId="77777777" w:rsidR="009130C8" w:rsidRPr="00687285" w:rsidRDefault="009130C8" w:rsidP="007E4FA8">
      <w:pPr>
        <w:rPr>
          <w:noProof/>
        </w:rPr>
      </w:pPr>
      <w:r w:rsidRPr="00687285">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FF03D" w14:textId="77777777" w:rsidR="00977372" w:rsidRPr="00CF65A9" w:rsidRDefault="00977372" w:rsidP="00977372">
    <w:pPr>
      <w:pStyle w:val="Header"/>
      <w:tabs>
        <w:tab w:val="left" w:pos="9072"/>
      </w:tabs>
      <w:jc w:val="both"/>
      <w:rPr>
        <w:rStyle w:val="PageNumber"/>
        <w:rFonts w:ascii="Times New Roman" w:hAnsi="Times New Roman" w:cs="Times New Roman"/>
        <w:noProof/>
        <w:sz w:val="20"/>
        <w:szCs w:val="20"/>
        <w:lang w:val="en-US"/>
      </w:rPr>
    </w:pPr>
  </w:p>
  <w:p w14:paraId="5870229C" w14:textId="77777777" w:rsidR="00977372" w:rsidRPr="00CF65A9" w:rsidRDefault="00977372" w:rsidP="00977372">
    <w:pPr>
      <w:pStyle w:val="Header"/>
      <w:tabs>
        <w:tab w:val="clear" w:pos="4513"/>
        <w:tab w:val="clear" w:pos="9026"/>
        <w:tab w:val="right" w:leader="underscore" w:pos="9072"/>
      </w:tabs>
      <w:jc w:val="both"/>
      <w:rPr>
        <w:rFonts w:ascii="Times New Roman" w:hAnsi="Times New Roman" w:cs="Times New Roman"/>
        <w:noProof/>
        <w:sz w:val="20"/>
        <w:szCs w:val="20"/>
        <w:lang w:val="en-US"/>
      </w:rPr>
    </w:pPr>
    <w:r w:rsidRPr="00CF65A9">
      <w:rPr>
        <w:rFonts w:ascii="Times New Roman" w:hAnsi="Times New Roman" w:cs="Times New Roman"/>
        <w:noProof/>
        <w:sz w:val="20"/>
        <w:szCs w:val="20"/>
        <w:lang w:val="en-US"/>
      </w:rPr>
      <w:tab/>
    </w:r>
  </w:p>
  <w:p w14:paraId="60EC9B54" w14:textId="77777777" w:rsidR="00977372" w:rsidRPr="00CF65A9" w:rsidRDefault="00977372" w:rsidP="00977372">
    <w:pPr>
      <w:pStyle w:val="Header"/>
      <w:tabs>
        <w:tab w:val="right" w:pos="9072"/>
      </w:tabs>
      <w:jc w:val="both"/>
      <w:rPr>
        <w:rStyle w:val="PageNumber"/>
        <w:rFonts w:ascii="Times New Roman" w:hAnsi="Times New Roman" w:cs="Times New Roman"/>
        <w:noProof/>
        <w:sz w:val="20"/>
        <w:szCs w:val="20"/>
        <w:lang w:val="en-US"/>
      </w:rPr>
    </w:pPr>
  </w:p>
  <w:p w14:paraId="197AB648" w14:textId="4046CE70" w:rsidR="00687285" w:rsidRPr="00977372" w:rsidRDefault="00977372" w:rsidP="00977372">
    <w:pPr>
      <w:pStyle w:val="Footer"/>
      <w:tabs>
        <w:tab w:val="clear" w:pos="4513"/>
        <w:tab w:val="clear" w:pos="9026"/>
        <w:tab w:val="center" w:pos="9072"/>
      </w:tabs>
      <w:jc w:val="both"/>
      <w:rPr>
        <w:rFonts w:ascii="Times New Roman" w:hAnsi="Times New Roman" w:cs="Times New Roman"/>
        <w:noProof/>
        <w:sz w:val="20"/>
        <w:szCs w:val="20"/>
        <w:lang w:val="en-US"/>
      </w:rPr>
    </w:pPr>
    <w:r w:rsidRPr="00CF65A9">
      <w:rPr>
        <w:rFonts w:ascii="Times New Roman" w:hAnsi="Times New Roman" w:cs="Times New Roman"/>
        <w:noProof/>
        <w:sz w:val="20"/>
        <w:szCs w:val="20"/>
        <w:lang w:val="en-US"/>
      </w:rPr>
      <w:t xml:space="preserve">Tulkojums </w:t>
    </w:r>
    <w:r w:rsidRPr="00CF65A9">
      <w:rPr>
        <w:rFonts w:ascii="Times New Roman" w:hAnsi="Times New Roman" w:cs="Times New Roman"/>
        <w:noProof/>
        <w:sz w:val="20"/>
        <w:szCs w:val="20"/>
        <w:lang w:val="en-US"/>
      </w:rPr>
      <w:fldChar w:fldCharType="begin"/>
    </w:r>
    <w:r w:rsidRPr="00CF65A9">
      <w:rPr>
        <w:rFonts w:ascii="Times New Roman" w:hAnsi="Times New Roman" w:cs="Times New Roman"/>
        <w:noProof/>
        <w:sz w:val="20"/>
        <w:szCs w:val="20"/>
        <w:lang w:val="en-US"/>
      </w:rPr>
      <w:instrText>symbol 211 \f "Symbol" \s 9</w:instrText>
    </w:r>
    <w:r w:rsidRPr="00CF65A9">
      <w:rPr>
        <w:rFonts w:ascii="Times New Roman" w:hAnsi="Times New Roman" w:cs="Times New Roman"/>
        <w:noProof/>
        <w:sz w:val="20"/>
        <w:szCs w:val="20"/>
        <w:lang w:val="en-US"/>
      </w:rPr>
      <w:fldChar w:fldCharType="separate"/>
    </w:r>
    <w:r w:rsidRPr="00CF65A9">
      <w:rPr>
        <w:rFonts w:ascii="Times New Roman" w:hAnsi="Times New Roman" w:cs="Times New Roman"/>
        <w:noProof/>
        <w:sz w:val="20"/>
        <w:szCs w:val="20"/>
        <w:lang w:val="en-US"/>
      </w:rPr>
      <w:t>Ó</w:t>
    </w:r>
    <w:r w:rsidRPr="00CF65A9">
      <w:rPr>
        <w:rFonts w:ascii="Times New Roman" w:hAnsi="Times New Roman" w:cs="Times New Roman"/>
        <w:noProof/>
        <w:sz w:val="20"/>
        <w:szCs w:val="20"/>
        <w:lang w:val="en-US"/>
      </w:rPr>
      <w:fldChar w:fldCharType="end"/>
    </w:r>
    <w:r w:rsidRPr="00CF65A9">
      <w:rPr>
        <w:rFonts w:ascii="Times New Roman" w:hAnsi="Times New Roman" w:cs="Times New Roman"/>
        <w:noProof/>
        <w:sz w:val="20"/>
        <w:szCs w:val="20"/>
        <w:lang w:val="en-US"/>
      </w:rPr>
      <w:t xml:space="preserve"> Valsts valodas centrs, 202</w:t>
    </w:r>
    <w:r w:rsidR="000C7EFF">
      <w:rPr>
        <w:rFonts w:ascii="Times New Roman" w:hAnsi="Times New Roman" w:cs="Times New Roman"/>
        <w:noProof/>
        <w:sz w:val="20"/>
        <w:szCs w:val="20"/>
        <w:lang w:val="en-US"/>
      </w:rPr>
      <w:t>3</w:t>
    </w:r>
    <w:r w:rsidRPr="00CF65A9">
      <w:rPr>
        <w:rFonts w:ascii="Times New Roman" w:hAnsi="Times New Roman" w:cs="Times New Roman"/>
        <w:noProof/>
        <w:sz w:val="20"/>
        <w:szCs w:val="20"/>
        <w:lang w:val="en-US"/>
      </w:rPr>
      <w:tab/>
    </w:r>
    <w:r w:rsidRPr="00CF65A9">
      <w:rPr>
        <w:rStyle w:val="PageNumber"/>
        <w:rFonts w:ascii="Times New Roman" w:hAnsi="Times New Roman" w:cs="Times New Roman"/>
        <w:noProof/>
        <w:sz w:val="20"/>
        <w:szCs w:val="20"/>
        <w:lang w:val="en-US"/>
      </w:rPr>
      <w:fldChar w:fldCharType="begin"/>
    </w:r>
    <w:r w:rsidRPr="00CF65A9">
      <w:rPr>
        <w:rStyle w:val="PageNumber"/>
        <w:rFonts w:ascii="Times New Roman" w:hAnsi="Times New Roman" w:cs="Times New Roman"/>
        <w:noProof/>
        <w:sz w:val="20"/>
        <w:szCs w:val="20"/>
        <w:lang w:val="en-US"/>
      </w:rPr>
      <w:instrText xml:space="preserve">page </w:instrText>
    </w:r>
    <w:r w:rsidRPr="00CF65A9">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CF65A9">
      <w:rPr>
        <w:rStyle w:val="PageNumber"/>
        <w:rFonts w:ascii="Times New Roman" w:hAnsi="Times New Roman" w:cs="Times New Roman"/>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05872" w14:textId="77777777" w:rsidR="003F4B3F" w:rsidRPr="00CF65A9" w:rsidRDefault="003F4B3F" w:rsidP="003F4B3F">
    <w:pPr>
      <w:pStyle w:val="Header"/>
      <w:tabs>
        <w:tab w:val="left" w:pos="9072"/>
      </w:tabs>
      <w:jc w:val="both"/>
      <w:rPr>
        <w:rStyle w:val="PageNumber"/>
        <w:rFonts w:ascii="Times New Roman" w:hAnsi="Times New Roman"/>
        <w:noProof/>
        <w:sz w:val="20"/>
        <w:szCs w:val="18"/>
        <w:lang w:val="en-US"/>
      </w:rPr>
    </w:pPr>
    <w:bookmarkStart w:id="14" w:name="_Hlk496261764"/>
    <w:bookmarkStart w:id="15" w:name="_Hlk496261765"/>
    <w:bookmarkStart w:id="16" w:name="_Hlk496261766"/>
    <w:bookmarkStart w:id="17" w:name="_Hlk30491075"/>
    <w:bookmarkStart w:id="18" w:name="_Hlk30491076"/>
  </w:p>
  <w:p w14:paraId="42EDD6E6" w14:textId="77777777" w:rsidR="003F4B3F" w:rsidRPr="00CF65A9" w:rsidRDefault="003F4B3F" w:rsidP="003F4B3F">
    <w:pPr>
      <w:pStyle w:val="Header"/>
      <w:tabs>
        <w:tab w:val="clear" w:pos="4513"/>
        <w:tab w:val="clear" w:pos="9026"/>
        <w:tab w:val="left" w:leader="underscore" w:pos="9072"/>
      </w:tabs>
      <w:jc w:val="both"/>
      <w:rPr>
        <w:rFonts w:ascii="Times New Roman" w:hAnsi="Times New Roman"/>
        <w:noProof/>
        <w:sz w:val="20"/>
        <w:szCs w:val="18"/>
        <w:lang w:val="en-US"/>
      </w:rPr>
    </w:pPr>
    <w:r w:rsidRPr="00CF65A9">
      <w:rPr>
        <w:rFonts w:ascii="Times New Roman" w:hAnsi="Times New Roman"/>
        <w:noProof/>
        <w:sz w:val="20"/>
        <w:szCs w:val="18"/>
        <w:lang w:val="en-US"/>
      </w:rPr>
      <w:tab/>
    </w:r>
  </w:p>
  <w:p w14:paraId="395A1E88" w14:textId="77777777" w:rsidR="003F4B3F" w:rsidRPr="00CF65A9" w:rsidRDefault="003F4B3F" w:rsidP="003F4B3F">
    <w:pPr>
      <w:pStyle w:val="Header"/>
      <w:tabs>
        <w:tab w:val="left" w:pos="9072"/>
      </w:tabs>
      <w:jc w:val="both"/>
      <w:rPr>
        <w:rStyle w:val="PageNumber"/>
        <w:rFonts w:ascii="Times New Roman" w:hAnsi="Times New Roman"/>
        <w:noProof/>
        <w:sz w:val="20"/>
        <w:szCs w:val="18"/>
        <w:lang w:val="en-US"/>
      </w:rPr>
    </w:pPr>
  </w:p>
  <w:p w14:paraId="1994C9B2" w14:textId="4CF4578F" w:rsidR="00687285" w:rsidRPr="003F4B3F" w:rsidRDefault="003F4B3F" w:rsidP="003F4B3F">
    <w:pPr>
      <w:pStyle w:val="Footer"/>
      <w:jc w:val="both"/>
      <w:rPr>
        <w:rFonts w:ascii="Times New Roman" w:hAnsi="Times New Roman"/>
        <w:noProof/>
        <w:sz w:val="20"/>
        <w:szCs w:val="18"/>
        <w:lang w:val="en-US"/>
      </w:rPr>
    </w:pPr>
    <w:r w:rsidRPr="00CF65A9">
      <w:rPr>
        <w:rFonts w:ascii="Times New Roman" w:hAnsi="Times New Roman"/>
        <w:noProof/>
        <w:sz w:val="20"/>
        <w:szCs w:val="18"/>
        <w:lang w:val="en-US"/>
      </w:rPr>
      <w:t xml:space="preserve">Tulkojums </w:t>
    </w:r>
    <w:r w:rsidRPr="00CF65A9">
      <w:rPr>
        <w:rFonts w:ascii="Times New Roman" w:hAnsi="Times New Roman"/>
        <w:noProof/>
        <w:sz w:val="20"/>
        <w:szCs w:val="18"/>
        <w:lang w:val="en-US"/>
      </w:rPr>
      <w:fldChar w:fldCharType="begin"/>
    </w:r>
    <w:r w:rsidRPr="00CF65A9">
      <w:rPr>
        <w:rFonts w:ascii="Times New Roman" w:hAnsi="Times New Roman"/>
        <w:noProof/>
        <w:sz w:val="20"/>
        <w:szCs w:val="18"/>
        <w:lang w:val="en-US"/>
      </w:rPr>
      <w:instrText>symbol 211 \f "Symbol" \s 9</w:instrText>
    </w:r>
    <w:r w:rsidRPr="00CF65A9">
      <w:rPr>
        <w:rFonts w:ascii="Times New Roman" w:hAnsi="Times New Roman"/>
        <w:noProof/>
        <w:sz w:val="20"/>
        <w:szCs w:val="18"/>
        <w:lang w:val="en-US"/>
      </w:rPr>
      <w:fldChar w:fldCharType="separate"/>
    </w:r>
    <w:r w:rsidRPr="00CF65A9">
      <w:rPr>
        <w:rFonts w:ascii="Times New Roman" w:hAnsi="Times New Roman"/>
        <w:noProof/>
        <w:sz w:val="20"/>
        <w:szCs w:val="18"/>
        <w:lang w:val="en-US"/>
      </w:rPr>
      <w:t>Ó</w:t>
    </w:r>
    <w:r w:rsidRPr="00CF65A9">
      <w:rPr>
        <w:rFonts w:ascii="Times New Roman" w:hAnsi="Times New Roman"/>
        <w:noProof/>
        <w:sz w:val="20"/>
        <w:szCs w:val="18"/>
        <w:lang w:val="en-US"/>
      </w:rPr>
      <w:fldChar w:fldCharType="end"/>
    </w:r>
    <w:r w:rsidRPr="00CF65A9">
      <w:rPr>
        <w:rFonts w:ascii="Times New Roman" w:hAnsi="Times New Roman"/>
        <w:noProof/>
        <w:sz w:val="20"/>
        <w:szCs w:val="18"/>
        <w:lang w:val="en-US"/>
      </w:rPr>
      <w:t xml:space="preserve"> Valsts valodas centrs, 20</w:t>
    </w:r>
    <w:bookmarkEnd w:id="14"/>
    <w:bookmarkEnd w:id="15"/>
    <w:bookmarkEnd w:id="16"/>
    <w:r w:rsidRPr="00CF65A9">
      <w:rPr>
        <w:rFonts w:ascii="Times New Roman" w:hAnsi="Times New Roman"/>
        <w:noProof/>
        <w:sz w:val="20"/>
        <w:szCs w:val="18"/>
        <w:lang w:val="en-US"/>
      </w:rPr>
      <w:t>2</w:t>
    </w:r>
    <w:bookmarkEnd w:id="17"/>
    <w:bookmarkEnd w:id="18"/>
    <w:r>
      <w:rPr>
        <w:rFonts w:ascii="Times New Roman" w:hAnsi="Times New Roman"/>
        <w:noProof/>
        <w:sz w:val="20"/>
        <w:szCs w:val="18"/>
        <w:lang w:val="en-U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A5E6A" w14:textId="77777777" w:rsidR="009130C8" w:rsidRPr="00687285" w:rsidRDefault="009130C8" w:rsidP="007E4FA8">
      <w:pPr>
        <w:rPr>
          <w:noProof/>
        </w:rPr>
      </w:pPr>
      <w:r w:rsidRPr="00687285">
        <w:rPr>
          <w:noProof/>
        </w:rPr>
        <w:separator/>
      </w:r>
    </w:p>
  </w:footnote>
  <w:footnote w:type="continuationSeparator" w:id="0">
    <w:p w14:paraId="53E43FE1" w14:textId="77777777" w:rsidR="009130C8" w:rsidRPr="00687285" w:rsidRDefault="009130C8" w:rsidP="007E4FA8">
      <w:pPr>
        <w:rPr>
          <w:noProof/>
        </w:rPr>
      </w:pPr>
      <w:r w:rsidRPr="00687285">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FBDFF" w14:textId="77777777" w:rsidR="00861D46" w:rsidRPr="00CF65A9" w:rsidRDefault="00861D46" w:rsidP="00861D46">
    <w:pPr>
      <w:pStyle w:val="Header"/>
      <w:rPr>
        <w:rStyle w:val="PageNumber"/>
        <w:rFonts w:ascii="Times New Roman" w:hAnsi="Times New Roman" w:cs="Times New Roman"/>
        <w:noProof/>
        <w:sz w:val="20"/>
        <w:szCs w:val="20"/>
        <w:lang w:val="en-US"/>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p>
  <w:p w14:paraId="7F888506" w14:textId="77777777" w:rsidR="00861D46" w:rsidRPr="00CF65A9" w:rsidRDefault="00861D46" w:rsidP="00861D46">
    <w:pPr>
      <w:pStyle w:val="Header"/>
      <w:tabs>
        <w:tab w:val="clear" w:pos="4513"/>
        <w:tab w:val="clear" w:pos="9026"/>
        <w:tab w:val="right" w:leader="underscore" w:pos="9072"/>
      </w:tabs>
      <w:rPr>
        <w:rFonts w:ascii="Times New Roman" w:hAnsi="Times New Roman" w:cs="Times New Roman"/>
        <w:noProof/>
        <w:sz w:val="20"/>
        <w:szCs w:val="20"/>
        <w:lang w:val="en-US"/>
      </w:rPr>
    </w:pPr>
    <w:r w:rsidRPr="00CF65A9">
      <w:rPr>
        <w:rFonts w:ascii="Times New Roman" w:hAnsi="Times New Roman" w:cs="Times New Roman"/>
        <w:noProof/>
        <w:sz w:val="20"/>
        <w:szCs w:val="20"/>
        <w:lang w:val="en-US"/>
      </w:rPr>
      <w:tab/>
    </w:r>
  </w:p>
  <w:bookmarkEnd w:id="0"/>
  <w:bookmarkEnd w:id="1"/>
  <w:bookmarkEnd w:id="2"/>
  <w:bookmarkEnd w:id="3"/>
  <w:bookmarkEnd w:id="4"/>
  <w:bookmarkEnd w:id="5"/>
  <w:bookmarkEnd w:id="6"/>
  <w:bookmarkEnd w:id="7"/>
  <w:bookmarkEnd w:id="8"/>
  <w:p w14:paraId="582DC9FA" w14:textId="77777777" w:rsidR="00687285" w:rsidRDefault="006872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493B" w14:textId="77777777" w:rsidR="001757E6" w:rsidRPr="00CF65A9" w:rsidRDefault="001757E6" w:rsidP="001757E6">
    <w:pPr>
      <w:pBdr>
        <w:bottom w:val="single" w:sz="12" w:space="5" w:color="auto"/>
      </w:pBdr>
      <w:rPr>
        <w:rFonts w:ascii="Times New Roman" w:hAnsi="Times New Roman" w:cs="Times New Roman"/>
        <w:noProof/>
        <w:sz w:val="20"/>
        <w:szCs w:val="20"/>
        <w:lang w:val="en-US"/>
      </w:rPr>
    </w:pPr>
    <w:bookmarkStart w:id="9" w:name="_Hlk496261745"/>
    <w:bookmarkStart w:id="10" w:name="_Hlk496261746"/>
    <w:bookmarkStart w:id="11" w:name="_Hlk496261747"/>
    <w:bookmarkStart w:id="12" w:name="_Hlk30491063"/>
    <w:bookmarkStart w:id="13" w:name="_Hlk30491064"/>
  </w:p>
  <w:bookmarkEnd w:id="9"/>
  <w:bookmarkEnd w:id="10"/>
  <w:bookmarkEnd w:id="11"/>
  <w:bookmarkEnd w:id="12"/>
  <w:bookmarkEnd w:id="13"/>
  <w:p w14:paraId="56B55C33" w14:textId="77777777" w:rsidR="00687285" w:rsidRDefault="006872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15B8C"/>
    <w:multiLevelType w:val="hybridMultilevel"/>
    <w:tmpl w:val="A60CC600"/>
    <w:lvl w:ilvl="0" w:tplc="A7F86EAE">
      <w:start w:val="45"/>
      <w:numFmt w:val="decimal"/>
      <w:lvlText w:val="%1."/>
      <w:lvlJc w:val="left"/>
      <w:pPr>
        <w:ind w:left="470" w:hanging="749"/>
      </w:pPr>
      <w:rPr>
        <w:rFonts w:ascii="Arial" w:eastAsia="Arial" w:hAnsi="Arial" w:hint="default"/>
        <w:w w:val="99"/>
        <w:sz w:val="24"/>
        <w:szCs w:val="24"/>
      </w:rPr>
    </w:lvl>
    <w:lvl w:ilvl="1" w:tplc="99721AE4">
      <w:start w:val="1"/>
      <w:numFmt w:val="bullet"/>
      <w:lvlText w:val="•"/>
      <w:lvlJc w:val="left"/>
      <w:pPr>
        <w:ind w:left="1523" w:hanging="749"/>
      </w:pPr>
      <w:rPr>
        <w:rFonts w:hint="default"/>
      </w:rPr>
    </w:lvl>
    <w:lvl w:ilvl="2" w:tplc="DBE0CB6E">
      <w:start w:val="1"/>
      <w:numFmt w:val="bullet"/>
      <w:lvlText w:val="•"/>
      <w:lvlJc w:val="left"/>
      <w:pPr>
        <w:ind w:left="2577" w:hanging="749"/>
      </w:pPr>
      <w:rPr>
        <w:rFonts w:hint="default"/>
      </w:rPr>
    </w:lvl>
    <w:lvl w:ilvl="3" w:tplc="C4DA6806">
      <w:start w:val="1"/>
      <w:numFmt w:val="bullet"/>
      <w:lvlText w:val="•"/>
      <w:lvlJc w:val="left"/>
      <w:pPr>
        <w:ind w:left="3631" w:hanging="749"/>
      </w:pPr>
      <w:rPr>
        <w:rFonts w:hint="default"/>
      </w:rPr>
    </w:lvl>
    <w:lvl w:ilvl="4" w:tplc="06F685FE">
      <w:start w:val="1"/>
      <w:numFmt w:val="bullet"/>
      <w:lvlText w:val="•"/>
      <w:lvlJc w:val="left"/>
      <w:pPr>
        <w:ind w:left="4684" w:hanging="749"/>
      </w:pPr>
      <w:rPr>
        <w:rFonts w:hint="default"/>
      </w:rPr>
    </w:lvl>
    <w:lvl w:ilvl="5" w:tplc="EDEAC69C">
      <w:start w:val="1"/>
      <w:numFmt w:val="bullet"/>
      <w:lvlText w:val="•"/>
      <w:lvlJc w:val="left"/>
      <w:pPr>
        <w:ind w:left="5738" w:hanging="749"/>
      </w:pPr>
      <w:rPr>
        <w:rFonts w:hint="default"/>
      </w:rPr>
    </w:lvl>
    <w:lvl w:ilvl="6" w:tplc="CE2E3FB8">
      <w:start w:val="1"/>
      <w:numFmt w:val="bullet"/>
      <w:lvlText w:val="•"/>
      <w:lvlJc w:val="left"/>
      <w:pPr>
        <w:ind w:left="6791" w:hanging="749"/>
      </w:pPr>
      <w:rPr>
        <w:rFonts w:hint="default"/>
      </w:rPr>
    </w:lvl>
    <w:lvl w:ilvl="7" w:tplc="C98A3770">
      <w:start w:val="1"/>
      <w:numFmt w:val="bullet"/>
      <w:lvlText w:val="•"/>
      <w:lvlJc w:val="left"/>
      <w:pPr>
        <w:ind w:left="7845" w:hanging="749"/>
      </w:pPr>
      <w:rPr>
        <w:rFonts w:hint="default"/>
      </w:rPr>
    </w:lvl>
    <w:lvl w:ilvl="8" w:tplc="22B4CB06">
      <w:start w:val="1"/>
      <w:numFmt w:val="bullet"/>
      <w:lvlText w:val="•"/>
      <w:lvlJc w:val="left"/>
      <w:pPr>
        <w:ind w:left="8899" w:hanging="749"/>
      </w:pPr>
      <w:rPr>
        <w:rFonts w:hint="default"/>
      </w:rPr>
    </w:lvl>
  </w:abstractNum>
  <w:abstractNum w:abstractNumId="1" w15:restartNumberingAfterBreak="0">
    <w:nsid w:val="2B0E0600"/>
    <w:multiLevelType w:val="hybridMultilevel"/>
    <w:tmpl w:val="B69E7324"/>
    <w:lvl w:ilvl="0" w:tplc="9C0ADD1E">
      <w:start w:val="43"/>
      <w:numFmt w:val="decimal"/>
      <w:lvlText w:val="%1."/>
      <w:lvlJc w:val="left"/>
      <w:pPr>
        <w:ind w:left="470" w:hanging="648"/>
      </w:pPr>
      <w:rPr>
        <w:rFonts w:ascii="Arial" w:eastAsia="Arial" w:hAnsi="Arial" w:hint="default"/>
        <w:sz w:val="20"/>
        <w:szCs w:val="20"/>
      </w:rPr>
    </w:lvl>
    <w:lvl w:ilvl="1" w:tplc="406E333A">
      <w:start w:val="1"/>
      <w:numFmt w:val="bullet"/>
      <w:lvlText w:val="•"/>
      <w:lvlJc w:val="left"/>
      <w:pPr>
        <w:ind w:left="1523" w:hanging="648"/>
      </w:pPr>
      <w:rPr>
        <w:rFonts w:hint="default"/>
      </w:rPr>
    </w:lvl>
    <w:lvl w:ilvl="2" w:tplc="95381814">
      <w:start w:val="1"/>
      <w:numFmt w:val="bullet"/>
      <w:lvlText w:val="•"/>
      <w:lvlJc w:val="left"/>
      <w:pPr>
        <w:ind w:left="2577" w:hanging="648"/>
      </w:pPr>
      <w:rPr>
        <w:rFonts w:hint="default"/>
      </w:rPr>
    </w:lvl>
    <w:lvl w:ilvl="3" w:tplc="1DA8F7A4">
      <w:start w:val="1"/>
      <w:numFmt w:val="bullet"/>
      <w:lvlText w:val="•"/>
      <w:lvlJc w:val="left"/>
      <w:pPr>
        <w:ind w:left="3631" w:hanging="648"/>
      </w:pPr>
      <w:rPr>
        <w:rFonts w:hint="default"/>
      </w:rPr>
    </w:lvl>
    <w:lvl w:ilvl="4" w:tplc="EC620C40">
      <w:start w:val="1"/>
      <w:numFmt w:val="bullet"/>
      <w:lvlText w:val="•"/>
      <w:lvlJc w:val="left"/>
      <w:pPr>
        <w:ind w:left="4684" w:hanging="648"/>
      </w:pPr>
      <w:rPr>
        <w:rFonts w:hint="default"/>
      </w:rPr>
    </w:lvl>
    <w:lvl w:ilvl="5" w:tplc="4E28BD58">
      <w:start w:val="1"/>
      <w:numFmt w:val="bullet"/>
      <w:lvlText w:val="•"/>
      <w:lvlJc w:val="left"/>
      <w:pPr>
        <w:ind w:left="5738" w:hanging="648"/>
      </w:pPr>
      <w:rPr>
        <w:rFonts w:hint="default"/>
      </w:rPr>
    </w:lvl>
    <w:lvl w:ilvl="6" w:tplc="4D10DA8A">
      <w:start w:val="1"/>
      <w:numFmt w:val="bullet"/>
      <w:lvlText w:val="•"/>
      <w:lvlJc w:val="left"/>
      <w:pPr>
        <w:ind w:left="6791" w:hanging="648"/>
      </w:pPr>
      <w:rPr>
        <w:rFonts w:hint="default"/>
      </w:rPr>
    </w:lvl>
    <w:lvl w:ilvl="7" w:tplc="8B20BD2E">
      <w:start w:val="1"/>
      <w:numFmt w:val="bullet"/>
      <w:lvlText w:val="•"/>
      <w:lvlJc w:val="left"/>
      <w:pPr>
        <w:ind w:left="7845" w:hanging="648"/>
      </w:pPr>
      <w:rPr>
        <w:rFonts w:hint="default"/>
      </w:rPr>
    </w:lvl>
    <w:lvl w:ilvl="8" w:tplc="09B84A6E">
      <w:start w:val="1"/>
      <w:numFmt w:val="bullet"/>
      <w:lvlText w:val="•"/>
      <w:lvlJc w:val="left"/>
      <w:pPr>
        <w:ind w:left="8899" w:hanging="648"/>
      </w:pPr>
      <w:rPr>
        <w:rFonts w:hint="default"/>
      </w:rPr>
    </w:lvl>
  </w:abstractNum>
  <w:abstractNum w:abstractNumId="2" w15:restartNumberingAfterBreak="0">
    <w:nsid w:val="2C503091"/>
    <w:multiLevelType w:val="hybridMultilevel"/>
    <w:tmpl w:val="EBB0589E"/>
    <w:lvl w:ilvl="0" w:tplc="3698D6F8">
      <w:start w:val="32"/>
      <w:numFmt w:val="decimal"/>
      <w:lvlText w:val="%1."/>
      <w:lvlJc w:val="left"/>
      <w:pPr>
        <w:ind w:left="470" w:hanging="749"/>
      </w:pPr>
      <w:rPr>
        <w:rFonts w:ascii="Arial" w:eastAsia="Arial" w:hAnsi="Arial" w:hint="default"/>
        <w:w w:val="102"/>
        <w:sz w:val="24"/>
        <w:szCs w:val="24"/>
      </w:rPr>
    </w:lvl>
    <w:lvl w:ilvl="1" w:tplc="8ACAEF9E">
      <w:start w:val="1"/>
      <w:numFmt w:val="bullet"/>
      <w:lvlText w:val="•"/>
      <w:lvlJc w:val="left"/>
      <w:pPr>
        <w:ind w:left="1523" w:hanging="749"/>
      </w:pPr>
      <w:rPr>
        <w:rFonts w:hint="default"/>
      </w:rPr>
    </w:lvl>
    <w:lvl w:ilvl="2" w:tplc="2440F4EC">
      <w:start w:val="1"/>
      <w:numFmt w:val="bullet"/>
      <w:lvlText w:val="•"/>
      <w:lvlJc w:val="left"/>
      <w:pPr>
        <w:ind w:left="2577" w:hanging="749"/>
      </w:pPr>
      <w:rPr>
        <w:rFonts w:hint="default"/>
      </w:rPr>
    </w:lvl>
    <w:lvl w:ilvl="3" w:tplc="AC20E77A">
      <w:start w:val="1"/>
      <w:numFmt w:val="bullet"/>
      <w:lvlText w:val="•"/>
      <w:lvlJc w:val="left"/>
      <w:pPr>
        <w:ind w:left="3631" w:hanging="749"/>
      </w:pPr>
      <w:rPr>
        <w:rFonts w:hint="default"/>
      </w:rPr>
    </w:lvl>
    <w:lvl w:ilvl="4" w:tplc="D64A850C">
      <w:start w:val="1"/>
      <w:numFmt w:val="bullet"/>
      <w:lvlText w:val="•"/>
      <w:lvlJc w:val="left"/>
      <w:pPr>
        <w:ind w:left="4684" w:hanging="749"/>
      </w:pPr>
      <w:rPr>
        <w:rFonts w:hint="default"/>
      </w:rPr>
    </w:lvl>
    <w:lvl w:ilvl="5" w:tplc="B32E9594">
      <w:start w:val="1"/>
      <w:numFmt w:val="bullet"/>
      <w:lvlText w:val="•"/>
      <w:lvlJc w:val="left"/>
      <w:pPr>
        <w:ind w:left="5738" w:hanging="749"/>
      </w:pPr>
      <w:rPr>
        <w:rFonts w:hint="default"/>
      </w:rPr>
    </w:lvl>
    <w:lvl w:ilvl="6" w:tplc="B3F8AAAC">
      <w:start w:val="1"/>
      <w:numFmt w:val="bullet"/>
      <w:lvlText w:val="•"/>
      <w:lvlJc w:val="left"/>
      <w:pPr>
        <w:ind w:left="6791" w:hanging="749"/>
      </w:pPr>
      <w:rPr>
        <w:rFonts w:hint="default"/>
      </w:rPr>
    </w:lvl>
    <w:lvl w:ilvl="7" w:tplc="23C8225A">
      <w:start w:val="1"/>
      <w:numFmt w:val="bullet"/>
      <w:lvlText w:val="•"/>
      <w:lvlJc w:val="left"/>
      <w:pPr>
        <w:ind w:left="7845" w:hanging="749"/>
      </w:pPr>
      <w:rPr>
        <w:rFonts w:hint="default"/>
      </w:rPr>
    </w:lvl>
    <w:lvl w:ilvl="8" w:tplc="2DF8ECBC">
      <w:start w:val="1"/>
      <w:numFmt w:val="bullet"/>
      <w:lvlText w:val="•"/>
      <w:lvlJc w:val="left"/>
      <w:pPr>
        <w:ind w:left="8899" w:hanging="749"/>
      </w:pPr>
      <w:rPr>
        <w:rFonts w:hint="default"/>
      </w:rPr>
    </w:lvl>
  </w:abstractNum>
  <w:abstractNum w:abstractNumId="3" w15:restartNumberingAfterBreak="0">
    <w:nsid w:val="343A643F"/>
    <w:multiLevelType w:val="hybridMultilevel"/>
    <w:tmpl w:val="FF5E3C32"/>
    <w:lvl w:ilvl="0" w:tplc="C0EEF374">
      <w:start w:val="1"/>
      <w:numFmt w:val="decimal"/>
      <w:lvlText w:val="%1."/>
      <w:lvlJc w:val="left"/>
      <w:pPr>
        <w:ind w:left="470" w:hanging="735"/>
      </w:pPr>
      <w:rPr>
        <w:rFonts w:ascii="Arial" w:eastAsia="Arial" w:hAnsi="Arial" w:hint="default"/>
        <w:w w:val="110"/>
        <w:sz w:val="24"/>
        <w:szCs w:val="24"/>
      </w:rPr>
    </w:lvl>
    <w:lvl w:ilvl="1" w:tplc="4D52AEAE">
      <w:start w:val="1"/>
      <w:numFmt w:val="bullet"/>
      <w:lvlText w:val="•"/>
      <w:lvlJc w:val="left"/>
      <w:pPr>
        <w:ind w:left="1521" w:hanging="735"/>
      </w:pPr>
      <w:rPr>
        <w:rFonts w:hint="default"/>
      </w:rPr>
    </w:lvl>
    <w:lvl w:ilvl="2" w:tplc="FC48F1CE">
      <w:start w:val="1"/>
      <w:numFmt w:val="bullet"/>
      <w:lvlText w:val="•"/>
      <w:lvlJc w:val="left"/>
      <w:pPr>
        <w:ind w:left="2573" w:hanging="735"/>
      </w:pPr>
      <w:rPr>
        <w:rFonts w:hint="default"/>
      </w:rPr>
    </w:lvl>
    <w:lvl w:ilvl="3" w:tplc="362EE254">
      <w:start w:val="1"/>
      <w:numFmt w:val="bullet"/>
      <w:lvlText w:val="•"/>
      <w:lvlJc w:val="left"/>
      <w:pPr>
        <w:ind w:left="3625" w:hanging="735"/>
      </w:pPr>
      <w:rPr>
        <w:rFonts w:hint="default"/>
      </w:rPr>
    </w:lvl>
    <w:lvl w:ilvl="4" w:tplc="403A4676">
      <w:start w:val="1"/>
      <w:numFmt w:val="bullet"/>
      <w:lvlText w:val="•"/>
      <w:lvlJc w:val="left"/>
      <w:pPr>
        <w:ind w:left="4676" w:hanging="735"/>
      </w:pPr>
      <w:rPr>
        <w:rFonts w:hint="default"/>
      </w:rPr>
    </w:lvl>
    <w:lvl w:ilvl="5" w:tplc="A8B4B028">
      <w:start w:val="1"/>
      <w:numFmt w:val="bullet"/>
      <w:lvlText w:val="•"/>
      <w:lvlJc w:val="left"/>
      <w:pPr>
        <w:ind w:left="5728" w:hanging="735"/>
      </w:pPr>
      <w:rPr>
        <w:rFonts w:hint="default"/>
      </w:rPr>
    </w:lvl>
    <w:lvl w:ilvl="6" w:tplc="6D920E12">
      <w:start w:val="1"/>
      <w:numFmt w:val="bullet"/>
      <w:lvlText w:val="•"/>
      <w:lvlJc w:val="left"/>
      <w:pPr>
        <w:ind w:left="6779" w:hanging="735"/>
      </w:pPr>
      <w:rPr>
        <w:rFonts w:hint="default"/>
      </w:rPr>
    </w:lvl>
    <w:lvl w:ilvl="7" w:tplc="23A87178">
      <w:start w:val="1"/>
      <w:numFmt w:val="bullet"/>
      <w:lvlText w:val="•"/>
      <w:lvlJc w:val="left"/>
      <w:pPr>
        <w:ind w:left="7831" w:hanging="735"/>
      </w:pPr>
      <w:rPr>
        <w:rFonts w:hint="default"/>
      </w:rPr>
    </w:lvl>
    <w:lvl w:ilvl="8" w:tplc="659EC16C">
      <w:start w:val="1"/>
      <w:numFmt w:val="bullet"/>
      <w:lvlText w:val="•"/>
      <w:lvlJc w:val="left"/>
      <w:pPr>
        <w:ind w:left="8883" w:hanging="735"/>
      </w:pPr>
      <w:rPr>
        <w:rFonts w:hint="default"/>
      </w:rPr>
    </w:lvl>
  </w:abstractNum>
  <w:abstractNum w:abstractNumId="4" w15:restartNumberingAfterBreak="0">
    <w:nsid w:val="382D5022"/>
    <w:multiLevelType w:val="hybridMultilevel"/>
    <w:tmpl w:val="E7401D02"/>
    <w:lvl w:ilvl="0" w:tplc="36E43262">
      <w:start w:val="79"/>
      <w:numFmt w:val="decimal"/>
      <w:lvlText w:val="%1."/>
      <w:lvlJc w:val="left"/>
      <w:pPr>
        <w:ind w:left="470" w:hanging="648"/>
      </w:pPr>
      <w:rPr>
        <w:rFonts w:ascii="Arial" w:eastAsia="Arial" w:hAnsi="Arial" w:hint="default"/>
        <w:w w:val="106"/>
        <w:sz w:val="19"/>
        <w:szCs w:val="19"/>
      </w:rPr>
    </w:lvl>
    <w:lvl w:ilvl="1" w:tplc="5DE242C6">
      <w:start w:val="1"/>
      <w:numFmt w:val="bullet"/>
      <w:lvlText w:val="•"/>
      <w:lvlJc w:val="left"/>
      <w:pPr>
        <w:ind w:left="1521" w:hanging="648"/>
      </w:pPr>
      <w:rPr>
        <w:rFonts w:hint="default"/>
      </w:rPr>
    </w:lvl>
    <w:lvl w:ilvl="2" w:tplc="F27E53C2">
      <w:start w:val="1"/>
      <w:numFmt w:val="bullet"/>
      <w:lvlText w:val="•"/>
      <w:lvlJc w:val="left"/>
      <w:pPr>
        <w:ind w:left="2573" w:hanging="648"/>
      </w:pPr>
      <w:rPr>
        <w:rFonts w:hint="default"/>
      </w:rPr>
    </w:lvl>
    <w:lvl w:ilvl="3" w:tplc="D21894B0">
      <w:start w:val="1"/>
      <w:numFmt w:val="bullet"/>
      <w:lvlText w:val="•"/>
      <w:lvlJc w:val="left"/>
      <w:pPr>
        <w:ind w:left="3625" w:hanging="648"/>
      </w:pPr>
      <w:rPr>
        <w:rFonts w:hint="default"/>
      </w:rPr>
    </w:lvl>
    <w:lvl w:ilvl="4" w:tplc="CF0EF166">
      <w:start w:val="1"/>
      <w:numFmt w:val="bullet"/>
      <w:lvlText w:val="•"/>
      <w:lvlJc w:val="left"/>
      <w:pPr>
        <w:ind w:left="4676" w:hanging="648"/>
      </w:pPr>
      <w:rPr>
        <w:rFonts w:hint="default"/>
      </w:rPr>
    </w:lvl>
    <w:lvl w:ilvl="5" w:tplc="77CE780C">
      <w:start w:val="1"/>
      <w:numFmt w:val="bullet"/>
      <w:lvlText w:val="•"/>
      <w:lvlJc w:val="left"/>
      <w:pPr>
        <w:ind w:left="5728" w:hanging="648"/>
      </w:pPr>
      <w:rPr>
        <w:rFonts w:hint="default"/>
      </w:rPr>
    </w:lvl>
    <w:lvl w:ilvl="6" w:tplc="F82685CC">
      <w:start w:val="1"/>
      <w:numFmt w:val="bullet"/>
      <w:lvlText w:val="•"/>
      <w:lvlJc w:val="left"/>
      <w:pPr>
        <w:ind w:left="6779" w:hanging="648"/>
      </w:pPr>
      <w:rPr>
        <w:rFonts w:hint="default"/>
      </w:rPr>
    </w:lvl>
    <w:lvl w:ilvl="7" w:tplc="467A24F8">
      <w:start w:val="1"/>
      <w:numFmt w:val="bullet"/>
      <w:lvlText w:val="•"/>
      <w:lvlJc w:val="left"/>
      <w:pPr>
        <w:ind w:left="7831" w:hanging="648"/>
      </w:pPr>
      <w:rPr>
        <w:rFonts w:hint="default"/>
      </w:rPr>
    </w:lvl>
    <w:lvl w:ilvl="8" w:tplc="A7E45E12">
      <w:start w:val="1"/>
      <w:numFmt w:val="bullet"/>
      <w:lvlText w:val="•"/>
      <w:lvlJc w:val="left"/>
      <w:pPr>
        <w:ind w:left="8883" w:hanging="648"/>
      </w:pPr>
      <w:rPr>
        <w:rFonts w:hint="default"/>
      </w:rPr>
    </w:lvl>
  </w:abstractNum>
  <w:abstractNum w:abstractNumId="5" w15:restartNumberingAfterBreak="0">
    <w:nsid w:val="3B417902"/>
    <w:multiLevelType w:val="hybridMultilevel"/>
    <w:tmpl w:val="2F5097F0"/>
    <w:lvl w:ilvl="0" w:tplc="4934B896">
      <w:start w:val="62"/>
      <w:numFmt w:val="decimal"/>
      <w:lvlText w:val="%1."/>
      <w:lvlJc w:val="left"/>
      <w:pPr>
        <w:ind w:left="484" w:hanging="735"/>
      </w:pPr>
      <w:rPr>
        <w:rFonts w:ascii="Arial" w:eastAsia="Arial" w:hAnsi="Arial" w:hint="default"/>
        <w:w w:val="97"/>
        <w:sz w:val="24"/>
        <w:szCs w:val="24"/>
      </w:rPr>
    </w:lvl>
    <w:lvl w:ilvl="1" w:tplc="ECAC0A5A">
      <w:start w:val="1"/>
      <w:numFmt w:val="bullet"/>
      <w:lvlText w:val="•"/>
      <w:lvlJc w:val="left"/>
      <w:pPr>
        <w:ind w:left="1534" w:hanging="735"/>
      </w:pPr>
      <w:rPr>
        <w:rFonts w:hint="default"/>
      </w:rPr>
    </w:lvl>
    <w:lvl w:ilvl="2" w:tplc="868AF05E">
      <w:start w:val="1"/>
      <w:numFmt w:val="bullet"/>
      <w:lvlText w:val="•"/>
      <w:lvlJc w:val="left"/>
      <w:pPr>
        <w:ind w:left="2584" w:hanging="735"/>
      </w:pPr>
      <w:rPr>
        <w:rFonts w:hint="default"/>
      </w:rPr>
    </w:lvl>
    <w:lvl w:ilvl="3" w:tplc="F5B0093A">
      <w:start w:val="1"/>
      <w:numFmt w:val="bullet"/>
      <w:lvlText w:val="•"/>
      <w:lvlJc w:val="left"/>
      <w:pPr>
        <w:ind w:left="3635" w:hanging="735"/>
      </w:pPr>
      <w:rPr>
        <w:rFonts w:hint="default"/>
      </w:rPr>
    </w:lvl>
    <w:lvl w:ilvl="4" w:tplc="4CA48AE6">
      <w:start w:val="1"/>
      <w:numFmt w:val="bullet"/>
      <w:lvlText w:val="•"/>
      <w:lvlJc w:val="left"/>
      <w:pPr>
        <w:ind w:left="4685" w:hanging="735"/>
      </w:pPr>
      <w:rPr>
        <w:rFonts w:hint="default"/>
      </w:rPr>
    </w:lvl>
    <w:lvl w:ilvl="5" w:tplc="0C30E8B2">
      <w:start w:val="1"/>
      <w:numFmt w:val="bullet"/>
      <w:lvlText w:val="•"/>
      <w:lvlJc w:val="left"/>
      <w:pPr>
        <w:ind w:left="5735" w:hanging="735"/>
      </w:pPr>
      <w:rPr>
        <w:rFonts w:hint="default"/>
      </w:rPr>
    </w:lvl>
    <w:lvl w:ilvl="6" w:tplc="B22E2CFC">
      <w:start w:val="1"/>
      <w:numFmt w:val="bullet"/>
      <w:lvlText w:val="•"/>
      <w:lvlJc w:val="left"/>
      <w:pPr>
        <w:ind w:left="6785" w:hanging="735"/>
      </w:pPr>
      <w:rPr>
        <w:rFonts w:hint="default"/>
      </w:rPr>
    </w:lvl>
    <w:lvl w:ilvl="7" w:tplc="0FF47AEA">
      <w:start w:val="1"/>
      <w:numFmt w:val="bullet"/>
      <w:lvlText w:val="•"/>
      <w:lvlJc w:val="left"/>
      <w:pPr>
        <w:ind w:left="7835" w:hanging="735"/>
      </w:pPr>
      <w:rPr>
        <w:rFonts w:hint="default"/>
      </w:rPr>
    </w:lvl>
    <w:lvl w:ilvl="8" w:tplc="C6CACFB0">
      <w:start w:val="1"/>
      <w:numFmt w:val="bullet"/>
      <w:lvlText w:val="•"/>
      <w:lvlJc w:val="left"/>
      <w:pPr>
        <w:ind w:left="8886" w:hanging="735"/>
      </w:pPr>
      <w:rPr>
        <w:rFonts w:hint="default"/>
      </w:rPr>
    </w:lvl>
  </w:abstractNum>
  <w:abstractNum w:abstractNumId="6" w15:restartNumberingAfterBreak="0">
    <w:nsid w:val="425C7794"/>
    <w:multiLevelType w:val="hybridMultilevel"/>
    <w:tmpl w:val="0A2C8C52"/>
    <w:lvl w:ilvl="0" w:tplc="B970AE94">
      <w:start w:val="8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B216511"/>
    <w:multiLevelType w:val="hybridMultilevel"/>
    <w:tmpl w:val="367A4DF8"/>
    <w:lvl w:ilvl="0" w:tplc="B3381A4E">
      <w:start w:val="81"/>
      <w:numFmt w:val="decimal"/>
      <w:lvlText w:val="%1."/>
      <w:lvlJc w:val="left"/>
      <w:pPr>
        <w:ind w:left="470" w:hanging="764"/>
      </w:pPr>
      <w:rPr>
        <w:rFonts w:ascii="Arial" w:eastAsia="Arial" w:hAnsi="Arial" w:hint="default"/>
        <w:w w:val="97"/>
        <w:sz w:val="24"/>
        <w:szCs w:val="24"/>
      </w:rPr>
    </w:lvl>
    <w:lvl w:ilvl="1" w:tplc="62061626">
      <w:start w:val="1"/>
      <w:numFmt w:val="bullet"/>
      <w:lvlText w:val="•"/>
      <w:lvlJc w:val="left"/>
      <w:pPr>
        <w:ind w:left="1521" w:hanging="764"/>
      </w:pPr>
      <w:rPr>
        <w:rFonts w:hint="default"/>
      </w:rPr>
    </w:lvl>
    <w:lvl w:ilvl="2" w:tplc="FBC41F06">
      <w:start w:val="1"/>
      <w:numFmt w:val="bullet"/>
      <w:lvlText w:val="•"/>
      <w:lvlJc w:val="left"/>
      <w:pPr>
        <w:ind w:left="2573" w:hanging="764"/>
      </w:pPr>
      <w:rPr>
        <w:rFonts w:hint="default"/>
      </w:rPr>
    </w:lvl>
    <w:lvl w:ilvl="3" w:tplc="8E3E53EC">
      <w:start w:val="1"/>
      <w:numFmt w:val="bullet"/>
      <w:lvlText w:val="•"/>
      <w:lvlJc w:val="left"/>
      <w:pPr>
        <w:ind w:left="3625" w:hanging="764"/>
      </w:pPr>
      <w:rPr>
        <w:rFonts w:hint="default"/>
      </w:rPr>
    </w:lvl>
    <w:lvl w:ilvl="4" w:tplc="1CBA84E8">
      <w:start w:val="1"/>
      <w:numFmt w:val="bullet"/>
      <w:lvlText w:val="•"/>
      <w:lvlJc w:val="left"/>
      <w:pPr>
        <w:ind w:left="4676" w:hanging="764"/>
      </w:pPr>
      <w:rPr>
        <w:rFonts w:hint="default"/>
      </w:rPr>
    </w:lvl>
    <w:lvl w:ilvl="5" w:tplc="44FE5096">
      <w:start w:val="1"/>
      <w:numFmt w:val="bullet"/>
      <w:lvlText w:val="•"/>
      <w:lvlJc w:val="left"/>
      <w:pPr>
        <w:ind w:left="5728" w:hanging="764"/>
      </w:pPr>
      <w:rPr>
        <w:rFonts w:hint="default"/>
      </w:rPr>
    </w:lvl>
    <w:lvl w:ilvl="6" w:tplc="FD261EF2">
      <w:start w:val="1"/>
      <w:numFmt w:val="bullet"/>
      <w:lvlText w:val="•"/>
      <w:lvlJc w:val="left"/>
      <w:pPr>
        <w:ind w:left="6779" w:hanging="764"/>
      </w:pPr>
      <w:rPr>
        <w:rFonts w:hint="default"/>
      </w:rPr>
    </w:lvl>
    <w:lvl w:ilvl="7" w:tplc="A66861C6">
      <w:start w:val="1"/>
      <w:numFmt w:val="bullet"/>
      <w:lvlText w:val="•"/>
      <w:lvlJc w:val="left"/>
      <w:pPr>
        <w:ind w:left="7831" w:hanging="764"/>
      </w:pPr>
      <w:rPr>
        <w:rFonts w:hint="default"/>
      </w:rPr>
    </w:lvl>
    <w:lvl w:ilvl="8" w:tplc="5AB2F778">
      <w:start w:val="1"/>
      <w:numFmt w:val="bullet"/>
      <w:lvlText w:val="•"/>
      <w:lvlJc w:val="left"/>
      <w:pPr>
        <w:ind w:left="8883" w:hanging="764"/>
      </w:pPr>
      <w:rPr>
        <w:rFonts w:hint="default"/>
      </w:rPr>
    </w:lvl>
  </w:abstractNum>
  <w:abstractNum w:abstractNumId="8" w15:restartNumberingAfterBreak="0">
    <w:nsid w:val="4B5665E9"/>
    <w:multiLevelType w:val="hybridMultilevel"/>
    <w:tmpl w:val="BE36A200"/>
    <w:lvl w:ilvl="0" w:tplc="444A417C">
      <w:start w:val="6"/>
      <w:numFmt w:val="upperRoman"/>
      <w:lvlText w:val="%1."/>
      <w:lvlJc w:val="left"/>
      <w:pPr>
        <w:ind w:left="1146" w:hanging="677"/>
      </w:pPr>
      <w:rPr>
        <w:rFonts w:ascii="Times New Roman" w:eastAsia="Times New Roman" w:hAnsi="Times New Roman" w:hint="default"/>
        <w:w w:val="92"/>
        <w:sz w:val="25"/>
        <w:szCs w:val="25"/>
      </w:rPr>
    </w:lvl>
    <w:lvl w:ilvl="1" w:tplc="8F821A18">
      <w:start w:val="1"/>
      <w:numFmt w:val="bullet"/>
      <w:lvlText w:val="•"/>
      <w:lvlJc w:val="left"/>
      <w:pPr>
        <w:ind w:left="2130" w:hanging="677"/>
      </w:pPr>
      <w:rPr>
        <w:rFonts w:hint="default"/>
      </w:rPr>
    </w:lvl>
    <w:lvl w:ilvl="2" w:tplc="4C44556C">
      <w:start w:val="1"/>
      <w:numFmt w:val="bullet"/>
      <w:lvlText w:val="•"/>
      <w:lvlJc w:val="left"/>
      <w:pPr>
        <w:ind w:left="3114" w:hanging="677"/>
      </w:pPr>
      <w:rPr>
        <w:rFonts w:hint="default"/>
      </w:rPr>
    </w:lvl>
    <w:lvl w:ilvl="3" w:tplc="79D2FDD8">
      <w:start w:val="1"/>
      <w:numFmt w:val="bullet"/>
      <w:lvlText w:val="•"/>
      <w:lvlJc w:val="left"/>
      <w:pPr>
        <w:ind w:left="4098" w:hanging="677"/>
      </w:pPr>
      <w:rPr>
        <w:rFonts w:hint="default"/>
      </w:rPr>
    </w:lvl>
    <w:lvl w:ilvl="4" w:tplc="F216CF48">
      <w:start w:val="1"/>
      <w:numFmt w:val="bullet"/>
      <w:lvlText w:val="•"/>
      <w:lvlJc w:val="left"/>
      <w:pPr>
        <w:ind w:left="5082" w:hanging="677"/>
      </w:pPr>
      <w:rPr>
        <w:rFonts w:hint="default"/>
      </w:rPr>
    </w:lvl>
    <w:lvl w:ilvl="5" w:tplc="775A54F6">
      <w:start w:val="1"/>
      <w:numFmt w:val="bullet"/>
      <w:lvlText w:val="•"/>
      <w:lvlJc w:val="left"/>
      <w:pPr>
        <w:ind w:left="6066" w:hanging="677"/>
      </w:pPr>
      <w:rPr>
        <w:rFonts w:hint="default"/>
      </w:rPr>
    </w:lvl>
    <w:lvl w:ilvl="6" w:tplc="BF1E9108">
      <w:start w:val="1"/>
      <w:numFmt w:val="bullet"/>
      <w:lvlText w:val="•"/>
      <w:lvlJc w:val="left"/>
      <w:pPr>
        <w:ind w:left="7050" w:hanging="677"/>
      </w:pPr>
      <w:rPr>
        <w:rFonts w:hint="default"/>
      </w:rPr>
    </w:lvl>
    <w:lvl w:ilvl="7" w:tplc="732250CA">
      <w:start w:val="1"/>
      <w:numFmt w:val="bullet"/>
      <w:lvlText w:val="•"/>
      <w:lvlJc w:val="left"/>
      <w:pPr>
        <w:ind w:left="8034" w:hanging="677"/>
      </w:pPr>
      <w:rPr>
        <w:rFonts w:hint="default"/>
      </w:rPr>
    </w:lvl>
    <w:lvl w:ilvl="8" w:tplc="D196FBAC">
      <w:start w:val="1"/>
      <w:numFmt w:val="bullet"/>
      <w:lvlText w:val="•"/>
      <w:lvlJc w:val="left"/>
      <w:pPr>
        <w:ind w:left="9018" w:hanging="677"/>
      </w:pPr>
      <w:rPr>
        <w:rFonts w:hint="default"/>
      </w:rPr>
    </w:lvl>
  </w:abstractNum>
  <w:abstractNum w:abstractNumId="9" w15:restartNumberingAfterBreak="0">
    <w:nsid w:val="4D9E5FB1"/>
    <w:multiLevelType w:val="hybridMultilevel"/>
    <w:tmpl w:val="9B0A597E"/>
    <w:lvl w:ilvl="0" w:tplc="BEB0F808">
      <w:start w:val="28"/>
      <w:numFmt w:val="decimal"/>
      <w:lvlText w:val="%1."/>
      <w:lvlJc w:val="left"/>
      <w:pPr>
        <w:ind w:left="470" w:hanging="764"/>
      </w:pPr>
      <w:rPr>
        <w:rFonts w:ascii="Arial" w:eastAsia="Arial" w:hAnsi="Arial" w:hint="default"/>
        <w:sz w:val="23"/>
        <w:szCs w:val="23"/>
      </w:rPr>
    </w:lvl>
    <w:lvl w:ilvl="1" w:tplc="E4621C16">
      <w:start w:val="1"/>
      <w:numFmt w:val="bullet"/>
      <w:lvlText w:val="•"/>
      <w:lvlJc w:val="left"/>
      <w:pPr>
        <w:ind w:left="1523" w:hanging="764"/>
      </w:pPr>
      <w:rPr>
        <w:rFonts w:hint="default"/>
      </w:rPr>
    </w:lvl>
    <w:lvl w:ilvl="2" w:tplc="F06E618C">
      <w:start w:val="1"/>
      <w:numFmt w:val="bullet"/>
      <w:lvlText w:val="•"/>
      <w:lvlJc w:val="left"/>
      <w:pPr>
        <w:ind w:left="2577" w:hanging="764"/>
      </w:pPr>
      <w:rPr>
        <w:rFonts w:hint="default"/>
      </w:rPr>
    </w:lvl>
    <w:lvl w:ilvl="3" w:tplc="ACC486FC">
      <w:start w:val="1"/>
      <w:numFmt w:val="bullet"/>
      <w:lvlText w:val="•"/>
      <w:lvlJc w:val="left"/>
      <w:pPr>
        <w:ind w:left="3631" w:hanging="764"/>
      </w:pPr>
      <w:rPr>
        <w:rFonts w:hint="default"/>
      </w:rPr>
    </w:lvl>
    <w:lvl w:ilvl="4" w:tplc="DC845400">
      <w:start w:val="1"/>
      <w:numFmt w:val="bullet"/>
      <w:lvlText w:val="•"/>
      <w:lvlJc w:val="left"/>
      <w:pPr>
        <w:ind w:left="4684" w:hanging="764"/>
      </w:pPr>
      <w:rPr>
        <w:rFonts w:hint="default"/>
      </w:rPr>
    </w:lvl>
    <w:lvl w:ilvl="5" w:tplc="13CCE88E">
      <w:start w:val="1"/>
      <w:numFmt w:val="bullet"/>
      <w:lvlText w:val="•"/>
      <w:lvlJc w:val="left"/>
      <w:pPr>
        <w:ind w:left="5738" w:hanging="764"/>
      </w:pPr>
      <w:rPr>
        <w:rFonts w:hint="default"/>
      </w:rPr>
    </w:lvl>
    <w:lvl w:ilvl="6" w:tplc="45D8F60E">
      <w:start w:val="1"/>
      <w:numFmt w:val="bullet"/>
      <w:lvlText w:val="•"/>
      <w:lvlJc w:val="left"/>
      <w:pPr>
        <w:ind w:left="6791" w:hanging="764"/>
      </w:pPr>
      <w:rPr>
        <w:rFonts w:hint="default"/>
      </w:rPr>
    </w:lvl>
    <w:lvl w:ilvl="7" w:tplc="39389CD8">
      <w:start w:val="1"/>
      <w:numFmt w:val="bullet"/>
      <w:lvlText w:val="•"/>
      <w:lvlJc w:val="left"/>
      <w:pPr>
        <w:ind w:left="7845" w:hanging="764"/>
      </w:pPr>
      <w:rPr>
        <w:rFonts w:hint="default"/>
      </w:rPr>
    </w:lvl>
    <w:lvl w:ilvl="8" w:tplc="B4269E8A">
      <w:start w:val="1"/>
      <w:numFmt w:val="bullet"/>
      <w:lvlText w:val="•"/>
      <w:lvlJc w:val="left"/>
      <w:pPr>
        <w:ind w:left="8899" w:hanging="764"/>
      </w:pPr>
      <w:rPr>
        <w:rFonts w:hint="default"/>
      </w:rPr>
    </w:lvl>
  </w:abstractNum>
  <w:abstractNum w:abstractNumId="10" w15:restartNumberingAfterBreak="0">
    <w:nsid w:val="5ED022DF"/>
    <w:multiLevelType w:val="hybridMultilevel"/>
    <w:tmpl w:val="143229E0"/>
    <w:lvl w:ilvl="0" w:tplc="E11EC706">
      <w:start w:val="1"/>
      <w:numFmt w:val="upperRoman"/>
      <w:lvlText w:val="%1."/>
      <w:lvlJc w:val="left"/>
      <w:pPr>
        <w:ind w:left="1089" w:hanging="629"/>
      </w:pPr>
      <w:rPr>
        <w:rFonts w:ascii="Arial" w:eastAsia="Arial" w:hAnsi="Arial" w:hint="default"/>
        <w:spacing w:val="-98"/>
        <w:w w:val="228"/>
        <w:sz w:val="23"/>
        <w:szCs w:val="23"/>
      </w:rPr>
    </w:lvl>
    <w:lvl w:ilvl="1" w:tplc="CC72A736">
      <w:start w:val="1"/>
      <w:numFmt w:val="bullet"/>
      <w:lvlText w:val="•"/>
      <w:lvlJc w:val="left"/>
      <w:pPr>
        <w:ind w:left="2079" w:hanging="629"/>
      </w:pPr>
      <w:rPr>
        <w:rFonts w:hint="default"/>
      </w:rPr>
    </w:lvl>
    <w:lvl w:ilvl="2" w:tplc="59E2B6DA">
      <w:start w:val="1"/>
      <w:numFmt w:val="bullet"/>
      <w:lvlText w:val="•"/>
      <w:lvlJc w:val="left"/>
      <w:pPr>
        <w:ind w:left="3068" w:hanging="629"/>
      </w:pPr>
      <w:rPr>
        <w:rFonts w:hint="default"/>
      </w:rPr>
    </w:lvl>
    <w:lvl w:ilvl="3" w:tplc="6BA4EC6C">
      <w:start w:val="1"/>
      <w:numFmt w:val="bullet"/>
      <w:lvlText w:val="•"/>
      <w:lvlJc w:val="left"/>
      <w:pPr>
        <w:ind w:left="4058" w:hanging="629"/>
      </w:pPr>
      <w:rPr>
        <w:rFonts w:hint="default"/>
      </w:rPr>
    </w:lvl>
    <w:lvl w:ilvl="4" w:tplc="935238D8">
      <w:start w:val="1"/>
      <w:numFmt w:val="bullet"/>
      <w:lvlText w:val="•"/>
      <w:lvlJc w:val="left"/>
      <w:pPr>
        <w:ind w:left="5048" w:hanging="629"/>
      </w:pPr>
      <w:rPr>
        <w:rFonts w:hint="default"/>
      </w:rPr>
    </w:lvl>
    <w:lvl w:ilvl="5" w:tplc="25F20844">
      <w:start w:val="1"/>
      <w:numFmt w:val="bullet"/>
      <w:lvlText w:val="•"/>
      <w:lvlJc w:val="left"/>
      <w:pPr>
        <w:ind w:left="6037" w:hanging="629"/>
      </w:pPr>
      <w:rPr>
        <w:rFonts w:hint="default"/>
      </w:rPr>
    </w:lvl>
    <w:lvl w:ilvl="6" w:tplc="7E62F1F8">
      <w:start w:val="1"/>
      <w:numFmt w:val="bullet"/>
      <w:lvlText w:val="•"/>
      <w:lvlJc w:val="left"/>
      <w:pPr>
        <w:ind w:left="7027" w:hanging="629"/>
      </w:pPr>
      <w:rPr>
        <w:rFonts w:hint="default"/>
      </w:rPr>
    </w:lvl>
    <w:lvl w:ilvl="7" w:tplc="7AC8D34A">
      <w:start w:val="1"/>
      <w:numFmt w:val="bullet"/>
      <w:lvlText w:val="•"/>
      <w:lvlJc w:val="left"/>
      <w:pPr>
        <w:ind w:left="8017" w:hanging="629"/>
      </w:pPr>
      <w:rPr>
        <w:rFonts w:hint="default"/>
      </w:rPr>
    </w:lvl>
    <w:lvl w:ilvl="8" w:tplc="60C6FBA4">
      <w:start w:val="1"/>
      <w:numFmt w:val="bullet"/>
      <w:lvlText w:val="•"/>
      <w:lvlJc w:val="left"/>
      <w:pPr>
        <w:ind w:left="9006" w:hanging="629"/>
      </w:pPr>
      <w:rPr>
        <w:rFonts w:hint="default"/>
      </w:rPr>
    </w:lvl>
  </w:abstractNum>
  <w:abstractNum w:abstractNumId="11" w15:restartNumberingAfterBreak="0">
    <w:nsid w:val="64753043"/>
    <w:multiLevelType w:val="hybridMultilevel"/>
    <w:tmpl w:val="54A6B62A"/>
    <w:lvl w:ilvl="0" w:tplc="2250A56A">
      <w:start w:val="1"/>
      <w:numFmt w:val="bullet"/>
      <w:lvlText w:val="-"/>
      <w:lvlJc w:val="left"/>
      <w:pPr>
        <w:ind w:left="720" w:hanging="360"/>
      </w:pPr>
      <w:rPr>
        <w:rFonts w:ascii="Arial" w:eastAsia="Arial" w:hAnsi="Arial" w:hint="default"/>
        <w:w w:val="102"/>
        <w:sz w:val="19"/>
        <w:szCs w:val="19"/>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76F310D4"/>
    <w:multiLevelType w:val="hybridMultilevel"/>
    <w:tmpl w:val="710E9C8C"/>
    <w:lvl w:ilvl="0" w:tplc="35E2A100">
      <w:start w:val="41"/>
      <w:numFmt w:val="decimal"/>
      <w:lvlText w:val="%1."/>
      <w:lvlJc w:val="left"/>
      <w:pPr>
        <w:ind w:left="470" w:hanging="778"/>
      </w:pPr>
      <w:rPr>
        <w:rFonts w:ascii="Arial" w:eastAsia="Arial" w:hAnsi="Arial" w:hint="default"/>
        <w:w w:val="99"/>
        <w:sz w:val="24"/>
        <w:szCs w:val="24"/>
      </w:rPr>
    </w:lvl>
    <w:lvl w:ilvl="1" w:tplc="F6885E2C">
      <w:start w:val="1"/>
      <w:numFmt w:val="bullet"/>
      <w:lvlText w:val="•"/>
      <w:lvlJc w:val="left"/>
      <w:pPr>
        <w:ind w:left="1523" w:hanging="778"/>
      </w:pPr>
      <w:rPr>
        <w:rFonts w:hint="default"/>
      </w:rPr>
    </w:lvl>
    <w:lvl w:ilvl="2" w:tplc="4F96B1E6">
      <w:start w:val="1"/>
      <w:numFmt w:val="bullet"/>
      <w:lvlText w:val="•"/>
      <w:lvlJc w:val="left"/>
      <w:pPr>
        <w:ind w:left="2577" w:hanging="778"/>
      </w:pPr>
      <w:rPr>
        <w:rFonts w:hint="default"/>
      </w:rPr>
    </w:lvl>
    <w:lvl w:ilvl="3" w:tplc="6D48C03E">
      <w:start w:val="1"/>
      <w:numFmt w:val="bullet"/>
      <w:lvlText w:val="•"/>
      <w:lvlJc w:val="left"/>
      <w:pPr>
        <w:ind w:left="3631" w:hanging="778"/>
      </w:pPr>
      <w:rPr>
        <w:rFonts w:hint="default"/>
      </w:rPr>
    </w:lvl>
    <w:lvl w:ilvl="4" w:tplc="9B58ED1A">
      <w:start w:val="1"/>
      <w:numFmt w:val="bullet"/>
      <w:lvlText w:val="•"/>
      <w:lvlJc w:val="left"/>
      <w:pPr>
        <w:ind w:left="4684" w:hanging="778"/>
      </w:pPr>
      <w:rPr>
        <w:rFonts w:hint="default"/>
      </w:rPr>
    </w:lvl>
    <w:lvl w:ilvl="5" w:tplc="888626A4">
      <w:start w:val="1"/>
      <w:numFmt w:val="bullet"/>
      <w:lvlText w:val="•"/>
      <w:lvlJc w:val="left"/>
      <w:pPr>
        <w:ind w:left="5738" w:hanging="778"/>
      </w:pPr>
      <w:rPr>
        <w:rFonts w:hint="default"/>
      </w:rPr>
    </w:lvl>
    <w:lvl w:ilvl="6" w:tplc="E6EEE6F6">
      <w:start w:val="1"/>
      <w:numFmt w:val="bullet"/>
      <w:lvlText w:val="•"/>
      <w:lvlJc w:val="left"/>
      <w:pPr>
        <w:ind w:left="6791" w:hanging="778"/>
      </w:pPr>
      <w:rPr>
        <w:rFonts w:hint="default"/>
      </w:rPr>
    </w:lvl>
    <w:lvl w:ilvl="7" w:tplc="03E47E78">
      <w:start w:val="1"/>
      <w:numFmt w:val="bullet"/>
      <w:lvlText w:val="•"/>
      <w:lvlJc w:val="left"/>
      <w:pPr>
        <w:ind w:left="7845" w:hanging="778"/>
      </w:pPr>
      <w:rPr>
        <w:rFonts w:hint="default"/>
      </w:rPr>
    </w:lvl>
    <w:lvl w:ilvl="8" w:tplc="3AFAE0C4">
      <w:start w:val="1"/>
      <w:numFmt w:val="bullet"/>
      <w:lvlText w:val="•"/>
      <w:lvlJc w:val="left"/>
      <w:pPr>
        <w:ind w:left="8899" w:hanging="778"/>
      </w:pPr>
      <w:rPr>
        <w:rFonts w:hint="default"/>
      </w:rPr>
    </w:lvl>
  </w:abstractNum>
  <w:num w:numId="1" w16cid:durableId="1948194414">
    <w:abstractNumId w:val="8"/>
  </w:num>
  <w:num w:numId="2" w16cid:durableId="314187017">
    <w:abstractNumId w:val="7"/>
  </w:num>
  <w:num w:numId="3" w16cid:durableId="158353425">
    <w:abstractNumId w:val="4"/>
  </w:num>
  <w:num w:numId="4" w16cid:durableId="387650252">
    <w:abstractNumId w:val="5"/>
  </w:num>
  <w:num w:numId="5" w16cid:durableId="80881975">
    <w:abstractNumId w:val="0"/>
  </w:num>
  <w:num w:numId="6" w16cid:durableId="1276324649">
    <w:abstractNumId w:val="1"/>
  </w:num>
  <w:num w:numId="7" w16cid:durableId="206719947">
    <w:abstractNumId w:val="12"/>
  </w:num>
  <w:num w:numId="8" w16cid:durableId="728841301">
    <w:abstractNumId w:val="2"/>
  </w:num>
  <w:num w:numId="9" w16cid:durableId="1535465104">
    <w:abstractNumId w:val="9"/>
  </w:num>
  <w:num w:numId="10" w16cid:durableId="1551070016">
    <w:abstractNumId w:val="10"/>
  </w:num>
  <w:num w:numId="11" w16cid:durableId="638144637">
    <w:abstractNumId w:val="3"/>
  </w:num>
  <w:num w:numId="12" w16cid:durableId="532689023">
    <w:abstractNumId w:val="6"/>
  </w:num>
  <w:num w:numId="13" w16cid:durableId="3746215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273A1A"/>
    <w:rsid w:val="00020AD3"/>
    <w:rsid w:val="00036F92"/>
    <w:rsid w:val="00045ED4"/>
    <w:rsid w:val="000658B3"/>
    <w:rsid w:val="0007799A"/>
    <w:rsid w:val="000907DC"/>
    <w:rsid w:val="000A6C51"/>
    <w:rsid w:val="000B2EE6"/>
    <w:rsid w:val="000B4395"/>
    <w:rsid w:val="000C12A9"/>
    <w:rsid w:val="000C7EFF"/>
    <w:rsid w:val="000F1E77"/>
    <w:rsid w:val="00163CF4"/>
    <w:rsid w:val="001757E6"/>
    <w:rsid w:val="00182AB6"/>
    <w:rsid w:val="0019380A"/>
    <w:rsid w:val="001E2314"/>
    <w:rsid w:val="002235C6"/>
    <w:rsid w:val="00272928"/>
    <w:rsid w:val="00273A1A"/>
    <w:rsid w:val="002D63BB"/>
    <w:rsid w:val="002E7AE1"/>
    <w:rsid w:val="002F2092"/>
    <w:rsid w:val="003002AB"/>
    <w:rsid w:val="00310F77"/>
    <w:rsid w:val="003528D7"/>
    <w:rsid w:val="0037029E"/>
    <w:rsid w:val="00383020"/>
    <w:rsid w:val="003A5BBC"/>
    <w:rsid w:val="003E7D49"/>
    <w:rsid w:val="003F4B3F"/>
    <w:rsid w:val="00414A07"/>
    <w:rsid w:val="00421DAE"/>
    <w:rsid w:val="004869AD"/>
    <w:rsid w:val="004A4B6D"/>
    <w:rsid w:val="004F6793"/>
    <w:rsid w:val="00510FD3"/>
    <w:rsid w:val="00514F03"/>
    <w:rsid w:val="00521AFC"/>
    <w:rsid w:val="00576DD7"/>
    <w:rsid w:val="005D669B"/>
    <w:rsid w:val="00607795"/>
    <w:rsid w:val="00655591"/>
    <w:rsid w:val="0065738E"/>
    <w:rsid w:val="006807E6"/>
    <w:rsid w:val="00683D44"/>
    <w:rsid w:val="00687285"/>
    <w:rsid w:val="006D08E7"/>
    <w:rsid w:val="006E152C"/>
    <w:rsid w:val="006F6C64"/>
    <w:rsid w:val="00745F88"/>
    <w:rsid w:val="0075142F"/>
    <w:rsid w:val="00756BCD"/>
    <w:rsid w:val="007766B1"/>
    <w:rsid w:val="007E21B6"/>
    <w:rsid w:val="007E4FA8"/>
    <w:rsid w:val="007E7A16"/>
    <w:rsid w:val="00807A69"/>
    <w:rsid w:val="008255FD"/>
    <w:rsid w:val="008256EA"/>
    <w:rsid w:val="00861D46"/>
    <w:rsid w:val="00866DCF"/>
    <w:rsid w:val="00871622"/>
    <w:rsid w:val="00875716"/>
    <w:rsid w:val="008849E0"/>
    <w:rsid w:val="008E0041"/>
    <w:rsid w:val="008E7D7F"/>
    <w:rsid w:val="009130C8"/>
    <w:rsid w:val="00924431"/>
    <w:rsid w:val="00927460"/>
    <w:rsid w:val="00932A73"/>
    <w:rsid w:val="00936792"/>
    <w:rsid w:val="009415E3"/>
    <w:rsid w:val="00946F5E"/>
    <w:rsid w:val="00954194"/>
    <w:rsid w:val="009748F5"/>
    <w:rsid w:val="00976ECB"/>
    <w:rsid w:val="00977372"/>
    <w:rsid w:val="0098645D"/>
    <w:rsid w:val="00A51DF0"/>
    <w:rsid w:val="00A90171"/>
    <w:rsid w:val="00AA271E"/>
    <w:rsid w:val="00AE7304"/>
    <w:rsid w:val="00B30A68"/>
    <w:rsid w:val="00B90429"/>
    <w:rsid w:val="00B936ED"/>
    <w:rsid w:val="00BA0C62"/>
    <w:rsid w:val="00BD2660"/>
    <w:rsid w:val="00C25158"/>
    <w:rsid w:val="00C43494"/>
    <w:rsid w:val="00C44440"/>
    <w:rsid w:val="00C63598"/>
    <w:rsid w:val="00C66D45"/>
    <w:rsid w:val="00C73943"/>
    <w:rsid w:val="00CD7940"/>
    <w:rsid w:val="00CE3080"/>
    <w:rsid w:val="00D0764B"/>
    <w:rsid w:val="00D07CE7"/>
    <w:rsid w:val="00DA347F"/>
    <w:rsid w:val="00DB0B9D"/>
    <w:rsid w:val="00E2411C"/>
    <w:rsid w:val="00EC1823"/>
    <w:rsid w:val="00F41536"/>
    <w:rsid w:val="00F423E7"/>
    <w:rsid w:val="00F856D4"/>
    <w:rsid w:val="00F86631"/>
    <w:rsid w:val="00FE53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A3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213"/>
      <w:ind w:left="115"/>
      <w:outlineLvl w:val="0"/>
    </w:pPr>
    <w:rPr>
      <w:rFonts w:ascii="Arial" w:eastAsia="Arial" w:hAnsi="Arial"/>
      <w:sz w:val="45"/>
      <w:szCs w:val="45"/>
    </w:rPr>
  </w:style>
  <w:style w:type="paragraph" w:styleId="Heading2">
    <w:name w:val="heading 2"/>
    <w:basedOn w:val="Normal"/>
    <w:uiPriority w:val="9"/>
    <w:unhideWhenUsed/>
    <w:qFormat/>
    <w:pPr>
      <w:spacing w:before="70"/>
      <w:ind w:left="484"/>
      <w:outlineLvl w:val="1"/>
    </w:pPr>
    <w:rPr>
      <w:rFonts w:ascii="Arial" w:eastAsia="Arial" w:hAnsi="Arial"/>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7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7E4FA8"/>
    <w:pPr>
      <w:tabs>
        <w:tab w:val="center" w:pos="4513"/>
        <w:tab w:val="right" w:pos="9026"/>
      </w:tabs>
    </w:pPr>
  </w:style>
  <w:style w:type="character" w:customStyle="1" w:styleId="HeaderChar">
    <w:name w:val="Header Char"/>
    <w:basedOn w:val="DefaultParagraphFont"/>
    <w:link w:val="Header"/>
    <w:rsid w:val="007E4FA8"/>
  </w:style>
  <w:style w:type="paragraph" w:styleId="Footer">
    <w:name w:val="footer"/>
    <w:basedOn w:val="Normal"/>
    <w:link w:val="FooterChar"/>
    <w:unhideWhenUsed/>
    <w:rsid w:val="007E4FA8"/>
    <w:pPr>
      <w:tabs>
        <w:tab w:val="center" w:pos="4513"/>
        <w:tab w:val="right" w:pos="9026"/>
      </w:tabs>
    </w:pPr>
  </w:style>
  <w:style w:type="character" w:customStyle="1" w:styleId="FooterChar">
    <w:name w:val="Footer Char"/>
    <w:basedOn w:val="DefaultParagraphFont"/>
    <w:link w:val="Footer"/>
    <w:rsid w:val="007E4FA8"/>
  </w:style>
  <w:style w:type="table" w:styleId="TableGrid">
    <w:name w:val="Table Grid"/>
    <w:basedOn w:val="TableNormal"/>
    <w:uiPriority w:val="39"/>
    <w:rsid w:val="00AA2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3F4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3" ma:contentTypeDescription="Izveidot jaunu dokumentu." ma:contentTypeScope="" ma:versionID="12a79c16c59f96a15d11ee93b1208130">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587f7faa2eaa01785c356dd8f5208e97"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444B5A-D360-4D23-AEC3-11DA81A11224}">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2.xml><?xml version="1.0" encoding="utf-8"?>
<ds:datastoreItem xmlns:ds="http://schemas.openxmlformats.org/officeDocument/2006/customXml" ds:itemID="{CB9FED48-F818-4257-AEFF-0F45B95594DE}">
  <ds:schemaRefs>
    <ds:schemaRef ds:uri="http://schemas.microsoft.com/sharepoint/v3/contenttype/forms"/>
  </ds:schemaRefs>
</ds:datastoreItem>
</file>

<file path=customXml/itemProps3.xml><?xml version="1.0" encoding="utf-8"?>
<ds:datastoreItem xmlns:ds="http://schemas.openxmlformats.org/officeDocument/2006/customXml" ds:itemID="{80DE80A2-78B4-463D-B276-29AEF42958FA}"/>
</file>

<file path=docProps/app.xml><?xml version="1.0" encoding="utf-8"?>
<Properties xmlns="http://schemas.openxmlformats.org/officeDocument/2006/extended-properties" xmlns:vt="http://schemas.openxmlformats.org/officeDocument/2006/docPropsVTypes">
  <Template>Normal</Template>
  <TotalTime>0</TotalTime>
  <Pages>30</Pages>
  <Words>62936</Words>
  <Characters>35874</Characters>
  <Application>Microsoft Office Word</Application>
  <DocSecurity>0</DocSecurity>
  <Lines>298</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2021-12-29T10:17:00Z</dcterms:created>
  <dcterms:modified xsi:type="dcterms:W3CDTF">2023-03-16T14:07:00Z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