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B3F0" w14:textId="77777777" w:rsidR="00DF1A75" w:rsidRPr="008A50D5" w:rsidRDefault="00DF1A75" w:rsidP="008A50D5">
      <w:pPr>
        <w:jc w:val="center"/>
        <w:rPr>
          <w:rFonts w:ascii="Times New Roman" w:hAnsi="Times New Roman"/>
          <w:b/>
          <w:noProof/>
          <w:sz w:val="24"/>
        </w:rPr>
      </w:pPr>
      <w:r>
        <w:rPr>
          <w:rFonts w:ascii="Times New Roman" w:hAnsi="Times New Roman"/>
          <w:b/>
          <w:sz w:val="24"/>
        </w:rPr>
        <w:t>REZOLŪCIJA MEPC.343(78)</w:t>
      </w:r>
    </w:p>
    <w:p w14:paraId="40B7D34E" w14:textId="77777777" w:rsidR="00DF1A75" w:rsidRPr="008A50D5" w:rsidRDefault="00DF1A75" w:rsidP="008A50D5">
      <w:pPr>
        <w:jc w:val="center"/>
        <w:rPr>
          <w:rFonts w:ascii="Times New Roman" w:hAnsi="Times New Roman"/>
          <w:noProof/>
          <w:sz w:val="24"/>
        </w:rPr>
      </w:pPr>
      <w:r>
        <w:rPr>
          <w:rFonts w:ascii="Times New Roman" w:hAnsi="Times New Roman"/>
          <w:b/>
          <w:bCs/>
          <w:sz w:val="24"/>
        </w:rPr>
        <w:t>(pieņemta 2022. gada 10. jūnijā)</w:t>
      </w:r>
    </w:p>
    <w:p w14:paraId="67323E5C" w14:textId="77777777" w:rsidR="00DF1A75" w:rsidRPr="008A50D5" w:rsidRDefault="00DF1A75" w:rsidP="008A50D5">
      <w:pPr>
        <w:pStyle w:val="BodyText"/>
        <w:jc w:val="center"/>
        <w:rPr>
          <w:rFonts w:ascii="Times New Roman" w:hAnsi="Times New Roman"/>
          <w:noProof/>
          <w:sz w:val="24"/>
        </w:rPr>
      </w:pPr>
    </w:p>
    <w:p w14:paraId="0D8F4643" w14:textId="77777777" w:rsidR="00DF1A75" w:rsidRPr="008A50D5" w:rsidRDefault="00DF1A75" w:rsidP="008A50D5">
      <w:pPr>
        <w:jc w:val="center"/>
        <w:rPr>
          <w:rFonts w:ascii="Times New Roman" w:hAnsi="Times New Roman"/>
          <w:b/>
          <w:noProof/>
          <w:sz w:val="24"/>
        </w:rPr>
      </w:pPr>
      <w:r>
        <w:rPr>
          <w:rFonts w:ascii="Times New Roman" w:hAnsi="Times New Roman"/>
          <w:b/>
          <w:sz w:val="24"/>
        </w:rPr>
        <w:t>GROZĪJUMI PIELIKUMĀ, KAS PIEVIENOTS 1973. GADA STARPTAUTISKAJAI KONVENCIJAI PAR PIESĀRŅOJUMA NOVĒRŠANU NO KUĢIEM, KURA GROZĪTA AR 1978. GADA PROTOKOLU</w:t>
      </w:r>
    </w:p>
    <w:p w14:paraId="4C872EF6" w14:textId="77777777" w:rsidR="00DF1A75" w:rsidRPr="008A50D5" w:rsidRDefault="00DF1A75" w:rsidP="008A50D5">
      <w:pPr>
        <w:pStyle w:val="BodyText"/>
        <w:jc w:val="center"/>
        <w:rPr>
          <w:rFonts w:ascii="Times New Roman" w:hAnsi="Times New Roman"/>
          <w:b/>
          <w:noProof/>
          <w:sz w:val="24"/>
        </w:rPr>
      </w:pPr>
    </w:p>
    <w:p w14:paraId="2909E681" w14:textId="77777777" w:rsidR="008A50D5" w:rsidRDefault="00DF1A75" w:rsidP="008A50D5">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I pielikuma grozījumi</w:t>
      </w:r>
    </w:p>
    <w:p w14:paraId="5B68D7C8" w14:textId="77777777" w:rsidR="008A50D5" w:rsidRDefault="008A50D5" w:rsidP="008A50D5">
      <w:pPr>
        <w:jc w:val="center"/>
        <w:rPr>
          <w:rFonts w:ascii="Times New Roman" w:hAnsi="Times New Roman"/>
          <w:b/>
          <w:noProof/>
          <w:sz w:val="24"/>
        </w:rPr>
      </w:pPr>
    </w:p>
    <w:p w14:paraId="79217D2A" w14:textId="7BDCA9BE" w:rsidR="00DF1A75" w:rsidRDefault="00DF1A75" w:rsidP="008A50D5">
      <w:pPr>
        <w:jc w:val="center"/>
        <w:rPr>
          <w:rFonts w:ascii="Times New Roman" w:hAnsi="Times New Roman"/>
          <w:b/>
          <w:noProof/>
          <w:sz w:val="24"/>
        </w:rPr>
      </w:pPr>
      <w:r>
        <w:rPr>
          <w:rFonts w:ascii="Times New Roman" w:hAnsi="Times New Roman"/>
          <w:b/>
          <w:sz w:val="24"/>
        </w:rPr>
        <w:t>(Ūdensnecaurlaidīgas durvis)</w:t>
      </w:r>
    </w:p>
    <w:p w14:paraId="6ADD27AF" w14:textId="77777777" w:rsidR="008A50D5" w:rsidRPr="008A50D5" w:rsidRDefault="008A50D5" w:rsidP="008A50D5">
      <w:pPr>
        <w:jc w:val="center"/>
        <w:rPr>
          <w:rFonts w:ascii="Times New Roman" w:hAnsi="Times New Roman"/>
          <w:b/>
          <w:noProof/>
          <w:sz w:val="24"/>
        </w:rPr>
      </w:pPr>
    </w:p>
    <w:p w14:paraId="14CBA062" w14:textId="77777777" w:rsidR="00DF1A75" w:rsidRPr="008A50D5" w:rsidRDefault="00DF1A75" w:rsidP="008A50D5">
      <w:pPr>
        <w:pStyle w:val="BodyText"/>
        <w:jc w:val="both"/>
        <w:rPr>
          <w:rFonts w:ascii="Times New Roman" w:hAnsi="Times New Roman"/>
          <w:b/>
          <w:noProof/>
          <w:sz w:val="24"/>
        </w:rPr>
      </w:pPr>
    </w:p>
    <w:p w14:paraId="62D48746" w14:textId="77777777" w:rsidR="00DF1A75" w:rsidRPr="008A50D5" w:rsidRDefault="00DF1A75" w:rsidP="008A50D5">
      <w:pPr>
        <w:pStyle w:val="BodyText"/>
        <w:jc w:val="both"/>
        <w:rPr>
          <w:rFonts w:ascii="Times New Roman" w:hAnsi="Times New Roman"/>
          <w:noProof/>
          <w:sz w:val="24"/>
        </w:rPr>
      </w:pPr>
      <w:r>
        <w:rPr>
          <w:rFonts w:ascii="Times New Roman" w:hAnsi="Times New Roman"/>
          <w:sz w:val="24"/>
        </w:rPr>
        <w:t>JŪRAS VIDES AIZSARDZĪBAS KOMITEJA,</w:t>
      </w:r>
    </w:p>
    <w:p w14:paraId="0E5660B3" w14:textId="77777777" w:rsidR="00DF1A75" w:rsidRPr="008A50D5" w:rsidRDefault="00DF1A75" w:rsidP="008A50D5">
      <w:pPr>
        <w:pStyle w:val="BodyText"/>
        <w:jc w:val="both"/>
        <w:rPr>
          <w:rFonts w:ascii="Times New Roman" w:hAnsi="Times New Roman"/>
          <w:noProof/>
          <w:sz w:val="24"/>
        </w:rPr>
      </w:pPr>
    </w:p>
    <w:p w14:paraId="22C86575" w14:textId="77777777" w:rsidR="00DF1A75" w:rsidRPr="008A50D5" w:rsidRDefault="00DF1A75" w:rsidP="008A50D5">
      <w:pPr>
        <w:pStyle w:val="BodyText"/>
        <w:jc w:val="both"/>
        <w:rPr>
          <w:rFonts w:ascii="Times New Roman" w:hAnsi="Times New Roman"/>
          <w:noProof/>
          <w:sz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7CE8F658" w14:textId="77777777" w:rsidR="00DF1A75" w:rsidRPr="008A50D5" w:rsidRDefault="00DF1A75" w:rsidP="008A50D5">
      <w:pPr>
        <w:pStyle w:val="BodyText"/>
        <w:jc w:val="both"/>
        <w:rPr>
          <w:rFonts w:ascii="Times New Roman" w:hAnsi="Times New Roman"/>
          <w:noProof/>
          <w:sz w:val="24"/>
        </w:rPr>
      </w:pPr>
    </w:p>
    <w:p w14:paraId="103F7AB1" w14:textId="77777777" w:rsidR="00DF1A75" w:rsidRPr="008A50D5" w:rsidRDefault="00DF1A75" w:rsidP="008A50D5">
      <w:pPr>
        <w:pStyle w:val="BodyText"/>
        <w:jc w:val="both"/>
        <w:rPr>
          <w:rFonts w:ascii="Times New Roman" w:hAnsi="Times New Roman"/>
          <w:noProof/>
          <w:sz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grozījumus, kurus pieņem Puses;</w:t>
      </w:r>
    </w:p>
    <w:p w14:paraId="6E52A15A" w14:textId="77777777" w:rsidR="00DF1A75" w:rsidRPr="008A50D5" w:rsidRDefault="00DF1A75" w:rsidP="008A50D5">
      <w:pPr>
        <w:pStyle w:val="BodyText"/>
        <w:jc w:val="both"/>
        <w:rPr>
          <w:rFonts w:ascii="Times New Roman" w:hAnsi="Times New Roman"/>
          <w:noProof/>
          <w:sz w:val="24"/>
        </w:rPr>
      </w:pPr>
    </w:p>
    <w:p w14:paraId="218657C8" w14:textId="3117D834" w:rsidR="00DF1A75" w:rsidRDefault="00FB2D60" w:rsidP="008A50D5">
      <w:pPr>
        <w:pStyle w:val="BodyText"/>
        <w:jc w:val="both"/>
        <w:rPr>
          <w:rFonts w:ascii="Times New Roman" w:hAnsi="Times New Roman"/>
          <w:sz w:val="24"/>
        </w:rPr>
      </w:pPr>
      <w:r w:rsidRPr="00FB2D60">
        <w:rPr>
          <w:rFonts w:ascii="Times New Roman" w:hAnsi="Times New Roman"/>
          <w:sz w:val="24"/>
        </w:rPr>
        <w:t>IZSKATĪJUSI tās septiņdesmit astotajā sesijā ierosinātos MARPOL I pielikuma grozījumus attiecībā uz ūdensnecaurlaidīgām durvīm,</w:t>
      </w:r>
    </w:p>
    <w:p w14:paraId="50F47AD0" w14:textId="77777777" w:rsidR="00FB2D60" w:rsidRPr="008A50D5" w:rsidRDefault="00FB2D60" w:rsidP="008A50D5">
      <w:pPr>
        <w:pStyle w:val="BodyText"/>
        <w:jc w:val="both"/>
        <w:rPr>
          <w:rFonts w:ascii="Times New Roman" w:hAnsi="Times New Roman"/>
          <w:noProof/>
          <w:sz w:val="24"/>
        </w:rPr>
      </w:pPr>
    </w:p>
    <w:p w14:paraId="39E268B3" w14:textId="7A5985FC" w:rsidR="00DF1A75" w:rsidRPr="008A50D5" w:rsidRDefault="008A50D5" w:rsidP="008A50D5">
      <w:pPr>
        <w:pStyle w:val="ListParagraph"/>
        <w:tabs>
          <w:tab w:val="left" w:pos="837"/>
        </w:tabs>
        <w:ind w:left="0" w:right="0"/>
        <w:rPr>
          <w:rFonts w:ascii="Times New Roman" w:hAnsi="Times New Roman"/>
          <w:noProof/>
          <w:sz w:val="24"/>
        </w:rPr>
      </w:pPr>
      <w:r>
        <w:rPr>
          <w:rFonts w:ascii="Times New Roman" w:hAnsi="Times New Roman"/>
          <w:sz w:val="24"/>
        </w:rPr>
        <w:t xml:space="preserve">1. 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 pielikuma grozījumus, kuru teksts ir izklāstīts šīs rezolūcijas pielikumā;</w:t>
      </w:r>
    </w:p>
    <w:p w14:paraId="3DD77B16" w14:textId="77777777" w:rsidR="00DF1A75" w:rsidRPr="008A50D5" w:rsidRDefault="00DF1A75" w:rsidP="008A50D5">
      <w:pPr>
        <w:pStyle w:val="BodyText"/>
        <w:jc w:val="both"/>
        <w:rPr>
          <w:rFonts w:ascii="Times New Roman" w:hAnsi="Times New Roman"/>
          <w:noProof/>
          <w:sz w:val="24"/>
        </w:rPr>
      </w:pPr>
    </w:p>
    <w:p w14:paraId="0E99CF97" w14:textId="5127A873" w:rsidR="00DF1A75" w:rsidRPr="008A50D5" w:rsidRDefault="008A50D5" w:rsidP="008A50D5">
      <w:pPr>
        <w:pStyle w:val="ListParagraph"/>
        <w:tabs>
          <w:tab w:val="left" w:pos="837"/>
        </w:tabs>
        <w:ind w:left="0" w:right="0"/>
        <w:rPr>
          <w:rFonts w:ascii="Times New Roman" w:hAnsi="Times New Roman"/>
          <w:noProof/>
          <w:sz w:val="24"/>
        </w:rPr>
      </w:pPr>
      <w:r>
        <w:rPr>
          <w:rFonts w:ascii="Times New Roman" w:hAnsi="Times New Roman"/>
          <w:sz w:val="24"/>
        </w:rPr>
        <w:t xml:space="preserve">2. NOSAKA saskaņā ar </w:t>
      </w:r>
      <w:r>
        <w:rPr>
          <w:rFonts w:ascii="Times New Roman" w:hAnsi="Times New Roman"/>
          <w:i/>
          <w:iCs/>
          <w:sz w:val="24"/>
        </w:rPr>
        <w:t>MARPOL</w:t>
      </w:r>
      <w:r>
        <w:rPr>
          <w:rFonts w:ascii="Times New Roman" w:hAnsi="Times New Roman"/>
          <w:sz w:val="24"/>
        </w:rPr>
        <w:t xml:space="preserve"> 16. panta 2. punkta f) apakšpunkta iii) punktu, ka grozījumus uzskata par pieņemtiem 2023. gada 1. jūlijā, ja līdz šim datumam vismaz viena trešdaļa Pušu vai tās Puses, kuru kopējais tirdzniecības flotes apjoms ir vismaz 50 procenti no pasaules tirdzniecības flotes bruto tilpības, nav paziņojušas Organizācijai, ka iebilst pret šiem grozījumiem;</w:t>
      </w:r>
    </w:p>
    <w:p w14:paraId="3DBD8A1B" w14:textId="77777777" w:rsidR="00DF1A75" w:rsidRPr="008A50D5" w:rsidRDefault="00DF1A75" w:rsidP="008A50D5">
      <w:pPr>
        <w:pStyle w:val="BodyText"/>
        <w:jc w:val="both"/>
        <w:rPr>
          <w:rFonts w:ascii="Times New Roman" w:hAnsi="Times New Roman"/>
          <w:noProof/>
          <w:sz w:val="24"/>
        </w:rPr>
      </w:pPr>
    </w:p>
    <w:p w14:paraId="2B67F4C4" w14:textId="6F4DE8FA" w:rsidR="00DF1A75" w:rsidRPr="008A50D5" w:rsidRDefault="008A50D5" w:rsidP="008A50D5">
      <w:pPr>
        <w:pStyle w:val="ListParagraph"/>
        <w:tabs>
          <w:tab w:val="left" w:pos="837"/>
        </w:tabs>
        <w:ind w:left="0" w:right="0"/>
        <w:rPr>
          <w:rFonts w:ascii="Times New Roman" w:hAnsi="Times New Roman"/>
          <w:noProof/>
          <w:sz w:val="24"/>
        </w:rPr>
      </w:pPr>
      <w:r>
        <w:rPr>
          <w:rFonts w:ascii="Times New Roman" w:hAnsi="Times New Roman"/>
          <w:sz w:val="24"/>
        </w:rPr>
        <w:t xml:space="preserve">3. 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punktu minētie grozījumi stāsies spēkā 2024. gada 1. janvārī </w:t>
      </w:r>
      <w:r w:rsidR="003F0D5D" w:rsidRPr="003F0D5D">
        <w:rPr>
          <w:rFonts w:ascii="Times New Roman" w:hAnsi="Times New Roman"/>
          <w:sz w:val="24"/>
        </w:rPr>
        <w:t>pēc to pieņemšanas</w:t>
      </w:r>
      <w:r>
        <w:rPr>
          <w:rFonts w:ascii="Times New Roman" w:hAnsi="Times New Roman"/>
          <w:sz w:val="24"/>
        </w:rPr>
        <w:t xml:space="preserve"> saskaņā ar iepriekšminēto 2. punktu;</w:t>
      </w:r>
    </w:p>
    <w:p w14:paraId="4E25DD91" w14:textId="77777777" w:rsidR="00DF1A75" w:rsidRPr="008A50D5" w:rsidRDefault="00DF1A75" w:rsidP="008A50D5">
      <w:pPr>
        <w:pStyle w:val="BodyText"/>
        <w:jc w:val="both"/>
        <w:rPr>
          <w:rFonts w:ascii="Times New Roman" w:hAnsi="Times New Roman"/>
          <w:noProof/>
          <w:sz w:val="24"/>
        </w:rPr>
      </w:pPr>
    </w:p>
    <w:p w14:paraId="1DB1DFC4" w14:textId="7822F4CA" w:rsidR="00DF1A75" w:rsidRPr="008A50D5" w:rsidRDefault="008A50D5" w:rsidP="008A50D5">
      <w:pPr>
        <w:pStyle w:val="ListParagraph"/>
        <w:tabs>
          <w:tab w:val="left" w:pos="837"/>
        </w:tabs>
        <w:ind w:left="0" w:right="0"/>
        <w:rPr>
          <w:rFonts w:ascii="Times New Roman" w:hAnsi="Times New Roman"/>
          <w:noProof/>
          <w:sz w:val="24"/>
        </w:rPr>
      </w:pPr>
      <w:r>
        <w:rPr>
          <w:rFonts w:ascii="Times New Roman" w:hAnsi="Times New Roman"/>
          <w:sz w:val="24"/>
        </w:rPr>
        <w:t xml:space="preserve">4. </w:t>
      </w:r>
      <w:r w:rsidR="00D94676" w:rsidRPr="00D94676">
        <w:rPr>
          <w:rFonts w:ascii="Times New Roman" w:hAnsi="Times New Roman"/>
          <w:sz w:val="24"/>
        </w:rPr>
        <w:t>LŪDZ ģenerālsekretāram atbilstoši MARPOL 16. panta 2. punkta e) apakšpunktam nosūtīt visām MARPOL Pusēm šīs rezolūcijas un tās pielikumā iekļauto grozījumu teksta apliecinātas kopijas;</w:t>
      </w:r>
    </w:p>
    <w:p w14:paraId="4BE21EBF" w14:textId="77777777" w:rsidR="00DF1A75" w:rsidRPr="008A50D5" w:rsidRDefault="00DF1A75" w:rsidP="008A50D5">
      <w:pPr>
        <w:pStyle w:val="BodyText"/>
        <w:jc w:val="both"/>
        <w:rPr>
          <w:rFonts w:ascii="Times New Roman" w:hAnsi="Times New Roman"/>
          <w:noProof/>
          <w:sz w:val="24"/>
        </w:rPr>
      </w:pPr>
    </w:p>
    <w:p w14:paraId="3CC2563C" w14:textId="49F1E3C5" w:rsidR="00DF1A75" w:rsidRPr="008A50D5" w:rsidRDefault="008A50D5" w:rsidP="008A50D5">
      <w:pPr>
        <w:pStyle w:val="ListParagraph"/>
        <w:tabs>
          <w:tab w:val="left" w:pos="837"/>
        </w:tabs>
        <w:ind w:left="0" w:right="0"/>
        <w:rPr>
          <w:rFonts w:ascii="Times New Roman" w:hAnsi="Times New Roman"/>
          <w:noProof/>
          <w:sz w:val="24"/>
        </w:rPr>
      </w:pPr>
      <w:r>
        <w:rPr>
          <w:rFonts w:ascii="Times New Roman" w:hAnsi="Times New Roman"/>
          <w:sz w:val="24"/>
        </w:rPr>
        <w:t xml:space="preserve">5. </w:t>
      </w:r>
      <w:r w:rsidR="00D94676" w:rsidRPr="00D94676">
        <w:rPr>
          <w:rFonts w:ascii="Times New Roman" w:hAnsi="Times New Roman"/>
          <w:sz w:val="24"/>
        </w:rPr>
        <w:t>LŪDZ ARĪ ģenerālsekretāram nosūtīt šīs rezolūcijas un tās pielikuma kopijas tiem Organizācijas dalībniekiem, kas nav MARPOL Puses.</w:t>
      </w:r>
    </w:p>
    <w:p w14:paraId="0966CF68" w14:textId="70CD338C" w:rsidR="00DF1A75" w:rsidRPr="008A50D5" w:rsidRDefault="008A50D5" w:rsidP="008A50D5">
      <w:pPr>
        <w:rPr>
          <w:rFonts w:ascii="Times New Roman" w:hAnsi="Times New Roman"/>
          <w:noProof/>
          <w:sz w:val="24"/>
        </w:rPr>
      </w:pPr>
      <w:r>
        <w:br w:type="page"/>
      </w:r>
    </w:p>
    <w:p w14:paraId="32DAF04D" w14:textId="77777777" w:rsidR="008A50D5" w:rsidRDefault="00DF1A75" w:rsidP="008A50D5">
      <w:pPr>
        <w:jc w:val="center"/>
        <w:rPr>
          <w:rFonts w:ascii="Times New Roman" w:hAnsi="Times New Roman"/>
          <w:b/>
          <w:noProof/>
          <w:sz w:val="24"/>
        </w:rPr>
      </w:pPr>
      <w:r>
        <w:rPr>
          <w:rFonts w:ascii="Times New Roman" w:hAnsi="Times New Roman"/>
          <w:b/>
          <w:sz w:val="24"/>
        </w:rPr>
        <w:lastRenderedPageBreak/>
        <w:t>PIELIKUMS</w:t>
      </w:r>
    </w:p>
    <w:p w14:paraId="312CB71E" w14:textId="77777777" w:rsidR="008A50D5" w:rsidRDefault="008A50D5" w:rsidP="008A50D5">
      <w:pPr>
        <w:jc w:val="center"/>
        <w:rPr>
          <w:rFonts w:ascii="Times New Roman" w:hAnsi="Times New Roman"/>
          <w:b/>
          <w:noProof/>
          <w:sz w:val="24"/>
        </w:rPr>
      </w:pPr>
    </w:p>
    <w:p w14:paraId="482F6EC5" w14:textId="144188E0" w:rsidR="00DF1A75" w:rsidRDefault="00DF1A75" w:rsidP="008A50D5">
      <w:pPr>
        <w:jc w:val="center"/>
        <w:rPr>
          <w:rFonts w:ascii="Times New Roman" w:hAnsi="Times New Roman"/>
          <w:b/>
          <w:noProof/>
          <w:sz w:val="24"/>
        </w:rPr>
      </w:pPr>
      <w:r>
        <w:rPr>
          <w:rFonts w:ascii="Times New Roman" w:hAnsi="Times New Roman"/>
          <w:b/>
          <w:i/>
          <w:iCs/>
          <w:sz w:val="24"/>
        </w:rPr>
        <w:t>MARPOL</w:t>
      </w:r>
      <w:r>
        <w:rPr>
          <w:rFonts w:ascii="Times New Roman" w:hAnsi="Times New Roman"/>
          <w:b/>
          <w:sz w:val="24"/>
        </w:rPr>
        <w:t xml:space="preserve"> I PIELIKUMA GROZĪJUMI</w:t>
      </w:r>
    </w:p>
    <w:p w14:paraId="29D9E10F" w14:textId="77777777" w:rsidR="008A50D5" w:rsidRPr="008A50D5" w:rsidRDefault="008A50D5" w:rsidP="008A50D5">
      <w:pPr>
        <w:jc w:val="center"/>
        <w:rPr>
          <w:rFonts w:ascii="Times New Roman" w:hAnsi="Times New Roman"/>
          <w:b/>
          <w:noProof/>
          <w:sz w:val="24"/>
        </w:rPr>
      </w:pPr>
    </w:p>
    <w:p w14:paraId="5EB958ED" w14:textId="77777777" w:rsidR="00DF1A75" w:rsidRPr="008A50D5" w:rsidRDefault="00DF1A75" w:rsidP="008A50D5">
      <w:pPr>
        <w:jc w:val="center"/>
        <w:rPr>
          <w:rFonts w:ascii="Times New Roman" w:hAnsi="Times New Roman"/>
          <w:b/>
          <w:noProof/>
          <w:sz w:val="24"/>
        </w:rPr>
      </w:pPr>
      <w:r>
        <w:rPr>
          <w:rFonts w:ascii="Times New Roman" w:hAnsi="Times New Roman"/>
          <w:b/>
          <w:sz w:val="24"/>
        </w:rPr>
        <w:t>(Ūdensnecaurlaidīgas durvis)</w:t>
      </w:r>
    </w:p>
    <w:p w14:paraId="07956261" w14:textId="77777777" w:rsidR="00DF1A75" w:rsidRPr="008A50D5" w:rsidRDefault="00DF1A75" w:rsidP="008A50D5">
      <w:pPr>
        <w:pStyle w:val="BodyText"/>
        <w:jc w:val="both"/>
        <w:rPr>
          <w:rFonts w:ascii="Times New Roman" w:hAnsi="Times New Roman"/>
          <w:b/>
          <w:noProof/>
          <w:sz w:val="24"/>
        </w:rPr>
      </w:pPr>
    </w:p>
    <w:p w14:paraId="08EBD465" w14:textId="77777777" w:rsidR="00DF1A75" w:rsidRPr="008A50D5" w:rsidRDefault="00DF1A75" w:rsidP="008A50D5">
      <w:pPr>
        <w:pStyle w:val="BodyText"/>
        <w:jc w:val="both"/>
        <w:rPr>
          <w:rFonts w:ascii="Times New Roman" w:hAnsi="Times New Roman"/>
          <w:b/>
          <w:noProof/>
          <w:sz w:val="24"/>
        </w:rPr>
      </w:pPr>
    </w:p>
    <w:p w14:paraId="43AC643A" w14:textId="77777777" w:rsidR="008A50D5" w:rsidRDefault="00DF1A75" w:rsidP="008A50D5">
      <w:pPr>
        <w:jc w:val="both"/>
        <w:rPr>
          <w:rFonts w:ascii="Times New Roman" w:hAnsi="Times New Roman"/>
          <w:b/>
          <w:noProof/>
          <w:sz w:val="24"/>
        </w:rPr>
      </w:pPr>
      <w:r>
        <w:rPr>
          <w:rFonts w:ascii="Times New Roman" w:hAnsi="Times New Roman"/>
          <w:b/>
          <w:sz w:val="24"/>
        </w:rPr>
        <w:t xml:space="preserve">4. NODAĻA. NAFTAS TANKKUĢU KRAVAS NODALĪJUMAM NOTEIKTĀS PRASĪBAS </w:t>
      </w:r>
    </w:p>
    <w:p w14:paraId="28FDDEB2" w14:textId="77777777" w:rsidR="008A50D5" w:rsidRDefault="008A50D5" w:rsidP="008A50D5">
      <w:pPr>
        <w:jc w:val="both"/>
        <w:rPr>
          <w:rFonts w:ascii="Times New Roman" w:hAnsi="Times New Roman"/>
          <w:b/>
          <w:noProof/>
          <w:sz w:val="24"/>
        </w:rPr>
      </w:pPr>
    </w:p>
    <w:p w14:paraId="5A3FE029" w14:textId="478DE102" w:rsidR="00DF1A75" w:rsidRDefault="00DF1A75" w:rsidP="008A50D5">
      <w:pPr>
        <w:jc w:val="both"/>
        <w:rPr>
          <w:rFonts w:ascii="Times New Roman" w:hAnsi="Times New Roman"/>
          <w:b/>
          <w:noProof/>
          <w:sz w:val="24"/>
        </w:rPr>
      </w:pPr>
      <w:r>
        <w:rPr>
          <w:rFonts w:ascii="Times New Roman" w:hAnsi="Times New Roman"/>
          <w:b/>
          <w:sz w:val="24"/>
        </w:rPr>
        <w:t>A DAĻA. UZBŪVE</w:t>
      </w:r>
    </w:p>
    <w:p w14:paraId="147C63D5" w14:textId="77777777" w:rsidR="008A50D5" w:rsidRPr="008A50D5" w:rsidRDefault="008A50D5" w:rsidP="008A50D5">
      <w:pPr>
        <w:jc w:val="both"/>
        <w:rPr>
          <w:rFonts w:ascii="Times New Roman" w:hAnsi="Times New Roman"/>
          <w:b/>
          <w:noProof/>
          <w:sz w:val="24"/>
        </w:rPr>
      </w:pPr>
    </w:p>
    <w:p w14:paraId="61F3C017" w14:textId="7C10B400" w:rsidR="008A50D5" w:rsidRDefault="00B61CEF" w:rsidP="008A50D5">
      <w:pPr>
        <w:jc w:val="both"/>
        <w:rPr>
          <w:rFonts w:ascii="Times New Roman" w:hAnsi="Times New Roman"/>
          <w:b/>
          <w:sz w:val="24"/>
        </w:rPr>
      </w:pPr>
      <w:r w:rsidRPr="00B61CEF">
        <w:rPr>
          <w:rFonts w:ascii="Times New Roman" w:hAnsi="Times New Roman"/>
          <w:b/>
          <w:sz w:val="24"/>
        </w:rPr>
        <w:t>28. noteikums. Sadalījums nodalījumos un avārijas noturība</w:t>
      </w:r>
    </w:p>
    <w:p w14:paraId="655F0130" w14:textId="77777777" w:rsidR="00B61CEF" w:rsidRPr="008A50D5" w:rsidRDefault="00B61CEF" w:rsidP="008A50D5">
      <w:pPr>
        <w:jc w:val="both"/>
        <w:rPr>
          <w:rFonts w:ascii="Times New Roman" w:hAnsi="Times New Roman"/>
          <w:b/>
          <w:noProof/>
          <w:sz w:val="24"/>
        </w:rPr>
      </w:pPr>
    </w:p>
    <w:p w14:paraId="691EAEE3" w14:textId="77777777" w:rsidR="00DF1A75" w:rsidRPr="008A50D5" w:rsidRDefault="00DF1A75" w:rsidP="008A50D5">
      <w:pPr>
        <w:pStyle w:val="BodyText"/>
        <w:jc w:val="both"/>
        <w:rPr>
          <w:rFonts w:ascii="Times New Roman" w:hAnsi="Times New Roman"/>
          <w:b/>
          <w:noProof/>
          <w:sz w:val="24"/>
        </w:rPr>
      </w:pPr>
    </w:p>
    <w:p w14:paraId="592826A9" w14:textId="07EA8D92" w:rsidR="00DF1A75" w:rsidRPr="008A50D5" w:rsidRDefault="008A50D5" w:rsidP="008A50D5">
      <w:pPr>
        <w:pStyle w:val="BodyText"/>
        <w:tabs>
          <w:tab w:val="left" w:pos="836"/>
        </w:tabs>
        <w:jc w:val="both"/>
        <w:rPr>
          <w:rFonts w:ascii="Times New Roman" w:hAnsi="Times New Roman"/>
          <w:noProof/>
          <w:sz w:val="24"/>
        </w:rPr>
      </w:pPr>
      <w:r>
        <w:rPr>
          <w:rFonts w:ascii="Times New Roman" w:hAnsi="Times New Roman"/>
          <w:sz w:val="24"/>
        </w:rPr>
        <w:t>1. Šā noteikuma 3.1. punktu aizstāj ar šādu tekstu:</w:t>
      </w:r>
    </w:p>
    <w:p w14:paraId="74600652" w14:textId="77777777" w:rsidR="00DF1A75" w:rsidRPr="008A50D5" w:rsidRDefault="00DF1A75" w:rsidP="006C3A7F">
      <w:pPr>
        <w:pStyle w:val="BodyText"/>
        <w:ind w:left="284"/>
        <w:jc w:val="both"/>
        <w:rPr>
          <w:rFonts w:ascii="Times New Roman" w:hAnsi="Times New Roman"/>
          <w:noProof/>
          <w:sz w:val="24"/>
        </w:rPr>
      </w:pPr>
    </w:p>
    <w:p w14:paraId="62EC2185" w14:textId="5DD43E07" w:rsidR="00DF1A75" w:rsidRPr="008A50D5" w:rsidRDefault="00DF1A75" w:rsidP="006C3A7F">
      <w:pPr>
        <w:pStyle w:val="BodyText"/>
        <w:ind w:left="284"/>
        <w:jc w:val="both"/>
        <w:rPr>
          <w:rFonts w:ascii="Times New Roman" w:hAnsi="Times New Roman"/>
          <w:noProof/>
          <w:sz w:val="24"/>
        </w:rPr>
      </w:pPr>
      <w:r>
        <w:rPr>
          <w:rFonts w:ascii="Times New Roman" w:hAnsi="Times New Roman"/>
          <w:sz w:val="24"/>
        </w:rPr>
        <w:t xml:space="preserve">“3.1. Galējā ūdenslīnija, ņemot vērā iegrimšanu, sānsveri un galsveri, atrodas zem </w:t>
      </w:r>
      <w:r w:rsidR="00B61CEF">
        <w:rPr>
          <w:rFonts w:ascii="Times New Roman" w:hAnsi="Times New Roman"/>
          <w:sz w:val="24"/>
        </w:rPr>
        <w:t xml:space="preserve">jebkādu </w:t>
      </w:r>
      <w:r>
        <w:rPr>
          <w:rFonts w:ascii="Times New Roman" w:hAnsi="Times New Roman"/>
          <w:sz w:val="24"/>
        </w:rPr>
        <w:t xml:space="preserve">tādu atveru apakšējās malas, pa kurām var notikt progresējoša applūšana. </w:t>
      </w:r>
      <w:r w:rsidR="00075AF4" w:rsidRPr="00075AF4">
        <w:rPr>
          <w:rFonts w:ascii="Times New Roman" w:hAnsi="Times New Roman"/>
          <w:sz w:val="24"/>
        </w:rPr>
        <w:t>Šādas atveres ir gaisa cauruļvadi un visi tie cauruļvadi, kurus noslēdz ar ūdensnecaurlaidīgām durvīm vai lūkas vākiem, un par šādām atverēm var neuzskatīt tādas atveres, ko noslēdz ar ūdensnecaurlaidīgu līdlūku vākiem un klāja lūkām, maziem ūdensnecaurlaidīgiem kravas tvertņu lūku vākiem, kas nodrošina augstu klāja integritāti, tālvadāmām ūdensnecaurlaidīgām bīdāmām durvīm, tādām ātras darbības vai vienvirziena viru ūdensnecaurlaidīgām piekļuves durvīm ar indikatoru “atvērts/aizvērts” uz vietas un indikatoriem uz komandtiltiņa, kas jūrā parasti ir aizvērtas, ūdensnecaurlaidīgām viru durvīm, kas jūrā pastāvīgi ir aizvērtas, kā arī ar neatveramiem borta iluminatoriem.</w:t>
      </w:r>
      <w:r>
        <w:rPr>
          <w:rFonts w:ascii="Times New Roman" w:hAnsi="Times New Roman"/>
          <w:sz w:val="24"/>
        </w:rPr>
        <w:t>”</w:t>
      </w:r>
      <w:bookmarkStart w:id="0" w:name="Blank_Page"/>
      <w:bookmarkEnd w:id="0"/>
    </w:p>
    <w:sectPr w:rsidR="00DF1A75" w:rsidRPr="008A50D5" w:rsidSect="00251788">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E136" w14:textId="77777777" w:rsidR="00251788" w:rsidRPr="00DF1A75" w:rsidRDefault="00251788">
      <w:pPr>
        <w:rPr>
          <w:noProof/>
        </w:rPr>
      </w:pPr>
      <w:r w:rsidRPr="00DF1A75">
        <w:rPr>
          <w:noProof/>
        </w:rPr>
        <w:separator/>
      </w:r>
    </w:p>
  </w:endnote>
  <w:endnote w:type="continuationSeparator" w:id="0">
    <w:p w14:paraId="27C24FC0" w14:textId="77777777" w:rsidR="00251788" w:rsidRPr="00DF1A75" w:rsidRDefault="00251788">
      <w:pPr>
        <w:rPr>
          <w:noProof/>
        </w:rPr>
      </w:pPr>
      <w:r w:rsidRPr="00DF1A7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10AF" w14:textId="77777777" w:rsidR="00934F19" w:rsidRPr="009C04EC" w:rsidRDefault="00934F19" w:rsidP="00934F19">
    <w:pPr>
      <w:pStyle w:val="Header"/>
      <w:tabs>
        <w:tab w:val="left" w:pos="9072"/>
      </w:tabs>
      <w:rPr>
        <w:rStyle w:val="PageNumber"/>
        <w:rFonts w:ascii="Times New Roman" w:hAnsi="Times New Roman" w:cs="Times New Roman"/>
        <w:noProof/>
        <w:sz w:val="20"/>
        <w:szCs w:val="20"/>
        <w:u w:val="single"/>
        <w:lang w:val="en-US"/>
      </w:rPr>
    </w:pPr>
  </w:p>
  <w:p w14:paraId="58E4F2D9" w14:textId="77777777" w:rsidR="00934F19" w:rsidRPr="009C04EC" w:rsidRDefault="00934F19" w:rsidP="00934F19">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2455089" w14:textId="77777777" w:rsidR="00934F19" w:rsidRPr="009C04EC" w:rsidRDefault="00934F19" w:rsidP="00934F19">
    <w:pPr>
      <w:pStyle w:val="Header"/>
      <w:tabs>
        <w:tab w:val="right" w:pos="9072"/>
      </w:tabs>
      <w:rPr>
        <w:rStyle w:val="PageNumber"/>
        <w:rFonts w:ascii="Times New Roman" w:hAnsi="Times New Roman" w:cs="Times New Roman"/>
        <w:noProof/>
        <w:sz w:val="20"/>
        <w:szCs w:val="20"/>
        <w:u w:val="single"/>
        <w:lang w:val="en-US"/>
      </w:rPr>
    </w:pPr>
  </w:p>
  <w:p w14:paraId="373465CE" w14:textId="5C8ADE88" w:rsidR="00E10A2A" w:rsidRPr="00934F19" w:rsidRDefault="00934F19" w:rsidP="00934F19">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587C" w14:textId="77777777" w:rsidR="001F2347" w:rsidRPr="009C04EC" w:rsidRDefault="001F2347" w:rsidP="001F234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87A46BD" w14:textId="77777777" w:rsidR="001F2347" w:rsidRPr="009C04EC" w:rsidRDefault="001F2347" w:rsidP="001F2347">
    <w:pPr>
      <w:pStyle w:val="Header"/>
      <w:tabs>
        <w:tab w:val="left" w:pos="9072"/>
      </w:tabs>
      <w:rPr>
        <w:rStyle w:val="PageNumber"/>
        <w:rFonts w:ascii="Times New Roman" w:hAnsi="Times New Roman" w:cs="Times New Roman"/>
        <w:noProof/>
        <w:sz w:val="20"/>
        <w:szCs w:val="20"/>
        <w:u w:val="single"/>
        <w:lang w:val="en-US"/>
      </w:rPr>
    </w:pPr>
  </w:p>
  <w:p w14:paraId="5D846896" w14:textId="0FEAA7AD" w:rsidR="00E10A2A" w:rsidRPr="001F2347" w:rsidRDefault="001F2347">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E738" w14:textId="77777777" w:rsidR="00251788" w:rsidRPr="00DF1A75" w:rsidRDefault="00251788">
      <w:pPr>
        <w:rPr>
          <w:noProof/>
        </w:rPr>
      </w:pPr>
      <w:r w:rsidRPr="00DF1A75">
        <w:rPr>
          <w:noProof/>
        </w:rPr>
        <w:separator/>
      </w:r>
    </w:p>
  </w:footnote>
  <w:footnote w:type="continuationSeparator" w:id="0">
    <w:p w14:paraId="26456EEC" w14:textId="77777777" w:rsidR="00251788" w:rsidRPr="00DF1A75" w:rsidRDefault="00251788">
      <w:pPr>
        <w:rPr>
          <w:noProof/>
        </w:rPr>
      </w:pPr>
      <w:r w:rsidRPr="00DF1A7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534D" w14:textId="77777777" w:rsidR="00DC6A98" w:rsidRPr="009C04EC" w:rsidRDefault="00DC6A98" w:rsidP="00DC6A98">
    <w:pPr>
      <w:pStyle w:val="Header"/>
      <w:rPr>
        <w:rStyle w:val="PageNumber"/>
        <w:noProof/>
        <w:sz w:val="18"/>
        <w:szCs w:val="18"/>
        <w:u w:val="single"/>
        <w:lang w:val="en-US"/>
      </w:rPr>
    </w:pPr>
  </w:p>
  <w:p w14:paraId="2C866054" w14:textId="77777777" w:rsidR="00DC6A98" w:rsidRPr="009C04EC" w:rsidRDefault="00DC6A98" w:rsidP="00DC6A98">
    <w:pPr>
      <w:pStyle w:val="Header"/>
      <w:tabs>
        <w:tab w:val="clear" w:pos="4513"/>
        <w:tab w:val="center" w:pos="9072"/>
      </w:tabs>
      <w:rPr>
        <w:noProof/>
        <w:sz w:val="18"/>
        <w:szCs w:val="18"/>
        <w:u w:val="single"/>
        <w:lang w:val="en-US"/>
      </w:rPr>
    </w:pPr>
    <w:r w:rsidRPr="009C04EC">
      <w:rPr>
        <w:noProof/>
        <w:sz w:val="18"/>
        <w:szCs w:val="18"/>
        <w:u w:val="single"/>
        <w:lang w:val="en-US"/>
      </w:rPr>
      <w:tab/>
    </w:r>
  </w:p>
  <w:p w14:paraId="5DF64711" w14:textId="77777777" w:rsidR="00E10A2A" w:rsidRDefault="00E10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26F9" w14:textId="77777777" w:rsidR="00E10A2A" w:rsidRPr="009C04EC" w:rsidRDefault="00E10A2A" w:rsidP="00E10A2A">
    <w:pPr>
      <w:pStyle w:val="Header"/>
      <w:pBdr>
        <w:bottom w:val="single" w:sz="12" w:space="1" w:color="auto"/>
      </w:pBdr>
      <w:rPr>
        <w:noProof/>
        <w:sz w:val="18"/>
        <w:szCs w:val="18"/>
        <w:lang w:val="en-US"/>
      </w:rPr>
    </w:pPr>
  </w:p>
  <w:p w14:paraId="56A5BF32" w14:textId="77777777" w:rsidR="00E10A2A" w:rsidRDefault="00E1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41F15"/>
    <w:multiLevelType w:val="hybridMultilevel"/>
    <w:tmpl w:val="63B22264"/>
    <w:lvl w:ilvl="0" w:tplc="B7CEDF4E">
      <w:start w:val="1"/>
      <w:numFmt w:val="decimal"/>
      <w:lvlText w:val="%1"/>
      <w:lvlJc w:val="left"/>
      <w:pPr>
        <w:ind w:left="116" w:hanging="721"/>
        <w:jc w:val="left"/>
      </w:pPr>
      <w:rPr>
        <w:rFonts w:ascii="Arial MT" w:eastAsia="Arial MT" w:hAnsi="Arial MT" w:cs="Arial MT" w:hint="default"/>
        <w:w w:val="100"/>
        <w:sz w:val="22"/>
        <w:szCs w:val="22"/>
        <w:lang w:val="en-US" w:eastAsia="en-US" w:bidi="ar-SA"/>
      </w:rPr>
    </w:lvl>
    <w:lvl w:ilvl="1" w:tplc="3458739A">
      <w:numFmt w:val="bullet"/>
      <w:lvlText w:val="•"/>
      <w:lvlJc w:val="left"/>
      <w:pPr>
        <w:ind w:left="1038" w:hanging="721"/>
      </w:pPr>
      <w:rPr>
        <w:rFonts w:hint="default"/>
        <w:lang w:val="en-US" w:eastAsia="en-US" w:bidi="ar-SA"/>
      </w:rPr>
    </w:lvl>
    <w:lvl w:ilvl="2" w:tplc="346A43A8">
      <w:numFmt w:val="bullet"/>
      <w:lvlText w:val="•"/>
      <w:lvlJc w:val="left"/>
      <w:pPr>
        <w:ind w:left="1957" w:hanging="721"/>
      </w:pPr>
      <w:rPr>
        <w:rFonts w:hint="default"/>
        <w:lang w:val="en-US" w:eastAsia="en-US" w:bidi="ar-SA"/>
      </w:rPr>
    </w:lvl>
    <w:lvl w:ilvl="3" w:tplc="E4FE9C94">
      <w:numFmt w:val="bullet"/>
      <w:lvlText w:val="•"/>
      <w:lvlJc w:val="left"/>
      <w:pPr>
        <w:ind w:left="2876" w:hanging="721"/>
      </w:pPr>
      <w:rPr>
        <w:rFonts w:hint="default"/>
        <w:lang w:val="en-US" w:eastAsia="en-US" w:bidi="ar-SA"/>
      </w:rPr>
    </w:lvl>
    <w:lvl w:ilvl="4" w:tplc="494A15C2">
      <w:numFmt w:val="bullet"/>
      <w:lvlText w:val="•"/>
      <w:lvlJc w:val="left"/>
      <w:pPr>
        <w:ind w:left="3795" w:hanging="721"/>
      </w:pPr>
      <w:rPr>
        <w:rFonts w:hint="default"/>
        <w:lang w:val="en-US" w:eastAsia="en-US" w:bidi="ar-SA"/>
      </w:rPr>
    </w:lvl>
    <w:lvl w:ilvl="5" w:tplc="11AC68FE">
      <w:numFmt w:val="bullet"/>
      <w:lvlText w:val="•"/>
      <w:lvlJc w:val="left"/>
      <w:pPr>
        <w:ind w:left="4714" w:hanging="721"/>
      </w:pPr>
      <w:rPr>
        <w:rFonts w:hint="default"/>
        <w:lang w:val="en-US" w:eastAsia="en-US" w:bidi="ar-SA"/>
      </w:rPr>
    </w:lvl>
    <w:lvl w:ilvl="6" w:tplc="3E969496">
      <w:numFmt w:val="bullet"/>
      <w:lvlText w:val="•"/>
      <w:lvlJc w:val="left"/>
      <w:pPr>
        <w:ind w:left="5632" w:hanging="721"/>
      </w:pPr>
      <w:rPr>
        <w:rFonts w:hint="default"/>
        <w:lang w:val="en-US" w:eastAsia="en-US" w:bidi="ar-SA"/>
      </w:rPr>
    </w:lvl>
    <w:lvl w:ilvl="7" w:tplc="DE8E8F6E">
      <w:numFmt w:val="bullet"/>
      <w:lvlText w:val="•"/>
      <w:lvlJc w:val="left"/>
      <w:pPr>
        <w:ind w:left="6551" w:hanging="721"/>
      </w:pPr>
      <w:rPr>
        <w:rFonts w:hint="default"/>
        <w:lang w:val="en-US" w:eastAsia="en-US" w:bidi="ar-SA"/>
      </w:rPr>
    </w:lvl>
    <w:lvl w:ilvl="8" w:tplc="061491B4">
      <w:numFmt w:val="bullet"/>
      <w:lvlText w:val="•"/>
      <w:lvlJc w:val="left"/>
      <w:pPr>
        <w:ind w:left="7470" w:hanging="721"/>
      </w:pPr>
      <w:rPr>
        <w:rFonts w:hint="default"/>
        <w:lang w:val="en-US" w:eastAsia="en-US" w:bidi="ar-SA"/>
      </w:rPr>
    </w:lvl>
  </w:abstractNum>
  <w:num w:numId="1" w16cid:durableId="203615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3330"/>
    <w:rsid w:val="00075AF4"/>
    <w:rsid w:val="00094FA7"/>
    <w:rsid w:val="001F2347"/>
    <w:rsid w:val="00251788"/>
    <w:rsid w:val="003F0D5D"/>
    <w:rsid w:val="00584CE4"/>
    <w:rsid w:val="005A041D"/>
    <w:rsid w:val="005E3330"/>
    <w:rsid w:val="006C3A7F"/>
    <w:rsid w:val="008255BE"/>
    <w:rsid w:val="00846B72"/>
    <w:rsid w:val="008A50D5"/>
    <w:rsid w:val="00934F19"/>
    <w:rsid w:val="00B51D40"/>
    <w:rsid w:val="00B61CEF"/>
    <w:rsid w:val="00CF6340"/>
    <w:rsid w:val="00D94676"/>
    <w:rsid w:val="00DC6A98"/>
    <w:rsid w:val="00DC79C3"/>
    <w:rsid w:val="00DF1A75"/>
    <w:rsid w:val="00E10A2A"/>
    <w:rsid w:val="00FB2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6" w:right="112"/>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DF1A75"/>
    <w:pPr>
      <w:tabs>
        <w:tab w:val="center" w:pos="4513"/>
        <w:tab w:val="right" w:pos="9026"/>
      </w:tabs>
    </w:pPr>
  </w:style>
  <w:style w:type="character" w:customStyle="1" w:styleId="HeaderChar">
    <w:name w:val="Header Char"/>
    <w:basedOn w:val="DefaultParagraphFont"/>
    <w:link w:val="Header"/>
    <w:uiPriority w:val="99"/>
    <w:rsid w:val="00DF1A75"/>
    <w:rPr>
      <w:rFonts w:ascii="Arial MT" w:eastAsia="Arial MT" w:hAnsi="Arial MT" w:cs="Arial MT"/>
    </w:rPr>
  </w:style>
  <w:style w:type="paragraph" w:styleId="Footer">
    <w:name w:val="footer"/>
    <w:basedOn w:val="Normal"/>
    <w:link w:val="FooterChar"/>
    <w:unhideWhenUsed/>
    <w:rsid w:val="00DF1A75"/>
    <w:pPr>
      <w:tabs>
        <w:tab w:val="center" w:pos="4513"/>
        <w:tab w:val="right" w:pos="9026"/>
      </w:tabs>
    </w:pPr>
  </w:style>
  <w:style w:type="character" w:customStyle="1" w:styleId="FooterChar">
    <w:name w:val="Footer Char"/>
    <w:basedOn w:val="DefaultParagraphFont"/>
    <w:link w:val="Footer"/>
    <w:uiPriority w:val="99"/>
    <w:rsid w:val="00DF1A75"/>
    <w:rPr>
      <w:rFonts w:ascii="Arial MT" w:eastAsia="Arial MT" w:hAnsi="Arial MT" w:cs="Arial MT"/>
    </w:rPr>
  </w:style>
  <w:style w:type="character" w:styleId="PageNumber">
    <w:name w:val="page number"/>
    <w:basedOn w:val="DefaultParagraphFont"/>
    <w:semiHidden/>
    <w:rsid w:val="001F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B677C-A6AC-4D40-A67B-6438B1520C4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DEA5672A-490A-4D9B-8ECA-6A4E8A639DE7}">
  <ds:schemaRefs>
    <ds:schemaRef ds:uri="http://schemas.microsoft.com/sharepoint/v3/contenttype/forms"/>
  </ds:schemaRefs>
</ds:datastoreItem>
</file>

<file path=customXml/itemProps3.xml><?xml version="1.0" encoding="utf-8"?>
<ds:datastoreItem xmlns:ds="http://schemas.openxmlformats.org/officeDocument/2006/customXml" ds:itemID="{79214FB3-B0D1-47A7-8197-997DA375550F}"/>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2023-11-01T08:17:00Z</dcterms:created>
  <dcterms:modified xsi:type="dcterms:W3CDTF">2024-03-25T10:59:00Z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