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214B2" w14:textId="3B85E8C5" w:rsidR="009C42A8" w:rsidRPr="0079205D" w:rsidRDefault="00000000" w:rsidP="000B3673">
      <w:pPr>
        <w:widowControl w:val="0"/>
        <w:pBdr>
          <w:bottom w:val="single" w:sz="4" w:space="1" w:color="auto"/>
        </w:pBdr>
        <w:spacing w:before="480"/>
        <w:jc w:val="both"/>
        <w:rPr>
          <w:rFonts w:cs="Times New Roman"/>
          <w:sz w:val="2"/>
          <w:szCs w:val="2"/>
        </w:rPr>
      </w:pPr>
      <w:sdt>
        <w:sdtPr>
          <w:rPr>
            <w:rFonts w:cs="Times New Roman"/>
            <w:spacing w:val="-2"/>
            <w:w w:val="90"/>
            <w:sz w:val="14"/>
            <w:szCs w:val="14"/>
          </w:rPr>
          <w:id w:val="46410873"/>
          <w:lock w:val="sdtContentLocked"/>
          <w:placeholder>
            <w:docPart w:val="13ACBE8C119B418483FC8FDC3CC8FFEC"/>
          </w:placeholder>
          <w:showingPlcHdr/>
        </w:sdtPr>
        <w:sdtContent>
          <w:bookmarkStart w:id="0" w:name="_Hlk92186140"/>
          <w:r w:rsidR="000F000D" w:rsidRPr="00B21FDE">
            <w:rPr>
              <w:rFonts w:cs="Times New Roman"/>
              <w:sz w:val="14"/>
              <w:szCs w:val="14"/>
            </w:rPr>
            <w:t>K. VALDEMĀRA IELA 2A, R</w:t>
          </w:r>
          <w:r w:rsidR="000F1CEB">
            <w:rPr>
              <w:rFonts w:cs="Times New Roman"/>
              <w:sz w:val="14"/>
              <w:szCs w:val="14"/>
            </w:rPr>
            <w:t>I</w:t>
          </w:r>
          <w:r w:rsidR="000F000D" w:rsidRPr="00B21FDE">
            <w:rPr>
              <w:rFonts w:cs="Times New Roman"/>
              <w:sz w:val="14"/>
              <w:szCs w:val="14"/>
            </w:rPr>
            <w:t>GA, LV-1050, LATVIA. T</w:t>
          </w:r>
          <w:r w:rsidR="000F1CEB">
            <w:rPr>
              <w:rFonts w:cs="Times New Roman"/>
              <w:sz w:val="14"/>
              <w:szCs w:val="14"/>
            </w:rPr>
            <w:t>ELEPHONE</w:t>
          </w:r>
          <w:r w:rsidR="000F000D" w:rsidRPr="00B21FDE">
            <w:rPr>
              <w:rFonts w:cs="Times New Roman"/>
              <w:sz w:val="14"/>
              <w:szCs w:val="14"/>
            </w:rPr>
            <w:t xml:space="preserve"> +371 67022300, E-</w:t>
          </w:r>
          <w:r w:rsidR="000F1CEB">
            <w:rPr>
              <w:rFonts w:cs="Times New Roman"/>
              <w:sz w:val="14"/>
              <w:szCs w:val="14"/>
            </w:rPr>
            <w:t>MAIL</w:t>
          </w:r>
          <w:r w:rsidR="000F000D" w:rsidRPr="00B21FDE">
            <w:rPr>
              <w:rFonts w:cs="Times New Roman"/>
              <w:sz w:val="14"/>
              <w:szCs w:val="14"/>
            </w:rPr>
            <w:t xml:space="preserve"> INFO@BANK.LV, WWW.BANK.LV</w:t>
          </w:r>
          <w:bookmarkEnd w:id="0"/>
        </w:sdtContent>
      </w:sdt>
      <w:r w:rsidR="005966A8">
        <w:rPr>
          <w:sz w:val="16"/>
        </w:rPr>
        <w:br/>
      </w:r>
    </w:p>
    <w:p w14:paraId="20A0C08A" w14:textId="76610A06" w:rsidR="009C42A8" w:rsidRDefault="001C0B37" w:rsidP="003C1EF2">
      <w:pPr>
        <w:spacing w:before="240"/>
        <w:jc w:val="right"/>
        <w:rPr>
          <w:rFonts w:cs="Times New Roman"/>
          <w:szCs w:val="24"/>
        </w:rPr>
      </w:pPr>
      <w:r w:rsidRPr="001C0B37">
        <w:rPr>
          <w:rFonts w:cs="Times New Roman"/>
          <w:noProof/>
          <w:szCs w:val="24"/>
        </w:rPr>
        <w:drawing>
          <wp:anchor distT="0" distB="0" distL="114300" distR="114300" simplePos="0" relativeHeight="251658240" behindDoc="0" locked="0" layoutInCell="1" allowOverlap="1" wp14:anchorId="03CA90A1" wp14:editId="2EF7DD80">
            <wp:simplePos x="0" y="0"/>
            <wp:positionH relativeFrom="column">
              <wp:posOffset>-635</wp:posOffset>
            </wp:positionH>
            <wp:positionV relativeFrom="paragraph">
              <wp:posOffset>151130</wp:posOffset>
            </wp:positionV>
            <wp:extent cx="5400040" cy="730250"/>
            <wp:effectExtent l="0" t="0" r="0" b="0"/>
            <wp:wrapNone/>
            <wp:docPr id="770099822" name="Picture 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99822" name="Picture 2" descr="A white background with black and white cloud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00040" cy="73025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7"/>
      </w:tblGrid>
      <w:tr w:rsidR="003C1EF2" w14:paraId="55334D27" w14:textId="77777777" w:rsidTr="00811BE5">
        <w:sdt>
          <w:sdtPr>
            <w:rPr>
              <w:rFonts w:cs="Times New Roman"/>
            </w:rPr>
            <w:id w:val="25447574"/>
            <w:lock w:val="sdtLocked"/>
            <w:placeholder>
              <w:docPart w:val="F919368CDE2D4193B387A170FF9DFDE5"/>
            </w:placeholder>
            <w:showingPlcHdr/>
          </w:sdtPr>
          <w:sdtContent>
            <w:tc>
              <w:tcPr>
                <w:tcW w:w="4360" w:type="dxa"/>
                <w:vAlign w:val="bottom"/>
              </w:tcPr>
              <w:p w14:paraId="520739BC" w14:textId="0CDDCCE0" w:rsidR="003C1EF2" w:rsidRDefault="00123C59" w:rsidP="00811BE5">
                <w:pPr>
                  <w:pStyle w:val="NoSpacing"/>
                  <w:spacing w:before="240"/>
                  <w:ind w:left="-107"/>
                  <w:rPr>
                    <w:rFonts w:cs="Times New Roman"/>
                  </w:rPr>
                </w:pPr>
                <w:r w:rsidRPr="00123C59">
                  <w:rPr>
                    <w:color w:val="FFFFFF" w:themeColor="background1"/>
                  </w:rPr>
                  <w:t>[Datums]</w:t>
                </w:r>
              </w:p>
            </w:tc>
          </w:sdtContent>
        </w:sdt>
        <w:tc>
          <w:tcPr>
            <w:tcW w:w="4360" w:type="dxa"/>
            <w:vAlign w:val="bottom"/>
          </w:tcPr>
          <w:p w14:paraId="7A3EC5B3" w14:textId="22708179" w:rsidR="003C1EF2" w:rsidRDefault="00000000" w:rsidP="00C523D5">
            <w:pPr>
              <w:pStyle w:val="NoSpacing"/>
              <w:ind w:right="-111"/>
              <w:jc w:val="right"/>
            </w:pPr>
            <w:sdt>
              <w:sdtPr>
                <w:id w:val="32932642"/>
                <w:lock w:val="sdtContentLocked"/>
                <w:placeholder>
                  <w:docPart w:val="F260DF0E552448B7A9014400182C0B4C"/>
                </w:placeholder>
                <w:showingPlcHdr/>
              </w:sdtPr>
              <w:sdtContent>
                <w:r w:rsidR="003229CC">
                  <w:t>Regulation</w:t>
                </w:r>
                <w:r w:rsidR="00F13DD7">
                  <w:t xml:space="preserve"> </w:t>
                </w:r>
              </w:sdtContent>
            </w:sdt>
            <w:sdt>
              <w:sdtPr>
                <w:id w:val="25447619"/>
                <w:lock w:val="sdtContentLocked"/>
                <w:placeholder>
                  <w:docPart w:val="E62421987CC744939E08160B293011CC"/>
                </w:placeholder>
                <w:showingPlcHdr/>
              </w:sdtPr>
              <w:sdtContent>
                <w:r w:rsidR="003C1EF2">
                  <w:t>N</w:t>
                </w:r>
                <w:r w:rsidR="003229CC">
                  <w:t>o </w:t>
                </w:r>
              </w:sdtContent>
            </w:sdt>
            <w:r w:rsidR="005E0A6D">
              <w:t>. </w:t>
            </w:r>
            <w:sdt>
              <w:sdtPr>
                <w:id w:val="25447645"/>
                <w:lock w:val="sdtLocked"/>
                <w:placeholder>
                  <w:docPart w:val="21A82A25B90947ECB457D57DEE8FB5DB"/>
                </w:placeholder>
                <w:showingPlcHdr/>
              </w:sdtPr>
              <w:sdtContent>
                <w:r w:rsidR="00D01BFC">
                  <w:t>_____</w:t>
                </w:r>
              </w:sdtContent>
            </w:sdt>
          </w:p>
        </w:tc>
      </w:tr>
    </w:tbl>
    <w:sdt>
      <w:sdtPr>
        <w:rPr>
          <w:rFonts w:cs="Times New Roman"/>
          <w:szCs w:val="24"/>
        </w:rPr>
        <w:id w:val="25447675"/>
        <w:lock w:val="sdtContentLocked"/>
        <w:placeholder>
          <w:docPart w:val="3F01D9EB19724F74A1E006E2E43A68BC"/>
        </w:placeholder>
        <w:showingPlcHdr/>
      </w:sdtPr>
      <w:sdtContent>
        <w:p w14:paraId="2C23A504" w14:textId="2A8E615F" w:rsidR="003C1EF2" w:rsidRDefault="003229CC" w:rsidP="00C2284A">
          <w:pPr>
            <w:rPr>
              <w:rFonts w:cs="Times New Roman"/>
              <w:szCs w:val="24"/>
            </w:rPr>
          </w:pPr>
          <w:r>
            <w:rPr>
              <w:rFonts w:cs="Times New Roman"/>
              <w:szCs w:val="24"/>
            </w:rPr>
            <w:t>Riga</w:t>
          </w:r>
        </w:p>
      </w:sdtContent>
    </w:sdt>
    <w:bookmarkStart w:id="1" w:name="_Hlk133315363" w:displacedByCustomXml="next"/>
    <w:sdt>
      <w:sdtPr>
        <w:rPr>
          <w:rFonts w:cs="Times New Roman"/>
          <w:b/>
          <w:szCs w:val="24"/>
        </w:rPr>
        <w:alias w:val="Name"/>
        <w:tag w:val="Nosaukums"/>
        <w:id w:val="25447728"/>
        <w:placeholder>
          <w:docPart w:val="1574F255F22345E983B2165B1D392A0B"/>
        </w:placeholder>
      </w:sdtPr>
      <w:sdtContent>
        <w:p w14:paraId="25488973" w14:textId="77777777" w:rsidR="002A41F4" w:rsidRDefault="002A41F4" w:rsidP="00A5184D">
          <w:pPr>
            <w:rPr>
              <w:rFonts w:cs="Times New Roman"/>
              <w:b/>
              <w:szCs w:val="24"/>
            </w:rPr>
          </w:pPr>
        </w:p>
        <w:p w14:paraId="0E1BFFCD" w14:textId="1D60CA95" w:rsidR="00A5184D" w:rsidRPr="002A41F4" w:rsidRDefault="002A41F4" w:rsidP="00A5184D">
          <w:pPr>
            <w:rPr>
              <w:rFonts w:cs="Times New Roman"/>
              <w:b/>
              <w:szCs w:val="24"/>
            </w:rPr>
          </w:pPr>
          <w:r w:rsidRPr="002A41F4">
            <w:rPr>
              <w:rFonts w:cs="Times New Roman"/>
              <w:bCs/>
              <w:szCs w:val="24"/>
            </w:rPr>
            <w:t>Adopted 2 October 2023</w:t>
          </w:r>
        </w:p>
        <w:p w14:paraId="2D03253E" w14:textId="6A980364" w:rsidR="002A41F4" w:rsidRPr="002A41F4" w:rsidRDefault="002A41F4" w:rsidP="002A41F4">
          <w:pPr>
            <w:jc w:val="right"/>
            <w:rPr>
              <w:rFonts w:cs="Times New Roman"/>
              <w:bCs/>
              <w:szCs w:val="24"/>
            </w:rPr>
          </w:pPr>
          <w:r w:rsidRPr="002A41F4">
            <w:rPr>
              <w:rFonts w:cs="Times New Roman"/>
              <w:bCs/>
              <w:szCs w:val="24"/>
            </w:rPr>
            <w:t>Regulation No. 249</w:t>
          </w:r>
        </w:p>
        <w:p w14:paraId="7DD9FE63" w14:textId="77777777" w:rsidR="002A41F4" w:rsidRDefault="002A41F4" w:rsidP="00A5184D">
          <w:pPr>
            <w:rPr>
              <w:rFonts w:cs="Times New Roman"/>
              <w:b/>
              <w:szCs w:val="24"/>
            </w:rPr>
          </w:pPr>
        </w:p>
        <w:p w14:paraId="59C1E26F" w14:textId="77777777" w:rsidR="002A41F4" w:rsidRDefault="002A41F4" w:rsidP="00A5184D">
          <w:pPr>
            <w:rPr>
              <w:rFonts w:cs="Times New Roman"/>
              <w:b/>
              <w:szCs w:val="24"/>
            </w:rPr>
          </w:pPr>
        </w:p>
        <w:p w14:paraId="483D79AC" w14:textId="1860A510" w:rsidR="00A5184D" w:rsidRPr="00A5184D" w:rsidRDefault="005966A8" w:rsidP="00A5184D">
          <w:pPr>
            <w:jc w:val="center"/>
            <w:rPr>
              <w:b/>
              <w:sz w:val="28"/>
              <w:szCs w:val="24"/>
            </w:rPr>
          </w:pPr>
          <w:r w:rsidRPr="00A5184D">
            <w:rPr>
              <w:b/>
              <w:sz w:val="28"/>
              <w:szCs w:val="24"/>
            </w:rPr>
            <w:t>Procedure</w:t>
          </w:r>
          <w:r w:rsidR="005E0A6D">
            <w:rPr>
              <w:b/>
              <w:sz w:val="28"/>
              <w:szCs w:val="24"/>
            </w:rPr>
            <w:t>s</w:t>
          </w:r>
          <w:r w:rsidRPr="00A5184D">
            <w:rPr>
              <w:b/>
              <w:sz w:val="28"/>
              <w:szCs w:val="24"/>
            </w:rPr>
            <w:t xml:space="preserve"> for the Calculation of the Maximum Distributable Amount</w:t>
          </w:r>
        </w:p>
        <w:p w14:paraId="6E7E47BE" w14:textId="3E61C7DF" w:rsidR="00C2284A" w:rsidRDefault="00C2284A" w:rsidP="00A5184D">
          <w:pPr>
            <w:rPr>
              <w:b/>
            </w:rPr>
          </w:pPr>
        </w:p>
        <w:p w14:paraId="4C334769" w14:textId="77777777" w:rsidR="00A5184D" w:rsidRDefault="00000000" w:rsidP="00A5184D">
          <w:pPr>
            <w:rPr>
              <w:rFonts w:cs="Times New Roman"/>
              <w:b/>
              <w:szCs w:val="24"/>
            </w:rPr>
          </w:pPr>
        </w:p>
      </w:sdtContent>
    </w:sdt>
    <w:bookmarkEnd w:id="1" w:displacedByCustomXml="prev"/>
    <w:p w14:paraId="7D933430" w14:textId="333A5081" w:rsidR="00C2284A" w:rsidRPr="006950DB" w:rsidRDefault="00000000" w:rsidP="00DB385B">
      <w:pPr>
        <w:jc w:val="right"/>
        <w:rPr>
          <w:rFonts w:cs="Times New Roman"/>
          <w:i/>
          <w:iCs/>
          <w:szCs w:val="24"/>
        </w:rPr>
      </w:pPr>
      <w:sdt>
        <w:sdtPr>
          <w:rPr>
            <w:rFonts w:cs="Times New Roman"/>
            <w:szCs w:val="24"/>
          </w:rPr>
          <w:id w:val="25447774"/>
          <w:placeholder>
            <w:docPart w:val="98504C0AB618413C9EC4BE47F5F78410"/>
          </w:placeholder>
          <w:showingPlcHdr/>
        </w:sdtPr>
        <w:sdtEndPr>
          <w:rPr>
            <w:i/>
            <w:iCs/>
          </w:rPr>
        </w:sdtEndPr>
        <w:sdtContent>
          <w:r w:rsidR="005966A8" w:rsidRPr="006950DB">
            <w:rPr>
              <w:i/>
              <w:iCs/>
            </w:rPr>
            <w:t>Issued pursuant to</w:t>
          </w:r>
        </w:sdtContent>
      </w:sdt>
    </w:p>
    <w:sdt>
      <w:sdtPr>
        <w:rPr>
          <w:rFonts w:cs="Times New Roman"/>
          <w:i/>
          <w:iCs/>
          <w:szCs w:val="24"/>
        </w:rPr>
        <w:id w:val="25447800"/>
        <w:placeholder>
          <w:docPart w:val="28124BB36BE14CD49C9428D8B18ACCB4"/>
        </w:placeholder>
      </w:sdtPr>
      <w:sdtContent>
        <w:p w14:paraId="1346127F" w14:textId="3B514402" w:rsidR="00301089" w:rsidRPr="006950DB" w:rsidRDefault="00915F10" w:rsidP="00DB385B">
          <w:pPr>
            <w:jc w:val="right"/>
            <w:rPr>
              <w:rFonts w:cs="Times New Roman"/>
              <w:i/>
              <w:iCs/>
              <w:szCs w:val="24"/>
            </w:rPr>
          </w:pPr>
          <w:r w:rsidRPr="006950DB">
            <w:rPr>
              <w:i/>
              <w:iCs/>
            </w:rPr>
            <w:t>Section 35.</w:t>
          </w:r>
          <w:r w:rsidRPr="006950DB">
            <w:rPr>
              <w:i/>
              <w:iCs/>
              <w:vertAlign w:val="superscript"/>
            </w:rPr>
            <w:t>27</w:t>
          </w:r>
          <w:r w:rsidR="00375904">
            <w:rPr>
              <w:i/>
              <w:iCs/>
            </w:rPr>
            <w:t>,</w:t>
          </w:r>
          <w:r w:rsidRPr="006950DB">
            <w:rPr>
              <w:i/>
              <w:iCs/>
            </w:rPr>
            <w:t xml:space="preserve"> </w:t>
          </w:r>
          <w:r w:rsidR="00375904">
            <w:rPr>
              <w:i/>
              <w:iCs/>
            </w:rPr>
            <w:t xml:space="preserve">Paragraph two </w:t>
          </w:r>
          <w:r w:rsidRPr="006950DB">
            <w:rPr>
              <w:i/>
              <w:iCs/>
            </w:rPr>
            <w:t>and Section 35.</w:t>
          </w:r>
          <w:r w:rsidRPr="006950DB">
            <w:rPr>
              <w:i/>
              <w:iCs/>
              <w:vertAlign w:val="superscript"/>
            </w:rPr>
            <w:t>35</w:t>
          </w:r>
          <w:r w:rsidR="00375904">
            <w:rPr>
              <w:i/>
              <w:iCs/>
            </w:rPr>
            <w:t>,</w:t>
          </w:r>
          <w:r w:rsidR="00375904">
            <w:rPr>
              <w:i/>
              <w:iCs/>
              <w:vertAlign w:val="superscript"/>
            </w:rPr>
            <w:t xml:space="preserve"> </w:t>
          </w:r>
          <w:r w:rsidR="00375904" w:rsidRPr="006950DB">
            <w:rPr>
              <w:i/>
              <w:iCs/>
            </w:rPr>
            <w:t>Paragraph two</w:t>
          </w:r>
        </w:p>
      </w:sdtContent>
    </w:sdt>
    <w:p w14:paraId="02404BC3" w14:textId="77777777" w:rsidR="00E43D58" w:rsidRDefault="005966A8" w:rsidP="00E43D58">
      <w:pPr>
        <w:jc w:val="right"/>
        <w:rPr>
          <w:i/>
          <w:iCs/>
        </w:rPr>
      </w:pPr>
      <w:r w:rsidRPr="006950DB">
        <w:rPr>
          <w:i/>
          <w:iCs/>
        </w:rPr>
        <w:t>of the Credit Institution Law</w:t>
      </w:r>
    </w:p>
    <w:p w14:paraId="78D5D538" w14:textId="77777777" w:rsidR="00A5184D" w:rsidRPr="006950DB" w:rsidRDefault="00A5184D" w:rsidP="00E43D58">
      <w:pPr>
        <w:jc w:val="right"/>
        <w:rPr>
          <w:rFonts w:cs="Times New Roman"/>
          <w:i/>
          <w:iCs/>
          <w:color w:val="808080"/>
          <w:szCs w:val="24"/>
        </w:rPr>
      </w:pPr>
    </w:p>
    <w:p w14:paraId="340EBD26" w14:textId="77777777" w:rsidR="00AB6248" w:rsidRDefault="00AB6248" w:rsidP="00A5184D">
      <w:pPr>
        <w:pStyle w:val="NAnodalaromiesucipari"/>
        <w:spacing w:before="0"/>
        <w:jc w:val="center"/>
      </w:pPr>
      <w:r w:rsidRPr="0064153B">
        <w:t>General Provision</w:t>
      </w:r>
    </w:p>
    <w:p w14:paraId="7AAC05F8" w14:textId="77777777" w:rsidR="00A5184D" w:rsidRPr="00A5184D" w:rsidRDefault="00A5184D" w:rsidP="00A5184D">
      <w:pPr>
        <w:pStyle w:val="NApunkts1"/>
        <w:numPr>
          <w:ilvl w:val="0"/>
          <w:numId w:val="0"/>
        </w:numPr>
        <w:spacing w:before="0"/>
      </w:pPr>
    </w:p>
    <w:p w14:paraId="347B23A3" w14:textId="77777777" w:rsidR="00AB6248" w:rsidRPr="0064153B" w:rsidRDefault="00AB6248" w:rsidP="00A5184D">
      <w:pPr>
        <w:pStyle w:val="NApunkts1"/>
        <w:spacing w:before="0"/>
      </w:pPr>
      <w:r w:rsidRPr="0064153B">
        <w:t>The Regulation prescribes the procedures for the calculation of the maximum distributable amount with regard to:</w:t>
      </w:r>
    </w:p>
    <w:p w14:paraId="7312ECF8" w14:textId="77777777" w:rsidR="00AB6248" w:rsidRPr="0064153B" w:rsidRDefault="00AB6248" w:rsidP="00A5184D">
      <w:pPr>
        <w:pStyle w:val="NApunkts2"/>
        <w:ind w:left="0" w:firstLine="709"/>
      </w:pPr>
      <w:r w:rsidRPr="0064153B">
        <w:t xml:space="preserve"> credit institutions registered in the Republic of Latvia, investment firms referred to in Section 11.</w:t>
      </w:r>
      <w:r w:rsidRPr="0064153B">
        <w:rPr>
          <w:vertAlign w:val="superscript"/>
        </w:rPr>
        <w:t xml:space="preserve">2 </w:t>
      </w:r>
      <w:r w:rsidRPr="0064153B">
        <w:t>of the Credit Institution Law, and investment firms referred to in Article 1(2) and (5) of Regulation (EU) 2019/2033 of the European Parliament and of the Council of 27 November 2019 on the prudential requirements of investment firms and amending Regulations (EU) No 1093/2010, (EU) No 575/2013, (EU) No 600/2014 and (EU) No 806/2014 which fail to meet the combined buffer requirement established in accordance with the requirements of Sections 35.</w:t>
      </w:r>
      <w:r w:rsidRPr="0064153B">
        <w:rPr>
          <w:vertAlign w:val="superscript"/>
        </w:rPr>
        <w:t>22</w:t>
      </w:r>
      <w:r w:rsidRPr="0064153B">
        <w:t>, 35.</w:t>
      </w:r>
      <w:r w:rsidRPr="0064153B">
        <w:rPr>
          <w:vertAlign w:val="superscript"/>
        </w:rPr>
        <w:t>23</w:t>
      </w:r>
      <w:r w:rsidRPr="0064153B">
        <w:t>, 35.</w:t>
      </w:r>
      <w:r w:rsidRPr="0064153B">
        <w:rPr>
          <w:vertAlign w:val="superscript"/>
        </w:rPr>
        <w:t>24</w:t>
      </w:r>
      <w:r w:rsidRPr="0064153B">
        <w:t>, and 35.</w:t>
      </w:r>
      <w:r w:rsidRPr="0064153B">
        <w:rPr>
          <w:vertAlign w:val="superscript"/>
        </w:rPr>
        <w:t xml:space="preserve">25 </w:t>
      </w:r>
      <w:r w:rsidRPr="0064153B">
        <w:t>of the Credit Institution Law (hereinafter together – the institution which fails to meet the combined buffer requirement);</w:t>
      </w:r>
    </w:p>
    <w:p w14:paraId="3819CE3F" w14:textId="2A15DA6E" w:rsidR="00AB6248" w:rsidRDefault="00AB6248" w:rsidP="00A5184D">
      <w:pPr>
        <w:pStyle w:val="NApunkts2"/>
        <w:ind w:left="0" w:firstLine="709"/>
      </w:pPr>
      <w:r w:rsidRPr="0064153B">
        <w:t>credit institutions registered in the Republic of Latvia which are global systemically important institutions within the meaning of point (133) of Article 4(1) of Regulation (EU) No 575/2013 of the European Parliament and of the Council of 26 June 2013 on prudential requirements for credit institutions and amending Regulation (EU) No 648/2012 (hereinafter – Regulation No 575/2013) and fail to meet the leverage ratio buffer requirement pursuant to Article 92(1a) of Regulation No 575/2013 (hereinafter – the institution which fails to meet the leverage ratio buffer requirement).</w:t>
      </w:r>
    </w:p>
    <w:p w14:paraId="5CC67313" w14:textId="77777777" w:rsidR="00A5184D" w:rsidRPr="0064153B" w:rsidRDefault="00A5184D" w:rsidP="00A5184D">
      <w:pPr>
        <w:pStyle w:val="NApunkts2"/>
        <w:numPr>
          <w:ilvl w:val="0"/>
          <w:numId w:val="0"/>
        </w:numPr>
        <w:ind w:left="709"/>
      </w:pPr>
    </w:p>
    <w:p w14:paraId="510A0CF2" w14:textId="77777777" w:rsidR="00AB6248" w:rsidRDefault="00AB6248" w:rsidP="001C0B37">
      <w:pPr>
        <w:pStyle w:val="NAnodalaromiesucipari"/>
        <w:keepNext/>
        <w:keepLines/>
        <w:spacing w:before="0"/>
        <w:jc w:val="center"/>
      </w:pPr>
      <w:r w:rsidRPr="0064153B">
        <w:lastRenderedPageBreak/>
        <w:t>Calculation of the Maximum Distributable Amount</w:t>
      </w:r>
    </w:p>
    <w:p w14:paraId="6F309AF7" w14:textId="77777777" w:rsidR="00A5184D" w:rsidRPr="00A5184D" w:rsidRDefault="00A5184D" w:rsidP="001C0B37">
      <w:pPr>
        <w:pStyle w:val="NApunkts1"/>
        <w:keepNext/>
        <w:keepLines/>
        <w:numPr>
          <w:ilvl w:val="0"/>
          <w:numId w:val="0"/>
        </w:numPr>
        <w:spacing w:before="0"/>
      </w:pPr>
    </w:p>
    <w:p w14:paraId="099F7363" w14:textId="77777777" w:rsidR="00AB6248" w:rsidRPr="0064153B" w:rsidRDefault="00AB6248" w:rsidP="001C0B37">
      <w:pPr>
        <w:pStyle w:val="NApunkts1"/>
        <w:keepNext/>
        <w:keepLines/>
        <w:spacing w:before="0"/>
      </w:pPr>
      <w:r w:rsidRPr="0064153B">
        <w:t>The maximum distributable amount shall be calculated as follows:</w:t>
      </w:r>
    </w:p>
    <w:p w14:paraId="451A5DC7" w14:textId="146E2097" w:rsidR="00AB6248" w:rsidRPr="0064153B" w:rsidRDefault="00AB6248" w:rsidP="001C0B37">
      <w:pPr>
        <w:pStyle w:val="NApunkts2"/>
        <w:keepNext/>
        <w:ind w:left="0" w:firstLine="709"/>
      </w:pPr>
      <w:r w:rsidRPr="0064153B">
        <w:t>the institution which fails to meet the combined buffer requirement shall multiply the sum calculated in accordance with Paragraph 3 of this Regulation by the factor determined in accordance with Paragraphs 4, 5, and 6 of this Regulation. The maximum distributable amount related to the failure to meet the combined buffer requirement shall be reduced by any amount resulting from any of the act</w:t>
      </w:r>
      <w:r w:rsidR="007E149E">
        <w:t>ions</w:t>
      </w:r>
      <w:r w:rsidRPr="0064153B">
        <w:t xml:space="preserve"> referred to in Section 35.</w:t>
      </w:r>
      <w:r w:rsidRPr="0064153B">
        <w:rPr>
          <w:vertAlign w:val="superscript"/>
        </w:rPr>
        <w:t>27</w:t>
      </w:r>
      <w:r w:rsidRPr="0064153B">
        <w:t>, Paragraph one, Clauses 1, 2, and 3 of the Credit Institution Law;</w:t>
      </w:r>
    </w:p>
    <w:p w14:paraId="1F8C79B4" w14:textId="39C14EDA" w:rsidR="00AB6248" w:rsidRDefault="00AB6248" w:rsidP="00A5184D">
      <w:pPr>
        <w:pStyle w:val="NApunkts2"/>
        <w:ind w:left="0" w:firstLine="709"/>
      </w:pPr>
      <w:r w:rsidRPr="0064153B">
        <w:t>the institution which fails to meet the leverage ratio buffer requirement shall multiply the sum calculated in accordance with Paragraph 3 of this Regulation by the factor determined in accordance with Paragraphs 8, 9, and 10 of this Regulation. The maximum distributable amount related to the failure to meet the leverage ratio buffer requirement shall be reduced by any amount resulting from any of the acti</w:t>
      </w:r>
      <w:r w:rsidR="000C4142">
        <w:t>ons</w:t>
      </w:r>
      <w:r w:rsidRPr="0064153B">
        <w:t xml:space="preserve"> referred to in Section 35.</w:t>
      </w:r>
      <w:r w:rsidRPr="0064153B">
        <w:rPr>
          <w:vertAlign w:val="superscript"/>
        </w:rPr>
        <w:t>35</w:t>
      </w:r>
      <w:r w:rsidRPr="0064153B">
        <w:t>, Paragraph one, Clauses 1, 2, and 3 of the Credit Institution Law.</w:t>
      </w:r>
    </w:p>
    <w:p w14:paraId="571E3E5F" w14:textId="77777777" w:rsidR="00A5184D" w:rsidRPr="0064153B" w:rsidRDefault="00A5184D" w:rsidP="005E0908">
      <w:pPr>
        <w:pStyle w:val="NApunkts2"/>
        <w:numPr>
          <w:ilvl w:val="0"/>
          <w:numId w:val="0"/>
        </w:numPr>
      </w:pPr>
    </w:p>
    <w:p w14:paraId="6B25C322" w14:textId="77777777" w:rsidR="00AB6248" w:rsidRPr="0064153B" w:rsidRDefault="00AB6248" w:rsidP="00A5184D">
      <w:pPr>
        <w:pStyle w:val="NApunkts1"/>
        <w:spacing w:before="0"/>
      </w:pPr>
      <w:bookmarkStart w:id="2" w:name="_Hlk133419644"/>
      <w:r w:rsidRPr="0064153B">
        <w:t>The sum multiplied in accordance with Paragraph 2 of this Regulation is composed of the total amount of items referred to in Sub-paragraph 3.1 of this Regulation reduced by the total amount of items referred to in Sub-paragraph 3.2 of this Regulation:</w:t>
      </w:r>
    </w:p>
    <w:p w14:paraId="22BBD9E7" w14:textId="77777777" w:rsidR="00AB6248" w:rsidRPr="0064153B" w:rsidRDefault="00AB6248" w:rsidP="00A5184D">
      <w:pPr>
        <w:pStyle w:val="NApunkts2"/>
        <w:ind w:left="0" w:firstLine="709"/>
      </w:pPr>
      <w:bookmarkStart w:id="3" w:name="_Hlk133419606"/>
      <w:bookmarkEnd w:id="2"/>
      <w:r w:rsidRPr="0064153B">
        <w:t>any interim profits and year-end profits if any of those is not included in the Common Equity Tier 1 capital according to Article 26(2) of Regulation No 575/2013 and is reduced by any distribution of profits or by any payment resulting from:</w:t>
      </w:r>
    </w:p>
    <w:p w14:paraId="1BA331C9" w14:textId="3DAA4540" w:rsidR="00AB6248" w:rsidRPr="0064153B" w:rsidRDefault="00AB6248" w:rsidP="00A5184D">
      <w:pPr>
        <w:pStyle w:val="NApunkts3"/>
        <w:ind w:left="709" w:firstLine="709"/>
      </w:pPr>
      <w:r w:rsidRPr="0064153B">
        <w:t>the acti</w:t>
      </w:r>
      <w:r w:rsidR="00162AA2">
        <w:t>ons</w:t>
      </w:r>
      <w:r w:rsidRPr="0064153B">
        <w:t xml:space="preserve"> referred to in Section 35.</w:t>
      </w:r>
      <w:r w:rsidRPr="0064153B">
        <w:rPr>
          <w:vertAlign w:val="superscript"/>
        </w:rPr>
        <w:t>27</w:t>
      </w:r>
      <w:r w:rsidRPr="0064153B">
        <w:t>, Paragraph one, Clauses 1, 2,</w:t>
      </w:r>
      <w:r w:rsidR="00A5184D">
        <w:t xml:space="preserve"> </w:t>
      </w:r>
      <w:r w:rsidRPr="0064153B">
        <w:t>and 3 of the Credit Institution Law</w:t>
      </w:r>
      <w:bookmarkEnd w:id="3"/>
      <w:r w:rsidRPr="0064153B">
        <w:t> – for the institution which fails to meet the combined buffer requirement;</w:t>
      </w:r>
    </w:p>
    <w:p w14:paraId="5EB9AEB4" w14:textId="615CD1EA" w:rsidR="00AB6248" w:rsidRPr="0064153B" w:rsidRDefault="00AB6248" w:rsidP="00A5184D">
      <w:pPr>
        <w:pStyle w:val="NApunkts3"/>
        <w:ind w:left="709" w:firstLine="709"/>
      </w:pPr>
      <w:r w:rsidRPr="0064153B">
        <w:t>the act</w:t>
      </w:r>
      <w:r w:rsidR="00162AA2">
        <w:t>ions</w:t>
      </w:r>
      <w:r w:rsidRPr="0064153B">
        <w:t xml:space="preserve"> referred to in Section 35.</w:t>
      </w:r>
      <w:r w:rsidRPr="0064153B">
        <w:rPr>
          <w:vertAlign w:val="superscript"/>
        </w:rPr>
        <w:t>35</w:t>
      </w:r>
      <w:r w:rsidRPr="0064153B">
        <w:t>, Paragraph one, Clauses 1, 2, and 3 of the Credit Institution Law – for the institution which fails to meet the leverage ratio buffer requirement;</w:t>
      </w:r>
    </w:p>
    <w:p w14:paraId="1470228F" w14:textId="77777777" w:rsidR="00AB6248" w:rsidRDefault="00AB6248" w:rsidP="00A5184D">
      <w:pPr>
        <w:pStyle w:val="NApunkts2"/>
        <w:ind w:left="0" w:firstLine="709"/>
      </w:pPr>
      <w:r w:rsidRPr="0064153B">
        <w:t>the total amount of tax payments due if the items referred to in Sub-paragraph 3.1 of this Regulation would not be distributed.</w:t>
      </w:r>
    </w:p>
    <w:p w14:paraId="74C8516E" w14:textId="77777777" w:rsidR="00A5184D" w:rsidRPr="0064153B" w:rsidRDefault="00A5184D" w:rsidP="00A5184D">
      <w:pPr>
        <w:pStyle w:val="NApunkts2"/>
        <w:numPr>
          <w:ilvl w:val="0"/>
          <w:numId w:val="0"/>
        </w:numPr>
      </w:pPr>
    </w:p>
    <w:p w14:paraId="2CEA8265" w14:textId="77777777" w:rsidR="00AB6248" w:rsidRDefault="00AB6248" w:rsidP="00A5184D">
      <w:pPr>
        <w:pStyle w:val="NAnodalaromiesucipari"/>
        <w:spacing w:before="0"/>
        <w:jc w:val="center"/>
      </w:pPr>
      <w:r w:rsidRPr="0064153B">
        <w:t>Procedures for the Calculation of the Factor and Quartile for the Institution which Fails to Meet the Combined Buffer Requirement</w:t>
      </w:r>
    </w:p>
    <w:p w14:paraId="57EFB151" w14:textId="77777777" w:rsidR="00A5184D" w:rsidRPr="00A5184D" w:rsidRDefault="00A5184D" w:rsidP="00A5184D">
      <w:pPr>
        <w:pStyle w:val="NApunkts1"/>
        <w:numPr>
          <w:ilvl w:val="0"/>
          <w:numId w:val="0"/>
        </w:numPr>
        <w:spacing w:before="0"/>
      </w:pPr>
    </w:p>
    <w:p w14:paraId="63A26620" w14:textId="1C8D9AAB" w:rsidR="00A5184D" w:rsidRDefault="00AB6248" w:rsidP="00A5184D">
      <w:pPr>
        <w:pStyle w:val="NApunkts1"/>
        <w:spacing w:before="0"/>
      </w:pPr>
      <w:r w:rsidRPr="0064153B">
        <w:t>The factor shall be determined pursuant to the Common Equity Tier 1 capital maintained by the institution which fails to meet the combined buffer requirement but not used to meet any of the own funds requirements set out in Paragraph 5 of this Regulation, expressed as a percentage of the total risk exposure amount calculated in accordance with Article 92(3) of Regulation No 575/2013 (hereinafter – the unused Common Equity Tier 1 capital).</w:t>
      </w:r>
    </w:p>
    <w:p w14:paraId="04309109" w14:textId="77777777" w:rsidR="00A5184D" w:rsidRPr="0064153B" w:rsidRDefault="00A5184D" w:rsidP="00A5184D">
      <w:pPr>
        <w:pStyle w:val="NApunkts1"/>
        <w:numPr>
          <w:ilvl w:val="0"/>
          <w:numId w:val="0"/>
        </w:numPr>
        <w:spacing w:before="0"/>
      </w:pPr>
    </w:p>
    <w:p w14:paraId="7DF66649" w14:textId="77777777" w:rsidR="00AB6248" w:rsidRPr="0064153B" w:rsidRDefault="00AB6248" w:rsidP="00A5184D">
      <w:pPr>
        <w:pStyle w:val="NApunkts1"/>
        <w:spacing w:before="0"/>
      </w:pPr>
      <w:r w:rsidRPr="0064153B">
        <w:t xml:space="preserve">The own funds requirements referred to in Paragraph 4 of this Regulation shall be as follows: </w:t>
      </w:r>
    </w:p>
    <w:p w14:paraId="70BEEF95" w14:textId="77777777" w:rsidR="00AB6248" w:rsidRPr="0064153B" w:rsidRDefault="00AB6248" w:rsidP="00A5184D">
      <w:pPr>
        <w:pStyle w:val="NApunkts2"/>
        <w:ind w:left="0" w:firstLine="709"/>
      </w:pPr>
      <w:r w:rsidRPr="0064153B">
        <w:t xml:space="preserve">any of the own funds requirements laid down in points (a), (b), and (c) of Article 92(1) of Regulation No 575/2013; </w:t>
      </w:r>
    </w:p>
    <w:p w14:paraId="67FA2B13" w14:textId="77777777" w:rsidR="00AB6248" w:rsidRDefault="00AB6248" w:rsidP="00A5184D">
      <w:pPr>
        <w:pStyle w:val="NApunkts2"/>
        <w:ind w:left="0" w:firstLine="709"/>
      </w:pPr>
      <w:r w:rsidRPr="0064153B">
        <w:t>the additional own funds requirement laid down in accordance with Section 101.</w:t>
      </w:r>
      <w:r w:rsidRPr="0064153B">
        <w:rPr>
          <w:vertAlign w:val="superscript"/>
        </w:rPr>
        <w:t>3</w:t>
      </w:r>
      <w:r w:rsidRPr="0064153B">
        <w:t>, Paragraph 4.</w:t>
      </w:r>
      <w:r w:rsidRPr="0064153B">
        <w:rPr>
          <w:vertAlign w:val="superscript"/>
        </w:rPr>
        <w:t>4</w:t>
      </w:r>
      <w:r w:rsidRPr="0064153B">
        <w:t>, Clause 1 of the Credit Institution Law and addressing risks other than the risk of excessive leverage.</w:t>
      </w:r>
    </w:p>
    <w:p w14:paraId="56BB8D23" w14:textId="77777777" w:rsidR="00A5184D" w:rsidRPr="0064153B" w:rsidRDefault="00A5184D" w:rsidP="00A5184D">
      <w:pPr>
        <w:pStyle w:val="NApunkts2"/>
        <w:numPr>
          <w:ilvl w:val="0"/>
          <w:numId w:val="0"/>
        </w:numPr>
      </w:pPr>
    </w:p>
    <w:p w14:paraId="0353732A" w14:textId="77777777" w:rsidR="00AB6248" w:rsidRPr="0064153B" w:rsidRDefault="00AB6248" w:rsidP="00A5184D">
      <w:pPr>
        <w:pStyle w:val="NApunkts1"/>
        <w:spacing w:before="0"/>
      </w:pPr>
      <w:r w:rsidRPr="0064153B">
        <w:t>The factor referred to in Paragraph 4 of this Regulation shall be:</w:t>
      </w:r>
    </w:p>
    <w:p w14:paraId="3375BE04" w14:textId="77777777" w:rsidR="00AB6248" w:rsidRPr="0064153B" w:rsidRDefault="00AB6248" w:rsidP="00A5184D">
      <w:pPr>
        <w:pStyle w:val="NApunkts2"/>
        <w:ind w:left="0" w:firstLine="709"/>
      </w:pPr>
      <w:r w:rsidRPr="0064153B">
        <w:t>0 if the unused Common Equity Tier 1 capital is within the first (that is, the lowest) quartile of the combined buffer requirement;</w:t>
      </w:r>
    </w:p>
    <w:p w14:paraId="47077C4B" w14:textId="77777777" w:rsidR="00AB6248" w:rsidRPr="0064153B" w:rsidRDefault="00AB6248" w:rsidP="00A5184D">
      <w:pPr>
        <w:pStyle w:val="NApunkts2"/>
        <w:ind w:left="0" w:firstLine="709"/>
      </w:pPr>
      <w:r w:rsidRPr="0064153B">
        <w:lastRenderedPageBreak/>
        <w:t>0.2 if the unused Common Equity Tier 1 capital is within the second quartile of the combined buffer requirement;</w:t>
      </w:r>
    </w:p>
    <w:p w14:paraId="053815C0" w14:textId="77777777" w:rsidR="00AB6248" w:rsidRPr="0064153B" w:rsidRDefault="00AB6248" w:rsidP="00A5184D">
      <w:pPr>
        <w:pStyle w:val="NApunkts2"/>
        <w:ind w:left="0" w:firstLine="709"/>
      </w:pPr>
      <w:r w:rsidRPr="0064153B">
        <w:t>0.4 if the unused Common Equity Tier 1 capital is within the third quartile of the combined buffer requirement;</w:t>
      </w:r>
    </w:p>
    <w:p w14:paraId="53A72BAF" w14:textId="77777777" w:rsidR="00AB6248" w:rsidRDefault="00AB6248" w:rsidP="00A5184D">
      <w:pPr>
        <w:pStyle w:val="NApunkts2"/>
        <w:ind w:left="0" w:firstLine="709"/>
      </w:pPr>
      <w:r w:rsidRPr="0064153B">
        <w:t>0.6 if the unused Common Equity Tier 1 capital is within the fourth (that is, the highest) quartile of the combined buffer requirement.</w:t>
      </w:r>
    </w:p>
    <w:p w14:paraId="59E517B7" w14:textId="77777777" w:rsidR="00A5184D" w:rsidRPr="0064153B" w:rsidRDefault="00A5184D" w:rsidP="00A5184D">
      <w:pPr>
        <w:pStyle w:val="NApunkts2"/>
        <w:numPr>
          <w:ilvl w:val="0"/>
          <w:numId w:val="0"/>
        </w:numPr>
      </w:pPr>
    </w:p>
    <w:p w14:paraId="4F43B69C" w14:textId="77777777" w:rsidR="00AB6248" w:rsidRDefault="00AB6248" w:rsidP="00A5184D">
      <w:pPr>
        <w:pStyle w:val="NApunkts1"/>
        <w:keepNext/>
        <w:keepLines/>
        <w:spacing w:before="0"/>
      </w:pPr>
      <w:r w:rsidRPr="0064153B">
        <w:t>The lower and upper bounds of each quartile of the combined buffer requirement shall be calculated as follows:</w:t>
      </w:r>
    </w:p>
    <w:p w14:paraId="08556DED" w14:textId="77777777" w:rsidR="009E16E5" w:rsidRPr="0064153B" w:rsidRDefault="009E16E5" w:rsidP="00A5184D">
      <w:pPr>
        <w:pStyle w:val="NApunkts1"/>
        <w:keepNext/>
        <w:keepLines/>
        <w:numPr>
          <w:ilvl w:val="0"/>
          <w:numId w:val="0"/>
        </w:numPr>
        <w:spacing w:before="0"/>
      </w:pPr>
    </w:p>
    <w:p w14:paraId="27D0818A" w14:textId="30B6A876" w:rsidR="004F58F6" w:rsidRPr="005657B7" w:rsidRDefault="003229CC" w:rsidP="00A41F27">
      <w:pPr>
        <w:pStyle w:val="NApunkts1"/>
        <w:numPr>
          <w:ilvl w:val="0"/>
          <w:numId w:val="0"/>
        </w:numPr>
        <w:rPr>
          <w:rFonts w:ascii="Cambria Math" w:hAnsi="Cambria Math"/>
        </w:rPr>
      </w:pPr>
      <m:oMathPara>
        <m:oMath>
          <m:r>
            <m:rPr>
              <m:nor/>
            </m:rPr>
            <w:rPr>
              <w:rFonts w:ascii="Cambria Math" w:hAnsi="Cambria Math"/>
            </w:rPr>
            <m:t>Lower bound of quartile</m:t>
          </m:r>
          <m:r>
            <m:rPr>
              <m:sty m:val="p"/>
            </m:rPr>
            <w:rPr>
              <w:rFonts w:ascii="Cambria Math" w:hAnsi="Cambria Math"/>
            </w:rPr>
            <m:t>=</m:t>
          </m:r>
          <m:f>
            <m:fPr>
              <m:ctrlPr>
                <w:rPr>
                  <w:rFonts w:ascii="Cambria Math" w:hAnsi="Cambria Math"/>
                </w:rPr>
              </m:ctrlPr>
            </m:fPr>
            <m:num>
              <m:r>
                <m:rPr>
                  <m:sty m:val="p"/>
                </m:rPr>
                <w:rPr>
                  <w:rFonts w:ascii="Cambria Math" w:hAnsi="Cambria Math"/>
                </w:rPr>
                <m:t>Combined buffer requirement</m:t>
              </m:r>
            </m:num>
            <m:den>
              <m:r>
                <m:rPr>
                  <m:sty m:val="p"/>
                </m:rPr>
                <w:rPr>
                  <w:rFonts w:ascii="Cambria Math" w:hAnsi="Cambria Math"/>
                </w:rPr>
                <m:t>4</m:t>
              </m:r>
            </m:den>
          </m:f>
          <m:r>
            <m:rPr>
              <m:sty m:val="p"/>
            </m:rPr>
            <w:rPr>
              <w:rFonts w:ascii="Cambria Math" w:hAnsi="Cambria Math" w:hint="eastAsia"/>
            </w:rPr>
            <m:t>×</m:t>
          </m:r>
          <m:d>
            <m:dPr>
              <m:ctrlPr>
                <w:rPr>
                  <w:rFonts w:ascii="Cambria Math" w:hAnsi="Cambria Math"/>
                </w:rPr>
              </m:ctrlPr>
            </m:dPr>
            <m:e>
              <m:sSub>
                <m:sSubPr>
                  <m:ctrlPr>
                    <w:rPr>
                      <w:rFonts w:ascii="Cambria Math" w:hAnsi="Cambria Math"/>
                      <w:iCs/>
                      <w:vertAlign w:val="subscript"/>
                    </w:rPr>
                  </m:ctrlPr>
                </m:sSubPr>
                <m:e>
                  <m:r>
                    <m:rPr>
                      <m:sty m:val="p"/>
                    </m:rPr>
                    <w:rPr>
                      <w:rFonts w:ascii="Cambria Math" w:hAnsi="Cambria Math"/>
                      <w:vertAlign w:val="subscript"/>
                    </w:rPr>
                    <m:t>Q</m:t>
                  </m:r>
                </m:e>
                <m:sub>
                  <m:r>
                    <m:rPr>
                      <m:sty m:val="p"/>
                    </m:rPr>
                    <w:rPr>
                      <w:rFonts w:ascii="Cambria Math" w:hAnsi="Cambria Math"/>
                      <w:vertAlign w:val="subscript"/>
                    </w:rPr>
                    <m:t>n</m:t>
                  </m:r>
                </m:sub>
              </m:sSub>
              <m:r>
                <m:rPr>
                  <m:sty m:val="p"/>
                </m:rPr>
                <w:rPr>
                  <w:rFonts w:ascii="Cambria Math" w:hAnsi="Cambria Math"/>
                </w:rPr>
                <m:t>-1</m:t>
              </m:r>
            </m:e>
          </m:d>
        </m:oMath>
      </m:oMathPara>
    </w:p>
    <w:p w14:paraId="05064E1F" w14:textId="4138D9F9" w:rsidR="004F58F6" w:rsidRPr="005657B7" w:rsidRDefault="003229CC" w:rsidP="007C14CA">
      <w:pPr>
        <w:pStyle w:val="NApunkts1"/>
        <w:numPr>
          <w:ilvl w:val="0"/>
          <w:numId w:val="0"/>
        </w:numPr>
        <w:rPr>
          <w:rFonts w:ascii="Cambria Math" w:hAnsi="Cambria Math"/>
          <w:vertAlign w:val="subscript"/>
        </w:rPr>
      </w:pPr>
      <m:oMathPara>
        <m:oMath>
          <m:r>
            <m:rPr>
              <m:nor/>
            </m:rPr>
            <w:rPr>
              <w:rFonts w:ascii="Cambria Math" w:hAnsi="Cambria Math"/>
            </w:rPr>
            <m:t>Upper bound of quartile</m:t>
          </m:r>
          <m:r>
            <m:rPr>
              <m:sty m:val="p"/>
            </m:rPr>
            <w:rPr>
              <w:rFonts w:ascii="Cambria Math" w:hAnsi="Cambria Math"/>
            </w:rPr>
            <m:t>=</m:t>
          </m:r>
          <m:f>
            <m:fPr>
              <m:ctrlPr>
                <w:rPr>
                  <w:rFonts w:ascii="Cambria Math" w:hAnsi="Cambria Math"/>
                </w:rPr>
              </m:ctrlPr>
            </m:fPr>
            <m:num>
              <m:r>
                <m:rPr>
                  <m:sty m:val="p"/>
                </m:rPr>
                <w:rPr>
                  <w:rFonts w:ascii="Cambria Math" w:hAnsi="Cambria Math"/>
                </w:rPr>
                <m:t>Combined buffer requirement</m:t>
              </m:r>
            </m:num>
            <m:den>
              <m:r>
                <m:rPr>
                  <m:sty m:val="p"/>
                </m:rPr>
                <w:rPr>
                  <w:rFonts w:ascii="Cambria Math" w:hAnsi="Cambria Math"/>
                </w:rPr>
                <m:t>4</m:t>
              </m:r>
            </m:den>
          </m:f>
          <m:r>
            <m:rPr>
              <m:sty m:val="p"/>
            </m:rPr>
            <w:rPr>
              <w:rFonts w:ascii="Cambria Math" w:hAnsi="Cambria Math"/>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r>
            <m:rPr>
              <m:sty m:val="p"/>
            </m:rPr>
            <w:rPr>
              <w:rFonts w:ascii="Cambria Math" w:hAnsi="Cambria Math"/>
              <w:vertAlign w:val="subscript"/>
            </w:rPr>
            <m:t xml:space="preserve">, </m:t>
          </m:r>
        </m:oMath>
      </m:oMathPara>
    </w:p>
    <w:p w14:paraId="149E5A98" w14:textId="77777777" w:rsidR="009E16E5" w:rsidRDefault="009E16E5" w:rsidP="007C14CA">
      <w:pPr>
        <w:pStyle w:val="NApunkts1"/>
        <w:numPr>
          <w:ilvl w:val="0"/>
          <w:numId w:val="0"/>
        </w:numPr>
      </w:pPr>
    </w:p>
    <w:p w14:paraId="5DEFBD92" w14:textId="5066D8F7" w:rsidR="007D5BBE" w:rsidRDefault="007D5BBE" w:rsidP="007C14CA">
      <w:pPr>
        <w:pStyle w:val="NApunkts1"/>
        <w:numPr>
          <w:ilvl w:val="0"/>
          <w:numId w:val="0"/>
        </w:numPr>
      </w:pPr>
      <w:r>
        <w:t xml:space="preserve">where </w:t>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oMath>
      <w:r>
        <w:rPr>
          <w:vertAlign w:val="subscript"/>
        </w:rPr>
        <w:t> </w:t>
      </w:r>
      <w:r>
        <w:t>is the ordinal number of the quartile concerned.</w:t>
      </w:r>
    </w:p>
    <w:p w14:paraId="793D7E83" w14:textId="77777777" w:rsidR="00A5184D" w:rsidRDefault="00A5184D" w:rsidP="007C14CA">
      <w:pPr>
        <w:pStyle w:val="NApunkts1"/>
        <w:numPr>
          <w:ilvl w:val="0"/>
          <w:numId w:val="0"/>
        </w:numPr>
      </w:pPr>
    </w:p>
    <w:p w14:paraId="2485BD09" w14:textId="77777777" w:rsidR="009E16E5" w:rsidRDefault="009E16E5" w:rsidP="00A5184D">
      <w:pPr>
        <w:pStyle w:val="NAnodalaromiesucipari"/>
        <w:spacing w:before="0"/>
        <w:jc w:val="center"/>
      </w:pPr>
      <w:r w:rsidRPr="0064153B">
        <w:t>Procedures for the Calculation of the Factor and Quartile for the Institution which Fails to Meet the Leverage Ratio Buffer Requirement</w:t>
      </w:r>
    </w:p>
    <w:p w14:paraId="67F1A037" w14:textId="77777777" w:rsidR="00A5184D" w:rsidRPr="00A5184D" w:rsidRDefault="00A5184D" w:rsidP="00A5184D">
      <w:pPr>
        <w:pStyle w:val="NApunkts1"/>
        <w:numPr>
          <w:ilvl w:val="0"/>
          <w:numId w:val="0"/>
        </w:numPr>
      </w:pPr>
    </w:p>
    <w:p w14:paraId="39B1D00C" w14:textId="77777777" w:rsidR="009E16E5" w:rsidRDefault="009E16E5" w:rsidP="00A5184D">
      <w:pPr>
        <w:pStyle w:val="NApunkts1"/>
        <w:spacing w:before="0"/>
      </w:pPr>
      <w:r w:rsidRPr="0064153B">
        <w:t>The factor shall be determined pursuant to the Tier 1 capital maintained by the institution which fails to meet the leverage ratio buffer requirement but not used to meet any of the own funds requirements set out in Paragraph 9 of this Regulation, expressed as a percentage of the total exposure measure calculated in accordance with the requirements of Article 429(4) of Regulation No 575/2013 (hereinafter – the unused Tier 1 capital).</w:t>
      </w:r>
    </w:p>
    <w:p w14:paraId="74B792C3" w14:textId="77777777" w:rsidR="002D6AEA" w:rsidRPr="0064153B" w:rsidRDefault="002D6AEA" w:rsidP="002D6AEA">
      <w:pPr>
        <w:pStyle w:val="NApunkts1"/>
        <w:numPr>
          <w:ilvl w:val="0"/>
          <w:numId w:val="0"/>
        </w:numPr>
        <w:spacing w:before="0"/>
      </w:pPr>
    </w:p>
    <w:p w14:paraId="758724AA" w14:textId="77777777" w:rsidR="009E16E5" w:rsidRPr="0064153B" w:rsidRDefault="009E16E5" w:rsidP="00A5184D">
      <w:pPr>
        <w:pStyle w:val="NApunkts1"/>
        <w:spacing w:before="0"/>
      </w:pPr>
      <w:r w:rsidRPr="0064153B">
        <w:t>The own funds requirements referred to in Paragraph 8 of this Regulation shall be as follows:</w:t>
      </w:r>
    </w:p>
    <w:p w14:paraId="5C967276" w14:textId="77777777" w:rsidR="009E16E5" w:rsidRPr="0064153B" w:rsidRDefault="009E16E5" w:rsidP="00A5184D">
      <w:pPr>
        <w:pStyle w:val="NApunkts2"/>
        <w:ind w:left="0" w:firstLine="709"/>
      </w:pPr>
      <w:r w:rsidRPr="0064153B">
        <w:t xml:space="preserve"> the own funds requirement laid down in point (d) of Article 92(1) of Regulation No 575/2013;</w:t>
      </w:r>
    </w:p>
    <w:p w14:paraId="12B1F781" w14:textId="77777777" w:rsidR="009E16E5" w:rsidRDefault="009E16E5" w:rsidP="00A5184D">
      <w:pPr>
        <w:pStyle w:val="NApunkts2"/>
        <w:ind w:left="0" w:firstLine="709"/>
      </w:pPr>
      <w:r w:rsidRPr="0064153B">
        <w:t>the additional own funds requirement laid down in accordance with Section 101.</w:t>
      </w:r>
      <w:r w:rsidRPr="0064153B">
        <w:rPr>
          <w:vertAlign w:val="superscript"/>
        </w:rPr>
        <w:t>3</w:t>
      </w:r>
      <w:r w:rsidRPr="0064153B">
        <w:t>, Paragraph 4.</w:t>
      </w:r>
      <w:r w:rsidRPr="0064153B">
        <w:rPr>
          <w:vertAlign w:val="superscript"/>
        </w:rPr>
        <w:t>4</w:t>
      </w:r>
      <w:r w:rsidRPr="0064153B">
        <w:t>, Clause 1 of the Credit Institution Law and addressing the risk of excessive leverage not sufficiently covered by point (d) of Article 92(1) of Regulation No 575/2013.</w:t>
      </w:r>
    </w:p>
    <w:p w14:paraId="57C3C35C" w14:textId="77777777" w:rsidR="002D6AEA" w:rsidRPr="0064153B" w:rsidRDefault="002D6AEA" w:rsidP="002D6AEA">
      <w:pPr>
        <w:pStyle w:val="NApunkts2"/>
        <w:numPr>
          <w:ilvl w:val="0"/>
          <w:numId w:val="0"/>
        </w:numPr>
      </w:pPr>
    </w:p>
    <w:p w14:paraId="5070D326" w14:textId="77777777" w:rsidR="009E16E5" w:rsidRPr="0064153B" w:rsidRDefault="009E16E5" w:rsidP="00A5184D">
      <w:pPr>
        <w:pStyle w:val="NApunkts1"/>
        <w:spacing w:before="0"/>
      </w:pPr>
      <w:r w:rsidRPr="0064153B">
        <w:t>The factor referred to in Paragraph 8 of this Regulation shall be:</w:t>
      </w:r>
    </w:p>
    <w:p w14:paraId="136136FE" w14:textId="77777777" w:rsidR="009E16E5" w:rsidRPr="0064153B" w:rsidRDefault="009E16E5" w:rsidP="00A5184D">
      <w:pPr>
        <w:pStyle w:val="NApunkts2"/>
        <w:ind w:left="0" w:firstLine="709"/>
      </w:pPr>
      <w:r w:rsidRPr="0064153B">
        <w:t>0 if the unused Tier 1 capital is within the first (that is, the lowest) quartile of the leverage ratio buffer requirement;</w:t>
      </w:r>
    </w:p>
    <w:p w14:paraId="13876E1E" w14:textId="77777777" w:rsidR="009E16E5" w:rsidRPr="0064153B" w:rsidRDefault="009E16E5" w:rsidP="00A5184D">
      <w:pPr>
        <w:pStyle w:val="NApunkts2"/>
        <w:ind w:left="0" w:firstLine="709"/>
      </w:pPr>
      <w:r w:rsidRPr="0064153B">
        <w:t>0.2 if the unused Tier 1 capital is within the second quartile of the leverage ratio buffer requirement;</w:t>
      </w:r>
    </w:p>
    <w:p w14:paraId="4D981F15" w14:textId="77777777" w:rsidR="009E16E5" w:rsidRPr="0064153B" w:rsidRDefault="009E16E5" w:rsidP="00A5184D">
      <w:pPr>
        <w:pStyle w:val="NApunkts2"/>
        <w:ind w:left="0" w:firstLine="709"/>
      </w:pPr>
      <w:r w:rsidRPr="0064153B">
        <w:t>0.4 if the unused Tier 1 capital is within the third quartile of the leverage ratio buffer requirement;</w:t>
      </w:r>
    </w:p>
    <w:p w14:paraId="58C01E8C" w14:textId="5B876263" w:rsidR="002D6AEA" w:rsidRDefault="009E16E5" w:rsidP="002D6AEA">
      <w:pPr>
        <w:pStyle w:val="NApunkts2"/>
        <w:ind w:left="0" w:firstLine="709"/>
      </w:pPr>
      <w:r w:rsidRPr="0064153B">
        <w:t>0.6 if the unused Tier 1 capital is within the fourth (that is, the highest) quartile of the leverage ratio buffer requirement.</w:t>
      </w:r>
    </w:p>
    <w:p w14:paraId="7FA64C52" w14:textId="77777777" w:rsidR="002D6AEA" w:rsidRPr="0064153B" w:rsidRDefault="002D6AEA" w:rsidP="002D6AEA">
      <w:pPr>
        <w:pStyle w:val="NApunkts2"/>
        <w:numPr>
          <w:ilvl w:val="0"/>
          <w:numId w:val="0"/>
        </w:numPr>
      </w:pPr>
    </w:p>
    <w:p w14:paraId="2D9FD5CF" w14:textId="2F3971AF" w:rsidR="009E16E5" w:rsidRDefault="009E16E5" w:rsidP="00A5184D">
      <w:pPr>
        <w:pStyle w:val="NApunkts1"/>
        <w:spacing w:before="0"/>
      </w:pPr>
      <w:r w:rsidRPr="0064153B">
        <w:lastRenderedPageBreak/>
        <w:t>The lower and upper bounds of each quartile of the leverage ratio buffer requirement shall be calculated as follows:</w:t>
      </w:r>
    </w:p>
    <w:p w14:paraId="22220A67" w14:textId="77777777" w:rsidR="009E16E5" w:rsidRPr="0064153B" w:rsidRDefault="009E16E5" w:rsidP="009E16E5">
      <w:pPr>
        <w:pStyle w:val="NApunkts1"/>
        <w:numPr>
          <w:ilvl w:val="0"/>
          <w:numId w:val="0"/>
        </w:numPr>
      </w:pPr>
    </w:p>
    <w:p w14:paraId="59C67104" w14:textId="426D27D9" w:rsidR="000B2CC6" w:rsidRPr="005657B7" w:rsidRDefault="003229CC" w:rsidP="00A41F27">
      <w:pPr>
        <w:pStyle w:val="NApunkts1"/>
        <w:numPr>
          <w:ilvl w:val="0"/>
          <w:numId w:val="0"/>
        </w:numPr>
        <w:rPr>
          <w:rFonts w:ascii="Cambria Math" w:hAnsi="Cambria Math"/>
        </w:rPr>
      </w:pPr>
      <m:oMathPara>
        <m:oMath>
          <m:r>
            <m:rPr>
              <m:nor/>
            </m:rPr>
            <w:rPr>
              <w:rFonts w:ascii="Cambria Math" w:hAnsi="Cambria Math"/>
            </w:rPr>
            <m:t>Lower bound of quartile</m:t>
          </m:r>
          <m:r>
            <m:rPr>
              <m:sty m:val="p"/>
            </m:rPr>
            <w:rPr>
              <w:rFonts w:ascii="Cambria Math" w:hAnsi="Cambria Math"/>
            </w:rPr>
            <m:t>=</m:t>
          </m:r>
          <m:f>
            <m:fPr>
              <m:ctrlPr>
                <w:rPr>
                  <w:rFonts w:ascii="Cambria Math" w:hAnsi="Cambria Math"/>
                </w:rPr>
              </m:ctrlPr>
            </m:fPr>
            <m:num>
              <m:r>
                <m:rPr>
                  <m:sty m:val="p"/>
                </m:rPr>
                <w:rPr>
                  <w:rFonts w:ascii="Cambria Math" w:hAnsi="Cambria Math"/>
                </w:rPr>
                <m:t>Leverage ratio buffer requirement</m:t>
              </m:r>
            </m:num>
            <m:den>
              <m:r>
                <m:rPr>
                  <m:sty m:val="p"/>
                </m:rPr>
                <w:rPr>
                  <w:rFonts w:ascii="Cambria Math" w:hAnsi="Cambria Math"/>
                </w:rPr>
                <m:t>4</m:t>
              </m:r>
            </m:den>
          </m:f>
          <m:r>
            <m:rPr>
              <m:sty m:val="p"/>
            </m:rPr>
            <w:rPr>
              <w:rFonts w:ascii="Cambria Math" w:hAnsi="Cambria Math" w:hint="eastAsia"/>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r>
                <m:rPr>
                  <m:sty m:val="p"/>
                </m:rPr>
                <w:rPr>
                  <w:rFonts w:ascii="Cambria Math" w:hAnsi="Cambria Math"/>
                </w:rPr>
                <m:t>-1</m:t>
              </m:r>
            </m:e>
          </m:d>
        </m:oMath>
      </m:oMathPara>
    </w:p>
    <w:p w14:paraId="2CEA9CD8" w14:textId="42474813" w:rsidR="006564BE" w:rsidRPr="005657B7" w:rsidRDefault="003229CC" w:rsidP="007C14CA">
      <w:pPr>
        <w:pStyle w:val="NApunkts1"/>
        <w:numPr>
          <w:ilvl w:val="0"/>
          <w:numId w:val="0"/>
        </w:numPr>
        <w:rPr>
          <w:rFonts w:ascii="Cambria Math" w:hAnsi="Cambria Math"/>
          <w:vertAlign w:val="subscript"/>
        </w:rPr>
      </w:pPr>
      <m:oMathPara>
        <m:oMath>
          <m:r>
            <m:rPr>
              <m:nor/>
            </m:rPr>
            <w:rPr>
              <w:rFonts w:ascii="Cambria Math" w:hAnsi="Cambria Math"/>
            </w:rPr>
            <m:t>Upper bound of quartile</m:t>
          </m:r>
          <m:r>
            <m:rPr>
              <m:sty m:val="p"/>
            </m:rPr>
            <w:rPr>
              <w:rFonts w:ascii="Cambria Math" w:hAnsi="Cambria Math"/>
            </w:rPr>
            <m:t>=</m:t>
          </m:r>
          <m:f>
            <m:fPr>
              <m:ctrlPr>
                <w:rPr>
                  <w:rFonts w:ascii="Cambria Math" w:hAnsi="Cambria Math"/>
                </w:rPr>
              </m:ctrlPr>
            </m:fPr>
            <m:num>
              <m:r>
                <m:rPr>
                  <m:sty m:val="p"/>
                </m:rPr>
                <w:rPr>
                  <w:rFonts w:ascii="Cambria Math" w:hAnsi="Cambria Math"/>
                </w:rPr>
                <m:t>Leverage ratio buffer requirement</m:t>
              </m:r>
            </m:num>
            <m:den>
              <m:r>
                <m:rPr>
                  <m:sty m:val="p"/>
                </m:rPr>
                <w:rPr>
                  <w:rFonts w:ascii="Cambria Math" w:hAnsi="Cambria Math"/>
                </w:rPr>
                <m:t>4</m:t>
              </m:r>
            </m:den>
          </m:f>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n</m:t>
              </m:r>
            </m:sub>
          </m:sSub>
          <m:r>
            <m:rPr>
              <m:sty m:val="p"/>
            </m:rPr>
            <w:rPr>
              <w:rFonts w:ascii="Cambria Math" w:hAnsi="Cambria Math"/>
              <w:vertAlign w:val="subscript"/>
            </w:rPr>
            <m:t>,</m:t>
          </m:r>
        </m:oMath>
      </m:oMathPara>
    </w:p>
    <w:p w14:paraId="79AE3D2E" w14:textId="77777777" w:rsidR="009E16E5" w:rsidRDefault="009E16E5" w:rsidP="007C14CA">
      <w:pPr>
        <w:pStyle w:val="NApunkts1"/>
        <w:numPr>
          <w:ilvl w:val="0"/>
          <w:numId w:val="0"/>
        </w:numPr>
      </w:pPr>
    </w:p>
    <w:p w14:paraId="3F8FD4A6" w14:textId="1A062B0C" w:rsidR="000B2CC6" w:rsidRDefault="000B2CC6" w:rsidP="00A5184D">
      <w:pPr>
        <w:pStyle w:val="NApunkts1"/>
        <w:numPr>
          <w:ilvl w:val="0"/>
          <w:numId w:val="0"/>
        </w:numPr>
        <w:spacing w:before="0"/>
      </w:pPr>
      <w:r>
        <w:t xml:space="preserve">where </w:t>
      </w:r>
      <m:oMath>
        <m:sSub>
          <m:sSubPr>
            <m:ctrlPr>
              <w:rPr>
                <w:rFonts w:ascii="Cambria Math" w:hAnsi="Cambria Math"/>
                <w:i/>
              </w:rPr>
            </m:ctrlPr>
          </m:sSubPr>
          <m:e>
            <m:r>
              <m:rPr>
                <m:sty m:val="p"/>
              </m:rPr>
              <w:rPr>
                <w:rFonts w:ascii="Cambria Math" w:hAnsi="Cambria Math"/>
              </w:rPr>
              <m:t>Q</m:t>
            </m:r>
          </m:e>
          <m:sub>
            <m:r>
              <m:rPr>
                <m:sty m:val="p"/>
              </m:rPr>
              <w:rPr>
                <w:rFonts w:ascii="Cambria Math" w:hAnsi="Cambria Math"/>
              </w:rPr>
              <m:t>n</m:t>
            </m:r>
          </m:sub>
        </m:sSub>
      </m:oMath>
      <w:r>
        <w:rPr>
          <w:vertAlign w:val="subscript"/>
        </w:rPr>
        <w:t> </w:t>
      </w:r>
      <w:r>
        <w:t>is the ordinal number of the quartile concerned.</w:t>
      </w:r>
    </w:p>
    <w:p w14:paraId="588397E1" w14:textId="77777777" w:rsidR="00A5184D" w:rsidRDefault="00A5184D" w:rsidP="00A5184D">
      <w:pPr>
        <w:pStyle w:val="NApunkts1"/>
        <w:numPr>
          <w:ilvl w:val="0"/>
          <w:numId w:val="0"/>
        </w:numPr>
        <w:spacing w:before="0"/>
      </w:pPr>
    </w:p>
    <w:p w14:paraId="47C96B86" w14:textId="77777777" w:rsidR="005A3B00" w:rsidRDefault="005A3B00" w:rsidP="00A5184D">
      <w:pPr>
        <w:pStyle w:val="NAnodalaromiesucipari"/>
        <w:spacing w:before="0"/>
        <w:jc w:val="center"/>
      </w:pPr>
      <w:r w:rsidRPr="0064153B">
        <w:t>Closing Provision</w:t>
      </w:r>
    </w:p>
    <w:p w14:paraId="5908AA3D" w14:textId="77777777" w:rsidR="00A5184D" w:rsidRPr="00A5184D" w:rsidRDefault="00A5184D" w:rsidP="00A5184D">
      <w:pPr>
        <w:pStyle w:val="NApunkts1"/>
        <w:numPr>
          <w:ilvl w:val="0"/>
          <w:numId w:val="0"/>
        </w:numPr>
        <w:spacing w:before="0"/>
      </w:pPr>
    </w:p>
    <w:p w14:paraId="152EC641" w14:textId="77777777" w:rsidR="005A3B00" w:rsidRPr="0064153B" w:rsidRDefault="005A3B00" w:rsidP="00A5184D">
      <w:pPr>
        <w:pStyle w:val="NApunkts1"/>
        <w:spacing w:before="0"/>
      </w:pPr>
      <w:r w:rsidRPr="0064153B">
        <w:t>The following regulations are repealed:</w:t>
      </w:r>
    </w:p>
    <w:p w14:paraId="3E786589" w14:textId="77777777" w:rsidR="005A3B00" w:rsidRPr="0064153B" w:rsidRDefault="005A3B00" w:rsidP="00A5184D">
      <w:pPr>
        <w:pStyle w:val="NApunkts2"/>
        <w:ind w:left="0" w:firstLine="709"/>
      </w:pPr>
      <w:r w:rsidRPr="0064153B">
        <w:t>Financial and Capital Market Commission’s Regulation No. 198 of 27 October 2020, Regulations for the Procedures for the Calculation of the Maximum Distributable Amount (</w:t>
      </w:r>
      <w:r w:rsidRPr="0064153B">
        <w:rPr>
          <w:i/>
          <w:iCs/>
        </w:rPr>
        <w:t>Latvijas Vēstnesis</w:t>
      </w:r>
      <w:r w:rsidRPr="0064153B">
        <w:t>, 2020, No. 214; 2022, No. 122);</w:t>
      </w:r>
    </w:p>
    <w:p w14:paraId="2BDBFBE8" w14:textId="77777777" w:rsidR="005A3B00" w:rsidRPr="0064153B" w:rsidRDefault="005A3B00" w:rsidP="00A5184D">
      <w:pPr>
        <w:pStyle w:val="NApunkts2"/>
        <w:ind w:left="0" w:firstLine="709"/>
      </w:pPr>
      <w:r w:rsidRPr="0064153B">
        <w:t>Financial and Capital Market Commission’s Regulation No. 155 of 16 November 2021, Procedures for the Calculation of the Maximum Distributable Amount Related to the Leverage Ratio Buffer Requirement (</w:t>
      </w:r>
      <w:r w:rsidRPr="0064153B">
        <w:rPr>
          <w:i/>
          <w:iCs/>
        </w:rPr>
        <w:t>Latvijas Vēstnesis</w:t>
      </w:r>
      <w:r w:rsidRPr="0064153B">
        <w:t>, 2021, No. 228).</w:t>
      </w:r>
    </w:p>
    <w:p w14:paraId="315BC388" w14:textId="77777777" w:rsidR="005A3B00" w:rsidRPr="0064153B" w:rsidRDefault="005A3B00" w:rsidP="00A5184D">
      <w:pPr>
        <w:pStyle w:val="NApunkts1"/>
        <w:numPr>
          <w:ilvl w:val="0"/>
          <w:numId w:val="0"/>
        </w:numPr>
        <w:spacing w:before="0"/>
        <w:jc w:val="center"/>
        <w:rPr>
          <w:b/>
        </w:rPr>
      </w:pPr>
      <w:r w:rsidRPr="0064153B">
        <w:rPr>
          <w:b/>
        </w:rPr>
        <w:t>Informative Reference to the European Union Directive</w:t>
      </w:r>
    </w:p>
    <w:p w14:paraId="525B06C0" w14:textId="77777777" w:rsidR="00A5184D" w:rsidRDefault="00A5184D" w:rsidP="00A5184D">
      <w:pPr>
        <w:pStyle w:val="NApunkts1"/>
        <w:numPr>
          <w:ilvl w:val="0"/>
          <w:numId w:val="0"/>
        </w:numPr>
        <w:spacing w:before="0"/>
        <w:ind w:firstLine="709"/>
      </w:pPr>
    </w:p>
    <w:p w14:paraId="2869007D" w14:textId="77F3784C" w:rsidR="005A3B00" w:rsidRDefault="005A3B00" w:rsidP="00A5184D">
      <w:pPr>
        <w:pStyle w:val="NApunkts1"/>
        <w:numPr>
          <w:ilvl w:val="0"/>
          <w:numId w:val="0"/>
        </w:numPr>
        <w:spacing w:before="0"/>
        <w:ind w:firstLine="709"/>
      </w:pPr>
      <w:r w:rsidRPr="0064153B">
        <w:t>The Regulation contains legal norms arising from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p w14:paraId="6AD4920A" w14:textId="77777777" w:rsidR="00A5184D" w:rsidRPr="0064153B" w:rsidRDefault="00A5184D" w:rsidP="00A5184D">
      <w:pPr>
        <w:pStyle w:val="NApunkts1"/>
        <w:numPr>
          <w:ilvl w:val="0"/>
          <w:numId w:val="0"/>
        </w:numPr>
        <w:spacing w:before="0"/>
      </w:pPr>
    </w:p>
    <w:p w14:paraId="5F448B35" w14:textId="77777777" w:rsidR="005A3B00" w:rsidRPr="0064153B" w:rsidRDefault="005A3B00" w:rsidP="00A5184D">
      <w:pPr>
        <w:pStyle w:val="NApunkts1"/>
        <w:keepNext/>
        <w:keepLines/>
        <w:numPr>
          <w:ilvl w:val="0"/>
          <w:numId w:val="0"/>
        </w:numPr>
        <w:spacing w:before="0"/>
        <w:jc w:val="left"/>
        <w:rPr>
          <w:b/>
          <w:sz w:val="20"/>
        </w:rPr>
      </w:pPr>
      <w:r w:rsidRPr="0064153B">
        <w:rPr>
          <w:b/>
          <w:sz w:val="20"/>
        </w:rPr>
        <w:t>THIS DOCUMENT HAS BEEN SIGNED ELECTRONICALLY WITH A SECURE ELECTRONIC SIGNATURE AND COMPRISES A TIME STAMP</w:t>
      </w:r>
    </w:p>
    <w:p w14:paraId="7EE61BF5" w14:textId="5F2F3A48" w:rsidR="00FA055C" w:rsidRDefault="00FA055C" w:rsidP="006950DB">
      <w:pPr>
        <w:pStyle w:val="NApunkts1"/>
        <w:keepNext/>
        <w:keepLines/>
        <w:numPr>
          <w:ilvl w:val="0"/>
          <w:numId w:val="0"/>
        </w:numPr>
        <w:spacing w:before="0"/>
        <w:jc w:val="left"/>
      </w:pPr>
    </w:p>
    <w:p w14:paraId="359463CC" w14:textId="77777777" w:rsidR="000D40A3" w:rsidRDefault="000D40A3" w:rsidP="006950DB">
      <w:pPr>
        <w:pStyle w:val="NApunkts1"/>
        <w:keepNext/>
        <w:keepLines/>
        <w:numPr>
          <w:ilvl w:val="0"/>
          <w:numId w:val="0"/>
        </w:numPr>
        <w:spacing w:before="0"/>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3701"/>
      </w:tblGrid>
      <w:tr w:rsidR="00966987" w14:paraId="49CF1E42" w14:textId="77777777" w:rsidTr="00811BE5">
        <w:tc>
          <w:tcPr>
            <w:tcW w:w="4928" w:type="dxa"/>
            <w:vAlign w:val="bottom"/>
          </w:tcPr>
          <w:p w14:paraId="5CCB7D5D" w14:textId="77777777" w:rsidR="00966987" w:rsidRDefault="00000000" w:rsidP="00A41F27">
            <w:pPr>
              <w:pStyle w:val="NoSpacing"/>
              <w:ind w:left="-107"/>
              <w:rPr>
                <w:rFonts w:cs="Times New Roman"/>
              </w:rPr>
            </w:pPr>
            <w:sdt>
              <w:sdtPr>
                <w:rPr>
                  <w:rFonts w:cs="Times New Roman"/>
                </w:rPr>
                <w:alias w:val="Position"/>
                <w:tag w:val="Amats"/>
                <w:id w:val="45201534"/>
                <w:lock w:val="sdtLocked"/>
                <w:placeholder>
                  <w:docPart w:val="3F633EEFBAA7490D8C1716CF385A3D93"/>
                </w:placeholder>
                <w:comboBox>
                  <w:listItem w:displayText="Governor of Latvijas Banka" w:value="Latvijas Bankas prezidents"/>
                  <w:listItem w:displayText="Deputy Governor of Latvijas Banka" w:value="Latvijas Bankas prezidenta vietnieks"/>
                  <w:listItem w:displayText="Acting Governor of Latvijas Banka, Member of the Council of Latvijas Banka" w:value="Latvijas Bankas prezidenta p.i., Latvijas Bankas padomes loceklis"/>
                </w:comboBox>
              </w:sdtPr>
              <w:sdtContent>
                <w:r w:rsidR="005966A8">
                  <w:t>Governor of Latvijas Banka</w:t>
                </w:r>
              </w:sdtContent>
            </w:sdt>
          </w:p>
        </w:tc>
        <w:sdt>
          <w:sdtPr>
            <w:rPr>
              <w:rFonts w:cs="Times New Roman"/>
            </w:rPr>
            <w:alias w:val="First name, surname"/>
            <w:tag w:val="V. Uzvārds"/>
            <w:id w:val="46411162"/>
            <w:lock w:val="sdtLocked"/>
            <w:placeholder>
              <w:docPart w:val="077B63193B6F49C8A843408F184C0C89"/>
            </w:placeholder>
          </w:sdtPr>
          <w:sdtContent>
            <w:tc>
              <w:tcPr>
                <w:tcW w:w="3792" w:type="dxa"/>
                <w:vAlign w:val="bottom"/>
              </w:tcPr>
              <w:p w14:paraId="05954044" w14:textId="77777777" w:rsidR="00966987" w:rsidRDefault="00915F10" w:rsidP="00A41F27">
                <w:pPr>
                  <w:pStyle w:val="NoSpacing"/>
                  <w:ind w:right="-111"/>
                  <w:jc w:val="right"/>
                  <w:rPr>
                    <w:rFonts w:cs="Times New Roman"/>
                  </w:rPr>
                </w:pPr>
                <w:r>
                  <w:t>Mārtiņš Kazāks</w:t>
                </w:r>
              </w:p>
            </w:tc>
          </w:sdtContent>
        </w:sdt>
      </w:tr>
    </w:tbl>
    <w:p w14:paraId="29C8B49A" w14:textId="77777777" w:rsidR="006D395C" w:rsidRDefault="006D395C" w:rsidP="00A41F27">
      <w:pPr>
        <w:rPr>
          <w:rFonts w:cs="Times New Roman"/>
          <w:szCs w:val="24"/>
        </w:rPr>
      </w:pPr>
    </w:p>
    <w:sectPr w:rsidR="006D395C" w:rsidSect="00DD5E3F">
      <w:footerReference w:type="default" r:id="rId12"/>
      <w:headerReference w:type="first" r:id="rId13"/>
      <w:footerReference w:type="first" r:id="rId14"/>
      <w:pgSz w:w="11906" w:h="16838" w:code="9"/>
      <w:pgMar w:top="1134" w:right="170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FBEA0" w14:textId="77777777" w:rsidR="00EE55FB" w:rsidRDefault="00EE55FB" w:rsidP="00AC4B00">
      <w:r>
        <w:separator/>
      </w:r>
    </w:p>
  </w:endnote>
  <w:endnote w:type="continuationSeparator" w:id="0">
    <w:p w14:paraId="2595CCE7" w14:textId="77777777" w:rsidR="00EE55FB" w:rsidRDefault="00EE55FB" w:rsidP="00AC4B00">
      <w:r>
        <w:continuationSeparator/>
      </w:r>
    </w:p>
  </w:endnote>
  <w:endnote w:type="continuationNotice" w:id="1">
    <w:p w14:paraId="5057A42E" w14:textId="77777777" w:rsidR="00EE55FB" w:rsidRDefault="00EE5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8376" w14:textId="77777777" w:rsidR="0045044F" w:rsidRPr="00750961" w:rsidRDefault="0045044F" w:rsidP="0045044F">
    <w:pPr>
      <w:pStyle w:val="Footer"/>
      <w:tabs>
        <w:tab w:val="right" w:pos="9072"/>
      </w:tabs>
      <w:rPr>
        <w:sz w:val="20"/>
      </w:rPr>
    </w:pPr>
  </w:p>
  <w:p w14:paraId="55E77927" w14:textId="6EA2CBB9" w:rsidR="00FA55AE" w:rsidRPr="0045044F" w:rsidRDefault="0045044F" w:rsidP="0045044F">
    <w:pPr>
      <w:pStyle w:val="Footer"/>
      <w:tabs>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w:t>
    </w:r>
    <w:r>
      <w:rPr>
        <w:sz w:val="20"/>
      </w:rPr>
      <w:t>24</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Pr>
        <w:rStyle w:val="PageNumber"/>
        <w:sz w:val="20"/>
      </w:rPr>
      <w:t>2</w:t>
    </w:r>
    <w:r w:rsidRPr="00750961">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6AA64" w14:textId="77777777" w:rsidR="00FA55AE" w:rsidRPr="00750961" w:rsidRDefault="00FA55AE" w:rsidP="00FA55AE">
    <w:pPr>
      <w:pStyle w:val="Footer"/>
      <w:rPr>
        <w:sz w:val="20"/>
      </w:rPr>
    </w:pPr>
    <w:bookmarkStart w:id="4" w:name="_Hlk60653308"/>
    <w:bookmarkStart w:id="5" w:name="_Hlk60653309"/>
  </w:p>
  <w:p w14:paraId="5814354E" w14:textId="33D1F497" w:rsidR="00FA55AE" w:rsidRPr="00FA55AE" w:rsidRDefault="00FA55AE">
    <w:pPr>
      <w:pStyle w:val="Footer"/>
      <w:rPr>
        <w:sz w:val="20"/>
      </w:rPr>
    </w:pPr>
    <w:bookmarkStart w:id="6" w:name="_Hlk31896922"/>
    <w:bookmarkStart w:id="7" w:name="_Hlk31896923"/>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w:t>
    </w:r>
    <w:r>
      <w:rPr>
        <w:sz w:val="20"/>
      </w:rPr>
      <w:t>24</w:t>
    </w:r>
    <w:r w:rsidRPr="00750961">
      <w:rPr>
        <w:sz w:val="20"/>
      </w:rPr>
      <w:t xml:space="preserve"> Valsts valodas</w:t>
    </w:r>
    <w:r>
      <w:rPr>
        <w:sz w:val="20"/>
      </w:rPr>
      <w:t xml:space="preserve"> centrs (State Language Centre)</w:t>
    </w:r>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96E1D" w14:textId="77777777" w:rsidR="00EE55FB" w:rsidRDefault="00EE55FB" w:rsidP="00AC4B00">
      <w:r>
        <w:separator/>
      </w:r>
    </w:p>
  </w:footnote>
  <w:footnote w:type="continuationSeparator" w:id="0">
    <w:p w14:paraId="533CBD95" w14:textId="77777777" w:rsidR="00EE55FB" w:rsidRDefault="00EE55FB" w:rsidP="00AC4B00">
      <w:r>
        <w:continuationSeparator/>
      </w:r>
    </w:p>
  </w:footnote>
  <w:footnote w:type="continuationNotice" w:id="1">
    <w:p w14:paraId="640083DA" w14:textId="77777777" w:rsidR="00EE55FB" w:rsidRDefault="00EE5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5870" w14:textId="77777777" w:rsidR="009C42A8" w:rsidRPr="009C42A8" w:rsidRDefault="00EA6CA5" w:rsidP="00AA4809">
    <w:pPr>
      <w:pStyle w:val="Header"/>
      <w:spacing w:before="560"/>
      <w:jc w:val="center"/>
    </w:pPr>
    <w:r>
      <w:rPr>
        <w:noProof/>
      </w:rPr>
      <w:drawing>
        <wp:inline distT="0" distB="0" distL="0" distR="0" wp14:anchorId="21E3AA34" wp14:editId="36055892">
          <wp:extent cx="2087973" cy="737649"/>
          <wp:effectExtent l="19050" t="0" r="7527" b="0"/>
          <wp:docPr id="1509464860" name="Attēls 1509464860" descr="LB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_logo.bmp"/>
                  <pic:cNvPicPr/>
                </pic:nvPicPr>
                <pic:blipFill>
                  <a:blip r:embed="rId1"/>
                  <a:stretch>
                    <a:fillRect/>
                  </a:stretch>
                </pic:blipFill>
                <pic:spPr>
                  <a:xfrm>
                    <a:off x="0" y="0"/>
                    <a:ext cx="2087973" cy="737649"/>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06239E0D" wp14:editId="1F73175D">
              <wp:simplePos x="0" y="0"/>
              <wp:positionH relativeFrom="column">
                <wp:posOffset>1497965</wp:posOffset>
              </wp:positionH>
              <wp:positionV relativeFrom="paragraph">
                <wp:posOffset>184785</wp:posOffset>
              </wp:positionV>
              <wp:extent cx="2409190" cy="9182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19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D05C9" id="Rectangle 1" o:spid="_x0000_s1026" style="position:absolute;margin-left:117.95pt;margin-top:14.55pt;width:189.7pt;height:7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"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46A8C"/>
    <w:multiLevelType w:val="hybridMultilevel"/>
    <w:tmpl w:val="AFA0FCF4"/>
    <w:lvl w:ilvl="0" w:tplc="D46A8198">
      <w:start w:val="1"/>
      <w:numFmt w:val="upperRoman"/>
      <w:pStyle w:val="NAnodalaromiesucipari"/>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DA5D8C"/>
    <w:multiLevelType w:val="multilevel"/>
    <w:tmpl w:val="9FA630C8"/>
    <w:lvl w:ilvl="0">
      <w:start w:val="1"/>
      <w:numFmt w:val="decimal"/>
      <w:pStyle w:val="NAnodala"/>
      <w:suff w:val="space"/>
      <w:lvlText w:val="%1."/>
      <w:lvlJc w:val="left"/>
      <w:pPr>
        <w:ind w:left="0" w:firstLine="0"/>
      </w:pPr>
      <w:rPr>
        <w:rFonts w:hint="default"/>
      </w:rPr>
    </w:lvl>
    <w:lvl w:ilvl="1">
      <w:start w:val="1"/>
      <w:numFmt w:val="decimal"/>
      <w:pStyle w:val="NAapaksnodala"/>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3BB7D32"/>
    <w:multiLevelType w:val="multilevel"/>
    <w:tmpl w:val="12188A86"/>
    <w:lvl w:ilvl="0">
      <w:start w:val="1"/>
      <w:numFmt w:val="decimal"/>
      <w:pStyle w:val="NApunkts1"/>
      <w:suff w:val="space"/>
      <w:lvlText w:val="%1."/>
      <w:lvlJc w:val="left"/>
      <w:pPr>
        <w:ind w:left="360" w:hanging="360"/>
      </w:pPr>
      <w:rPr>
        <w:rFonts w:hint="default"/>
      </w:rPr>
    </w:lvl>
    <w:lvl w:ilvl="1">
      <w:start w:val="1"/>
      <w:numFmt w:val="decimal"/>
      <w:pStyle w:val="NApunkts2"/>
      <w:suff w:val="space"/>
      <w:lvlText w:val="%1.%2."/>
      <w:lvlJc w:val="left"/>
      <w:pPr>
        <w:ind w:left="0" w:firstLine="0"/>
      </w:pPr>
      <w:rPr>
        <w:rFonts w:hint="default"/>
      </w:rPr>
    </w:lvl>
    <w:lvl w:ilvl="2">
      <w:start w:val="1"/>
      <w:numFmt w:val="decimal"/>
      <w:pStyle w:val="NApunkts3"/>
      <w:suff w:val="space"/>
      <w:lvlText w:val="%1.%2.%3."/>
      <w:lvlJc w:val="left"/>
      <w:pPr>
        <w:ind w:left="1277" w:firstLine="0"/>
      </w:pPr>
      <w:rPr>
        <w:rFonts w:hint="default"/>
      </w:rPr>
    </w:lvl>
    <w:lvl w:ilvl="3">
      <w:start w:val="1"/>
      <w:numFmt w:val="decimal"/>
      <w:pStyle w:val="NApunkts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2135360">
    <w:abstractNumId w:val="1"/>
  </w:num>
  <w:num w:numId="2" w16cid:durableId="765492621">
    <w:abstractNumId w:val="2"/>
  </w:num>
  <w:num w:numId="3" w16cid:durableId="656883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4081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72059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093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9830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EE"/>
    <w:rsid w:val="00000E64"/>
    <w:rsid w:val="00001229"/>
    <w:rsid w:val="00003926"/>
    <w:rsid w:val="000173CA"/>
    <w:rsid w:val="00017C12"/>
    <w:rsid w:val="000269BC"/>
    <w:rsid w:val="00032F04"/>
    <w:rsid w:val="000519F3"/>
    <w:rsid w:val="0005617B"/>
    <w:rsid w:val="00057385"/>
    <w:rsid w:val="00060D2F"/>
    <w:rsid w:val="00062B10"/>
    <w:rsid w:val="00081D7E"/>
    <w:rsid w:val="00096C67"/>
    <w:rsid w:val="000973A6"/>
    <w:rsid w:val="000A1923"/>
    <w:rsid w:val="000A39E1"/>
    <w:rsid w:val="000B2CC6"/>
    <w:rsid w:val="000B3673"/>
    <w:rsid w:val="000B41DB"/>
    <w:rsid w:val="000C4142"/>
    <w:rsid w:val="000D18A5"/>
    <w:rsid w:val="000D18CE"/>
    <w:rsid w:val="000D30AB"/>
    <w:rsid w:val="000D40A3"/>
    <w:rsid w:val="000E10C7"/>
    <w:rsid w:val="000E3F95"/>
    <w:rsid w:val="000E4379"/>
    <w:rsid w:val="000F000D"/>
    <w:rsid w:val="000F1CEB"/>
    <w:rsid w:val="00100188"/>
    <w:rsid w:val="001026BB"/>
    <w:rsid w:val="00102C25"/>
    <w:rsid w:val="00111EFD"/>
    <w:rsid w:val="00123001"/>
    <w:rsid w:val="00123C59"/>
    <w:rsid w:val="001306DB"/>
    <w:rsid w:val="00144636"/>
    <w:rsid w:val="001455DE"/>
    <w:rsid w:val="00145D4F"/>
    <w:rsid w:val="00151E1B"/>
    <w:rsid w:val="00162AA2"/>
    <w:rsid w:val="00174B6B"/>
    <w:rsid w:val="00175A11"/>
    <w:rsid w:val="0017771A"/>
    <w:rsid w:val="001938A8"/>
    <w:rsid w:val="0019595C"/>
    <w:rsid w:val="001B78D6"/>
    <w:rsid w:val="001C0B37"/>
    <w:rsid w:val="002016F8"/>
    <w:rsid w:val="00215938"/>
    <w:rsid w:val="00217271"/>
    <w:rsid w:val="002220E9"/>
    <w:rsid w:val="0023463E"/>
    <w:rsid w:val="00243801"/>
    <w:rsid w:val="0024405E"/>
    <w:rsid w:val="002528E9"/>
    <w:rsid w:val="002573A6"/>
    <w:rsid w:val="00264E24"/>
    <w:rsid w:val="0026765A"/>
    <w:rsid w:val="00270005"/>
    <w:rsid w:val="002707D7"/>
    <w:rsid w:val="002728B2"/>
    <w:rsid w:val="0028103D"/>
    <w:rsid w:val="00283916"/>
    <w:rsid w:val="00291A05"/>
    <w:rsid w:val="0029219B"/>
    <w:rsid w:val="0029497E"/>
    <w:rsid w:val="00294F01"/>
    <w:rsid w:val="002A0389"/>
    <w:rsid w:val="002A41F4"/>
    <w:rsid w:val="002B0C18"/>
    <w:rsid w:val="002B6A13"/>
    <w:rsid w:val="002C08EB"/>
    <w:rsid w:val="002C6FD2"/>
    <w:rsid w:val="002D6AEA"/>
    <w:rsid w:val="002E66A0"/>
    <w:rsid w:val="002F29BA"/>
    <w:rsid w:val="002F6068"/>
    <w:rsid w:val="002F7091"/>
    <w:rsid w:val="00301089"/>
    <w:rsid w:val="0031086D"/>
    <w:rsid w:val="003136B6"/>
    <w:rsid w:val="00315D01"/>
    <w:rsid w:val="00315D92"/>
    <w:rsid w:val="003175D0"/>
    <w:rsid w:val="003229CC"/>
    <w:rsid w:val="00323F53"/>
    <w:rsid w:val="00325D90"/>
    <w:rsid w:val="00330899"/>
    <w:rsid w:val="00332330"/>
    <w:rsid w:val="00333D26"/>
    <w:rsid w:val="00334BEC"/>
    <w:rsid w:val="00345F40"/>
    <w:rsid w:val="00365CD6"/>
    <w:rsid w:val="00366379"/>
    <w:rsid w:val="00373960"/>
    <w:rsid w:val="00373AEA"/>
    <w:rsid w:val="00375904"/>
    <w:rsid w:val="003803C1"/>
    <w:rsid w:val="00385699"/>
    <w:rsid w:val="003A5211"/>
    <w:rsid w:val="003A5E42"/>
    <w:rsid w:val="003C1EF2"/>
    <w:rsid w:val="003C2D64"/>
    <w:rsid w:val="003E088C"/>
    <w:rsid w:val="003E0FBE"/>
    <w:rsid w:val="003E3B26"/>
    <w:rsid w:val="003E46F5"/>
    <w:rsid w:val="003E47EE"/>
    <w:rsid w:val="00401022"/>
    <w:rsid w:val="00402B09"/>
    <w:rsid w:val="00403F97"/>
    <w:rsid w:val="00403FF6"/>
    <w:rsid w:val="00405DF6"/>
    <w:rsid w:val="00416C73"/>
    <w:rsid w:val="00417C87"/>
    <w:rsid w:val="004239C6"/>
    <w:rsid w:val="00427E0A"/>
    <w:rsid w:val="00430E74"/>
    <w:rsid w:val="00440CAF"/>
    <w:rsid w:val="0045044F"/>
    <w:rsid w:val="0046332D"/>
    <w:rsid w:val="00463E5D"/>
    <w:rsid w:val="00470B6A"/>
    <w:rsid w:val="00474C69"/>
    <w:rsid w:val="00475E10"/>
    <w:rsid w:val="00481146"/>
    <w:rsid w:val="00484CF0"/>
    <w:rsid w:val="00487C02"/>
    <w:rsid w:val="0049232C"/>
    <w:rsid w:val="004A5AC0"/>
    <w:rsid w:val="004A63EE"/>
    <w:rsid w:val="004B092F"/>
    <w:rsid w:val="004B197E"/>
    <w:rsid w:val="004D50E6"/>
    <w:rsid w:val="004E3633"/>
    <w:rsid w:val="004F291D"/>
    <w:rsid w:val="004F58F6"/>
    <w:rsid w:val="004F6D30"/>
    <w:rsid w:val="005126E2"/>
    <w:rsid w:val="0051668E"/>
    <w:rsid w:val="005331D8"/>
    <w:rsid w:val="00535B61"/>
    <w:rsid w:val="00552690"/>
    <w:rsid w:val="00553206"/>
    <w:rsid w:val="00564C5A"/>
    <w:rsid w:val="005657B7"/>
    <w:rsid w:val="00574D0E"/>
    <w:rsid w:val="005778F7"/>
    <w:rsid w:val="00590D3E"/>
    <w:rsid w:val="00593370"/>
    <w:rsid w:val="005966A8"/>
    <w:rsid w:val="005A025A"/>
    <w:rsid w:val="005A1302"/>
    <w:rsid w:val="005A22DF"/>
    <w:rsid w:val="005A2ECE"/>
    <w:rsid w:val="005A3B00"/>
    <w:rsid w:val="005A62A5"/>
    <w:rsid w:val="005A78C2"/>
    <w:rsid w:val="005B040C"/>
    <w:rsid w:val="005B116D"/>
    <w:rsid w:val="005C43B0"/>
    <w:rsid w:val="005C4F9F"/>
    <w:rsid w:val="005C517B"/>
    <w:rsid w:val="005E0908"/>
    <w:rsid w:val="005E0A6D"/>
    <w:rsid w:val="005E48AF"/>
    <w:rsid w:val="005E582F"/>
    <w:rsid w:val="005F424A"/>
    <w:rsid w:val="005F62A8"/>
    <w:rsid w:val="005F65BC"/>
    <w:rsid w:val="006079AE"/>
    <w:rsid w:val="00626D42"/>
    <w:rsid w:val="00626EB7"/>
    <w:rsid w:val="006407FE"/>
    <w:rsid w:val="00640C91"/>
    <w:rsid w:val="006564BE"/>
    <w:rsid w:val="0066035A"/>
    <w:rsid w:val="00671C3D"/>
    <w:rsid w:val="00672AE8"/>
    <w:rsid w:val="006950DB"/>
    <w:rsid w:val="006A0C4C"/>
    <w:rsid w:val="006A30B4"/>
    <w:rsid w:val="006A3AFD"/>
    <w:rsid w:val="006A6886"/>
    <w:rsid w:val="006A70E0"/>
    <w:rsid w:val="006B36CB"/>
    <w:rsid w:val="006C300D"/>
    <w:rsid w:val="006D04E4"/>
    <w:rsid w:val="006D395C"/>
    <w:rsid w:val="006D49DB"/>
    <w:rsid w:val="006E220A"/>
    <w:rsid w:val="006E6DD0"/>
    <w:rsid w:val="006F5826"/>
    <w:rsid w:val="006F5854"/>
    <w:rsid w:val="00704600"/>
    <w:rsid w:val="0070615C"/>
    <w:rsid w:val="00720D7B"/>
    <w:rsid w:val="00733D91"/>
    <w:rsid w:val="00741D1B"/>
    <w:rsid w:val="00746FE1"/>
    <w:rsid w:val="007522B1"/>
    <w:rsid w:val="00753C59"/>
    <w:rsid w:val="00754B84"/>
    <w:rsid w:val="007577AE"/>
    <w:rsid w:val="007616A1"/>
    <w:rsid w:val="00767E88"/>
    <w:rsid w:val="00771CB0"/>
    <w:rsid w:val="0077573E"/>
    <w:rsid w:val="00780CB7"/>
    <w:rsid w:val="00782A45"/>
    <w:rsid w:val="00784DCB"/>
    <w:rsid w:val="0079205D"/>
    <w:rsid w:val="007A05A7"/>
    <w:rsid w:val="007A4159"/>
    <w:rsid w:val="007C0121"/>
    <w:rsid w:val="007C14CA"/>
    <w:rsid w:val="007C6D80"/>
    <w:rsid w:val="007D3423"/>
    <w:rsid w:val="007D5BBE"/>
    <w:rsid w:val="007D6496"/>
    <w:rsid w:val="007E149E"/>
    <w:rsid w:val="007E54AA"/>
    <w:rsid w:val="007F2179"/>
    <w:rsid w:val="007F4A16"/>
    <w:rsid w:val="007F51AD"/>
    <w:rsid w:val="00803BFC"/>
    <w:rsid w:val="00803C74"/>
    <w:rsid w:val="00806915"/>
    <w:rsid w:val="00806B1E"/>
    <w:rsid w:val="00810AC9"/>
    <w:rsid w:val="008113CD"/>
    <w:rsid w:val="00811BE5"/>
    <w:rsid w:val="00812AAB"/>
    <w:rsid w:val="008133E0"/>
    <w:rsid w:val="0083221C"/>
    <w:rsid w:val="00834230"/>
    <w:rsid w:val="00840034"/>
    <w:rsid w:val="00842361"/>
    <w:rsid w:val="0084631E"/>
    <w:rsid w:val="008512FE"/>
    <w:rsid w:val="008548A6"/>
    <w:rsid w:val="00854E35"/>
    <w:rsid w:val="008575CE"/>
    <w:rsid w:val="00861A53"/>
    <w:rsid w:val="0086737E"/>
    <w:rsid w:val="008738FB"/>
    <w:rsid w:val="008836F5"/>
    <w:rsid w:val="00890D23"/>
    <w:rsid w:val="00897FD9"/>
    <w:rsid w:val="008A05F3"/>
    <w:rsid w:val="008A529A"/>
    <w:rsid w:val="008B22DA"/>
    <w:rsid w:val="008C785E"/>
    <w:rsid w:val="008D1286"/>
    <w:rsid w:val="008D4E81"/>
    <w:rsid w:val="008E5881"/>
    <w:rsid w:val="008F3272"/>
    <w:rsid w:val="00914E2B"/>
    <w:rsid w:val="00915F10"/>
    <w:rsid w:val="009236D4"/>
    <w:rsid w:val="00926D2C"/>
    <w:rsid w:val="00932794"/>
    <w:rsid w:val="00934ACC"/>
    <w:rsid w:val="00937AA2"/>
    <w:rsid w:val="009400BA"/>
    <w:rsid w:val="0094034D"/>
    <w:rsid w:val="00944EE2"/>
    <w:rsid w:val="00960648"/>
    <w:rsid w:val="00962F4A"/>
    <w:rsid w:val="00966987"/>
    <w:rsid w:val="00966FB8"/>
    <w:rsid w:val="009801BF"/>
    <w:rsid w:val="00985755"/>
    <w:rsid w:val="0098608B"/>
    <w:rsid w:val="00991D6F"/>
    <w:rsid w:val="009A43CE"/>
    <w:rsid w:val="009A5519"/>
    <w:rsid w:val="009B042A"/>
    <w:rsid w:val="009B7B30"/>
    <w:rsid w:val="009C020A"/>
    <w:rsid w:val="009C42A8"/>
    <w:rsid w:val="009C7FF1"/>
    <w:rsid w:val="009D4BD1"/>
    <w:rsid w:val="009E0DC1"/>
    <w:rsid w:val="009E16E5"/>
    <w:rsid w:val="009E1F4C"/>
    <w:rsid w:val="009E78A1"/>
    <w:rsid w:val="009F3319"/>
    <w:rsid w:val="00A12C21"/>
    <w:rsid w:val="00A24CF1"/>
    <w:rsid w:val="00A35387"/>
    <w:rsid w:val="00A3555E"/>
    <w:rsid w:val="00A41F27"/>
    <w:rsid w:val="00A42B33"/>
    <w:rsid w:val="00A457E8"/>
    <w:rsid w:val="00A45CCD"/>
    <w:rsid w:val="00A5184D"/>
    <w:rsid w:val="00A52EEF"/>
    <w:rsid w:val="00A53315"/>
    <w:rsid w:val="00A56918"/>
    <w:rsid w:val="00A57663"/>
    <w:rsid w:val="00A64981"/>
    <w:rsid w:val="00A72A98"/>
    <w:rsid w:val="00A72D0B"/>
    <w:rsid w:val="00A8178F"/>
    <w:rsid w:val="00AA1C50"/>
    <w:rsid w:val="00AA4809"/>
    <w:rsid w:val="00AB2162"/>
    <w:rsid w:val="00AB6248"/>
    <w:rsid w:val="00AC4B00"/>
    <w:rsid w:val="00AD14ED"/>
    <w:rsid w:val="00AD413F"/>
    <w:rsid w:val="00AD65E6"/>
    <w:rsid w:val="00AE0F9A"/>
    <w:rsid w:val="00AF06D9"/>
    <w:rsid w:val="00B00A08"/>
    <w:rsid w:val="00B03610"/>
    <w:rsid w:val="00B07832"/>
    <w:rsid w:val="00B22E69"/>
    <w:rsid w:val="00B31CE7"/>
    <w:rsid w:val="00B34B0F"/>
    <w:rsid w:val="00B367A8"/>
    <w:rsid w:val="00B400EE"/>
    <w:rsid w:val="00B42744"/>
    <w:rsid w:val="00B62B07"/>
    <w:rsid w:val="00B80458"/>
    <w:rsid w:val="00B85E98"/>
    <w:rsid w:val="00B87177"/>
    <w:rsid w:val="00B91B2C"/>
    <w:rsid w:val="00B9535B"/>
    <w:rsid w:val="00BB311D"/>
    <w:rsid w:val="00BB3763"/>
    <w:rsid w:val="00BC0133"/>
    <w:rsid w:val="00BC1C9C"/>
    <w:rsid w:val="00BD0D4D"/>
    <w:rsid w:val="00BF0E8D"/>
    <w:rsid w:val="00BF41BD"/>
    <w:rsid w:val="00C0259D"/>
    <w:rsid w:val="00C058D4"/>
    <w:rsid w:val="00C0665E"/>
    <w:rsid w:val="00C13664"/>
    <w:rsid w:val="00C2284A"/>
    <w:rsid w:val="00C23D14"/>
    <w:rsid w:val="00C343CD"/>
    <w:rsid w:val="00C441FC"/>
    <w:rsid w:val="00C443AC"/>
    <w:rsid w:val="00C523D5"/>
    <w:rsid w:val="00C54D54"/>
    <w:rsid w:val="00C5530F"/>
    <w:rsid w:val="00C66E83"/>
    <w:rsid w:val="00C73633"/>
    <w:rsid w:val="00C74052"/>
    <w:rsid w:val="00C84CBA"/>
    <w:rsid w:val="00C86EA1"/>
    <w:rsid w:val="00C902AC"/>
    <w:rsid w:val="00C95349"/>
    <w:rsid w:val="00C9585C"/>
    <w:rsid w:val="00CA78AB"/>
    <w:rsid w:val="00CC18A1"/>
    <w:rsid w:val="00CC367A"/>
    <w:rsid w:val="00CC54B4"/>
    <w:rsid w:val="00CD15A7"/>
    <w:rsid w:val="00CD3BD9"/>
    <w:rsid w:val="00CE248E"/>
    <w:rsid w:val="00CE4DB2"/>
    <w:rsid w:val="00CF43D0"/>
    <w:rsid w:val="00CF6323"/>
    <w:rsid w:val="00CF7AE3"/>
    <w:rsid w:val="00D01BFC"/>
    <w:rsid w:val="00D01C8F"/>
    <w:rsid w:val="00D02919"/>
    <w:rsid w:val="00D07390"/>
    <w:rsid w:val="00D1410C"/>
    <w:rsid w:val="00D26119"/>
    <w:rsid w:val="00D32D56"/>
    <w:rsid w:val="00D4242A"/>
    <w:rsid w:val="00D440D4"/>
    <w:rsid w:val="00D616CA"/>
    <w:rsid w:val="00D64436"/>
    <w:rsid w:val="00D76CEE"/>
    <w:rsid w:val="00D9184A"/>
    <w:rsid w:val="00D97BE4"/>
    <w:rsid w:val="00DB385B"/>
    <w:rsid w:val="00DB66D4"/>
    <w:rsid w:val="00DB784C"/>
    <w:rsid w:val="00DD5E3F"/>
    <w:rsid w:val="00DE1F09"/>
    <w:rsid w:val="00DE3861"/>
    <w:rsid w:val="00DE5516"/>
    <w:rsid w:val="00DE671B"/>
    <w:rsid w:val="00DE735D"/>
    <w:rsid w:val="00DF0D1D"/>
    <w:rsid w:val="00DF708B"/>
    <w:rsid w:val="00E07FA4"/>
    <w:rsid w:val="00E106BB"/>
    <w:rsid w:val="00E12625"/>
    <w:rsid w:val="00E25E1C"/>
    <w:rsid w:val="00E3140C"/>
    <w:rsid w:val="00E36793"/>
    <w:rsid w:val="00E3696A"/>
    <w:rsid w:val="00E43D58"/>
    <w:rsid w:val="00E67A3E"/>
    <w:rsid w:val="00E70723"/>
    <w:rsid w:val="00E76F9E"/>
    <w:rsid w:val="00E81471"/>
    <w:rsid w:val="00E818D0"/>
    <w:rsid w:val="00E820C4"/>
    <w:rsid w:val="00E87D02"/>
    <w:rsid w:val="00EA6CA5"/>
    <w:rsid w:val="00EC1D6E"/>
    <w:rsid w:val="00ED77C1"/>
    <w:rsid w:val="00EE55FB"/>
    <w:rsid w:val="00EF4375"/>
    <w:rsid w:val="00EF6956"/>
    <w:rsid w:val="00F018B2"/>
    <w:rsid w:val="00F07C0B"/>
    <w:rsid w:val="00F10222"/>
    <w:rsid w:val="00F1192F"/>
    <w:rsid w:val="00F13DD7"/>
    <w:rsid w:val="00F15FC7"/>
    <w:rsid w:val="00F21A40"/>
    <w:rsid w:val="00F237D0"/>
    <w:rsid w:val="00F2708F"/>
    <w:rsid w:val="00F306D8"/>
    <w:rsid w:val="00F30773"/>
    <w:rsid w:val="00F30F87"/>
    <w:rsid w:val="00F3140E"/>
    <w:rsid w:val="00F3441F"/>
    <w:rsid w:val="00F34441"/>
    <w:rsid w:val="00F41A15"/>
    <w:rsid w:val="00F454CF"/>
    <w:rsid w:val="00F51202"/>
    <w:rsid w:val="00F5647B"/>
    <w:rsid w:val="00F639B6"/>
    <w:rsid w:val="00F67571"/>
    <w:rsid w:val="00F75A2C"/>
    <w:rsid w:val="00F77490"/>
    <w:rsid w:val="00F8030A"/>
    <w:rsid w:val="00F84CD0"/>
    <w:rsid w:val="00F8643C"/>
    <w:rsid w:val="00F87285"/>
    <w:rsid w:val="00F91ECF"/>
    <w:rsid w:val="00FA055C"/>
    <w:rsid w:val="00FA32EC"/>
    <w:rsid w:val="00FA55AE"/>
    <w:rsid w:val="00FA74DB"/>
    <w:rsid w:val="00FA7AE0"/>
    <w:rsid w:val="00FB1572"/>
    <w:rsid w:val="00FB4C0C"/>
    <w:rsid w:val="00FC4D1E"/>
    <w:rsid w:val="00FD37FA"/>
    <w:rsid w:val="00FE202C"/>
    <w:rsid w:val="00FF5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369A0"/>
  <w15:docId w15:val="{7C1C7940-108B-4031-BEC5-349947EA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CB"/>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B00"/>
    <w:pPr>
      <w:tabs>
        <w:tab w:val="center" w:pos="4153"/>
        <w:tab w:val="right" w:pos="8306"/>
      </w:tabs>
    </w:pPr>
  </w:style>
  <w:style w:type="character" w:customStyle="1" w:styleId="HeaderChar">
    <w:name w:val="Header Char"/>
    <w:basedOn w:val="DefaultParagraphFont"/>
    <w:link w:val="Header"/>
    <w:uiPriority w:val="99"/>
    <w:rsid w:val="00AC4B00"/>
  </w:style>
  <w:style w:type="paragraph" w:styleId="Footer">
    <w:name w:val="footer"/>
    <w:basedOn w:val="Normal"/>
    <w:link w:val="FooterChar"/>
    <w:unhideWhenUsed/>
    <w:rsid w:val="00AC4B00"/>
    <w:pPr>
      <w:tabs>
        <w:tab w:val="center" w:pos="4153"/>
        <w:tab w:val="right" w:pos="8306"/>
      </w:tabs>
    </w:pPr>
  </w:style>
  <w:style w:type="character" w:customStyle="1" w:styleId="FooterChar">
    <w:name w:val="Footer Char"/>
    <w:basedOn w:val="DefaultParagraphFont"/>
    <w:link w:val="Footer"/>
    <w:uiPriority w:val="99"/>
    <w:rsid w:val="00AC4B00"/>
  </w:style>
  <w:style w:type="paragraph" w:styleId="BalloonText">
    <w:name w:val="Balloon Text"/>
    <w:basedOn w:val="Normal"/>
    <w:link w:val="BalloonTextChar"/>
    <w:uiPriority w:val="99"/>
    <w:semiHidden/>
    <w:unhideWhenUsed/>
    <w:rsid w:val="00AC4B00"/>
    <w:rPr>
      <w:rFonts w:ascii="Tahoma" w:hAnsi="Tahoma" w:cs="Tahoma"/>
      <w:sz w:val="16"/>
      <w:szCs w:val="16"/>
    </w:rPr>
  </w:style>
  <w:style w:type="character" w:customStyle="1" w:styleId="BalloonTextChar">
    <w:name w:val="Balloon Text Char"/>
    <w:basedOn w:val="DefaultParagraphFont"/>
    <w:link w:val="BalloonText"/>
    <w:uiPriority w:val="99"/>
    <w:semiHidden/>
    <w:rsid w:val="00AC4B00"/>
    <w:rPr>
      <w:rFonts w:ascii="Tahoma" w:hAnsi="Tahoma" w:cs="Tahoma"/>
      <w:sz w:val="16"/>
      <w:szCs w:val="16"/>
    </w:rPr>
  </w:style>
  <w:style w:type="character" w:styleId="PlaceholderText">
    <w:name w:val="Placeholder Text"/>
    <w:basedOn w:val="DefaultParagraphFont"/>
    <w:uiPriority w:val="99"/>
    <w:semiHidden/>
    <w:rsid w:val="009C42A8"/>
    <w:rPr>
      <w:color w:val="808080"/>
    </w:rPr>
  </w:style>
  <w:style w:type="table" w:styleId="TableGrid">
    <w:name w:val="Table Grid"/>
    <w:basedOn w:val="TableNormal"/>
    <w:uiPriority w:val="59"/>
    <w:rsid w:val="009C4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854"/>
    <w:pPr>
      <w:ind w:left="720"/>
      <w:contextualSpacing/>
    </w:pPr>
  </w:style>
  <w:style w:type="paragraph" w:customStyle="1" w:styleId="NApielikums">
    <w:name w:val="NA pielikums"/>
    <w:basedOn w:val="Normal"/>
    <w:link w:val="NApielikumsCharChar"/>
    <w:rsid w:val="006D395C"/>
    <w:pPr>
      <w:jc w:val="right"/>
    </w:pPr>
    <w:rPr>
      <w:rFonts w:eastAsia="Times New Roman" w:cs="Times New Roman"/>
      <w:szCs w:val="24"/>
    </w:rPr>
  </w:style>
  <w:style w:type="character" w:customStyle="1" w:styleId="NApielikumsCharChar">
    <w:name w:val="NA pielikums Char Char"/>
    <w:basedOn w:val="DefaultParagraphFont"/>
    <w:link w:val="NApielikums"/>
    <w:rsid w:val="006D395C"/>
    <w:rPr>
      <w:rFonts w:ascii="Times New Roman" w:eastAsia="Times New Roman" w:hAnsi="Times New Roman" w:cs="Times New Roman"/>
      <w:sz w:val="24"/>
      <w:szCs w:val="24"/>
    </w:rPr>
  </w:style>
  <w:style w:type="paragraph" w:customStyle="1" w:styleId="NAnodala">
    <w:name w:val="NA nodala"/>
    <w:basedOn w:val="Normal"/>
    <w:next w:val="NApunkts1"/>
    <w:autoRedefine/>
    <w:qFormat/>
    <w:rsid w:val="00B87177"/>
    <w:pPr>
      <w:keepNext/>
      <w:keepLines/>
      <w:numPr>
        <w:numId w:val="1"/>
      </w:numPr>
      <w:spacing w:before="240"/>
      <w:outlineLvl w:val="0"/>
    </w:pPr>
    <w:rPr>
      <w:rFonts w:eastAsia="Times New Roman" w:cs="Times New Roman"/>
      <w:b/>
      <w:szCs w:val="24"/>
    </w:rPr>
  </w:style>
  <w:style w:type="paragraph" w:customStyle="1" w:styleId="NApunkts1">
    <w:name w:val="NA punkts 1"/>
    <w:basedOn w:val="Normal"/>
    <w:link w:val="NApunkts1Rakstz"/>
    <w:qFormat/>
    <w:rsid w:val="0086737E"/>
    <w:pPr>
      <w:numPr>
        <w:numId w:val="2"/>
      </w:numPr>
      <w:spacing w:before="240"/>
      <w:ind w:left="0" w:firstLine="0"/>
      <w:jc w:val="both"/>
      <w:outlineLvl w:val="0"/>
    </w:pPr>
    <w:rPr>
      <w:rFonts w:eastAsia="Times New Roman" w:cs="Times New Roman"/>
      <w:szCs w:val="24"/>
    </w:rPr>
  </w:style>
  <w:style w:type="paragraph" w:customStyle="1" w:styleId="NAapaksnodala">
    <w:name w:val="NA apaksnodala"/>
    <w:basedOn w:val="Normal"/>
    <w:rsid w:val="00123001"/>
    <w:pPr>
      <w:numPr>
        <w:ilvl w:val="1"/>
        <w:numId w:val="1"/>
      </w:numPr>
      <w:spacing w:before="240" w:after="240"/>
      <w:outlineLvl w:val="1"/>
    </w:pPr>
    <w:rPr>
      <w:rFonts w:eastAsia="Times New Roman" w:cs="Times New Roman"/>
      <w:b/>
      <w:szCs w:val="24"/>
    </w:rPr>
  </w:style>
  <w:style w:type="character" w:customStyle="1" w:styleId="NApunkts1Rakstz">
    <w:name w:val="NA punkts 1 Rakstz."/>
    <w:basedOn w:val="DefaultParagraphFont"/>
    <w:link w:val="NApunkts1"/>
    <w:rsid w:val="0086737E"/>
    <w:rPr>
      <w:rFonts w:ascii="Times New Roman" w:eastAsia="Times New Roman" w:hAnsi="Times New Roman" w:cs="Times New Roman"/>
      <w:sz w:val="24"/>
      <w:szCs w:val="24"/>
    </w:rPr>
  </w:style>
  <w:style w:type="paragraph" w:customStyle="1" w:styleId="NApunkts2">
    <w:name w:val="NA punkts 2"/>
    <w:basedOn w:val="Normal"/>
    <w:qFormat/>
    <w:rsid w:val="00123001"/>
    <w:pPr>
      <w:keepLines/>
      <w:numPr>
        <w:ilvl w:val="1"/>
        <w:numId w:val="2"/>
      </w:numPr>
      <w:ind w:left="3545"/>
      <w:jc w:val="both"/>
      <w:outlineLvl w:val="1"/>
    </w:pPr>
    <w:rPr>
      <w:rFonts w:eastAsia="Times New Roman" w:cs="Times New Roman"/>
      <w:szCs w:val="24"/>
    </w:rPr>
  </w:style>
  <w:style w:type="paragraph" w:customStyle="1" w:styleId="NApunkts3">
    <w:name w:val="NA punkts 3"/>
    <w:basedOn w:val="Normal"/>
    <w:qFormat/>
    <w:rsid w:val="00123001"/>
    <w:pPr>
      <w:keepLines/>
      <w:numPr>
        <w:ilvl w:val="2"/>
        <w:numId w:val="2"/>
      </w:numPr>
      <w:jc w:val="both"/>
      <w:outlineLvl w:val="2"/>
    </w:pPr>
    <w:rPr>
      <w:rFonts w:eastAsia="Times New Roman" w:cs="Times New Roman"/>
      <w:szCs w:val="24"/>
    </w:rPr>
  </w:style>
  <w:style w:type="paragraph" w:customStyle="1" w:styleId="NApunkts4">
    <w:name w:val="NA punkts 4"/>
    <w:basedOn w:val="Normal"/>
    <w:qFormat/>
    <w:rsid w:val="00123001"/>
    <w:pPr>
      <w:keepLines/>
      <w:numPr>
        <w:ilvl w:val="3"/>
        <w:numId w:val="2"/>
      </w:numPr>
      <w:jc w:val="both"/>
      <w:outlineLvl w:val="3"/>
    </w:pPr>
    <w:rPr>
      <w:rFonts w:eastAsia="Times New Roman" w:cs="Times New Roman"/>
      <w:szCs w:val="24"/>
    </w:rPr>
  </w:style>
  <w:style w:type="paragraph" w:customStyle="1" w:styleId="NAnodalaromiesucipari">
    <w:name w:val="NA nodala (romiesu cipari)"/>
    <w:basedOn w:val="Normal"/>
    <w:next w:val="NApunkts1"/>
    <w:autoRedefine/>
    <w:qFormat/>
    <w:rsid w:val="006B36CB"/>
    <w:pPr>
      <w:numPr>
        <w:numId w:val="7"/>
      </w:numPr>
      <w:spacing w:before="240"/>
      <w:outlineLvl w:val="0"/>
    </w:pPr>
    <w:rPr>
      <w:rFonts w:eastAsia="Times New Roman" w:cs="Times New Roman"/>
      <w:b/>
      <w:szCs w:val="24"/>
    </w:rPr>
  </w:style>
  <w:style w:type="paragraph" w:styleId="NoSpacing">
    <w:name w:val="No Spacing"/>
    <w:uiPriority w:val="1"/>
    <w:qFormat/>
    <w:rsid w:val="00811BE5"/>
    <w:pPr>
      <w:spacing w:after="0" w:line="240" w:lineRule="auto"/>
    </w:pPr>
    <w:rPr>
      <w:rFonts w:ascii="Times New Roman" w:hAnsi="Times New Roman"/>
      <w:sz w:val="24"/>
    </w:rPr>
  </w:style>
  <w:style w:type="character" w:styleId="CommentReference">
    <w:name w:val="annotation reference"/>
    <w:uiPriority w:val="99"/>
    <w:semiHidden/>
    <w:unhideWhenUsed/>
    <w:rPr>
      <w:sz w:val="16"/>
      <w:szCs w:val="16"/>
    </w:rPr>
  </w:style>
  <w:style w:type="paragraph" w:styleId="CommentText">
    <w:name w:val="annotation text"/>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4F58F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F58F6"/>
    <w:rPr>
      <w:b/>
      <w:bCs/>
    </w:rPr>
  </w:style>
  <w:style w:type="character" w:customStyle="1" w:styleId="CommentSubjectChar">
    <w:name w:val="Comment Subject Char"/>
    <w:basedOn w:val="CommentTextChar"/>
    <w:link w:val="CommentSubject"/>
    <w:uiPriority w:val="99"/>
    <w:semiHidden/>
    <w:rsid w:val="004F58F6"/>
    <w:rPr>
      <w:rFonts w:ascii="Times New Roman" w:hAnsi="Times New Roman"/>
      <w:b/>
      <w:bCs/>
      <w:sz w:val="20"/>
      <w:szCs w:val="20"/>
    </w:rPr>
  </w:style>
  <w:style w:type="paragraph" w:styleId="Revision">
    <w:name w:val="Revision"/>
    <w:hidden/>
    <w:uiPriority w:val="99"/>
    <w:semiHidden/>
    <w:rsid w:val="00915F10"/>
    <w:pPr>
      <w:spacing w:after="0" w:line="240" w:lineRule="auto"/>
    </w:pPr>
    <w:rPr>
      <w:rFonts w:ascii="Times New Roman" w:hAnsi="Times New Roman"/>
      <w:sz w:val="24"/>
    </w:rPr>
  </w:style>
  <w:style w:type="character" w:styleId="Hyperlink">
    <w:name w:val="Hyperlink"/>
    <w:basedOn w:val="DefaultParagraphFont"/>
    <w:uiPriority w:val="99"/>
    <w:unhideWhenUsed/>
    <w:rsid w:val="00B34B0F"/>
    <w:rPr>
      <w:color w:val="0000FF" w:themeColor="hyperlink"/>
      <w:u w:val="single"/>
    </w:rPr>
  </w:style>
  <w:style w:type="character" w:styleId="UnresolvedMention">
    <w:name w:val="Unresolved Mention"/>
    <w:basedOn w:val="DefaultParagraphFont"/>
    <w:uiPriority w:val="99"/>
    <w:semiHidden/>
    <w:unhideWhenUsed/>
    <w:rsid w:val="00B34B0F"/>
    <w:rPr>
      <w:color w:val="605E5C"/>
      <w:shd w:val="clear" w:color="auto" w:fill="E1DFDD"/>
    </w:rPr>
  </w:style>
  <w:style w:type="character" w:styleId="PageNumber">
    <w:name w:val="page number"/>
    <w:rsid w:val="00450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ACBE8C119B418483FC8FDC3CC8FFEC"/>
        <w:category>
          <w:name w:val="General"/>
          <w:gallery w:val="placeholder"/>
        </w:category>
        <w:types>
          <w:type w:val="bbPlcHdr"/>
        </w:types>
        <w:behaviors>
          <w:behavior w:val="content"/>
        </w:behaviors>
        <w:guid w:val="{5C30A1F7-F5BD-4144-82F8-AC30B71596A6}"/>
      </w:docPartPr>
      <w:docPartBody>
        <w:p w:rsidR="00A979D0" w:rsidRDefault="00BB6DF1" w:rsidP="00BB6DF1">
          <w:pPr>
            <w:pStyle w:val="13ACBE8C119B418483FC8FDC3CC8FFEC2"/>
          </w:pPr>
          <w:bookmarkStart w:id="0" w:name="_Hlk92186140"/>
          <w:r w:rsidRPr="00B21FDE">
            <w:rPr>
              <w:rFonts w:cs="Times New Roman"/>
              <w:sz w:val="14"/>
              <w:szCs w:val="14"/>
            </w:rPr>
            <w:t>K. VALDEMĀRA IELA 2A, R</w:t>
          </w:r>
          <w:r>
            <w:rPr>
              <w:rFonts w:cs="Times New Roman"/>
              <w:sz w:val="14"/>
              <w:szCs w:val="14"/>
            </w:rPr>
            <w:t>I</w:t>
          </w:r>
          <w:r w:rsidRPr="00B21FDE">
            <w:rPr>
              <w:rFonts w:cs="Times New Roman"/>
              <w:sz w:val="14"/>
              <w:szCs w:val="14"/>
            </w:rPr>
            <w:t>GA, LV-1050, LATVIA. T</w:t>
          </w:r>
          <w:r>
            <w:rPr>
              <w:rFonts w:cs="Times New Roman"/>
              <w:sz w:val="14"/>
              <w:szCs w:val="14"/>
            </w:rPr>
            <w:t>ELEPHONE</w:t>
          </w:r>
          <w:r w:rsidRPr="00B21FDE">
            <w:rPr>
              <w:rFonts w:cs="Times New Roman"/>
              <w:sz w:val="14"/>
              <w:szCs w:val="14"/>
            </w:rPr>
            <w:t xml:space="preserve"> +371 67022300, E-</w:t>
          </w:r>
          <w:r>
            <w:rPr>
              <w:rFonts w:cs="Times New Roman"/>
              <w:sz w:val="14"/>
              <w:szCs w:val="14"/>
            </w:rPr>
            <w:t>MAIL</w:t>
          </w:r>
          <w:r w:rsidRPr="00B21FDE">
            <w:rPr>
              <w:rFonts w:cs="Times New Roman"/>
              <w:sz w:val="14"/>
              <w:szCs w:val="14"/>
            </w:rPr>
            <w:t xml:space="preserve"> INFO@BANK.LV, WWW.BANK.LV</w:t>
          </w:r>
          <w:bookmarkEnd w:id="0"/>
        </w:p>
      </w:docPartBody>
    </w:docPart>
    <w:docPart>
      <w:docPartPr>
        <w:name w:val="F919368CDE2D4193B387A170FF9DFDE5"/>
        <w:category>
          <w:name w:val="General"/>
          <w:gallery w:val="placeholder"/>
        </w:category>
        <w:types>
          <w:type w:val="bbPlcHdr"/>
        </w:types>
        <w:behaviors>
          <w:behavior w:val="content"/>
        </w:behaviors>
        <w:guid w:val="{DDA569AC-3A3D-4958-A802-FB3B70958221}"/>
      </w:docPartPr>
      <w:docPartBody>
        <w:p w:rsidR="00A979D0" w:rsidRDefault="00D02AF0" w:rsidP="00D02AF0">
          <w:pPr>
            <w:pStyle w:val="F919368CDE2D4193B387A170FF9DFDE5"/>
          </w:pPr>
          <w:r w:rsidRPr="00811BE5">
            <w:rPr>
              <w:color w:val="808080" w:themeColor="background1" w:themeShade="80"/>
            </w:rPr>
            <w:t>[Datums]</w:t>
          </w:r>
        </w:p>
      </w:docPartBody>
    </w:docPart>
    <w:docPart>
      <w:docPartPr>
        <w:name w:val="F260DF0E552448B7A9014400182C0B4C"/>
        <w:category>
          <w:name w:val="General"/>
          <w:gallery w:val="placeholder"/>
        </w:category>
        <w:types>
          <w:type w:val="bbPlcHdr"/>
        </w:types>
        <w:behaviors>
          <w:behavior w:val="content"/>
        </w:behaviors>
        <w:guid w:val="{8986E528-89C0-4712-BC5D-41EEAE697588}"/>
      </w:docPartPr>
      <w:docPartBody>
        <w:p w:rsidR="00A979D0" w:rsidRDefault="00BB6DF1">
          <w:pPr>
            <w:pStyle w:val="F260DF0E552448B7A9014400182C0B4C"/>
          </w:pPr>
          <w:r>
            <w:t xml:space="preserve">Regulation </w:t>
          </w:r>
        </w:p>
      </w:docPartBody>
    </w:docPart>
    <w:docPart>
      <w:docPartPr>
        <w:name w:val="E62421987CC744939E08160B293011CC"/>
        <w:category>
          <w:name w:val="General"/>
          <w:gallery w:val="placeholder"/>
        </w:category>
        <w:types>
          <w:type w:val="bbPlcHdr"/>
        </w:types>
        <w:behaviors>
          <w:behavior w:val="content"/>
        </w:behaviors>
        <w:guid w:val="{FCFE01F6-4EFE-4477-B334-39BBB469054C}"/>
      </w:docPartPr>
      <w:docPartBody>
        <w:p w:rsidR="00A979D0" w:rsidRDefault="00BB6DF1">
          <w:pPr>
            <w:pStyle w:val="E62421987CC744939E08160B293011CC"/>
          </w:pPr>
          <w:r>
            <w:t>No </w:t>
          </w:r>
        </w:p>
      </w:docPartBody>
    </w:docPart>
    <w:docPart>
      <w:docPartPr>
        <w:name w:val="21A82A25B90947ECB457D57DEE8FB5DB"/>
        <w:category>
          <w:name w:val="General"/>
          <w:gallery w:val="placeholder"/>
        </w:category>
        <w:types>
          <w:type w:val="bbPlcHdr"/>
        </w:types>
        <w:behaviors>
          <w:behavior w:val="content"/>
        </w:behaviors>
        <w:guid w:val="{A7017C3A-5421-4C5F-8C70-2F819E5E6163}"/>
      </w:docPartPr>
      <w:docPartBody>
        <w:p w:rsidR="00A979D0" w:rsidRDefault="00D02AF0">
          <w:pPr>
            <w:pStyle w:val="21A82A25B90947ECB457D57DEE8FB5DB"/>
          </w:pPr>
          <w:r>
            <w:t>_____</w:t>
          </w:r>
        </w:p>
      </w:docPartBody>
    </w:docPart>
    <w:docPart>
      <w:docPartPr>
        <w:name w:val="3F01D9EB19724F74A1E006E2E43A68BC"/>
        <w:category>
          <w:name w:val="General"/>
          <w:gallery w:val="placeholder"/>
        </w:category>
        <w:types>
          <w:type w:val="bbPlcHdr"/>
        </w:types>
        <w:behaviors>
          <w:behavior w:val="content"/>
        </w:behaviors>
        <w:guid w:val="{840A408C-50E7-4CA9-9A56-40CF80725921}"/>
      </w:docPartPr>
      <w:docPartBody>
        <w:p w:rsidR="00A979D0" w:rsidRDefault="00BB6DF1" w:rsidP="00BB6DF1">
          <w:pPr>
            <w:pStyle w:val="3F01D9EB19724F74A1E006E2E43A68BC2"/>
          </w:pPr>
          <w:r>
            <w:rPr>
              <w:rFonts w:cs="Times New Roman"/>
              <w:szCs w:val="24"/>
            </w:rPr>
            <w:t>Riga</w:t>
          </w:r>
        </w:p>
      </w:docPartBody>
    </w:docPart>
    <w:docPart>
      <w:docPartPr>
        <w:name w:val="1574F255F22345E983B2165B1D392A0B"/>
        <w:category>
          <w:name w:val="General"/>
          <w:gallery w:val="placeholder"/>
        </w:category>
        <w:types>
          <w:type w:val="bbPlcHdr"/>
        </w:types>
        <w:behaviors>
          <w:behavior w:val="content"/>
        </w:behaviors>
        <w:guid w:val="{7A724BE7-0220-4D15-AFE2-E14CEBD4FD99}"/>
      </w:docPartPr>
      <w:docPartBody>
        <w:p w:rsidR="00A979D0" w:rsidRDefault="003C22E0">
          <w:pPr>
            <w:pStyle w:val="1574F255F22345E983B2165B1D392A0B"/>
          </w:pPr>
          <w:r w:rsidRPr="00F5647B">
            <w:rPr>
              <w:rStyle w:val="PlaceholderText"/>
              <w:b/>
              <w:szCs w:val="24"/>
            </w:rPr>
            <w:t>[Nosaukums]</w:t>
          </w:r>
        </w:p>
      </w:docPartBody>
    </w:docPart>
    <w:docPart>
      <w:docPartPr>
        <w:name w:val="98504C0AB618413C9EC4BE47F5F78410"/>
        <w:category>
          <w:name w:val="General"/>
          <w:gallery w:val="placeholder"/>
        </w:category>
        <w:types>
          <w:type w:val="bbPlcHdr"/>
        </w:types>
        <w:behaviors>
          <w:behavior w:val="content"/>
        </w:behaviors>
        <w:guid w:val="{B1A48695-4EC7-4744-8836-A9DF7E543D8E}"/>
      </w:docPartPr>
      <w:docPartBody>
        <w:p w:rsidR="00A979D0" w:rsidRDefault="00BB6DF1" w:rsidP="00D02AF0">
          <w:r>
            <w:t>Issued pursuant to</w:t>
          </w:r>
        </w:p>
      </w:docPartBody>
    </w:docPart>
    <w:docPart>
      <w:docPartPr>
        <w:name w:val="28124BB36BE14CD49C9428D8B18ACCB4"/>
        <w:category>
          <w:name w:val="General"/>
          <w:gallery w:val="placeholder"/>
        </w:category>
        <w:types>
          <w:type w:val="bbPlcHdr"/>
        </w:types>
        <w:behaviors>
          <w:behavior w:val="content"/>
        </w:behaviors>
        <w:guid w:val="{13F08EDC-8DD5-47EF-B33C-60DD98965B39}"/>
      </w:docPartPr>
      <w:docPartBody>
        <w:p w:rsidR="00A979D0" w:rsidRDefault="003C22E0">
          <w:pPr>
            <w:pStyle w:val="28124BB36BE14CD49C9428D8B18ACCB4"/>
          </w:pPr>
          <w:r w:rsidRPr="00301089">
            <w:rPr>
              <w:rStyle w:val="PlaceholderText"/>
              <w:szCs w:val="24"/>
            </w:rPr>
            <w:t>[likuma]</w:t>
          </w:r>
        </w:p>
      </w:docPartBody>
    </w:docPart>
    <w:docPart>
      <w:docPartPr>
        <w:name w:val="3F633EEFBAA7490D8C1716CF385A3D93"/>
        <w:category>
          <w:name w:val="General"/>
          <w:gallery w:val="placeholder"/>
        </w:category>
        <w:types>
          <w:type w:val="bbPlcHdr"/>
        </w:types>
        <w:behaviors>
          <w:behavior w:val="content"/>
        </w:behaviors>
        <w:guid w:val="{FB32658E-0AA2-4581-BB33-3DDD20A5FCC0}"/>
      </w:docPartPr>
      <w:docPartBody>
        <w:p w:rsidR="00A979D0" w:rsidRDefault="003C22E0">
          <w:pPr>
            <w:pStyle w:val="3F633EEFBAA7490D8C1716CF385A3D93"/>
          </w:pPr>
          <w:r>
            <w:rPr>
              <w:rFonts w:ascii="Times New Roman" w:hAnsi="Times New Roman" w:cs="Times New Roman"/>
              <w:sz w:val="24"/>
              <w:szCs w:val="24"/>
            </w:rPr>
            <w:t>{amats}</w:t>
          </w:r>
        </w:p>
      </w:docPartBody>
    </w:docPart>
    <w:docPart>
      <w:docPartPr>
        <w:name w:val="077B63193B6F49C8A843408F184C0C89"/>
        <w:category>
          <w:name w:val="General"/>
          <w:gallery w:val="placeholder"/>
        </w:category>
        <w:types>
          <w:type w:val="bbPlcHdr"/>
        </w:types>
        <w:behaviors>
          <w:behavior w:val="content"/>
        </w:behaviors>
        <w:guid w:val="{930627C5-6942-4D84-9E92-8FDBEB068A38}"/>
      </w:docPartPr>
      <w:docPartBody>
        <w:p w:rsidR="00A979D0" w:rsidRDefault="003C22E0">
          <w:pPr>
            <w:pStyle w:val="077B63193B6F49C8A843408F184C0C89"/>
          </w:pPr>
          <w:r w:rsidRPr="00811BE5">
            <w:rPr>
              <w:color w:val="808080" w:themeColor="background1" w:themeShade="80"/>
            </w:rPr>
            <w:t>[V. Uzvārds]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E0"/>
    <w:rsid w:val="000E10C7"/>
    <w:rsid w:val="00310B53"/>
    <w:rsid w:val="003C22E0"/>
    <w:rsid w:val="003F7B14"/>
    <w:rsid w:val="00495EDE"/>
    <w:rsid w:val="00525F0F"/>
    <w:rsid w:val="00565FE6"/>
    <w:rsid w:val="006D04E4"/>
    <w:rsid w:val="007C6D34"/>
    <w:rsid w:val="008E7DD1"/>
    <w:rsid w:val="00A979D0"/>
    <w:rsid w:val="00AD14ED"/>
    <w:rsid w:val="00BB6DF1"/>
    <w:rsid w:val="00C15A91"/>
    <w:rsid w:val="00C86EA1"/>
    <w:rsid w:val="00D02AF0"/>
    <w:rsid w:val="00EF11B4"/>
    <w:rsid w:val="00F07C0B"/>
    <w:rsid w:val="00F204CB"/>
    <w:rsid w:val="00F72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0DF0E552448B7A9014400182C0B4C">
    <w:name w:val="F260DF0E552448B7A9014400182C0B4C"/>
  </w:style>
  <w:style w:type="paragraph" w:customStyle="1" w:styleId="E62421987CC744939E08160B293011CC">
    <w:name w:val="E62421987CC744939E08160B293011CC"/>
  </w:style>
  <w:style w:type="paragraph" w:customStyle="1" w:styleId="21A82A25B90947ECB457D57DEE8FB5DB">
    <w:name w:val="21A82A25B90947ECB457D57DEE8FB5DB"/>
  </w:style>
  <w:style w:type="character" w:styleId="PlaceholderText">
    <w:name w:val="Placeholder Text"/>
    <w:basedOn w:val="DefaultParagraphFont"/>
    <w:uiPriority w:val="99"/>
    <w:semiHidden/>
    <w:rsid w:val="00BB6DF1"/>
    <w:rPr>
      <w:color w:val="808080"/>
    </w:rPr>
  </w:style>
  <w:style w:type="paragraph" w:customStyle="1" w:styleId="1574F255F22345E983B2165B1D392A0B">
    <w:name w:val="1574F255F22345E983B2165B1D392A0B"/>
  </w:style>
  <w:style w:type="paragraph" w:customStyle="1" w:styleId="28124BB36BE14CD49C9428D8B18ACCB4">
    <w:name w:val="28124BB36BE14CD49C9428D8B18ACCB4"/>
  </w:style>
  <w:style w:type="paragraph" w:customStyle="1" w:styleId="3F633EEFBAA7490D8C1716CF385A3D93">
    <w:name w:val="3F633EEFBAA7490D8C1716CF385A3D93"/>
  </w:style>
  <w:style w:type="paragraph" w:customStyle="1" w:styleId="077B63193B6F49C8A843408F184C0C89">
    <w:name w:val="077B63193B6F49C8A843408F184C0C89"/>
  </w:style>
  <w:style w:type="paragraph" w:customStyle="1" w:styleId="F919368CDE2D4193B387A170FF9DFDE5">
    <w:name w:val="F919368CDE2D4193B387A170FF9DFDE5"/>
    <w:rsid w:val="00D02AF0"/>
    <w:pPr>
      <w:spacing w:after="0" w:line="240" w:lineRule="auto"/>
    </w:pPr>
    <w:rPr>
      <w:rFonts w:ascii="Times New Roman" w:hAnsi="Times New Roman"/>
      <w:sz w:val="24"/>
    </w:rPr>
  </w:style>
  <w:style w:type="paragraph" w:customStyle="1" w:styleId="13ACBE8C119B418483FC8FDC3CC8FFEC2">
    <w:name w:val="13ACBE8C119B418483FC8FDC3CC8FFEC2"/>
    <w:rsid w:val="00BB6DF1"/>
    <w:pPr>
      <w:spacing w:after="0" w:line="240" w:lineRule="auto"/>
    </w:pPr>
    <w:rPr>
      <w:rFonts w:ascii="Times New Roman" w:hAnsi="Times New Roman"/>
      <w:sz w:val="24"/>
      <w:lang w:val="en-GB"/>
    </w:rPr>
  </w:style>
  <w:style w:type="paragraph" w:customStyle="1" w:styleId="3F01D9EB19724F74A1E006E2E43A68BC2">
    <w:name w:val="3F01D9EB19724F74A1E006E2E43A68BC2"/>
    <w:rsid w:val="00BB6DF1"/>
    <w:pPr>
      <w:spacing w:after="0" w:line="240" w:lineRule="auto"/>
    </w:pPr>
    <w:rPr>
      <w:rFonts w:ascii="Times New Roman" w:hAnsi="Times New Roman"/>
      <w:sz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A336-79F3-40F7-8B86-1FBF092181C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6A7F5DD-E849-4E42-9768-CECFB0688BD3}">
  <ds:schemaRefs>
    <ds:schemaRef ds:uri="http://schemas.microsoft.com/sharepoint/v3/contenttype/forms"/>
  </ds:schemaRefs>
</ds:datastoreItem>
</file>

<file path=customXml/itemProps3.xml><?xml version="1.0" encoding="utf-8"?>
<ds:datastoreItem xmlns:ds="http://schemas.openxmlformats.org/officeDocument/2006/customXml" ds:itemID="{6EB63968-999A-488C-BF9D-0B3EA6FA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1877C-4E39-49C0-832D-39C3FAD8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1301</Words>
  <Characters>7417</Characters>
  <Application>Microsoft Office Word</Application>
  <DocSecurity>0</DocSecurity>
  <Lines>61</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Latvijas Banka</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Jermoloviča</dc:creator>
  <cp:lastModifiedBy>Emīlija Līga Poga</cp:lastModifiedBy>
  <cp:revision>38</cp:revision>
  <cp:lastPrinted>2023-05-19T08:33:00Z</cp:lastPrinted>
  <dcterms:created xsi:type="dcterms:W3CDTF">2023-10-02T06:28:00Z</dcterms:created>
  <dcterms:modified xsi:type="dcterms:W3CDTF">2024-09-16T08:58:00Z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