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98"/>
        <w:gridCol w:w="3433"/>
      </w:tblGrid>
      <w:tr w:rsidR="004662DC" w:rsidTr="00320942">
        <w:tc>
          <w:tcPr>
            <w:tcW w:w="5698" w:type="dxa"/>
          </w:tcPr>
          <w:p w:rsidR="004662DC" w:rsidRDefault="004662DC" w:rsidP="004662DC">
            <w:pPr>
              <w:jc w:val="right"/>
              <w:rPr>
                <w:rFonts w:ascii="Times New Roman" w:eastAsia="Times New Roman" w:hAnsi="Times New Roman" w:cs="Times New Roman"/>
                <w:noProof/>
                <w:sz w:val="24"/>
                <w:szCs w:val="24"/>
              </w:rPr>
            </w:pPr>
            <w:r>
              <w:rPr>
                <w:rFonts w:ascii="Times New Roman" w:hAnsi="Times New Roman"/>
                <w:noProof/>
                <w:sz w:val="24"/>
                <w:lang w:bidi="ar-SA"/>
              </w:rPr>
              <w:drawing>
                <wp:inline distT="0" distB="0" distL="0" distR="0" wp14:anchorId="58F39D96" wp14:editId="14F1789C">
                  <wp:extent cx="1651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 cy="114300"/>
                          </a:xfrm>
                          <a:prstGeom prst="rect">
                            <a:avLst/>
                          </a:prstGeom>
                          <a:noFill/>
                          <a:ln>
                            <a:noFill/>
                          </a:ln>
                        </pic:spPr>
                      </pic:pic>
                    </a:graphicData>
                  </a:graphic>
                </wp:inline>
              </w:drawing>
            </w:r>
          </w:p>
        </w:tc>
        <w:tc>
          <w:tcPr>
            <w:tcW w:w="3433" w:type="dxa"/>
            <w:vAlign w:val="bottom"/>
          </w:tcPr>
          <w:p w:rsidR="004662DC" w:rsidRPr="00320942" w:rsidRDefault="004662DC" w:rsidP="00320942">
            <w:pPr>
              <w:rPr>
                <w:rFonts w:ascii="Times New Roman" w:hAnsi="Times New Roman"/>
                <w:noProof/>
              </w:rPr>
            </w:pPr>
            <w:r w:rsidRPr="00320942">
              <w:rPr>
                <w:rFonts w:ascii="Times New Roman" w:hAnsi="Times New Roman"/>
                <w:noProof/>
              </w:rPr>
              <w:t>Nr. Ares(2016)2010194 - 27/04/2016</w:t>
            </w:r>
          </w:p>
        </w:tc>
      </w:tr>
    </w:tbl>
    <w:p w:rsidR="004662DC" w:rsidRDefault="004662DC" w:rsidP="004662DC">
      <w:pPr>
        <w:jc w:val="both"/>
        <w:rPr>
          <w:rFonts w:ascii="Times New Roman" w:eastAsia="Times New Roman" w:hAnsi="Times New Roman" w:cs="Times New Roman"/>
          <w:noProof/>
          <w:sz w:val="24"/>
          <w:szCs w:val="24"/>
        </w:rPr>
      </w:pPr>
    </w:p>
    <w:p w:rsidR="004662DC" w:rsidRPr="004662DC" w:rsidRDefault="004662DC" w:rsidP="004662DC">
      <w:pPr>
        <w:jc w:val="both"/>
        <w:rPr>
          <w:rFonts w:ascii="Times New Roman" w:eastAsia="Times New Roman" w:hAnsi="Times New Roman" w:cs="Times New Roman"/>
          <w:noProof/>
          <w:sz w:val="24"/>
          <w:szCs w:val="24"/>
        </w:rPr>
      </w:pPr>
    </w:p>
    <w:p w:rsidR="004662DC" w:rsidRDefault="00A91C4E" w:rsidP="004662DC">
      <w:pPr>
        <w:pStyle w:val="Heading1"/>
        <w:ind w:left="0" w:firstLine="0"/>
        <w:jc w:val="center"/>
        <w:rPr>
          <w:noProof/>
        </w:rPr>
      </w:pPr>
      <w:bookmarkStart w:id="0" w:name="ANNEX_B"/>
      <w:bookmarkEnd w:id="0"/>
      <w:r>
        <w:t>B PIELIKUMS</w:t>
      </w:r>
      <w:bookmarkStart w:id="1" w:name="SHIP_SUPPLIES"/>
      <w:bookmarkEnd w:id="1"/>
    </w:p>
    <w:p w:rsidR="004662DC" w:rsidRDefault="004662DC" w:rsidP="004662DC">
      <w:pPr>
        <w:pStyle w:val="Heading1"/>
        <w:ind w:left="0" w:firstLine="0"/>
        <w:jc w:val="center"/>
        <w:rPr>
          <w:noProof/>
        </w:rPr>
      </w:pPr>
    </w:p>
    <w:p w:rsidR="00A91C4E" w:rsidRPr="004662DC" w:rsidRDefault="00A91C4E" w:rsidP="004662DC">
      <w:pPr>
        <w:pStyle w:val="Heading1"/>
        <w:ind w:left="0" w:firstLine="0"/>
        <w:jc w:val="center"/>
        <w:rPr>
          <w:noProof/>
        </w:rPr>
      </w:pPr>
      <w:r>
        <w:t>KUĢU VAJADZĪBĀM PIEGĀDĀTĀS PRECES</w:t>
      </w:r>
    </w:p>
    <w:p w:rsidR="00A91C4E" w:rsidRPr="004662DC" w:rsidRDefault="00A91C4E" w:rsidP="004662DC">
      <w:pPr>
        <w:jc w:val="center"/>
        <w:rPr>
          <w:rFonts w:ascii="Times New Roman" w:hAnsi="Times New Roman"/>
          <w:i/>
          <w:noProof/>
          <w:sz w:val="24"/>
        </w:rPr>
      </w:pPr>
      <w:bookmarkStart w:id="2" w:name="Articles_269_and_270_UCC"/>
      <w:bookmarkEnd w:id="2"/>
      <w:r>
        <w:rPr>
          <w:rFonts w:ascii="Times New Roman" w:hAnsi="Times New Roman"/>
          <w:i/>
          <w:noProof/>
          <w:sz w:val="24"/>
        </w:rPr>
        <w:t>UCC 269. un 270. pants</w:t>
      </w:r>
    </w:p>
    <w:p w:rsidR="00A91C4E" w:rsidRPr="004662DC" w:rsidRDefault="00A91C4E" w:rsidP="004662DC">
      <w:pPr>
        <w:jc w:val="both"/>
        <w:rPr>
          <w:rFonts w:ascii="Times New Roman" w:eastAsia="Helvetica" w:hAnsi="Times New Roman" w:cs="Helvetica"/>
          <w:noProof/>
          <w:sz w:val="24"/>
          <w:szCs w:val="29"/>
        </w:rPr>
      </w:pPr>
    </w:p>
    <w:p w:rsidR="00A91C4E" w:rsidRPr="004662DC" w:rsidRDefault="004662DC" w:rsidP="004662DC">
      <w:pPr>
        <w:pStyle w:val="Heading1"/>
        <w:tabs>
          <w:tab w:val="left" w:pos="391"/>
        </w:tabs>
        <w:ind w:left="0" w:firstLine="0"/>
        <w:jc w:val="both"/>
        <w:rPr>
          <w:noProof/>
        </w:rPr>
      </w:pPr>
      <w:bookmarkStart w:id="3" w:name="I.__Definition_of_ship_supplies"/>
      <w:bookmarkEnd w:id="3"/>
      <w:r>
        <w:t>I. Kuģu vajadzībām piegādāto preču definīcija</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bookmarkStart w:id="4" w:name="Ship_supplies_are_ship_stores,_supplies_"/>
      <w:bookmarkEnd w:id="4"/>
      <w:r>
        <w:t>Kuģu vajadzībām piegādātās preces ir kuģa krājumi, izejvielas, materiāli un rezerves daļas, ko piegādā kuģiem, un kas ir atbrīvoti no PVN un attiecīgajā gadījumā no akcīzes nodokļa atbilstīgi Direktīvas 2008/118/EK 14. panta 2. punktam. Par šādām precēm uzskata, piemēram:</w:t>
      </w:r>
    </w:p>
    <w:p w:rsidR="00A91C4E" w:rsidRPr="004662DC" w:rsidRDefault="00A91C4E" w:rsidP="004662DC">
      <w:pPr>
        <w:pStyle w:val="BodyText"/>
        <w:numPr>
          <w:ilvl w:val="1"/>
          <w:numId w:val="8"/>
        </w:numPr>
        <w:tabs>
          <w:tab w:val="left" w:pos="1134"/>
        </w:tabs>
        <w:ind w:left="1134" w:hanging="425"/>
        <w:jc w:val="both"/>
        <w:rPr>
          <w:noProof/>
        </w:rPr>
      </w:pPr>
      <w:bookmarkStart w:id="5" w:name="___foodstuffs_as_well_as_other_items_th"/>
      <w:bookmarkEnd w:id="5"/>
      <w:r>
        <w:t>pārtikas preces, kā arī citas preces, kas tiek patērētas vai pārdotas uz kuģa vai kuras izmanto kuģa apkalpe un pasažieri;</w:t>
      </w:r>
    </w:p>
    <w:p w:rsidR="00A91C4E" w:rsidRPr="004662DC" w:rsidRDefault="00A91C4E" w:rsidP="004662DC">
      <w:pPr>
        <w:pStyle w:val="BodyText"/>
        <w:numPr>
          <w:ilvl w:val="1"/>
          <w:numId w:val="8"/>
        </w:numPr>
        <w:tabs>
          <w:tab w:val="left" w:pos="1134"/>
        </w:tabs>
        <w:ind w:left="1134" w:hanging="425"/>
        <w:jc w:val="both"/>
        <w:rPr>
          <w:noProof/>
        </w:rPr>
      </w:pPr>
      <w:bookmarkStart w:id="6" w:name="___items_for_incorporation_as_part_of_o"/>
      <w:bookmarkEnd w:id="6"/>
      <w:r>
        <w:t>preces, ko izmanto iekļaušanai kuģī kā kuģa daļu vai piederumu vai ko izmanto dzinēju, iekārtu un cita kuģa aprīkojuma darbināšanai.</w:t>
      </w:r>
    </w:p>
    <w:p w:rsidR="00A91C4E" w:rsidRPr="004662DC" w:rsidRDefault="00A91C4E" w:rsidP="004662DC">
      <w:pPr>
        <w:pStyle w:val="BodyText"/>
        <w:ind w:left="0"/>
        <w:jc w:val="both"/>
        <w:rPr>
          <w:noProof/>
        </w:rPr>
      </w:pPr>
      <w:bookmarkStart w:id="7" w:name="Consumption,_use,_incorporation_and_oper"/>
      <w:bookmarkEnd w:id="7"/>
      <w:r>
        <w:t>Kuģu vajadzībām piegādātās preces ir jāpatērē un jāizmanto uz kuģa. Līdz ar to kuģu vajadzībām piegādātās preces nedrīkst izņemt no kuģa, ja vien tās netiek izņemtas kā daļa no beznodokļu preču daudzuma, ko drīkst iznest pasažieri, kuri nokāpj no kuģa trešā valstī vai trešā teritorijā.</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bookmarkStart w:id="8" w:name="The_following_examples,_which_are_not_ex"/>
      <w:bookmarkEnd w:id="8"/>
      <w:r>
        <w:t>Turpmāk sniegti daži kuģu vajadzībām piegādāto preču izmantošanas piemēri.</w:t>
      </w:r>
    </w:p>
    <w:p w:rsidR="00A91C4E" w:rsidRDefault="00A91C4E" w:rsidP="004662DC">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4662DC" w:rsidTr="004662DC">
        <w:tc>
          <w:tcPr>
            <w:tcW w:w="9291" w:type="dxa"/>
          </w:tcPr>
          <w:p w:rsidR="004662DC" w:rsidRPr="00A91C4E" w:rsidRDefault="004662DC" w:rsidP="004662DC">
            <w:pPr>
              <w:spacing w:before="77"/>
              <w:ind w:left="284"/>
              <w:rPr>
                <w:rFonts w:ascii="Times New Roman"/>
                <w:i/>
                <w:noProof/>
                <w:sz w:val="24"/>
              </w:rPr>
            </w:pPr>
            <w:r>
              <w:rPr>
                <w:rFonts w:ascii="Times New Roman"/>
                <w:i/>
                <w:noProof/>
                <w:sz w:val="24"/>
              </w:rPr>
              <w:t>Piem</w:t>
            </w:r>
            <w:r>
              <w:rPr>
                <w:rFonts w:ascii="Times New Roman"/>
                <w:i/>
                <w:noProof/>
                <w:sz w:val="24"/>
              </w:rPr>
              <w:t>ē</w:t>
            </w:r>
            <w:r>
              <w:rPr>
                <w:rFonts w:ascii="Times New Roman"/>
                <w:i/>
                <w:noProof/>
                <w:sz w:val="24"/>
              </w:rPr>
              <w:t>ri</w:t>
            </w:r>
          </w:p>
          <w:p w:rsidR="004662DC" w:rsidRPr="00A91C4E" w:rsidRDefault="004662DC" w:rsidP="004662DC">
            <w:pPr>
              <w:numPr>
                <w:ilvl w:val="0"/>
                <w:numId w:val="7"/>
              </w:numPr>
              <w:tabs>
                <w:tab w:val="left" w:pos="1134"/>
              </w:tabs>
              <w:spacing w:before="86" w:line="323" w:lineRule="auto"/>
              <w:ind w:left="1134" w:right="104" w:hanging="425"/>
              <w:rPr>
                <w:rFonts w:ascii="Times New Roman"/>
                <w:noProof/>
                <w:sz w:val="24"/>
              </w:rPr>
            </w:pPr>
            <w:r>
              <w:rPr>
                <w:rFonts w:ascii="Times New Roman"/>
                <w:noProof/>
                <w:sz w:val="24"/>
              </w:rPr>
              <w:t>Rezerves da</w:t>
            </w:r>
            <w:r>
              <w:rPr>
                <w:rFonts w:ascii="Times New Roman"/>
                <w:noProof/>
                <w:sz w:val="24"/>
              </w:rPr>
              <w:t>ļ</w:t>
            </w:r>
            <w:r>
              <w:rPr>
                <w:rFonts w:ascii="Times New Roman"/>
                <w:noProof/>
                <w:sz w:val="24"/>
              </w:rPr>
              <w:t>as, ko paredz</w:t>
            </w:r>
            <w:r>
              <w:rPr>
                <w:rFonts w:ascii="Times New Roman"/>
                <w:noProof/>
                <w:sz w:val="24"/>
              </w:rPr>
              <w:t>ē</w:t>
            </w:r>
            <w:r>
              <w:rPr>
                <w:rFonts w:ascii="Times New Roman"/>
                <w:noProof/>
                <w:sz w:val="24"/>
              </w:rPr>
              <w:t>ts izmantot ku</w:t>
            </w:r>
            <w:r>
              <w:rPr>
                <w:rFonts w:ascii="Times New Roman"/>
                <w:noProof/>
                <w:sz w:val="24"/>
              </w:rPr>
              <w:t>ģ</w:t>
            </w:r>
            <w:r>
              <w:rPr>
                <w:rFonts w:ascii="Times New Roman"/>
                <w:noProof/>
                <w:sz w:val="24"/>
              </w:rPr>
              <w:t>a remontdarbos un tehnisk</w:t>
            </w:r>
            <w:r>
              <w:rPr>
                <w:rFonts w:ascii="Times New Roman"/>
                <w:noProof/>
                <w:sz w:val="24"/>
              </w:rPr>
              <w:t>ā</w:t>
            </w:r>
            <w:r>
              <w:rPr>
                <w:rFonts w:ascii="Times New Roman"/>
                <w:noProof/>
                <w:sz w:val="24"/>
              </w:rPr>
              <w:t>s apkopes pas</w:t>
            </w:r>
            <w:r>
              <w:rPr>
                <w:rFonts w:ascii="Times New Roman"/>
                <w:noProof/>
                <w:sz w:val="24"/>
              </w:rPr>
              <w:t>ā</w:t>
            </w:r>
            <w:r>
              <w:rPr>
                <w:rFonts w:ascii="Times New Roman"/>
                <w:noProof/>
                <w:sz w:val="24"/>
              </w:rPr>
              <w:t>kumos.</w:t>
            </w:r>
          </w:p>
          <w:p w:rsidR="004662DC" w:rsidRPr="00A91C4E" w:rsidRDefault="004662DC" w:rsidP="004662DC">
            <w:pPr>
              <w:numPr>
                <w:ilvl w:val="0"/>
                <w:numId w:val="7"/>
              </w:numPr>
              <w:tabs>
                <w:tab w:val="left" w:pos="1134"/>
              </w:tabs>
              <w:spacing w:line="323" w:lineRule="auto"/>
              <w:ind w:left="1134" w:right="106" w:hanging="425"/>
              <w:rPr>
                <w:rFonts w:ascii="Times New Roman"/>
                <w:noProof/>
                <w:sz w:val="24"/>
              </w:rPr>
            </w:pPr>
            <w:r>
              <w:rPr>
                <w:rFonts w:ascii="Times New Roman"/>
                <w:noProof/>
                <w:sz w:val="24"/>
              </w:rPr>
              <w:t>Dzin</w:t>
            </w:r>
            <w:r>
              <w:rPr>
                <w:rFonts w:ascii="Times New Roman"/>
                <w:noProof/>
                <w:sz w:val="24"/>
              </w:rPr>
              <w:t>ē</w:t>
            </w:r>
            <w:r>
              <w:rPr>
                <w:rFonts w:ascii="Times New Roman"/>
                <w:noProof/>
                <w:sz w:val="24"/>
              </w:rPr>
              <w:t>ja degviela, sm</w:t>
            </w:r>
            <w:r>
              <w:rPr>
                <w:rFonts w:ascii="Times New Roman"/>
                <w:noProof/>
                <w:sz w:val="24"/>
              </w:rPr>
              <w:t>ē</w:t>
            </w:r>
            <w:r>
              <w:rPr>
                <w:rFonts w:ascii="Times New Roman"/>
                <w:noProof/>
                <w:sz w:val="24"/>
              </w:rPr>
              <w:t>rvielas un g</w:t>
            </w:r>
            <w:r>
              <w:rPr>
                <w:rFonts w:ascii="Times New Roman"/>
                <w:noProof/>
                <w:sz w:val="24"/>
              </w:rPr>
              <w:t>ā</w:t>
            </w:r>
            <w:r>
              <w:rPr>
                <w:rFonts w:ascii="Times New Roman"/>
                <w:noProof/>
                <w:sz w:val="24"/>
              </w:rPr>
              <w:t>ze, kas nepiecie</w:t>
            </w:r>
            <w:r>
              <w:rPr>
                <w:rFonts w:ascii="Times New Roman"/>
                <w:noProof/>
                <w:sz w:val="24"/>
              </w:rPr>
              <w:t>š</w:t>
            </w:r>
            <w:r>
              <w:rPr>
                <w:rFonts w:ascii="Times New Roman"/>
                <w:noProof/>
                <w:sz w:val="24"/>
              </w:rPr>
              <w:t>ama uz ku</w:t>
            </w:r>
            <w:r>
              <w:rPr>
                <w:rFonts w:ascii="Times New Roman"/>
                <w:noProof/>
                <w:sz w:val="24"/>
              </w:rPr>
              <w:t>ģ</w:t>
            </w:r>
            <w:r>
              <w:rPr>
                <w:rFonts w:ascii="Times New Roman"/>
                <w:noProof/>
                <w:sz w:val="24"/>
              </w:rPr>
              <w:t>a izmantoto iek</w:t>
            </w:r>
            <w:r>
              <w:rPr>
                <w:rFonts w:ascii="Times New Roman"/>
                <w:noProof/>
                <w:sz w:val="24"/>
              </w:rPr>
              <w:t>ā</w:t>
            </w:r>
            <w:r>
              <w:rPr>
                <w:rFonts w:ascii="Times New Roman"/>
                <w:noProof/>
                <w:sz w:val="24"/>
              </w:rPr>
              <w:t>rtu un ier</w:t>
            </w:r>
            <w:r>
              <w:rPr>
                <w:rFonts w:ascii="Times New Roman"/>
                <w:noProof/>
                <w:sz w:val="24"/>
              </w:rPr>
              <w:t>īč</w:t>
            </w:r>
            <w:r>
              <w:rPr>
                <w:rFonts w:ascii="Times New Roman"/>
                <w:noProof/>
                <w:sz w:val="24"/>
              </w:rPr>
              <w:t>u darbin</w:t>
            </w:r>
            <w:r>
              <w:rPr>
                <w:rFonts w:ascii="Times New Roman"/>
                <w:noProof/>
                <w:sz w:val="24"/>
              </w:rPr>
              <w:t>āš</w:t>
            </w:r>
            <w:r>
              <w:rPr>
                <w:rFonts w:ascii="Times New Roman"/>
                <w:noProof/>
                <w:sz w:val="24"/>
              </w:rPr>
              <w:t>anai.</w:t>
            </w:r>
          </w:p>
          <w:p w:rsidR="004662DC" w:rsidRPr="00A91C4E" w:rsidRDefault="004662DC" w:rsidP="004662DC">
            <w:pPr>
              <w:numPr>
                <w:ilvl w:val="0"/>
                <w:numId w:val="7"/>
              </w:numPr>
              <w:tabs>
                <w:tab w:val="left" w:pos="1134"/>
              </w:tabs>
              <w:spacing w:line="288" w:lineRule="exact"/>
              <w:ind w:left="1134" w:hanging="425"/>
              <w:rPr>
                <w:rFonts w:ascii="Times New Roman"/>
                <w:noProof/>
                <w:sz w:val="24"/>
              </w:rPr>
            </w:pPr>
            <w:r>
              <w:rPr>
                <w:rFonts w:ascii="Times New Roman"/>
                <w:noProof/>
                <w:sz w:val="24"/>
              </w:rPr>
              <w:t>P</w:t>
            </w:r>
            <w:r>
              <w:rPr>
                <w:rFonts w:ascii="Times New Roman"/>
                <w:noProof/>
                <w:sz w:val="24"/>
              </w:rPr>
              <w:t>ā</w:t>
            </w:r>
            <w:r>
              <w:rPr>
                <w:rFonts w:ascii="Times New Roman"/>
                <w:noProof/>
                <w:sz w:val="24"/>
              </w:rPr>
              <w:t>rtikas preces pat</w:t>
            </w:r>
            <w:r>
              <w:rPr>
                <w:rFonts w:ascii="Times New Roman"/>
                <w:noProof/>
                <w:sz w:val="24"/>
              </w:rPr>
              <w:t>ē</w:t>
            </w:r>
            <w:r>
              <w:rPr>
                <w:rFonts w:ascii="Times New Roman"/>
                <w:noProof/>
                <w:sz w:val="24"/>
              </w:rPr>
              <w:t>r</w:t>
            </w:r>
            <w:r>
              <w:rPr>
                <w:rFonts w:ascii="Times New Roman"/>
                <w:noProof/>
                <w:sz w:val="24"/>
              </w:rPr>
              <w:t>ēš</w:t>
            </w:r>
            <w:r>
              <w:rPr>
                <w:rFonts w:ascii="Times New Roman"/>
                <w:noProof/>
                <w:sz w:val="24"/>
              </w:rPr>
              <w:t>anai uz ku</w:t>
            </w:r>
            <w:r>
              <w:rPr>
                <w:rFonts w:ascii="Times New Roman"/>
                <w:noProof/>
                <w:sz w:val="24"/>
              </w:rPr>
              <w:t>ģ</w:t>
            </w:r>
            <w:r>
              <w:rPr>
                <w:rFonts w:ascii="Times New Roman"/>
                <w:noProof/>
                <w:sz w:val="24"/>
              </w:rPr>
              <w:t>a.</w:t>
            </w:r>
          </w:p>
          <w:p w:rsidR="004662DC" w:rsidRPr="00A91C4E" w:rsidRDefault="004662DC" w:rsidP="004662DC">
            <w:pPr>
              <w:numPr>
                <w:ilvl w:val="0"/>
                <w:numId w:val="7"/>
              </w:numPr>
              <w:tabs>
                <w:tab w:val="left" w:pos="1134"/>
              </w:tabs>
              <w:spacing w:before="85" w:line="323" w:lineRule="auto"/>
              <w:ind w:left="1134" w:right="106" w:hanging="425"/>
              <w:rPr>
                <w:rFonts w:ascii="Times New Roman"/>
                <w:noProof/>
                <w:sz w:val="24"/>
              </w:rPr>
            </w:pPr>
            <w:r>
              <w:rPr>
                <w:rFonts w:ascii="Times New Roman"/>
                <w:noProof/>
                <w:sz w:val="24"/>
              </w:rPr>
              <w:t>Ilglietojam</w:t>
            </w:r>
            <w:r>
              <w:rPr>
                <w:rFonts w:ascii="Times New Roman"/>
                <w:noProof/>
                <w:sz w:val="24"/>
              </w:rPr>
              <w:t>ā</w:t>
            </w:r>
            <w:r>
              <w:rPr>
                <w:rFonts w:ascii="Times New Roman"/>
                <w:noProof/>
                <w:sz w:val="24"/>
              </w:rPr>
              <w:t>s preces un apr</w:t>
            </w:r>
            <w:r>
              <w:rPr>
                <w:rFonts w:ascii="Times New Roman"/>
                <w:noProof/>
                <w:sz w:val="24"/>
              </w:rPr>
              <w:t>ī</w:t>
            </w:r>
            <w:r>
              <w:rPr>
                <w:rFonts w:ascii="Times New Roman"/>
                <w:noProof/>
                <w:sz w:val="24"/>
              </w:rPr>
              <w:t>kojums (gultasve</w:t>
            </w:r>
            <w:r>
              <w:rPr>
                <w:rFonts w:ascii="Times New Roman"/>
                <w:noProof/>
                <w:sz w:val="24"/>
              </w:rPr>
              <w:t>ļ</w:t>
            </w:r>
            <w:r>
              <w:rPr>
                <w:rFonts w:ascii="Times New Roman"/>
                <w:noProof/>
                <w:sz w:val="24"/>
              </w:rPr>
              <w:t>as, m</w:t>
            </w:r>
            <w:r>
              <w:rPr>
                <w:rFonts w:ascii="Times New Roman"/>
                <w:noProof/>
                <w:sz w:val="24"/>
              </w:rPr>
              <w:t>ū</w:t>
            </w:r>
            <w:r>
              <w:rPr>
                <w:rFonts w:ascii="Times New Roman"/>
                <w:noProof/>
                <w:sz w:val="24"/>
              </w:rPr>
              <w:t>zikas instrumentu, kaj</w:t>
            </w:r>
            <w:r>
              <w:rPr>
                <w:rFonts w:ascii="Times New Roman"/>
                <w:noProof/>
                <w:sz w:val="24"/>
              </w:rPr>
              <w:t>īš</w:t>
            </w:r>
            <w:r>
              <w:rPr>
                <w:rFonts w:ascii="Times New Roman"/>
                <w:noProof/>
                <w:sz w:val="24"/>
              </w:rPr>
              <w:t>u televizoru pieg</w:t>
            </w:r>
            <w:r>
              <w:rPr>
                <w:rFonts w:ascii="Times New Roman"/>
                <w:noProof/>
                <w:sz w:val="24"/>
              </w:rPr>
              <w:t>ā</w:t>
            </w:r>
            <w:r>
              <w:rPr>
                <w:rFonts w:ascii="Times New Roman"/>
                <w:noProof/>
                <w:sz w:val="24"/>
              </w:rPr>
              <w:t>de).</w:t>
            </w:r>
          </w:p>
          <w:p w:rsidR="004662DC" w:rsidRPr="004662DC" w:rsidRDefault="004662DC" w:rsidP="004662DC">
            <w:pPr>
              <w:numPr>
                <w:ilvl w:val="0"/>
                <w:numId w:val="7"/>
              </w:numPr>
              <w:tabs>
                <w:tab w:val="left" w:pos="758"/>
                <w:tab w:val="left" w:pos="1134"/>
              </w:tabs>
              <w:spacing w:line="288" w:lineRule="exact"/>
              <w:ind w:left="1134" w:hanging="425"/>
              <w:rPr>
                <w:rFonts w:ascii="Times New Roman"/>
                <w:noProof/>
                <w:sz w:val="24"/>
              </w:rPr>
            </w:pPr>
            <w:r>
              <w:rPr>
                <w:rFonts w:ascii="Times New Roman"/>
                <w:noProof/>
                <w:sz w:val="24"/>
              </w:rPr>
              <w:t>Tehniskie kr</w:t>
            </w:r>
            <w:r>
              <w:rPr>
                <w:rFonts w:ascii="Times New Roman"/>
                <w:noProof/>
                <w:sz w:val="24"/>
              </w:rPr>
              <w:t>ā</w:t>
            </w:r>
            <w:r>
              <w:rPr>
                <w:rFonts w:ascii="Times New Roman"/>
                <w:noProof/>
                <w:sz w:val="24"/>
              </w:rPr>
              <w:t>jumi.</w:t>
            </w:r>
          </w:p>
        </w:tc>
      </w:tr>
    </w:tbl>
    <w:p w:rsidR="004662DC" w:rsidRDefault="004662DC" w:rsidP="004662DC">
      <w:pPr>
        <w:jc w:val="both"/>
        <w:rPr>
          <w:rFonts w:ascii="Times New Roman" w:eastAsia="Times New Roman" w:hAnsi="Times New Roman" w:cs="Times New Roman"/>
          <w:noProof/>
          <w:sz w:val="24"/>
          <w:szCs w:val="20"/>
        </w:rPr>
      </w:pPr>
    </w:p>
    <w:p w:rsidR="00A91C4E" w:rsidRDefault="00A91C4E" w:rsidP="004662DC">
      <w:pPr>
        <w:pStyle w:val="BodyText"/>
        <w:ind w:left="0"/>
        <w:jc w:val="both"/>
        <w:rPr>
          <w:noProof/>
        </w:rPr>
      </w:pPr>
      <w:bookmarkStart w:id="9" w:name="The_provisions_of_the_UCC_distinguish_be"/>
      <w:bookmarkEnd w:id="9"/>
      <w:r>
        <w:rPr>
          <w:i/>
        </w:rPr>
        <w:t>UCC</w:t>
      </w:r>
      <w:r>
        <w:t xml:space="preserve"> nošķir kuģu vajadzībām piegādātās preces, kas ir Savienības preces, no kuģu vajadzībām piegādātajām precēm, kas ir ārpussavienības preces.</w:t>
      </w:r>
    </w:p>
    <w:p w:rsidR="004662DC" w:rsidRDefault="004662DC" w:rsidP="004662DC">
      <w:pPr>
        <w:pStyle w:val="BodyText"/>
        <w:ind w:left="0"/>
        <w:jc w:val="both"/>
        <w:rPr>
          <w:noProof/>
        </w:rPr>
      </w:pPr>
    </w:p>
    <w:p w:rsidR="00320942" w:rsidRPr="004662DC" w:rsidRDefault="00320942" w:rsidP="004662DC">
      <w:pPr>
        <w:pStyle w:val="BodyText"/>
        <w:ind w:left="0"/>
        <w:jc w:val="both"/>
        <w:rPr>
          <w:noProof/>
        </w:rPr>
      </w:pPr>
    </w:p>
    <w:p w:rsidR="00A91C4E" w:rsidRPr="004662DC" w:rsidRDefault="00A91C4E" w:rsidP="004662DC">
      <w:pPr>
        <w:pStyle w:val="Heading1"/>
        <w:ind w:left="0" w:firstLine="0"/>
        <w:jc w:val="both"/>
        <w:rPr>
          <w:noProof/>
        </w:rPr>
      </w:pPr>
      <w:bookmarkStart w:id="10" w:name="II___Ship_supplies_that_are_Union_goods"/>
      <w:bookmarkEnd w:id="10"/>
      <w:r>
        <w:t>II. Kuģu vajadzībām piegādātās preces, kas ir Savienības preces</w:t>
      </w:r>
    </w:p>
    <w:p w:rsidR="00A91C4E" w:rsidRDefault="00A91C4E" w:rsidP="004662DC">
      <w:pPr>
        <w:jc w:val="both"/>
        <w:rPr>
          <w:rFonts w:ascii="Times New Roman" w:eastAsia="Times New Roman" w:hAnsi="Times New Roman" w:cs="Times New Roman"/>
          <w:b/>
          <w:bCs/>
          <w:noProof/>
          <w:sz w:val="24"/>
          <w:szCs w:val="24"/>
        </w:rPr>
      </w:pPr>
    </w:p>
    <w:p w:rsidR="00320942" w:rsidRPr="004662DC" w:rsidRDefault="00320942" w:rsidP="004662DC">
      <w:pPr>
        <w:jc w:val="both"/>
        <w:rPr>
          <w:rFonts w:ascii="Times New Roman" w:eastAsia="Times New Roman" w:hAnsi="Times New Roman" w:cs="Times New Roman"/>
          <w:b/>
          <w:bCs/>
          <w:noProof/>
          <w:sz w:val="24"/>
          <w:szCs w:val="24"/>
        </w:rPr>
      </w:pPr>
    </w:p>
    <w:p w:rsidR="00A91C4E" w:rsidRPr="004662DC" w:rsidRDefault="004662DC" w:rsidP="004662DC">
      <w:pPr>
        <w:tabs>
          <w:tab w:val="left" w:pos="478"/>
        </w:tabs>
        <w:jc w:val="both"/>
        <w:rPr>
          <w:rFonts w:ascii="Times New Roman" w:hAnsi="Times New Roman"/>
          <w:b/>
          <w:noProof/>
          <w:sz w:val="24"/>
        </w:rPr>
      </w:pPr>
      <w:bookmarkStart w:id="11" w:name="1._Applicable_rules"/>
      <w:bookmarkEnd w:id="11"/>
      <w:r>
        <w:rPr>
          <w:rFonts w:ascii="Times New Roman" w:hAnsi="Times New Roman"/>
          <w:b/>
          <w:noProof/>
          <w:sz w:val="24"/>
        </w:rPr>
        <w:t>1. Piemērojamie noteikumi</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bookmarkStart w:id="12" w:name="When_exiting_the_customs_territory_of_th"/>
      <w:bookmarkEnd w:id="12"/>
      <w:r>
        <w:t xml:space="preserve">Kad kuģu vajadzībām piegādātās preces tiek izvestas no Savienības muitas teritorijas, attiecībā uz tām piemēro atbrīvojumu no pienākuma iesniegt izvešanas kopsavilkuma deklarāciju (sk. </w:t>
      </w:r>
      <w:r>
        <w:rPr>
          <w:i/>
        </w:rPr>
        <w:t>UCC DA</w:t>
      </w:r>
      <w:r>
        <w:t xml:space="preserve"> 245. panta 1. punkta o) apakšpunktu).</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bookmarkStart w:id="13" w:name="As_regards_customs_clearance,_certain_co"/>
      <w:bookmarkEnd w:id="13"/>
      <w:r>
        <w:t xml:space="preserve">Kas attiecas uz muitošanu, ir jāizpilda vairāki nosacījumi, lai attiecībā uz kuģu vajadzībām </w:t>
      </w:r>
      <w:r>
        <w:lastRenderedPageBreak/>
        <w:t xml:space="preserve">piegādātajām precēm varētu piemērot īpašos noteikumus, kas paredzēti </w:t>
      </w:r>
      <w:r>
        <w:rPr>
          <w:i/>
        </w:rPr>
        <w:t>UCC</w:t>
      </w:r>
      <w:r>
        <w:t xml:space="preserve"> 269. panta 2. punkta c) apakšpunktā, proti:</w:t>
      </w:r>
    </w:p>
    <w:p w:rsidR="00A91C4E" w:rsidRPr="004662DC" w:rsidRDefault="00A91C4E" w:rsidP="004662DC">
      <w:pPr>
        <w:pStyle w:val="BodyText"/>
        <w:numPr>
          <w:ilvl w:val="1"/>
          <w:numId w:val="6"/>
        </w:numPr>
        <w:tabs>
          <w:tab w:val="left" w:pos="1134"/>
        </w:tabs>
        <w:ind w:left="1134" w:hanging="425"/>
        <w:jc w:val="both"/>
        <w:rPr>
          <w:noProof/>
        </w:rPr>
      </w:pPr>
      <w:bookmarkStart w:id="14" w:name="___they_must_be_exempted_from_VAT_and_e"/>
      <w:bookmarkEnd w:id="14"/>
      <w:r>
        <w:t>tām jābūt atbrīvotām no PVN un akcīzes nodokļa;</w:t>
      </w:r>
    </w:p>
    <w:p w:rsidR="00A91C4E" w:rsidRPr="004662DC" w:rsidRDefault="00A91C4E" w:rsidP="004662DC">
      <w:pPr>
        <w:pStyle w:val="BodyText"/>
        <w:numPr>
          <w:ilvl w:val="1"/>
          <w:numId w:val="6"/>
        </w:numPr>
        <w:tabs>
          <w:tab w:val="left" w:pos="1134"/>
        </w:tabs>
        <w:ind w:left="1134" w:hanging="425"/>
        <w:jc w:val="both"/>
        <w:rPr>
          <w:noProof/>
        </w:rPr>
      </w:pPr>
      <w:bookmarkStart w:id="15" w:name="___a_proof_of_their_delivery_on_board_m"/>
      <w:bookmarkEnd w:id="15"/>
      <w:r>
        <w:t>jābūt pieejamam pierādījumam par to piegādi uz kuģa.</w:t>
      </w:r>
    </w:p>
    <w:p w:rsidR="00A91C4E" w:rsidRPr="004662DC" w:rsidRDefault="00A91C4E" w:rsidP="004662DC">
      <w:pPr>
        <w:pStyle w:val="BodyText"/>
        <w:ind w:left="0"/>
        <w:jc w:val="both"/>
        <w:rPr>
          <w:noProof/>
        </w:rPr>
      </w:pPr>
      <w:bookmarkStart w:id="16" w:name="The_destination_of_the_vessel_is_not_rel"/>
      <w:bookmarkEnd w:id="16"/>
      <w:r>
        <w:t>Saistībā ar muitošanu kuģa galamērķim nav būtiskas nozīmes.</w:t>
      </w:r>
    </w:p>
    <w:p w:rsidR="00A91C4E" w:rsidRDefault="00A91C4E" w:rsidP="004662DC">
      <w:pPr>
        <w:jc w:val="both"/>
        <w:rPr>
          <w:rFonts w:ascii="Times New Roman" w:eastAsia="Times New Roman" w:hAnsi="Times New Roman" w:cs="Times New Roman"/>
          <w:noProof/>
          <w:sz w:val="24"/>
          <w:szCs w:val="19"/>
        </w:rPr>
      </w:pPr>
    </w:p>
    <w:p w:rsidR="00320942" w:rsidRPr="004662DC" w:rsidRDefault="00320942" w:rsidP="004662DC">
      <w:pPr>
        <w:jc w:val="both"/>
        <w:rPr>
          <w:rFonts w:ascii="Times New Roman" w:eastAsia="Times New Roman" w:hAnsi="Times New Roman" w:cs="Times New Roman"/>
          <w:noProof/>
          <w:sz w:val="24"/>
          <w:szCs w:val="19"/>
        </w:rPr>
      </w:pPr>
    </w:p>
    <w:p w:rsidR="00A91C4E" w:rsidRPr="004662DC" w:rsidRDefault="004662DC" w:rsidP="004662DC">
      <w:pPr>
        <w:pStyle w:val="Heading1"/>
        <w:tabs>
          <w:tab w:val="left" w:pos="478"/>
        </w:tabs>
        <w:ind w:left="0" w:firstLine="0"/>
        <w:jc w:val="both"/>
        <w:rPr>
          <w:noProof/>
        </w:rPr>
      </w:pPr>
      <w:bookmarkStart w:id="17" w:name="2._Export"/>
      <w:bookmarkEnd w:id="17"/>
      <w:r>
        <w:t>2. Eksports</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bookmarkStart w:id="18" w:name="The_special_rules_on_ship_supplies_that_"/>
      <w:bookmarkEnd w:id="18"/>
      <w:r>
        <w:t xml:space="preserve">Īpašie noteikumi attiecībā uz kuģa vajadzībām piegādātajām precēm, kas ir Savienības preces, ir sniegti </w:t>
      </w:r>
      <w:r>
        <w:rPr>
          <w:i/>
        </w:rPr>
        <w:t>UCC</w:t>
      </w:r>
      <w:r>
        <w:t xml:space="preserve"> VIII sadaļas 3. nodaļā, kas veltīta eksporta noteikumiem.</w:t>
      </w:r>
    </w:p>
    <w:p w:rsidR="00A91C4E" w:rsidRDefault="00A91C4E" w:rsidP="004662DC">
      <w:pPr>
        <w:jc w:val="both"/>
        <w:rPr>
          <w:rFonts w:ascii="Times New Roman" w:eastAsia="Times New Roman" w:hAnsi="Times New Roman" w:cs="Times New Roman"/>
          <w:noProof/>
          <w:sz w:val="24"/>
          <w:szCs w:val="24"/>
        </w:rPr>
      </w:pPr>
    </w:p>
    <w:p w:rsidR="00320942" w:rsidRPr="004662DC" w:rsidRDefault="00320942" w:rsidP="004662DC">
      <w:pPr>
        <w:jc w:val="both"/>
        <w:rPr>
          <w:rFonts w:ascii="Times New Roman" w:eastAsia="Times New Roman" w:hAnsi="Times New Roman" w:cs="Times New Roman"/>
          <w:noProof/>
          <w:sz w:val="24"/>
          <w:szCs w:val="24"/>
        </w:rPr>
      </w:pPr>
    </w:p>
    <w:p w:rsidR="00A91C4E" w:rsidRPr="004662DC" w:rsidRDefault="004662DC" w:rsidP="004662DC">
      <w:pPr>
        <w:pStyle w:val="Heading1"/>
        <w:tabs>
          <w:tab w:val="left" w:pos="478"/>
        </w:tabs>
        <w:ind w:left="0" w:firstLine="0"/>
        <w:jc w:val="both"/>
        <w:rPr>
          <w:noProof/>
        </w:rPr>
      </w:pPr>
      <w:bookmarkStart w:id="19" w:name="3._Customs_formalities"/>
      <w:bookmarkEnd w:id="19"/>
      <w:r>
        <w:t>3. Muitas formalitātes</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bookmarkStart w:id="20" w:name="Ship_supplies_are_not_regular_exports_an"/>
      <w:bookmarkEnd w:id="20"/>
      <w:r>
        <w:t>Kuģa vajadzībām piegādātās preces nav parasts eksports, tāpēc attiecībā uz tām nepiemēro parasto eksporta procedūru (</w:t>
      </w:r>
      <w:r>
        <w:rPr>
          <w:i/>
        </w:rPr>
        <w:t>UCC</w:t>
      </w:r>
      <w:r>
        <w:t xml:space="preserve"> 269. panta 2. punkta c) apakšpunkts, lasīts kopā ar </w:t>
      </w:r>
      <w:r>
        <w:rPr>
          <w:i/>
        </w:rPr>
        <w:t>UCC</w:t>
      </w:r>
      <w:r>
        <w:t xml:space="preserve"> 269. panta 1. punktu). Tomēr eksporta deklarācija ir jāiesniedz un jānokārto visas ar eksporta muitas procedūru saistītās eksporta formalitātes (</w:t>
      </w:r>
      <w:r>
        <w:rPr>
          <w:i/>
        </w:rPr>
        <w:t>UCC</w:t>
      </w:r>
      <w:r>
        <w:t xml:space="preserve"> 269. panta 3. punkts). Jo īpaši:</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numPr>
          <w:ilvl w:val="1"/>
          <w:numId w:val="5"/>
        </w:numPr>
        <w:tabs>
          <w:tab w:val="left" w:pos="1134"/>
        </w:tabs>
        <w:ind w:left="1134" w:hanging="425"/>
        <w:jc w:val="both"/>
        <w:rPr>
          <w:noProof/>
        </w:rPr>
      </w:pPr>
      <w:bookmarkStart w:id="21" w:name="___an_export_declaration_bearing_the_co"/>
      <w:bookmarkEnd w:id="21"/>
      <w:r>
        <w:t>jāiesniedz eksporta deklarācija, kurā norādīts kods “</w:t>
      </w:r>
      <w:r>
        <w:rPr>
          <w:i/>
        </w:rPr>
        <w:t>EX</w:t>
      </w:r>
      <w:r>
        <w:t>”;</w:t>
      </w:r>
    </w:p>
    <w:p w:rsidR="00A91C4E" w:rsidRPr="004662DC" w:rsidRDefault="00A91C4E" w:rsidP="004662DC">
      <w:pPr>
        <w:pStyle w:val="BodyText"/>
        <w:numPr>
          <w:ilvl w:val="1"/>
          <w:numId w:val="5"/>
        </w:numPr>
        <w:tabs>
          <w:tab w:val="left" w:pos="1134"/>
        </w:tabs>
        <w:ind w:left="1134" w:hanging="425"/>
        <w:jc w:val="both"/>
        <w:rPr>
          <w:noProof/>
        </w:rPr>
      </w:pPr>
      <w:bookmarkStart w:id="22" w:name="___the_general_customs_formalities_prov"/>
      <w:bookmarkEnd w:id="22"/>
      <w:r>
        <w:t xml:space="preserve">joprojām ir piemērojamas vispārējās muitas formalitātes, kas noteiktas </w:t>
      </w:r>
      <w:r>
        <w:rPr>
          <w:i/>
        </w:rPr>
        <w:t>UCC</w:t>
      </w:r>
      <w:r>
        <w:t xml:space="preserve"> 158.–195. pantā;</w:t>
      </w:r>
    </w:p>
    <w:p w:rsidR="00A91C4E" w:rsidRPr="004662DC" w:rsidRDefault="00A91C4E" w:rsidP="004662DC">
      <w:pPr>
        <w:pStyle w:val="BodyText"/>
        <w:numPr>
          <w:ilvl w:val="1"/>
          <w:numId w:val="5"/>
        </w:numPr>
        <w:tabs>
          <w:tab w:val="left" w:pos="1134"/>
        </w:tabs>
        <w:ind w:left="1134" w:hanging="425"/>
        <w:jc w:val="both"/>
        <w:rPr>
          <w:noProof/>
        </w:rPr>
      </w:pPr>
      <w:bookmarkStart w:id="23" w:name="___export_movements_are_registered_in_t"/>
      <w:bookmarkEnd w:id="23"/>
      <w:r>
        <w:t xml:space="preserve">eksporta pārvietojumi tiek reģistrēti </w:t>
      </w:r>
      <w:r>
        <w:rPr>
          <w:i/>
        </w:rPr>
        <w:t>AES</w:t>
      </w:r>
      <w:r>
        <w:t>, un tie ir pienācīgi jānoslēdz.</w:t>
      </w:r>
    </w:p>
    <w:p w:rsidR="004662DC" w:rsidRDefault="004662DC" w:rsidP="004662DC">
      <w:pPr>
        <w:pStyle w:val="BodyText"/>
        <w:ind w:left="0"/>
        <w:jc w:val="both"/>
        <w:rPr>
          <w:noProof/>
        </w:rPr>
      </w:pPr>
      <w:bookmarkStart w:id="24" w:name="The_purpose_of_these_legal_rules_is_to_e"/>
      <w:bookmarkEnd w:id="24"/>
    </w:p>
    <w:p w:rsidR="00A91C4E" w:rsidRPr="004662DC" w:rsidRDefault="00A91C4E" w:rsidP="004662DC">
      <w:pPr>
        <w:pStyle w:val="BodyText"/>
        <w:ind w:left="0"/>
        <w:jc w:val="both"/>
        <w:rPr>
          <w:noProof/>
        </w:rPr>
      </w:pPr>
      <w:r>
        <w:t xml:space="preserve">Šo tiesību normu mērķis ir nodrošināt, ka gadījumā, ja kuģu vajadzībām piegādātās preces tiek atbrīvotas no nodokļa, šo preču piegādi var pierādīt un eksporta pārvietojumu var noslēgt pēc šādu preču piegādes kuģim. Ja šāda pierādījuma nav , attiecībā uz kuģu vajadzībām piegādātajām precēm nevar piemērot atbrīvojumu no PVN, kas parasti ir pieejams attiecībā uz precēm, kuras tiek eksportētas no ES. Ja kuģim piegādājamās akcīzes preces ir atbrīvotas no akcīzes nodokļa, to piegāde kuģim ir jāpierāda, lai varētu pienācīgi noslēgt pārvietojumu </w:t>
      </w:r>
      <w:r>
        <w:rPr>
          <w:i/>
        </w:rPr>
        <w:t>EMSC</w:t>
      </w:r>
      <w:r>
        <w:t>.</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bookmarkStart w:id="25" w:name="Ship_supplies_conforming_to_the_specific"/>
      <w:bookmarkEnd w:id="25"/>
      <w:r>
        <w:t>Kuģu vajadzībām piegādātās preces, kas atbilst iepriekš minētajām prasībām, ir jāuzskata par izvestām no Savienības muitas teritorijas pēc tam, kad:</w:t>
      </w:r>
    </w:p>
    <w:p w:rsidR="00A91C4E" w:rsidRPr="004662DC" w:rsidRDefault="00A91C4E" w:rsidP="004662DC">
      <w:pPr>
        <w:pStyle w:val="BodyText"/>
        <w:numPr>
          <w:ilvl w:val="2"/>
          <w:numId w:val="5"/>
        </w:numPr>
        <w:tabs>
          <w:tab w:val="left" w:pos="1134"/>
        </w:tabs>
        <w:ind w:left="1134" w:hanging="425"/>
        <w:jc w:val="both"/>
        <w:rPr>
          <w:noProof/>
        </w:rPr>
      </w:pPr>
      <w:bookmarkStart w:id="26" w:name="_a_proof_that_they_have_been_loaded_on-"/>
      <w:bookmarkEnd w:id="26"/>
      <w:r>
        <w:t>muitas dienestiem ir darīts pieejams pierādījums, kas apliecina, ka preces ir iekrautas kuģī, neatkarīgi no kuģa galamērķa un</w:t>
      </w:r>
    </w:p>
    <w:p w:rsidR="00A91C4E" w:rsidRPr="004662DC" w:rsidRDefault="00A91C4E" w:rsidP="004662DC">
      <w:pPr>
        <w:pStyle w:val="BodyText"/>
        <w:numPr>
          <w:ilvl w:val="2"/>
          <w:numId w:val="5"/>
        </w:numPr>
        <w:tabs>
          <w:tab w:val="left" w:pos="1134"/>
        </w:tabs>
        <w:ind w:left="1134" w:hanging="425"/>
        <w:jc w:val="both"/>
        <w:rPr>
          <w:noProof/>
        </w:rPr>
      </w:pPr>
      <w:bookmarkStart w:id="27" w:name="_an_export_declaration_has_been_submitt"/>
      <w:bookmarkEnd w:id="27"/>
      <w:r>
        <w:t>ir iesniegta eksporta deklarācija.</w:t>
      </w:r>
    </w:p>
    <w:p w:rsidR="00A91C4E" w:rsidRPr="004662DC" w:rsidRDefault="00A91C4E" w:rsidP="004662DC">
      <w:pPr>
        <w:jc w:val="both"/>
        <w:rPr>
          <w:rFonts w:ascii="Times New Roman" w:eastAsia="Times New Roman" w:hAnsi="Times New Roman" w:cs="Times New Roman"/>
          <w:noProof/>
          <w:sz w:val="24"/>
          <w:szCs w:val="24"/>
        </w:rPr>
      </w:pPr>
    </w:p>
    <w:p w:rsidR="00A91C4E" w:rsidRPr="004662DC" w:rsidRDefault="00A91C4E" w:rsidP="004662DC">
      <w:pPr>
        <w:pStyle w:val="BodyText"/>
        <w:ind w:left="0"/>
        <w:jc w:val="both"/>
        <w:rPr>
          <w:noProof/>
        </w:rPr>
      </w:pPr>
      <w:bookmarkStart w:id="28" w:name="Although_ship_supplies_are_not_subject_t"/>
      <w:bookmarkEnd w:id="28"/>
      <w:r>
        <w:t>Lai arī attiecībā uz kuģa vajadzībām piegādātajām precēm netiek piemērota parastā eksporta procedūra, tomēr kompetentajai muitas iestādei ir jākonstatē, ka preces ir izvestas no Savienības muitas teritorijas. Pēc tam tai ir jāinformē eksporta muitas iestāde par preču izvešanu, kad tās ir iekrautas kuģī. Eksporta iestādei tad ir jāapliecina deklarētājam vai eksportētājam izvešana.</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bookmarkStart w:id="29" w:name="This_exit_certification_can_be_used_as_a"/>
      <w:bookmarkEnd w:id="29"/>
      <w:r>
        <w:t>Šo izvešanas apliecinājumu var izmantot kā izvešanas no Savienības muitas teritorijas pierādījumu, lai saņemtu atbrīvojumu no PVN un akcīzes nodokļa.</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bookmarkStart w:id="30" w:name="For_the_purpose_of_the_customs_and_tax_c"/>
      <w:bookmarkEnd w:id="30"/>
      <w:r>
        <w:t>Saistībā ar muitas un nodokļu kontroli personai, kura piegādā preces kuģa vajadzībām, ir jāsaglabā saņēmēja parakstīta piegādes pavadzīme.</w:t>
      </w:r>
    </w:p>
    <w:p w:rsidR="00A91C4E" w:rsidRDefault="00A91C4E" w:rsidP="004662DC">
      <w:pPr>
        <w:jc w:val="both"/>
        <w:rPr>
          <w:rFonts w:ascii="Times New Roman" w:eastAsia="Times New Roman" w:hAnsi="Times New Roman" w:cs="Times New Roman"/>
          <w:noProof/>
          <w:sz w:val="24"/>
          <w:szCs w:val="24"/>
        </w:rPr>
      </w:pPr>
    </w:p>
    <w:p w:rsidR="00320942" w:rsidRPr="004662DC" w:rsidRDefault="00320942" w:rsidP="004662DC">
      <w:pPr>
        <w:jc w:val="both"/>
        <w:rPr>
          <w:rFonts w:ascii="Times New Roman" w:eastAsia="Times New Roman" w:hAnsi="Times New Roman" w:cs="Times New Roman"/>
          <w:noProof/>
          <w:sz w:val="24"/>
          <w:szCs w:val="24"/>
        </w:rPr>
      </w:pPr>
    </w:p>
    <w:p w:rsidR="00A91C4E" w:rsidRPr="004662DC" w:rsidRDefault="004662DC" w:rsidP="004662DC">
      <w:pPr>
        <w:pStyle w:val="Heading1"/>
        <w:tabs>
          <w:tab w:val="left" w:pos="713"/>
        </w:tabs>
        <w:ind w:left="0" w:firstLine="0"/>
        <w:jc w:val="both"/>
        <w:rPr>
          <w:noProof/>
        </w:rPr>
      </w:pPr>
      <w:bookmarkStart w:id="31" w:name="4._Export_of_excisable_goods"/>
      <w:bookmarkEnd w:id="31"/>
      <w:r>
        <w:t>4. Akcīzes preču eksports</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bookmarkStart w:id="32" w:name="In_case_of_indirect_exports_Union_goods_"/>
      <w:bookmarkEnd w:id="32"/>
      <w:r>
        <w:t xml:space="preserve">Netieša eksporta gadījumā Savienības preces, attiecībā uz kurām atlikta akcīzes nodokļa piemērošana, tiek pārvietotas caur </w:t>
      </w:r>
      <w:r>
        <w:rPr>
          <w:i/>
        </w:rPr>
        <w:t>EMCS</w:t>
      </w:r>
      <w:r>
        <w:t xml:space="preserve"> sistēmu no eksportētājas dalībvalsts uz izvešanas dalībvalsti. Lai </w:t>
      </w:r>
      <w:r>
        <w:rPr>
          <w:i/>
        </w:rPr>
        <w:t>EMCS</w:t>
      </w:r>
      <w:r>
        <w:t xml:space="preserve"> pārvietojumu varētu noslēgt, nepieciešams izvešanas rezultāta paziņojums (IE 518).</w:t>
      </w:r>
    </w:p>
    <w:p w:rsidR="00A91C4E" w:rsidRPr="004662DC" w:rsidRDefault="00A91C4E" w:rsidP="004662DC">
      <w:pPr>
        <w:jc w:val="both"/>
        <w:rPr>
          <w:rFonts w:ascii="Times New Roman" w:eastAsia="Times New Roman" w:hAnsi="Times New Roman" w:cs="Times New Roman"/>
          <w:noProof/>
          <w:sz w:val="24"/>
          <w:szCs w:val="33"/>
        </w:rPr>
      </w:pPr>
    </w:p>
    <w:p w:rsidR="00A91C4E" w:rsidRDefault="00A91C4E" w:rsidP="004662DC">
      <w:pPr>
        <w:pStyle w:val="BodyText"/>
        <w:ind w:left="0"/>
        <w:jc w:val="both"/>
        <w:rPr>
          <w:noProof/>
        </w:rPr>
      </w:pPr>
      <w:bookmarkStart w:id="33" w:name="In_case_of_direct_exports_the_Member_Sta"/>
      <w:bookmarkEnd w:id="33"/>
      <w:r>
        <w:t xml:space="preserve">Tieša eksporta gadījumā dalībvalstij, kuras teritorijā pārvietojums notiek, var atļaut izmantot valsts vienkāršojumus (Direktīvas (EK) Nr. 2008/118 30. pants) </w:t>
      </w:r>
      <w:r>
        <w:rPr>
          <w:i/>
        </w:rPr>
        <w:t>EMCS</w:t>
      </w:r>
      <w:r>
        <w:t xml:space="preserve"> vietā, tostarp izmantot ierakstu deklarētāja reģistros.</w:t>
      </w:r>
    </w:p>
    <w:p w:rsidR="004662DC" w:rsidRDefault="004662DC" w:rsidP="004662DC">
      <w:pPr>
        <w:pStyle w:val="BodyText"/>
        <w:ind w:left="0"/>
        <w:jc w:val="both"/>
        <w:rPr>
          <w:noProof/>
        </w:rPr>
      </w:pPr>
    </w:p>
    <w:p w:rsidR="00320942" w:rsidRPr="004662DC" w:rsidRDefault="00320942" w:rsidP="004662DC">
      <w:pPr>
        <w:pStyle w:val="BodyText"/>
        <w:ind w:left="0"/>
        <w:jc w:val="both"/>
        <w:rPr>
          <w:noProof/>
        </w:rPr>
      </w:pPr>
    </w:p>
    <w:p w:rsidR="00A91C4E" w:rsidRPr="004662DC" w:rsidRDefault="004662DC" w:rsidP="004662DC">
      <w:pPr>
        <w:pStyle w:val="Heading1"/>
        <w:tabs>
          <w:tab w:val="left" w:pos="478"/>
        </w:tabs>
        <w:ind w:left="0" w:firstLine="0"/>
        <w:jc w:val="both"/>
        <w:rPr>
          <w:noProof/>
        </w:rPr>
      </w:pPr>
      <w:bookmarkStart w:id="34" w:name="5.___Examples_for_the_correct_applicatio"/>
      <w:bookmarkEnd w:id="34"/>
      <w:r>
        <w:t xml:space="preserve">5. </w:t>
      </w:r>
      <w:r>
        <w:rPr>
          <w:i/>
        </w:rPr>
        <w:t>UCC</w:t>
      </w:r>
      <w:r>
        <w:t xml:space="preserve"> 269. panta pareizas piemērošanas piemēri</w:t>
      </w:r>
    </w:p>
    <w:p w:rsidR="00A91C4E" w:rsidRPr="004662DC" w:rsidRDefault="00A91C4E" w:rsidP="004662DC">
      <w:pPr>
        <w:jc w:val="both"/>
        <w:rPr>
          <w:rFonts w:ascii="Times New Roman" w:eastAsia="Times New Roman" w:hAnsi="Times New Roman" w:cs="Times New Roman"/>
          <w:b/>
          <w:bCs/>
          <w:noProof/>
          <w:sz w:val="24"/>
          <w:szCs w:val="30"/>
        </w:rPr>
      </w:pPr>
    </w:p>
    <w:p w:rsidR="00A91C4E" w:rsidRPr="004662DC" w:rsidRDefault="00A91C4E" w:rsidP="004662DC">
      <w:pPr>
        <w:pStyle w:val="BodyText"/>
        <w:numPr>
          <w:ilvl w:val="1"/>
          <w:numId w:val="4"/>
        </w:numPr>
        <w:tabs>
          <w:tab w:val="left" w:pos="1134"/>
        </w:tabs>
        <w:ind w:left="1134" w:hanging="425"/>
        <w:jc w:val="both"/>
        <w:rPr>
          <w:noProof/>
        </w:rPr>
      </w:pPr>
      <w:r>
        <w:t>Kuģu apgādātājs dalībvalstī A plāno veikt piegādi kuģim dalībvalstī A. Uzņēmējs, kurš vēlas piegādāt preces kuģim, iesniedz eksporta deklarāciju kompetentajā eksporta iestādē. Kad preces ir iekrautas kuģī vai ne vēlāk kā uzreiz pēc tam, kad kuģis ir izbraucis no attiecīgās ostas, eksporta iestādei tajā pašā dalībvalstī ir jānoslēdz atvērtais eksporta pārvietojums.</w:t>
      </w:r>
    </w:p>
    <w:p w:rsidR="00A91C4E" w:rsidRPr="004662DC" w:rsidRDefault="00A91C4E" w:rsidP="004662DC">
      <w:pPr>
        <w:pStyle w:val="BodyText"/>
        <w:numPr>
          <w:ilvl w:val="1"/>
          <w:numId w:val="4"/>
        </w:numPr>
        <w:tabs>
          <w:tab w:val="left" w:pos="1134"/>
        </w:tabs>
        <w:ind w:left="1134" w:hanging="425"/>
        <w:jc w:val="both"/>
        <w:rPr>
          <w:noProof/>
        </w:rPr>
      </w:pPr>
      <w:r>
        <w:t>Kuģu apgādnieks dalībvalstī A plāno piegādāt preces kuģim dalībvalstī B. Piegādājamās preces ir Savienības preces. Uzņēmējs, kurš vēlas piegādāt preces kuģim dalībvalstī B (izvešanas iestāde), iesniedz eksporta deklarāciju dalībvalstī A (eksporta iestāde). Kad preces ir iekrautas kuģī vai ne vēlāk kā uzreiz pēc tam, kad kuģis ir izbraucis no attiecīgās ostas, dalībvalstij A ir jānoslēdz atvērtais eksporta pārvietojums, ja saņemts izvešanas rezultātu paziņojums no dalībvalsts B.</w:t>
      </w:r>
    </w:p>
    <w:p w:rsidR="00A91C4E" w:rsidRPr="004662DC" w:rsidRDefault="00A91C4E" w:rsidP="004662DC">
      <w:pPr>
        <w:pStyle w:val="BodyText"/>
        <w:ind w:left="0"/>
        <w:jc w:val="both"/>
        <w:rPr>
          <w:noProof/>
        </w:rPr>
      </w:pPr>
      <w:r>
        <w:t xml:space="preserve">Abos gadījumos pierādījumus par to, ka preces ir izvestas no Savienības, var iesniegt atbilstīgi </w:t>
      </w:r>
      <w:r>
        <w:rPr>
          <w:i/>
        </w:rPr>
        <w:t>UCC IA</w:t>
      </w:r>
      <w:r>
        <w:t xml:space="preserve"> 335. pantam, ja muitas dienesti nenoslēdz atvērto pārvadājumu. Ja muitas informācijas pieprasījums nerezultējas eksporta pārvietojuma noslēgšanā,</w:t>
      </w:r>
    </w:p>
    <w:p w:rsidR="00A91C4E" w:rsidRPr="004662DC" w:rsidRDefault="00A91C4E" w:rsidP="004662DC">
      <w:pPr>
        <w:pStyle w:val="BodyText"/>
        <w:ind w:left="0"/>
        <w:jc w:val="both"/>
        <w:rPr>
          <w:noProof/>
        </w:rPr>
      </w:pPr>
      <w:r>
        <w:t xml:space="preserve">par kuģu vajadzībām piegādājamajām precēm jāatļauj iesniegt </w:t>
      </w:r>
      <w:r>
        <w:rPr>
          <w:i/>
        </w:rPr>
        <w:t>UCC IA</w:t>
      </w:r>
      <w:r>
        <w:t xml:space="preserve"> 335. panta 4. punkta g) apakšpunktā minētais pierādījums, proti, uzņēmēja uzskaites dati par precēm, kas piegādātas kuģiem. Dalībvalsts A muitas dienestiem tad ir jānoslēdz atvērtais pārvadājums, pamatojoties uz šo pierādījumu.</w:t>
      </w:r>
    </w:p>
    <w:p w:rsidR="00A91C4E" w:rsidRDefault="00A91C4E" w:rsidP="004662DC">
      <w:pPr>
        <w:jc w:val="both"/>
        <w:rPr>
          <w:rFonts w:ascii="Times New Roman" w:eastAsia="Times New Roman" w:hAnsi="Times New Roman" w:cs="Times New Roman"/>
          <w:noProof/>
          <w:sz w:val="24"/>
          <w:szCs w:val="35"/>
        </w:rPr>
      </w:pPr>
    </w:p>
    <w:p w:rsidR="00320942" w:rsidRPr="004662DC" w:rsidRDefault="00320942" w:rsidP="004662DC">
      <w:pPr>
        <w:jc w:val="both"/>
        <w:rPr>
          <w:rFonts w:ascii="Times New Roman" w:eastAsia="Times New Roman" w:hAnsi="Times New Roman" w:cs="Times New Roman"/>
          <w:noProof/>
          <w:sz w:val="24"/>
          <w:szCs w:val="35"/>
        </w:rPr>
      </w:pPr>
    </w:p>
    <w:p w:rsidR="00A91C4E" w:rsidRPr="004662DC" w:rsidRDefault="004662DC" w:rsidP="004662DC">
      <w:pPr>
        <w:pStyle w:val="Heading1"/>
        <w:tabs>
          <w:tab w:val="left" w:pos="838"/>
        </w:tabs>
        <w:ind w:left="0" w:firstLine="0"/>
        <w:jc w:val="both"/>
        <w:rPr>
          <w:noProof/>
        </w:rPr>
      </w:pPr>
      <w:bookmarkStart w:id="35" w:name="III._Ship_supplies_with_the_status_of_no"/>
      <w:bookmarkEnd w:id="35"/>
      <w:r>
        <w:t>III. Kuģu vajadzībām piegādātās preces ar ārpussavienības preču statusu (</w:t>
      </w:r>
      <w:r>
        <w:rPr>
          <w:i/>
        </w:rPr>
        <w:t>UCC</w:t>
      </w:r>
      <w:r>
        <w:t xml:space="preserve"> 270. pants)</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r>
        <w:t>Attiecībā uz šīm precēm piemēro vispārējos reeksporta noteikumus.</w:t>
      </w:r>
    </w:p>
    <w:p w:rsidR="00A91C4E" w:rsidRDefault="00A91C4E" w:rsidP="004662DC">
      <w:pPr>
        <w:jc w:val="both"/>
        <w:rPr>
          <w:rFonts w:ascii="Times New Roman" w:eastAsia="Times New Roman" w:hAnsi="Times New Roman" w:cs="Times New Roman"/>
          <w:noProof/>
          <w:sz w:val="24"/>
          <w:szCs w:val="34"/>
        </w:rPr>
      </w:pPr>
    </w:p>
    <w:p w:rsidR="00320942" w:rsidRPr="004662DC" w:rsidRDefault="00320942" w:rsidP="004662DC">
      <w:pPr>
        <w:jc w:val="both"/>
        <w:rPr>
          <w:rFonts w:ascii="Times New Roman" w:eastAsia="Times New Roman" w:hAnsi="Times New Roman" w:cs="Times New Roman"/>
          <w:noProof/>
          <w:sz w:val="24"/>
          <w:szCs w:val="34"/>
        </w:rPr>
      </w:pPr>
    </w:p>
    <w:p w:rsidR="00A91C4E" w:rsidRPr="004662DC" w:rsidRDefault="004662DC" w:rsidP="004662DC">
      <w:pPr>
        <w:pStyle w:val="Heading1"/>
        <w:tabs>
          <w:tab w:val="left" w:pos="838"/>
        </w:tabs>
        <w:ind w:left="0" w:firstLine="0"/>
        <w:jc w:val="both"/>
        <w:rPr>
          <w:noProof/>
        </w:rPr>
      </w:pPr>
      <w:bookmarkStart w:id="36" w:name="1._Re-export_formalities_for_ship_suppli"/>
      <w:bookmarkEnd w:id="36"/>
      <w:r>
        <w:t>1. Reeksporta formalitātes attiecībā uz kuģu vajadzībām piegādātajām precēm ar ārpussavienības preču statusu</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r>
        <w:t>Ārpussavienības preces kuģu vajadzībām jāpiegādā kopā ar reeksporta deklarāciju. Savukārt reeksporta paziņojumu izmanto reeksporta deklarācijas vietā gadījumos, kad ir izpildīti šādi nosacījumi:</w:t>
      </w:r>
    </w:p>
    <w:p w:rsidR="00A91C4E" w:rsidRPr="004662DC" w:rsidRDefault="00A91C4E" w:rsidP="004662DC">
      <w:pPr>
        <w:pStyle w:val="BodyText"/>
        <w:numPr>
          <w:ilvl w:val="2"/>
          <w:numId w:val="3"/>
        </w:numPr>
        <w:tabs>
          <w:tab w:val="left" w:pos="1134"/>
        </w:tabs>
        <w:ind w:left="1134" w:hanging="425"/>
        <w:jc w:val="both"/>
        <w:rPr>
          <w:noProof/>
        </w:rPr>
      </w:pPr>
      <w:r>
        <w:t>kuģu vajadzībām piegādātās preces tiek pārkrautas;</w:t>
      </w:r>
    </w:p>
    <w:p w:rsidR="00A91C4E" w:rsidRPr="004662DC" w:rsidRDefault="00A91C4E" w:rsidP="004662DC">
      <w:pPr>
        <w:pStyle w:val="BodyText"/>
        <w:numPr>
          <w:ilvl w:val="2"/>
          <w:numId w:val="3"/>
        </w:numPr>
        <w:tabs>
          <w:tab w:val="left" w:pos="1134"/>
        </w:tabs>
        <w:ind w:left="1134" w:hanging="425"/>
        <w:jc w:val="both"/>
        <w:rPr>
          <w:noProof/>
        </w:rPr>
      </w:pPr>
      <w:r>
        <w:t>kuģu vajadzībām piegādātās preces tiek izvestas no brīvās zonas vai</w:t>
      </w:r>
    </w:p>
    <w:p w:rsidR="00A91C4E" w:rsidRPr="004662DC" w:rsidRDefault="00A91C4E" w:rsidP="004662DC">
      <w:pPr>
        <w:pStyle w:val="BodyText"/>
        <w:numPr>
          <w:ilvl w:val="2"/>
          <w:numId w:val="3"/>
        </w:numPr>
        <w:tabs>
          <w:tab w:val="left" w:pos="1134"/>
        </w:tabs>
        <w:ind w:left="1134" w:hanging="425"/>
        <w:jc w:val="both"/>
        <w:rPr>
          <w:noProof/>
        </w:rPr>
      </w:pPr>
      <w:r>
        <w:t>kuģu vajadzībām piegādātās preces tiek tieši reeksportētas no pagaidu uzglabāšanas vietas.</w:t>
      </w:r>
    </w:p>
    <w:p w:rsidR="00A91C4E" w:rsidRPr="004662DC" w:rsidRDefault="00A91C4E" w:rsidP="004662DC">
      <w:pPr>
        <w:jc w:val="both"/>
        <w:rPr>
          <w:rFonts w:ascii="Times New Roman" w:eastAsia="Times New Roman" w:hAnsi="Times New Roman" w:cs="Times New Roman"/>
          <w:noProof/>
          <w:sz w:val="24"/>
          <w:szCs w:val="24"/>
        </w:rPr>
      </w:pPr>
    </w:p>
    <w:p w:rsidR="00A91C4E" w:rsidRPr="004662DC" w:rsidRDefault="00A91C4E" w:rsidP="004662DC">
      <w:pPr>
        <w:pStyle w:val="BodyText"/>
        <w:ind w:left="0"/>
        <w:jc w:val="both"/>
        <w:rPr>
          <w:noProof/>
        </w:rPr>
      </w:pPr>
      <w:r>
        <w:t xml:space="preserve">Piemērojams atbrīvojums no pienākuma iesniegt izvešanas kopsavilkuma deklarāciju. (Piemēro </w:t>
      </w:r>
      <w:r>
        <w:rPr>
          <w:i/>
        </w:rPr>
        <w:t>UCC DA</w:t>
      </w:r>
      <w:r>
        <w:t xml:space="preserve"> 245. panta 1. punkta</w:t>
      </w:r>
    </w:p>
    <w:p w:rsidR="00A91C4E" w:rsidRDefault="00A91C4E" w:rsidP="004662DC">
      <w:pPr>
        <w:pStyle w:val="BodyText"/>
        <w:ind w:left="0"/>
        <w:jc w:val="both"/>
        <w:rPr>
          <w:noProof/>
        </w:rPr>
      </w:pPr>
      <w:r>
        <w:t>o) apakšpunktu).</w:t>
      </w:r>
    </w:p>
    <w:p w:rsidR="004662DC" w:rsidRPr="004662DC" w:rsidRDefault="004662DC" w:rsidP="004662DC">
      <w:pPr>
        <w:pStyle w:val="BodyText"/>
        <w:ind w:left="0"/>
        <w:jc w:val="both"/>
        <w:rPr>
          <w:noProof/>
        </w:rPr>
      </w:pPr>
    </w:p>
    <w:p w:rsidR="00A91C4E" w:rsidRDefault="00A91C4E" w:rsidP="004662DC">
      <w:pPr>
        <w:pStyle w:val="BodyText"/>
        <w:ind w:left="0"/>
        <w:jc w:val="both"/>
        <w:rPr>
          <w:noProof/>
        </w:rPr>
      </w:pPr>
      <w:r>
        <w:t>Ārējās tranzīta procedūras gadījumā, kad preces tiek vienīgi izvestas cauri ES muitas teritorijai, reeksporta deklarāciju nedrīkst izmantot. Drīkst piemērot vienīgi ar ārējo tranzīta procedūru saistītās muitas formalitātes.</w:t>
      </w:r>
    </w:p>
    <w:p w:rsidR="004662DC" w:rsidRDefault="004662DC" w:rsidP="004662DC">
      <w:pPr>
        <w:pStyle w:val="BodyText"/>
        <w:ind w:left="0"/>
        <w:jc w:val="both"/>
        <w:rPr>
          <w:noProof/>
        </w:rPr>
      </w:pPr>
    </w:p>
    <w:p w:rsidR="00320942" w:rsidRPr="004662DC" w:rsidRDefault="00320942" w:rsidP="004662DC">
      <w:pPr>
        <w:pStyle w:val="BodyText"/>
        <w:ind w:left="0"/>
        <w:jc w:val="both"/>
        <w:rPr>
          <w:noProof/>
        </w:rPr>
      </w:pPr>
    </w:p>
    <w:p w:rsidR="00A91C4E" w:rsidRPr="004662DC" w:rsidRDefault="004662DC" w:rsidP="004662DC">
      <w:pPr>
        <w:pStyle w:val="Heading1"/>
        <w:tabs>
          <w:tab w:val="left" w:pos="838"/>
        </w:tabs>
        <w:ind w:left="0" w:firstLine="0"/>
        <w:jc w:val="both"/>
        <w:rPr>
          <w:noProof/>
        </w:rPr>
      </w:pPr>
      <w:bookmarkStart w:id="37" w:name="2._Examples_for_the_correct_use_of_re-ex"/>
      <w:bookmarkEnd w:id="37"/>
      <w:r>
        <w:t>2. Reeksporta deklarācijas/reeksporta paziņojuma pareizas izmantošanas piemēri</w:t>
      </w:r>
    </w:p>
    <w:p w:rsidR="00A91C4E" w:rsidRPr="004662DC" w:rsidRDefault="00A91C4E" w:rsidP="004662DC">
      <w:pPr>
        <w:jc w:val="both"/>
        <w:rPr>
          <w:rFonts w:ascii="Times New Roman" w:eastAsia="Times New Roman" w:hAnsi="Times New Roman" w:cs="Times New Roman"/>
          <w:b/>
          <w:bCs/>
          <w:noProof/>
          <w:sz w:val="24"/>
          <w:szCs w:val="30"/>
        </w:rPr>
      </w:pPr>
    </w:p>
    <w:p w:rsidR="00A91C4E" w:rsidRPr="004662DC" w:rsidRDefault="00A91C4E" w:rsidP="004662DC">
      <w:pPr>
        <w:pStyle w:val="BodyText"/>
        <w:numPr>
          <w:ilvl w:val="0"/>
          <w:numId w:val="2"/>
        </w:numPr>
        <w:tabs>
          <w:tab w:val="left" w:pos="1134"/>
        </w:tabs>
        <w:ind w:left="1134" w:hanging="425"/>
        <w:jc w:val="both"/>
        <w:rPr>
          <w:noProof/>
        </w:rPr>
      </w:pPr>
      <w:r>
        <w:t>Kuģu apgādnieks dalībvalstī A plāno piegādāt preces kuģim dalībvalstī A. Piegādājamās preces ir ārpussavienības preces, kas tiek uzglabātas muitas noliktavā. Kuģu apgādnieks izņem preces no muitas noliktavas un atjaunina attiecīgo uzskaites informāciju atbilstīgi savai uzglabāšanas muitas noliktavā atļaujai. Attiecīgi reeksporta deklarācija tiek iesniegta eksporta iestādē (dalībvalsts A). Pēc preču piegādes kuģim eksporta iestāde noslēdz reeksporta pārvietojumu neatkarīgi no tā, kāds ir kuģa galamērķis. Uzglabāšanas muitas noliktavā procedūras nodokļu saistības ir sekmīgi izpildītas.</w:t>
      </w:r>
    </w:p>
    <w:p w:rsidR="00A91C4E" w:rsidRPr="004662DC" w:rsidRDefault="00A91C4E" w:rsidP="004662DC">
      <w:pPr>
        <w:tabs>
          <w:tab w:val="left" w:pos="1134"/>
        </w:tabs>
        <w:ind w:left="1134" w:hanging="425"/>
        <w:jc w:val="both"/>
        <w:rPr>
          <w:rFonts w:ascii="Times New Roman" w:eastAsia="Times New Roman" w:hAnsi="Times New Roman" w:cs="Times New Roman"/>
          <w:noProof/>
          <w:sz w:val="24"/>
          <w:szCs w:val="33"/>
        </w:rPr>
      </w:pPr>
    </w:p>
    <w:p w:rsidR="00A91C4E" w:rsidRPr="004662DC" w:rsidRDefault="00A91C4E" w:rsidP="004662DC">
      <w:pPr>
        <w:pStyle w:val="BodyText"/>
        <w:numPr>
          <w:ilvl w:val="0"/>
          <w:numId w:val="2"/>
        </w:numPr>
        <w:tabs>
          <w:tab w:val="left" w:pos="1134"/>
        </w:tabs>
        <w:ind w:left="1134" w:hanging="425"/>
        <w:jc w:val="both"/>
        <w:rPr>
          <w:noProof/>
        </w:rPr>
      </w:pPr>
      <w:r>
        <w:t>Kuģu apgādnieks dalībvalstī A vēlas piegādāt preces kuģim dalībvalstī B. Piegādājamās preces ir ārpussavienības preces, kas tiek uzglabātas muitas noliktavā. Kuģu apgādnieks izņem preces no muitas noliktavas un atjaunina attiecīgo uzskaites informāciju atbilstīgi savai uzglabāšanas muitas noliktavā atļaujai. Reeksporta deklarācija tiek iesniegta eksporta iestādē (dalībvalsts A). Pēc preču piegādes kuģim dalībvalstī B eksporta iestāde dalībvalstī A noslēdz atvērto muitas procedūru (uzglabāšanas muitas noliktavā procedūra), kad saņem izvešanas rezultātus no dalībvalsts B) pieņemot reeksporta deklarāciju, tiek sekmīgi izpildītas nodokļu saistības).</w:t>
      </w:r>
    </w:p>
    <w:p w:rsidR="00A91C4E" w:rsidRPr="004662DC" w:rsidRDefault="00A91C4E" w:rsidP="004662DC">
      <w:pPr>
        <w:jc w:val="both"/>
        <w:rPr>
          <w:rFonts w:ascii="Times New Roman" w:eastAsia="Times New Roman" w:hAnsi="Times New Roman" w:cs="Times New Roman"/>
          <w:noProof/>
          <w:sz w:val="24"/>
          <w:szCs w:val="33"/>
        </w:rPr>
      </w:pPr>
    </w:p>
    <w:p w:rsidR="00A91C4E" w:rsidRPr="004662DC" w:rsidRDefault="00A91C4E" w:rsidP="004662DC">
      <w:pPr>
        <w:pStyle w:val="BodyText"/>
        <w:ind w:left="0"/>
        <w:jc w:val="both"/>
        <w:rPr>
          <w:noProof/>
        </w:rPr>
      </w:pPr>
      <w:r>
        <w:t xml:space="preserve">Pierādījumus par to, ka preces ir izvestas no Savienības, var iesniegt informācijas pieprasīšanas procedūrā atbilstīgi </w:t>
      </w:r>
      <w:r>
        <w:rPr>
          <w:i/>
        </w:rPr>
        <w:t>UCC IA</w:t>
      </w:r>
      <w:r>
        <w:t xml:space="preserve"> 335. pantam, ja muitas dienesti nenoslēdz atvērto pārvietojumu. Jo īpaši kuģu vajadzībām piegādāto preču gadījumā jāatļauj iesniegt </w:t>
      </w:r>
      <w:r>
        <w:rPr>
          <w:i/>
        </w:rPr>
        <w:t>UCC IA</w:t>
      </w:r>
      <w:r>
        <w:t xml:space="preserve"> 335. panta 4. punkta g) apakšpunktā minētais pierādījums. Dalībvalsts A muitas dienestiem tad ir jānoslēdz atvērtais pārvietojums.</w:t>
      </w:r>
    </w:p>
    <w:p w:rsidR="00A91C4E" w:rsidRDefault="00A91C4E" w:rsidP="004662DC">
      <w:pPr>
        <w:jc w:val="both"/>
        <w:rPr>
          <w:rFonts w:ascii="Times New Roman" w:eastAsia="Times New Roman" w:hAnsi="Times New Roman" w:cs="Times New Roman"/>
          <w:noProof/>
          <w:sz w:val="24"/>
          <w:szCs w:val="24"/>
        </w:rPr>
      </w:pPr>
    </w:p>
    <w:p w:rsidR="00320942" w:rsidRPr="004662DC" w:rsidRDefault="00320942" w:rsidP="004662DC">
      <w:pPr>
        <w:jc w:val="both"/>
        <w:rPr>
          <w:rFonts w:ascii="Times New Roman" w:eastAsia="Times New Roman" w:hAnsi="Times New Roman" w:cs="Times New Roman"/>
          <w:noProof/>
          <w:sz w:val="24"/>
          <w:szCs w:val="24"/>
        </w:rPr>
      </w:pPr>
    </w:p>
    <w:p w:rsidR="00A91C4E" w:rsidRPr="004662DC" w:rsidRDefault="004662DC" w:rsidP="004662DC">
      <w:pPr>
        <w:pStyle w:val="Heading1"/>
        <w:tabs>
          <w:tab w:val="left" w:pos="838"/>
        </w:tabs>
        <w:ind w:left="0" w:firstLine="0"/>
        <w:jc w:val="both"/>
        <w:rPr>
          <w:noProof/>
        </w:rPr>
      </w:pPr>
      <w:bookmarkStart w:id="38" w:name="3._Simplification_for_delivery_of_ship_s"/>
      <w:bookmarkEnd w:id="38"/>
      <w:r>
        <w:t>3. Kuģu vajadzībām piegādāto preču piegādes vienkāršojums</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r>
        <w:t>Iespējami jāpiemēro vienkāršojumi, kas pieejami attiecībā uz kuģa vajadzībām piegādātajām precēm. Muitas dienesti var atļaut uzņēmējiem, kuri piegādā preces kuģiem un gaisa kuģiem, ievadīt savos reģistros eksportētās preces un regulāri ziņot par savām eksporta darbībām pēc preču izvešanas no Savienības muitas teritorijas.</w:t>
      </w:r>
    </w:p>
    <w:p w:rsidR="00A91C4E" w:rsidRDefault="00A91C4E" w:rsidP="004662DC">
      <w:pPr>
        <w:pStyle w:val="BodyText"/>
        <w:ind w:left="0"/>
        <w:jc w:val="both"/>
        <w:rPr>
          <w:noProof/>
        </w:rPr>
      </w:pPr>
      <w:r>
        <w:t>Akcīzes preču gadījumā šādus vienkāršojumus var piemērot vienīgi attiecībā uz vietējām kuģu vajadzībām piegādātajām precēm un tad, ja attiecīgā dalībvalsts ir noteikusi šādu vienkāršojumu atbilstīgi Direktīvas (ES) 2008/118 30. pantam.</w:t>
      </w:r>
    </w:p>
    <w:p w:rsidR="004662DC" w:rsidRDefault="004662DC" w:rsidP="004662DC">
      <w:pPr>
        <w:pStyle w:val="BodyText"/>
        <w:ind w:left="0"/>
        <w:jc w:val="both"/>
        <w:rPr>
          <w:noProof/>
        </w:rPr>
      </w:pPr>
    </w:p>
    <w:p w:rsidR="00320942" w:rsidRPr="004662DC" w:rsidRDefault="00320942" w:rsidP="004662DC">
      <w:pPr>
        <w:pStyle w:val="BodyText"/>
        <w:ind w:left="0"/>
        <w:jc w:val="both"/>
        <w:rPr>
          <w:noProof/>
        </w:rPr>
      </w:pPr>
    </w:p>
    <w:p w:rsidR="00A91C4E" w:rsidRPr="004662DC" w:rsidRDefault="004662DC" w:rsidP="004662DC">
      <w:pPr>
        <w:pStyle w:val="Heading1"/>
        <w:tabs>
          <w:tab w:val="left" w:pos="1898"/>
        </w:tabs>
        <w:ind w:left="0" w:firstLine="0"/>
        <w:jc w:val="both"/>
        <w:rPr>
          <w:noProof/>
        </w:rPr>
      </w:pPr>
      <w:bookmarkStart w:id="39" w:name="4.__Pre-departure_declaration"/>
      <w:bookmarkEnd w:id="39"/>
      <w:r>
        <w:t>4. Pirmsizvešanas deklarācija</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r>
        <w:t>Attiecībā uz kuģu vajadzībām piegādātajām precēm piemēro atbrīvojumu no pienākuma iesniegt pirmsizvešanas deklarāciju.</w:t>
      </w:r>
    </w:p>
    <w:p w:rsidR="00A91C4E" w:rsidRDefault="00A91C4E" w:rsidP="004662DC">
      <w:pPr>
        <w:jc w:val="both"/>
        <w:rPr>
          <w:rFonts w:ascii="Times New Roman" w:eastAsia="Times New Roman" w:hAnsi="Times New Roman" w:cs="Times New Roman"/>
          <w:noProof/>
          <w:sz w:val="24"/>
          <w:szCs w:val="24"/>
        </w:rPr>
      </w:pPr>
    </w:p>
    <w:p w:rsidR="00320942" w:rsidRPr="004662DC" w:rsidRDefault="00320942" w:rsidP="004662DC">
      <w:pPr>
        <w:jc w:val="both"/>
        <w:rPr>
          <w:rFonts w:ascii="Times New Roman" w:eastAsia="Times New Roman" w:hAnsi="Times New Roman" w:cs="Times New Roman"/>
          <w:noProof/>
          <w:sz w:val="24"/>
          <w:szCs w:val="24"/>
        </w:rPr>
      </w:pPr>
    </w:p>
    <w:p w:rsidR="00A91C4E" w:rsidRPr="004662DC" w:rsidRDefault="004662DC" w:rsidP="004662DC">
      <w:pPr>
        <w:pStyle w:val="Heading1"/>
        <w:tabs>
          <w:tab w:val="left" w:pos="1898"/>
        </w:tabs>
        <w:ind w:left="0" w:firstLine="0"/>
        <w:jc w:val="both"/>
        <w:rPr>
          <w:noProof/>
        </w:rPr>
      </w:pPr>
      <w:bookmarkStart w:id="40" w:name="5._Commodity_codes_to_be_used_for_ship_s"/>
      <w:bookmarkEnd w:id="40"/>
      <w:r>
        <w:t>5. Preces kodi, ko izmanto attiecībā uz kuģu vajadzībām piegādātajām precēm</w:t>
      </w:r>
    </w:p>
    <w:p w:rsidR="00A91C4E" w:rsidRPr="004662DC" w:rsidRDefault="00A91C4E" w:rsidP="004662DC">
      <w:pPr>
        <w:jc w:val="both"/>
        <w:rPr>
          <w:rFonts w:ascii="Times New Roman" w:eastAsia="Times New Roman" w:hAnsi="Times New Roman" w:cs="Times New Roman"/>
          <w:b/>
          <w:bCs/>
          <w:noProof/>
          <w:sz w:val="24"/>
          <w:szCs w:val="24"/>
        </w:rPr>
      </w:pPr>
    </w:p>
    <w:p w:rsidR="00A91C4E" w:rsidRPr="004662DC" w:rsidRDefault="00A91C4E" w:rsidP="004662DC">
      <w:pPr>
        <w:pStyle w:val="BodyText"/>
        <w:ind w:left="0"/>
        <w:jc w:val="both"/>
        <w:rPr>
          <w:noProof/>
        </w:rPr>
      </w:pPr>
      <w:r>
        <w:t>Regulas (EK) Nr. 113/2010 20. pants nosaka vienkāršotu nomenklatūru ārējās tirdzniecības statistikai par precēm, ko piegādā kuģiem ostās kā kuģu vajadzībām piegādātās preces. Šo preču paziņošanai tiek izmantoti vienkāršoti KN kodi. Tam, vai kuģi tiek izmantoti komerciālām vajadzībām, militārām vajadzībām vai privātām vajadzībām, nav būtiskas nozīmes. Eksporta un reeksporta deklarācijās, ko iesniedz attiecībā uz kuģu vajadzībām piegādātajām precēm, kurām nav piemērojami Direktīvas 2008/118/EK noteikumi, izmanto šādus kodus:</w:t>
      </w:r>
    </w:p>
    <w:p w:rsidR="00A91C4E" w:rsidRPr="004662DC" w:rsidRDefault="00A91C4E" w:rsidP="004662DC">
      <w:pPr>
        <w:jc w:val="both"/>
        <w:rPr>
          <w:rFonts w:ascii="Times New Roman" w:eastAsia="Times New Roman" w:hAnsi="Times New Roman" w:cs="Times New Roman"/>
          <w:noProof/>
          <w:sz w:val="24"/>
          <w:szCs w:val="31"/>
        </w:rPr>
      </w:pPr>
    </w:p>
    <w:p w:rsidR="00A91C4E" w:rsidRPr="004662DC" w:rsidRDefault="00A91C4E" w:rsidP="004662DC">
      <w:pPr>
        <w:pStyle w:val="BodyText"/>
        <w:numPr>
          <w:ilvl w:val="0"/>
          <w:numId w:val="1"/>
        </w:numPr>
        <w:tabs>
          <w:tab w:val="left" w:pos="1918"/>
        </w:tabs>
        <w:ind w:left="1134" w:hanging="425"/>
        <w:jc w:val="both"/>
        <w:rPr>
          <w:noProof/>
        </w:rPr>
      </w:pPr>
      <w:r>
        <w:t>99302400: KN 1.–24. nodaļas preces;</w:t>
      </w:r>
    </w:p>
    <w:p w:rsidR="00A91C4E" w:rsidRPr="004662DC" w:rsidRDefault="00A91C4E" w:rsidP="004662DC">
      <w:pPr>
        <w:pStyle w:val="BodyText"/>
        <w:numPr>
          <w:ilvl w:val="0"/>
          <w:numId w:val="1"/>
        </w:numPr>
        <w:tabs>
          <w:tab w:val="left" w:pos="1918"/>
        </w:tabs>
        <w:ind w:left="1134" w:hanging="425"/>
        <w:jc w:val="both"/>
        <w:rPr>
          <w:noProof/>
        </w:rPr>
      </w:pPr>
      <w:r>
        <w:t>99302700: KN 27. nodaļas preces;</w:t>
      </w:r>
    </w:p>
    <w:p w:rsidR="00A91C4E" w:rsidRPr="004662DC" w:rsidRDefault="00A91C4E" w:rsidP="004662DC">
      <w:pPr>
        <w:pStyle w:val="BodyText"/>
        <w:numPr>
          <w:ilvl w:val="0"/>
          <w:numId w:val="1"/>
        </w:numPr>
        <w:tabs>
          <w:tab w:val="left" w:pos="1918"/>
        </w:tabs>
        <w:ind w:left="1134" w:hanging="425"/>
        <w:jc w:val="both"/>
        <w:rPr>
          <w:noProof/>
        </w:rPr>
      </w:pPr>
      <w:r>
        <w:t>99309900: citur klasificētas preces.</w:t>
      </w:r>
    </w:p>
    <w:p w:rsidR="00A91C4E" w:rsidRPr="004662DC" w:rsidRDefault="00A91C4E" w:rsidP="004662DC">
      <w:pPr>
        <w:jc w:val="both"/>
        <w:rPr>
          <w:rFonts w:ascii="Times New Roman" w:eastAsia="Times New Roman" w:hAnsi="Times New Roman" w:cs="Times New Roman"/>
          <w:noProof/>
          <w:sz w:val="24"/>
          <w:szCs w:val="24"/>
        </w:rPr>
      </w:pPr>
    </w:p>
    <w:p w:rsidR="00A91C4E" w:rsidRPr="004662DC" w:rsidRDefault="00A91C4E" w:rsidP="004662DC">
      <w:pPr>
        <w:pStyle w:val="BodyText"/>
        <w:ind w:left="0"/>
        <w:jc w:val="both"/>
        <w:rPr>
          <w:noProof/>
        </w:rPr>
      </w:pPr>
      <w:r>
        <w:t>Šos KN kodus jāļauj izmantot arī iekšzemes muitas iestādēm, kur tiek iesniegta muitas deklarācija attiecībā uz precēm, ko paredzēts piegādāt kā kuģu vajadzībām piegādājamās preces.</w:t>
      </w:r>
    </w:p>
    <w:p w:rsidR="00A91C4E" w:rsidRDefault="00A91C4E"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bookmarkStart w:id="41" w:name="_GoBack"/>
      <w:bookmarkEnd w:id="41"/>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Default="00320942" w:rsidP="004662DC">
      <w:pPr>
        <w:jc w:val="both"/>
        <w:rPr>
          <w:rFonts w:ascii="Times New Roman" w:eastAsia="Times New Roman" w:hAnsi="Times New Roman" w:cs="Times New Roman"/>
          <w:noProof/>
          <w:sz w:val="24"/>
          <w:szCs w:val="20"/>
        </w:rPr>
      </w:pPr>
    </w:p>
    <w:p w:rsidR="00320942" w:rsidRPr="004662DC" w:rsidRDefault="00320942" w:rsidP="004662DC">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6"/>
      </w:tblGrid>
      <w:tr w:rsidR="004662DC" w:rsidTr="00320942">
        <w:tc>
          <w:tcPr>
            <w:tcW w:w="595" w:type="dxa"/>
          </w:tcPr>
          <w:p w:rsidR="004662DC" w:rsidRDefault="004662DC" w:rsidP="004662DC">
            <w:pPr>
              <w:jc w:val="both"/>
              <w:rPr>
                <w:rFonts w:ascii="Times New Roman" w:eastAsia="Times New Roman" w:hAnsi="Times New Roman" w:cs="Times New Roman"/>
                <w:noProof/>
                <w:sz w:val="24"/>
                <w:szCs w:val="20"/>
              </w:rPr>
            </w:pPr>
            <w:r>
              <w:rPr>
                <w:rFonts w:ascii="Times New Roman" w:hAnsi="Times New Roman"/>
                <w:noProof/>
                <w:sz w:val="24"/>
                <w:lang w:bidi="ar-SA"/>
              </w:rPr>
              <w:drawing>
                <wp:inline distT="0" distB="0" distL="0" distR="0" wp14:anchorId="1BC2D23E" wp14:editId="1C0863CD">
                  <wp:extent cx="152400" cy="10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01600"/>
                          </a:xfrm>
                          <a:prstGeom prst="rect">
                            <a:avLst/>
                          </a:prstGeom>
                          <a:noFill/>
                          <a:ln>
                            <a:noFill/>
                          </a:ln>
                        </pic:spPr>
                      </pic:pic>
                    </a:graphicData>
                  </a:graphic>
                </wp:inline>
              </w:drawing>
            </w:r>
          </w:p>
        </w:tc>
        <w:tc>
          <w:tcPr>
            <w:tcW w:w="8536" w:type="dxa"/>
            <w:vAlign w:val="bottom"/>
          </w:tcPr>
          <w:p w:rsidR="004662DC" w:rsidRPr="004662DC" w:rsidRDefault="004662DC" w:rsidP="00320942">
            <w:pPr>
              <w:rPr>
                <w:rFonts w:ascii="Times New Roman" w:hAnsi="Times New Roman"/>
                <w:noProof/>
                <w:sz w:val="24"/>
              </w:rPr>
            </w:pPr>
            <w:r w:rsidRPr="00320942">
              <w:rPr>
                <w:rFonts w:ascii="Times New Roman" w:hAnsi="Times New Roman"/>
                <w:noProof/>
                <w:sz w:val="14"/>
              </w:rPr>
              <w:t>Elektroniski parakstīts 27.04.2016. plkst. 17.20 (UTC +02) saskaņā ar Komisijas Lēmuma 2004/563 4.2. pantu (Elektronisko dokumentu derīgums).</w:t>
            </w:r>
          </w:p>
        </w:tc>
      </w:tr>
    </w:tbl>
    <w:p w:rsidR="004662DC" w:rsidRPr="004662DC" w:rsidRDefault="004662DC">
      <w:pPr>
        <w:jc w:val="both"/>
        <w:rPr>
          <w:rFonts w:ascii="Times New Roman" w:hAnsi="Times New Roman"/>
          <w:noProof/>
          <w:sz w:val="24"/>
        </w:rPr>
      </w:pPr>
    </w:p>
    <w:sectPr w:rsidR="004662DC" w:rsidRPr="004662DC" w:rsidSect="004662DC">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93" w:rsidRPr="00A91C4E" w:rsidRDefault="004662DC">
      <w:pPr>
        <w:rPr>
          <w:noProof/>
        </w:rPr>
      </w:pPr>
      <w:r w:rsidRPr="00A91C4E">
        <w:rPr>
          <w:noProof/>
        </w:rPr>
        <w:separator/>
      </w:r>
    </w:p>
  </w:endnote>
  <w:endnote w:type="continuationSeparator" w:id="0">
    <w:p w:rsidR="00D41993" w:rsidRPr="00A91C4E" w:rsidRDefault="004662DC">
      <w:pPr>
        <w:rPr>
          <w:noProof/>
        </w:rPr>
      </w:pPr>
      <w:r w:rsidRPr="00A91C4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42" w:rsidRPr="004F5D11" w:rsidRDefault="00320942" w:rsidP="00320942">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320942" w:rsidRPr="004F5D11" w:rsidRDefault="00320942" w:rsidP="00320942">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942" w:rsidRPr="004F5D11" w:rsidRDefault="00320942" w:rsidP="00320942">
    <w:pPr>
      <w:pStyle w:val="Header"/>
      <w:tabs>
        <w:tab w:val="clear" w:pos="4153"/>
        <w:tab w:val="clear" w:pos="8306"/>
        <w:tab w:val="right" w:pos="9072"/>
      </w:tabs>
      <w:jc w:val="both"/>
      <w:rPr>
        <w:rStyle w:val="PageNumber"/>
        <w:rFonts w:ascii="Times New Roman" w:hAnsi="Times New Roman"/>
        <w:sz w:val="20"/>
        <w:szCs w:val="20"/>
      </w:rPr>
    </w:pPr>
  </w:p>
  <w:p w:rsidR="00320942" w:rsidRPr="004F5D11" w:rsidRDefault="00320942" w:rsidP="00320942">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3</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42" w:rsidRPr="004F5D11" w:rsidRDefault="00320942" w:rsidP="00320942">
    <w:pPr>
      <w:pStyle w:val="Header"/>
      <w:tabs>
        <w:tab w:val="clear" w:pos="4153"/>
        <w:tab w:val="clear" w:pos="8306"/>
        <w:tab w:val="left" w:pos="9072"/>
      </w:tabs>
      <w:jc w:val="both"/>
      <w:rPr>
        <w:rStyle w:val="PageNumber"/>
        <w:rFonts w:ascii="Times New Roman" w:hAnsi="Times New Roman"/>
        <w:sz w:val="20"/>
        <w:szCs w:val="20"/>
      </w:rPr>
    </w:pPr>
  </w:p>
  <w:p w:rsidR="00320942" w:rsidRPr="004F5D11" w:rsidRDefault="00320942" w:rsidP="00320942">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942" w:rsidRPr="004F5D11" w:rsidRDefault="00320942" w:rsidP="00320942">
    <w:pPr>
      <w:pStyle w:val="Header"/>
      <w:tabs>
        <w:tab w:val="clear" w:pos="4153"/>
        <w:tab w:val="clear" w:pos="8306"/>
        <w:tab w:val="left" w:pos="9072"/>
      </w:tabs>
      <w:jc w:val="both"/>
      <w:rPr>
        <w:rStyle w:val="PageNumber"/>
        <w:rFonts w:ascii="Times New Roman" w:hAnsi="Times New Roman"/>
        <w:sz w:val="20"/>
        <w:szCs w:val="20"/>
      </w:rPr>
    </w:pPr>
  </w:p>
  <w:p w:rsidR="00320942" w:rsidRPr="004F5D11" w:rsidRDefault="00320942" w:rsidP="00320942">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93" w:rsidRPr="00A91C4E" w:rsidRDefault="004662DC">
      <w:pPr>
        <w:rPr>
          <w:noProof/>
        </w:rPr>
      </w:pPr>
      <w:r w:rsidRPr="00A91C4E">
        <w:rPr>
          <w:noProof/>
        </w:rPr>
        <w:separator/>
      </w:r>
    </w:p>
  </w:footnote>
  <w:footnote w:type="continuationSeparator" w:id="0">
    <w:p w:rsidR="00D41993" w:rsidRPr="00A91C4E" w:rsidRDefault="004662DC">
      <w:pPr>
        <w:rPr>
          <w:noProof/>
        </w:rPr>
      </w:pPr>
      <w:r w:rsidRPr="00A91C4E">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42" w:rsidRPr="004F5D11" w:rsidRDefault="00320942" w:rsidP="00320942">
    <w:pPr>
      <w:pStyle w:val="Header"/>
      <w:tabs>
        <w:tab w:val="clear" w:pos="4153"/>
        <w:tab w:val="clear" w:pos="8306"/>
      </w:tabs>
      <w:jc w:val="both"/>
      <w:rPr>
        <w:rStyle w:val="PageNumber"/>
        <w:rFonts w:ascii="Times New Roman" w:hAnsi="Times New Roman"/>
        <w:sz w:val="20"/>
        <w:szCs w:val="20"/>
      </w:rPr>
    </w:pPr>
  </w:p>
  <w:p w:rsidR="00320942" w:rsidRPr="004F5D11" w:rsidRDefault="00320942" w:rsidP="00320942">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320942" w:rsidRPr="004F5D11" w:rsidRDefault="00320942" w:rsidP="00320942">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942" w:rsidRPr="004F5D11" w:rsidRDefault="00320942" w:rsidP="00320942">
    <w:pPr>
      <w:pBdr>
        <w:bottom w:val="single" w:sz="12" w:space="5" w:color="auto"/>
      </w:pBdr>
      <w:jc w:val="both"/>
      <w:rPr>
        <w:rFonts w:ascii="Times New Roman" w:hAnsi="Times New Roman"/>
        <w:spacing w:val="-2"/>
        <w:sz w:val="20"/>
        <w:szCs w:val="20"/>
      </w:rPr>
    </w:pPr>
  </w:p>
  <w:p w:rsidR="00320942" w:rsidRPr="004F5D11" w:rsidRDefault="00320942" w:rsidP="00320942">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81B9C"/>
    <w:multiLevelType w:val="hybridMultilevel"/>
    <w:tmpl w:val="DDC6B8C8"/>
    <w:lvl w:ilvl="0" w:tplc="860E69CC">
      <w:start w:val="1"/>
      <w:numFmt w:val="lowerLetter"/>
      <w:lvlText w:val="%1."/>
      <w:lvlJc w:val="left"/>
      <w:pPr>
        <w:ind w:left="837" w:hanging="360"/>
      </w:pPr>
      <w:rPr>
        <w:rFonts w:ascii="Times New Roman" w:eastAsia="Times New Roman" w:hAnsi="Times New Roman" w:hint="default"/>
        <w:sz w:val="24"/>
        <w:szCs w:val="24"/>
      </w:rPr>
    </w:lvl>
    <w:lvl w:ilvl="1" w:tplc="2ABAA988">
      <w:start w:val="1"/>
      <w:numFmt w:val="bullet"/>
      <w:lvlText w:val="•"/>
      <w:lvlJc w:val="left"/>
      <w:pPr>
        <w:ind w:left="1682" w:hanging="360"/>
      </w:pPr>
      <w:rPr>
        <w:rFonts w:hint="default"/>
      </w:rPr>
    </w:lvl>
    <w:lvl w:ilvl="2" w:tplc="4BD8317C">
      <w:start w:val="1"/>
      <w:numFmt w:val="bullet"/>
      <w:lvlText w:val="•"/>
      <w:lvlJc w:val="left"/>
      <w:pPr>
        <w:ind w:left="2527" w:hanging="360"/>
      </w:pPr>
      <w:rPr>
        <w:rFonts w:hint="default"/>
      </w:rPr>
    </w:lvl>
    <w:lvl w:ilvl="3" w:tplc="BFDC0FF8">
      <w:start w:val="1"/>
      <w:numFmt w:val="bullet"/>
      <w:lvlText w:val="•"/>
      <w:lvlJc w:val="left"/>
      <w:pPr>
        <w:ind w:left="3372" w:hanging="360"/>
      </w:pPr>
      <w:rPr>
        <w:rFonts w:hint="default"/>
      </w:rPr>
    </w:lvl>
    <w:lvl w:ilvl="4" w:tplc="0E7E50DC">
      <w:start w:val="1"/>
      <w:numFmt w:val="bullet"/>
      <w:lvlText w:val="•"/>
      <w:lvlJc w:val="left"/>
      <w:pPr>
        <w:ind w:left="4217" w:hanging="360"/>
      </w:pPr>
      <w:rPr>
        <w:rFonts w:hint="default"/>
      </w:rPr>
    </w:lvl>
    <w:lvl w:ilvl="5" w:tplc="660443AC">
      <w:start w:val="1"/>
      <w:numFmt w:val="bullet"/>
      <w:lvlText w:val="•"/>
      <w:lvlJc w:val="left"/>
      <w:pPr>
        <w:ind w:left="5063" w:hanging="360"/>
      </w:pPr>
      <w:rPr>
        <w:rFonts w:hint="default"/>
      </w:rPr>
    </w:lvl>
    <w:lvl w:ilvl="6" w:tplc="88F245F4">
      <w:start w:val="1"/>
      <w:numFmt w:val="bullet"/>
      <w:lvlText w:val="•"/>
      <w:lvlJc w:val="left"/>
      <w:pPr>
        <w:ind w:left="5908" w:hanging="360"/>
      </w:pPr>
      <w:rPr>
        <w:rFonts w:hint="default"/>
      </w:rPr>
    </w:lvl>
    <w:lvl w:ilvl="7" w:tplc="F008F99C">
      <w:start w:val="1"/>
      <w:numFmt w:val="bullet"/>
      <w:lvlText w:val="•"/>
      <w:lvlJc w:val="left"/>
      <w:pPr>
        <w:ind w:left="6753" w:hanging="360"/>
      </w:pPr>
      <w:rPr>
        <w:rFonts w:hint="default"/>
      </w:rPr>
    </w:lvl>
    <w:lvl w:ilvl="8" w:tplc="843C68CA">
      <w:start w:val="1"/>
      <w:numFmt w:val="bullet"/>
      <w:lvlText w:val="•"/>
      <w:lvlJc w:val="left"/>
      <w:pPr>
        <w:ind w:left="7598" w:hanging="360"/>
      </w:pPr>
      <w:rPr>
        <w:rFonts w:hint="default"/>
      </w:rPr>
    </w:lvl>
  </w:abstractNum>
  <w:abstractNum w:abstractNumId="1">
    <w:nsid w:val="20260384"/>
    <w:multiLevelType w:val="hybridMultilevel"/>
    <w:tmpl w:val="1F3C9E86"/>
    <w:lvl w:ilvl="0" w:tplc="13B2DE0C">
      <w:start w:val="1"/>
      <w:numFmt w:val="bullet"/>
      <w:lvlText w:val=""/>
      <w:lvlJc w:val="left"/>
      <w:pPr>
        <w:ind w:left="822" w:hanging="356"/>
      </w:pPr>
      <w:rPr>
        <w:rFonts w:ascii="Symbol" w:eastAsia="Symbol" w:hAnsi="Symbol" w:hint="default"/>
        <w:sz w:val="24"/>
        <w:szCs w:val="24"/>
      </w:rPr>
    </w:lvl>
    <w:lvl w:ilvl="1" w:tplc="21A8B2CC">
      <w:start w:val="1"/>
      <w:numFmt w:val="bullet"/>
      <w:lvlText w:val="•"/>
      <w:lvlJc w:val="left"/>
      <w:pPr>
        <w:ind w:left="1632" w:hanging="356"/>
      </w:pPr>
      <w:rPr>
        <w:rFonts w:hint="default"/>
      </w:rPr>
    </w:lvl>
    <w:lvl w:ilvl="2" w:tplc="DCB46532">
      <w:start w:val="1"/>
      <w:numFmt w:val="bullet"/>
      <w:lvlText w:val="•"/>
      <w:lvlJc w:val="left"/>
      <w:pPr>
        <w:ind w:left="2442" w:hanging="356"/>
      </w:pPr>
      <w:rPr>
        <w:rFonts w:hint="default"/>
      </w:rPr>
    </w:lvl>
    <w:lvl w:ilvl="3" w:tplc="B4DE2DF8">
      <w:start w:val="1"/>
      <w:numFmt w:val="bullet"/>
      <w:lvlText w:val="•"/>
      <w:lvlJc w:val="left"/>
      <w:pPr>
        <w:ind w:left="3252" w:hanging="356"/>
      </w:pPr>
      <w:rPr>
        <w:rFonts w:hint="default"/>
      </w:rPr>
    </w:lvl>
    <w:lvl w:ilvl="4" w:tplc="D8FCF28A">
      <w:start w:val="1"/>
      <w:numFmt w:val="bullet"/>
      <w:lvlText w:val="•"/>
      <w:lvlJc w:val="left"/>
      <w:pPr>
        <w:ind w:left="4061" w:hanging="356"/>
      </w:pPr>
      <w:rPr>
        <w:rFonts w:hint="default"/>
      </w:rPr>
    </w:lvl>
    <w:lvl w:ilvl="5" w:tplc="25929F62">
      <w:start w:val="1"/>
      <w:numFmt w:val="bullet"/>
      <w:lvlText w:val="•"/>
      <w:lvlJc w:val="left"/>
      <w:pPr>
        <w:ind w:left="4871" w:hanging="356"/>
      </w:pPr>
      <w:rPr>
        <w:rFonts w:hint="default"/>
      </w:rPr>
    </w:lvl>
    <w:lvl w:ilvl="6" w:tplc="03E48938">
      <w:start w:val="1"/>
      <w:numFmt w:val="bullet"/>
      <w:lvlText w:val="•"/>
      <w:lvlJc w:val="left"/>
      <w:pPr>
        <w:ind w:left="5681" w:hanging="356"/>
      </w:pPr>
      <w:rPr>
        <w:rFonts w:hint="default"/>
      </w:rPr>
    </w:lvl>
    <w:lvl w:ilvl="7" w:tplc="D4EE5EB6">
      <w:start w:val="1"/>
      <w:numFmt w:val="bullet"/>
      <w:lvlText w:val="•"/>
      <w:lvlJc w:val="left"/>
      <w:pPr>
        <w:ind w:left="6491" w:hanging="356"/>
      </w:pPr>
      <w:rPr>
        <w:rFonts w:hint="default"/>
      </w:rPr>
    </w:lvl>
    <w:lvl w:ilvl="8" w:tplc="06E6DE6E">
      <w:start w:val="1"/>
      <w:numFmt w:val="bullet"/>
      <w:lvlText w:val="•"/>
      <w:lvlJc w:val="left"/>
      <w:pPr>
        <w:ind w:left="7301" w:hanging="356"/>
      </w:pPr>
      <w:rPr>
        <w:rFonts w:hint="default"/>
      </w:rPr>
    </w:lvl>
  </w:abstractNum>
  <w:abstractNum w:abstractNumId="2">
    <w:nsid w:val="3C973750"/>
    <w:multiLevelType w:val="hybridMultilevel"/>
    <w:tmpl w:val="7F58F6AE"/>
    <w:lvl w:ilvl="0" w:tplc="34BC9098">
      <w:start w:val="1"/>
      <w:numFmt w:val="decimal"/>
      <w:lvlText w:val="%1."/>
      <w:lvlJc w:val="left"/>
      <w:pPr>
        <w:ind w:left="477" w:hanging="360"/>
      </w:pPr>
      <w:rPr>
        <w:rFonts w:ascii="Times New Roman" w:eastAsia="Times New Roman" w:hAnsi="Times New Roman" w:hint="default"/>
        <w:b/>
        <w:bCs/>
        <w:sz w:val="24"/>
        <w:szCs w:val="24"/>
      </w:rPr>
    </w:lvl>
    <w:lvl w:ilvl="1" w:tplc="8EA4C876">
      <w:start w:val="1"/>
      <w:numFmt w:val="bullet"/>
      <w:lvlText w:val=""/>
      <w:lvlJc w:val="left"/>
      <w:pPr>
        <w:ind w:left="832" w:hanging="296"/>
      </w:pPr>
      <w:rPr>
        <w:rFonts w:ascii="Wingdings" w:eastAsia="Wingdings" w:hAnsi="Wingdings" w:hint="default"/>
        <w:sz w:val="24"/>
        <w:szCs w:val="24"/>
      </w:rPr>
    </w:lvl>
    <w:lvl w:ilvl="2" w:tplc="CCF08C62">
      <w:start w:val="1"/>
      <w:numFmt w:val="bullet"/>
      <w:lvlText w:val="•"/>
      <w:lvlJc w:val="left"/>
      <w:pPr>
        <w:ind w:left="1774" w:hanging="296"/>
      </w:pPr>
      <w:rPr>
        <w:rFonts w:hint="default"/>
      </w:rPr>
    </w:lvl>
    <w:lvl w:ilvl="3" w:tplc="10A27280">
      <w:start w:val="1"/>
      <w:numFmt w:val="bullet"/>
      <w:lvlText w:val="•"/>
      <w:lvlJc w:val="left"/>
      <w:pPr>
        <w:ind w:left="2716" w:hanging="296"/>
      </w:pPr>
      <w:rPr>
        <w:rFonts w:hint="default"/>
      </w:rPr>
    </w:lvl>
    <w:lvl w:ilvl="4" w:tplc="27C8913C">
      <w:start w:val="1"/>
      <w:numFmt w:val="bullet"/>
      <w:lvlText w:val="•"/>
      <w:lvlJc w:val="left"/>
      <w:pPr>
        <w:ind w:left="3657" w:hanging="296"/>
      </w:pPr>
      <w:rPr>
        <w:rFonts w:hint="default"/>
      </w:rPr>
    </w:lvl>
    <w:lvl w:ilvl="5" w:tplc="2DDE00E8">
      <w:start w:val="1"/>
      <w:numFmt w:val="bullet"/>
      <w:lvlText w:val="•"/>
      <w:lvlJc w:val="left"/>
      <w:pPr>
        <w:ind w:left="4599" w:hanging="296"/>
      </w:pPr>
      <w:rPr>
        <w:rFonts w:hint="default"/>
      </w:rPr>
    </w:lvl>
    <w:lvl w:ilvl="6" w:tplc="31528FF0">
      <w:start w:val="1"/>
      <w:numFmt w:val="bullet"/>
      <w:lvlText w:val="•"/>
      <w:lvlJc w:val="left"/>
      <w:pPr>
        <w:ind w:left="5541" w:hanging="296"/>
      </w:pPr>
      <w:rPr>
        <w:rFonts w:hint="default"/>
      </w:rPr>
    </w:lvl>
    <w:lvl w:ilvl="7" w:tplc="8284A7C4">
      <w:start w:val="1"/>
      <w:numFmt w:val="bullet"/>
      <w:lvlText w:val="•"/>
      <w:lvlJc w:val="left"/>
      <w:pPr>
        <w:ind w:left="6483" w:hanging="296"/>
      </w:pPr>
      <w:rPr>
        <w:rFonts w:hint="default"/>
      </w:rPr>
    </w:lvl>
    <w:lvl w:ilvl="8" w:tplc="BAE4771E">
      <w:start w:val="1"/>
      <w:numFmt w:val="bullet"/>
      <w:lvlText w:val="•"/>
      <w:lvlJc w:val="left"/>
      <w:pPr>
        <w:ind w:left="7425" w:hanging="296"/>
      </w:pPr>
      <w:rPr>
        <w:rFonts w:hint="default"/>
      </w:rPr>
    </w:lvl>
  </w:abstractNum>
  <w:abstractNum w:abstractNumId="3">
    <w:nsid w:val="488B4B1F"/>
    <w:multiLevelType w:val="hybridMultilevel"/>
    <w:tmpl w:val="6FC40EC8"/>
    <w:lvl w:ilvl="0" w:tplc="588ECD2E">
      <w:start w:val="3"/>
      <w:numFmt w:val="decimal"/>
      <w:lvlText w:val="%1."/>
      <w:lvlJc w:val="left"/>
      <w:pPr>
        <w:ind w:left="477" w:hanging="360"/>
      </w:pPr>
      <w:rPr>
        <w:rFonts w:ascii="Times New Roman" w:eastAsia="Times New Roman" w:hAnsi="Times New Roman" w:hint="default"/>
        <w:sz w:val="24"/>
        <w:szCs w:val="24"/>
      </w:rPr>
    </w:lvl>
    <w:lvl w:ilvl="1" w:tplc="E800F4CE">
      <w:start w:val="1"/>
      <w:numFmt w:val="bullet"/>
      <w:lvlText w:val=""/>
      <w:lvlJc w:val="left"/>
      <w:pPr>
        <w:ind w:left="837" w:hanging="356"/>
      </w:pPr>
      <w:rPr>
        <w:rFonts w:ascii="Wingdings" w:eastAsia="Wingdings" w:hAnsi="Wingdings" w:hint="default"/>
        <w:sz w:val="24"/>
        <w:szCs w:val="24"/>
      </w:rPr>
    </w:lvl>
    <w:lvl w:ilvl="2" w:tplc="2B663284">
      <w:start w:val="1"/>
      <w:numFmt w:val="bullet"/>
      <w:lvlText w:val=""/>
      <w:lvlJc w:val="left"/>
      <w:pPr>
        <w:ind w:left="1257" w:hanging="361"/>
      </w:pPr>
      <w:rPr>
        <w:rFonts w:ascii="Wingdings" w:eastAsia="Wingdings" w:hAnsi="Wingdings" w:hint="default"/>
        <w:sz w:val="24"/>
        <w:szCs w:val="24"/>
      </w:rPr>
    </w:lvl>
    <w:lvl w:ilvl="3" w:tplc="7C44AE3A">
      <w:start w:val="1"/>
      <w:numFmt w:val="bullet"/>
      <w:lvlText w:val="•"/>
      <w:lvlJc w:val="left"/>
      <w:pPr>
        <w:ind w:left="2264" w:hanging="361"/>
      </w:pPr>
      <w:rPr>
        <w:rFonts w:hint="default"/>
      </w:rPr>
    </w:lvl>
    <w:lvl w:ilvl="4" w:tplc="88629CC4">
      <w:start w:val="1"/>
      <w:numFmt w:val="bullet"/>
      <w:lvlText w:val="•"/>
      <w:lvlJc w:val="left"/>
      <w:pPr>
        <w:ind w:left="3270" w:hanging="361"/>
      </w:pPr>
      <w:rPr>
        <w:rFonts w:hint="default"/>
      </w:rPr>
    </w:lvl>
    <w:lvl w:ilvl="5" w:tplc="AAD2F03C">
      <w:start w:val="1"/>
      <w:numFmt w:val="bullet"/>
      <w:lvlText w:val="•"/>
      <w:lvlJc w:val="left"/>
      <w:pPr>
        <w:ind w:left="4276" w:hanging="361"/>
      </w:pPr>
      <w:rPr>
        <w:rFonts w:hint="default"/>
      </w:rPr>
    </w:lvl>
    <w:lvl w:ilvl="6" w:tplc="DC46E9C0">
      <w:start w:val="1"/>
      <w:numFmt w:val="bullet"/>
      <w:lvlText w:val="•"/>
      <w:lvlJc w:val="left"/>
      <w:pPr>
        <w:ind w:left="5283" w:hanging="361"/>
      </w:pPr>
      <w:rPr>
        <w:rFonts w:hint="default"/>
      </w:rPr>
    </w:lvl>
    <w:lvl w:ilvl="7" w:tplc="21EA7DF8">
      <w:start w:val="1"/>
      <w:numFmt w:val="bullet"/>
      <w:lvlText w:val="•"/>
      <w:lvlJc w:val="left"/>
      <w:pPr>
        <w:ind w:left="6289" w:hanging="361"/>
      </w:pPr>
      <w:rPr>
        <w:rFonts w:hint="default"/>
      </w:rPr>
    </w:lvl>
    <w:lvl w:ilvl="8" w:tplc="3236A04E">
      <w:start w:val="1"/>
      <w:numFmt w:val="bullet"/>
      <w:lvlText w:val="•"/>
      <w:lvlJc w:val="left"/>
      <w:pPr>
        <w:ind w:left="7296" w:hanging="361"/>
      </w:pPr>
      <w:rPr>
        <w:rFonts w:hint="default"/>
      </w:rPr>
    </w:lvl>
  </w:abstractNum>
  <w:abstractNum w:abstractNumId="4">
    <w:nsid w:val="494F2560"/>
    <w:multiLevelType w:val="hybridMultilevel"/>
    <w:tmpl w:val="2D242224"/>
    <w:lvl w:ilvl="0" w:tplc="0E4CFDC0">
      <w:start w:val="3"/>
      <w:numFmt w:val="upperRoman"/>
      <w:lvlText w:val="%1."/>
      <w:lvlJc w:val="left"/>
      <w:pPr>
        <w:ind w:left="837" w:hanging="720"/>
      </w:pPr>
      <w:rPr>
        <w:rFonts w:ascii="Times New Roman" w:eastAsia="Times New Roman" w:hAnsi="Times New Roman" w:hint="default"/>
        <w:b/>
        <w:bCs/>
        <w:sz w:val="24"/>
        <w:szCs w:val="24"/>
      </w:rPr>
    </w:lvl>
    <w:lvl w:ilvl="1" w:tplc="50D0BBD8">
      <w:start w:val="1"/>
      <w:numFmt w:val="decimal"/>
      <w:lvlText w:val="%2."/>
      <w:lvlJc w:val="left"/>
      <w:pPr>
        <w:ind w:left="837" w:hanging="720"/>
        <w:jc w:val="right"/>
      </w:pPr>
      <w:rPr>
        <w:rFonts w:ascii="Times New Roman" w:eastAsia="Times New Roman" w:hAnsi="Times New Roman" w:hint="default"/>
        <w:b/>
        <w:bCs/>
        <w:sz w:val="24"/>
        <w:szCs w:val="24"/>
      </w:rPr>
    </w:lvl>
    <w:lvl w:ilvl="2" w:tplc="C02861E6">
      <w:start w:val="1"/>
      <w:numFmt w:val="bullet"/>
      <w:lvlText w:val=""/>
      <w:lvlJc w:val="left"/>
      <w:pPr>
        <w:ind w:left="837" w:hanging="360"/>
      </w:pPr>
      <w:rPr>
        <w:rFonts w:ascii="Wingdings" w:eastAsia="Wingdings" w:hAnsi="Wingdings" w:hint="default"/>
        <w:sz w:val="24"/>
        <w:szCs w:val="24"/>
      </w:rPr>
    </w:lvl>
    <w:lvl w:ilvl="3" w:tplc="45A6779A">
      <w:start w:val="1"/>
      <w:numFmt w:val="bullet"/>
      <w:lvlText w:val="•"/>
      <w:lvlJc w:val="left"/>
      <w:pPr>
        <w:ind w:left="3372" w:hanging="360"/>
      </w:pPr>
      <w:rPr>
        <w:rFonts w:hint="default"/>
      </w:rPr>
    </w:lvl>
    <w:lvl w:ilvl="4" w:tplc="D3029E36">
      <w:start w:val="1"/>
      <w:numFmt w:val="bullet"/>
      <w:lvlText w:val="•"/>
      <w:lvlJc w:val="left"/>
      <w:pPr>
        <w:ind w:left="4217" w:hanging="360"/>
      </w:pPr>
      <w:rPr>
        <w:rFonts w:hint="default"/>
      </w:rPr>
    </w:lvl>
    <w:lvl w:ilvl="5" w:tplc="F9B66EBA">
      <w:start w:val="1"/>
      <w:numFmt w:val="bullet"/>
      <w:lvlText w:val="•"/>
      <w:lvlJc w:val="left"/>
      <w:pPr>
        <w:ind w:left="5063" w:hanging="360"/>
      </w:pPr>
      <w:rPr>
        <w:rFonts w:hint="default"/>
      </w:rPr>
    </w:lvl>
    <w:lvl w:ilvl="6" w:tplc="56440A18">
      <w:start w:val="1"/>
      <w:numFmt w:val="bullet"/>
      <w:lvlText w:val="•"/>
      <w:lvlJc w:val="left"/>
      <w:pPr>
        <w:ind w:left="5908" w:hanging="360"/>
      </w:pPr>
      <w:rPr>
        <w:rFonts w:hint="default"/>
      </w:rPr>
    </w:lvl>
    <w:lvl w:ilvl="7" w:tplc="998E4F76">
      <w:start w:val="1"/>
      <w:numFmt w:val="bullet"/>
      <w:lvlText w:val="•"/>
      <w:lvlJc w:val="left"/>
      <w:pPr>
        <w:ind w:left="6753" w:hanging="360"/>
      </w:pPr>
      <w:rPr>
        <w:rFonts w:hint="default"/>
      </w:rPr>
    </w:lvl>
    <w:lvl w:ilvl="8" w:tplc="CA4C625C">
      <w:start w:val="1"/>
      <w:numFmt w:val="bullet"/>
      <w:lvlText w:val="•"/>
      <w:lvlJc w:val="left"/>
      <w:pPr>
        <w:ind w:left="7598" w:hanging="360"/>
      </w:pPr>
      <w:rPr>
        <w:rFonts w:hint="default"/>
      </w:rPr>
    </w:lvl>
  </w:abstractNum>
  <w:abstractNum w:abstractNumId="5">
    <w:nsid w:val="55A977F5"/>
    <w:multiLevelType w:val="hybridMultilevel"/>
    <w:tmpl w:val="65527D7C"/>
    <w:lvl w:ilvl="0" w:tplc="92C04544">
      <w:start w:val="1"/>
      <w:numFmt w:val="bullet"/>
      <w:lvlText w:val=""/>
      <w:lvlJc w:val="left"/>
      <w:pPr>
        <w:ind w:left="1917" w:hanging="360"/>
      </w:pPr>
      <w:rPr>
        <w:rFonts w:ascii="Symbol" w:eastAsia="Symbol" w:hAnsi="Symbol" w:hint="default"/>
        <w:sz w:val="24"/>
        <w:szCs w:val="24"/>
      </w:rPr>
    </w:lvl>
    <w:lvl w:ilvl="1" w:tplc="B01CB3BA">
      <w:start w:val="1"/>
      <w:numFmt w:val="bullet"/>
      <w:lvlText w:val="•"/>
      <w:lvlJc w:val="left"/>
      <w:pPr>
        <w:ind w:left="2760" w:hanging="360"/>
      </w:pPr>
      <w:rPr>
        <w:rFonts w:hint="default"/>
      </w:rPr>
    </w:lvl>
    <w:lvl w:ilvl="2" w:tplc="9DBA5506">
      <w:start w:val="1"/>
      <w:numFmt w:val="bullet"/>
      <w:lvlText w:val="•"/>
      <w:lvlJc w:val="left"/>
      <w:pPr>
        <w:ind w:left="3603" w:hanging="360"/>
      </w:pPr>
      <w:rPr>
        <w:rFonts w:hint="default"/>
      </w:rPr>
    </w:lvl>
    <w:lvl w:ilvl="3" w:tplc="3A8A2EA6">
      <w:start w:val="1"/>
      <w:numFmt w:val="bullet"/>
      <w:lvlText w:val="•"/>
      <w:lvlJc w:val="left"/>
      <w:pPr>
        <w:ind w:left="4446" w:hanging="360"/>
      </w:pPr>
      <w:rPr>
        <w:rFonts w:hint="default"/>
      </w:rPr>
    </w:lvl>
    <w:lvl w:ilvl="4" w:tplc="014E4442">
      <w:start w:val="1"/>
      <w:numFmt w:val="bullet"/>
      <w:lvlText w:val="•"/>
      <w:lvlJc w:val="left"/>
      <w:pPr>
        <w:ind w:left="5290" w:hanging="360"/>
      </w:pPr>
      <w:rPr>
        <w:rFonts w:hint="default"/>
      </w:rPr>
    </w:lvl>
    <w:lvl w:ilvl="5" w:tplc="F4D2B32E">
      <w:start w:val="1"/>
      <w:numFmt w:val="bullet"/>
      <w:lvlText w:val="•"/>
      <w:lvlJc w:val="left"/>
      <w:pPr>
        <w:ind w:left="6133" w:hanging="360"/>
      </w:pPr>
      <w:rPr>
        <w:rFonts w:hint="default"/>
      </w:rPr>
    </w:lvl>
    <w:lvl w:ilvl="6" w:tplc="9FFACE68">
      <w:start w:val="1"/>
      <w:numFmt w:val="bullet"/>
      <w:lvlText w:val="•"/>
      <w:lvlJc w:val="left"/>
      <w:pPr>
        <w:ind w:left="6976" w:hanging="360"/>
      </w:pPr>
      <w:rPr>
        <w:rFonts w:hint="default"/>
      </w:rPr>
    </w:lvl>
    <w:lvl w:ilvl="7" w:tplc="E6141156">
      <w:start w:val="1"/>
      <w:numFmt w:val="bullet"/>
      <w:lvlText w:val="•"/>
      <w:lvlJc w:val="left"/>
      <w:pPr>
        <w:ind w:left="7819" w:hanging="360"/>
      </w:pPr>
      <w:rPr>
        <w:rFonts w:hint="default"/>
      </w:rPr>
    </w:lvl>
    <w:lvl w:ilvl="8" w:tplc="8B0E41F0">
      <w:start w:val="1"/>
      <w:numFmt w:val="bullet"/>
      <w:lvlText w:val="•"/>
      <w:lvlJc w:val="left"/>
      <w:pPr>
        <w:ind w:left="8662" w:hanging="360"/>
      </w:pPr>
      <w:rPr>
        <w:rFonts w:hint="default"/>
      </w:rPr>
    </w:lvl>
  </w:abstractNum>
  <w:abstractNum w:abstractNumId="6">
    <w:nsid w:val="61AF320F"/>
    <w:multiLevelType w:val="hybridMultilevel"/>
    <w:tmpl w:val="5E042FF4"/>
    <w:lvl w:ilvl="0" w:tplc="0B1455F8">
      <w:start w:val="1"/>
      <w:numFmt w:val="upperRoman"/>
      <w:lvlText w:val="%1."/>
      <w:lvlJc w:val="left"/>
      <w:pPr>
        <w:ind w:left="390" w:hanging="274"/>
      </w:pPr>
      <w:rPr>
        <w:rFonts w:ascii="Times New Roman" w:eastAsia="Times New Roman" w:hAnsi="Times New Roman" w:hint="default"/>
        <w:b/>
        <w:bCs/>
        <w:sz w:val="24"/>
        <w:szCs w:val="24"/>
      </w:rPr>
    </w:lvl>
    <w:lvl w:ilvl="1" w:tplc="6D0A7E58">
      <w:start w:val="1"/>
      <w:numFmt w:val="bullet"/>
      <w:lvlText w:val=""/>
      <w:lvlJc w:val="left"/>
      <w:pPr>
        <w:ind w:left="837" w:hanging="356"/>
      </w:pPr>
      <w:rPr>
        <w:rFonts w:ascii="Wingdings" w:eastAsia="Wingdings" w:hAnsi="Wingdings" w:hint="default"/>
        <w:sz w:val="24"/>
        <w:szCs w:val="24"/>
      </w:rPr>
    </w:lvl>
    <w:lvl w:ilvl="2" w:tplc="9604AE86">
      <w:start w:val="1"/>
      <w:numFmt w:val="bullet"/>
      <w:lvlText w:val="•"/>
      <w:lvlJc w:val="left"/>
      <w:pPr>
        <w:ind w:left="1869" w:hanging="356"/>
      </w:pPr>
      <w:rPr>
        <w:rFonts w:hint="default"/>
      </w:rPr>
    </w:lvl>
    <w:lvl w:ilvl="3" w:tplc="D3EE0918">
      <w:start w:val="1"/>
      <w:numFmt w:val="bullet"/>
      <w:lvlText w:val="•"/>
      <w:lvlJc w:val="left"/>
      <w:pPr>
        <w:ind w:left="2902" w:hanging="356"/>
      </w:pPr>
      <w:rPr>
        <w:rFonts w:hint="default"/>
      </w:rPr>
    </w:lvl>
    <w:lvl w:ilvl="4" w:tplc="3E7689C0">
      <w:start w:val="1"/>
      <w:numFmt w:val="bullet"/>
      <w:lvlText w:val="•"/>
      <w:lvlJc w:val="left"/>
      <w:pPr>
        <w:ind w:left="3934" w:hanging="356"/>
      </w:pPr>
      <w:rPr>
        <w:rFonts w:hint="default"/>
      </w:rPr>
    </w:lvl>
    <w:lvl w:ilvl="5" w:tplc="FF365390">
      <w:start w:val="1"/>
      <w:numFmt w:val="bullet"/>
      <w:lvlText w:val="•"/>
      <w:lvlJc w:val="left"/>
      <w:pPr>
        <w:ind w:left="4966" w:hanging="356"/>
      </w:pPr>
      <w:rPr>
        <w:rFonts w:hint="default"/>
      </w:rPr>
    </w:lvl>
    <w:lvl w:ilvl="6" w:tplc="20F48D2C">
      <w:start w:val="1"/>
      <w:numFmt w:val="bullet"/>
      <w:lvlText w:val="•"/>
      <w:lvlJc w:val="left"/>
      <w:pPr>
        <w:ind w:left="5999" w:hanging="356"/>
      </w:pPr>
      <w:rPr>
        <w:rFonts w:hint="default"/>
      </w:rPr>
    </w:lvl>
    <w:lvl w:ilvl="7" w:tplc="45C02C18">
      <w:start w:val="1"/>
      <w:numFmt w:val="bullet"/>
      <w:lvlText w:val="•"/>
      <w:lvlJc w:val="left"/>
      <w:pPr>
        <w:ind w:left="7031" w:hanging="356"/>
      </w:pPr>
      <w:rPr>
        <w:rFonts w:hint="default"/>
      </w:rPr>
    </w:lvl>
    <w:lvl w:ilvl="8" w:tplc="DA48894E">
      <w:start w:val="1"/>
      <w:numFmt w:val="bullet"/>
      <w:lvlText w:val="•"/>
      <w:lvlJc w:val="left"/>
      <w:pPr>
        <w:ind w:left="8064" w:hanging="356"/>
      </w:pPr>
      <w:rPr>
        <w:rFonts w:hint="default"/>
      </w:rPr>
    </w:lvl>
  </w:abstractNum>
  <w:abstractNum w:abstractNumId="7">
    <w:nsid w:val="70E37FD8"/>
    <w:multiLevelType w:val="hybridMultilevel"/>
    <w:tmpl w:val="BA340B4A"/>
    <w:lvl w:ilvl="0" w:tplc="9AB82B64">
      <w:start w:val="4"/>
      <w:numFmt w:val="decimal"/>
      <w:lvlText w:val="%1."/>
      <w:lvlJc w:val="left"/>
      <w:pPr>
        <w:ind w:left="712" w:hanging="596"/>
      </w:pPr>
      <w:rPr>
        <w:rFonts w:ascii="Times New Roman" w:eastAsia="Times New Roman" w:hAnsi="Times New Roman" w:hint="default"/>
        <w:b/>
        <w:bCs/>
        <w:sz w:val="24"/>
        <w:szCs w:val="24"/>
      </w:rPr>
    </w:lvl>
    <w:lvl w:ilvl="1" w:tplc="01929CBE">
      <w:start w:val="1"/>
      <w:numFmt w:val="lowerLetter"/>
      <w:lvlText w:val="%2."/>
      <w:lvlJc w:val="left"/>
      <w:pPr>
        <w:ind w:left="837" w:hanging="360"/>
      </w:pPr>
      <w:rPr>
        <w:rFonts w:ascii="Times New Roman" w:eastAsia="Times New Roman" w:hAnsi="Times New Roman" w:hint="default"/>
        <w:sz w:val="24"/>
        <w:szCs w:val="24"/>
      </w:rPr>
    </w:lvl>
    <w:lvl w:ilvl="2" w:tplc="A72CBE78">
      <w:start w:val="1"/>
      <w:numFmt w:val="bullet"/>
      <w:lvlText w:val="•"/>
      <w:lvlJc w:val="left"/>
      <w:pPr>
        <w:ind w:left="1776" w:hanging="360"/>
      </w:pPr>
      <w:rPr>
        <w:rFonts w:hint="default"/>
      </w:rPr>
    </w:lvl>
    <w:lvl w:ilvl="3" w:tplc="7B76EC1C">
      <w:start w:val="1"/>
      <w:numFmt w:val="bullet"/>
      <w:lvlText w:val="•"/>
      <w:lvlJc w:val="left"/>
      <w:pPr>
        <w:ind w:left="2715" w:hanging="360"/>
      </w:pPr>
      <w:rPr>
        <w:rFonts w:hint="default"/>
      </w:rPr>
    </w:lvl>
    <w:lvl w:ilvl="4" w:tplc="786683CC">
      <w:start w:val="1"/>
      <w:numFmt w:val="bullet"/>
      <w:lvlText w:val="•"/>
      <w:lvlJc w:val="left"/>
      <w:pPr>
        <w:ind w:left="3654" w:hanging="360"/>
      </w:pPr>
      <w:rPr>
        <w:rFonts w:hint="default"/>
      </w:rPr>
    </w:lvl>
    <w:lvl w:ilvl="5" w:tplc="B78E4062">
      <w:start w:val="1"/>
      <w:numFmt w:val="bullet"/>
      <w:lvlText w:val="•"/>
      <w:lvlJc w:val="left"/>
      <w:pPr>
        <w:ind w:left="4593" w:hanging="360"/>
      </w:pPr>
      <w:rPr>
        <w:rFonts w:hint="default"/>
      </w:rPr>
    </w:lvl>
    <w:lvl w:ilvl="6" w:tplc="77C8BAE0">
      <w:start w:val="1"/>
      <w:numFmt w:val="bullet"/>
      <w:lvlText w:val="•"/>
      <w:lvlJc w:val="left"/>
      <w:pPr>
        <w:ind w:left="5532" w:hanging="360"/>
      </w:pPr>
      <w:rPr>
        <w:rFonts w:hint="default"/>
      </w:rPr>
    </w:lvl>
    <w:lvl w:ilvl="7" w:tplc="9B2A005E">
      <w:start w:val="1"/>
      <w:numFmt w:val="bullet"/>
      <w:lvlText w:val="•"/>
      <w:lvlJc w:val="left"/>
      <w:pPr>
        <w:ind w:left="6471" w:hanging="360"/>
      </w:pPr>
      <w:rPr>
        <w:rFonts w:hint="default"/>
      </w:rPr>
    </w:lvl>
    <w:lvl w:ilvl="8" w:tplc="71C87762">
      <w:start w:val="1"/>
      <w:numFmt w:val="bullet"/>
      <w:lvlText w:val="•"/>
      <w:lvlJc w:val="left"/>
      <w:pPr>
        <w:ind w:left="7410" w:hanging="360"/>
      </w:pPr>
      <w:rPr>
        <w:rFonts w:hint="default"/>
      </w:rPr>
    </w:lvl>
  </w:abstractNum>
  <w:num w:numId="1">
    <w:abstractNumId w:val="5"/>
  </w:num>
  <w:num w:numId="2">
    <w:abstractNumId w:val="0"/>
  </w:num>
  <w:num w:numId="3">
    <w:abstractNumId w:val="4"/>
  </w:num>
  <w:num w:numId="4">
    <w:abstractNumId w:val="7"/>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367DC8"/>
    <w:rsid w:val="00320942"/>
    <w:rsid w:val="00367DC8"/>
    <w:rsid w:val="004662DC"/>
    <w:rsid w:val="00A91C4E"/>
    <w:rsid w:val="00D41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77"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91C4E"/>
    <w:pPr>
      <w:tabs>
        <w:tab w:val="center" w:pos="4153"/>
        <w:tab w:val="right" w:pos="8306"/>
      </w:tabs>
    </w:pPr>
  </w:style>
  <w:style w:type="character" w:customStyle="1" w:styleId="HeaderChar">
    <w:name w:val="Header Char"/>
    <w:basedOn w:val="DefaultParagraphFont"/>
    <w:link w:val="Header"/>
    <w:uiPriority w:val="99"/>
    <w:rsid w:val="00A91C4E"/>
  </w:style>
  <w:style w:type="paragraph" w:styleId="Footer">
    <w:name w:val="footer"/>
    <w:basedOn w:val="Normal"/>
    <w:link w:val="FooterChar"/>
    <w:unhideWhenUsed/>
    <w:rsid w:val="00A91C4E"/>
    <w:pPr>
      <w:tabs>
        <w:tab w:val="center" w:pos="4153"/>
        <w:tab w:val="right" w:pos="8306"/>
      </w:tabs>
    </w:pPr>
  </w:style>
  <w:style w:type="character" w:customStyle="1" w:styleId="FooterChar">
    <w:name w:val="Footer Char"/>
    <w:basedOn w:val="DefaultParagraphFont"/>
    <w:link w:val="Footer"/>
    <w:uiPriority w:val="99"/>
    <w:rsid w:val="00A91C4E"/>
  </w:style>
  <w:style w:type="table" w:styleId="TableGrid">
    <w:name w:val="Table Grid"/>
    <w:basedOn w:val="TableNormal"/>
    <w:uiPriority w:val="39"/>
    <w:rsid w:val="0046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32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B1DC9-5B5D-4F5B-AFD1-E6BAED2DF389}">
  <ds:schemaRefs>
    <ds:schemaRef ds:uri="http://schemas.openxmlformats.org/officeDocument/2006/bibliography"/>
  </ds:schemaRefs>
</ds:datastoreItem>
</file>

<file path=customXml/itemProps2.xml><?xml version="1.0" encoding="utf-8"?>
<ds:datastoreItem xmlns:ds="http://schemas.openxmlformats.org/officeDocument/2006/customXml" ds:itemID="{FFF3F0A6-0C6A-43BD-B4BE-8B497D8D83A8}"/>
</file>

<file path=customXml/itemProps3.xml><?xml version="1.0" encoding="utf-8"?>
<ds:datastoreItem xmlns:ds="http://schemas.openxmlformats.org/officeDocument/2006/customXml" ds:itemID="{49D93886-5A56-4AF9-9AF9-CA9B100E198F}"/>
</file>

<file path=customXml/itemProps4.xml><?xml version="1.0" encoding="utf-8"?>
<ds:datastoreItem xmlns:ds="http://schemas.openxmlformats.org/officeDocument/2006/customXml" ds:itemID="{E3D4E709-0F0F-421F-84C2-07D591491843}"/>
</file>

<file path=docProps/app.xml><?xml version="1.0" encoding="utf-8"?>
<Properties xmlns="http://schemas.openxmlformats.org/officeDocument/2006/extended-properties" xmlns:vt="http://schemas.openxmlformats.org/officeDocument/2006/docPropsVTypes">
  <Template>Normal</Template>
  <TotalTime>0</TotalTime>
  <Pages>5</Pages>
  <Words>7106</Words>
  <Characters>4051</Characters>
  <Application>Microsoft Office Word</Application>
  <DocSecurity>0</DocSecurity>
  <Lines>33</Lines>
  <Paragraphs>22</Paragraphs>
  <ScaleCrop>false</ScaleCrop>
  <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2017-02-02T09:18:00Z</dcterms:created>
  <dcterms:modified xsi:type="dcterms:W3CDTF">2017-03-23T12:55:00Z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211200</vt:r8>
  </property>
</Properties>
</file>