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212"/>
        <w:gridCol w:w="1919"/>
      </w:tblGrid>
      <w:tr w:rsidR="00D01BA4" w:rsidRPr="00F025AF" w14:paraId="1C602582" w14:textId="77777777" w:rsidTr="00D01BA4">
        <w:tc>
          <w:tcPr>
            <w:tcW w:w="3949" w:type="pct"/>
            <w:tcBorders>
              <w:bottom w:val="single" w:sz="4" w:space="0" w:color="auto"/>
            </w:tcBorders>
          </w:tcPr>
          <w:p w14:paraId="5878ADEE" w14:textId="77777777" w:rsidR="00D01BA4" w:rsidRPr="00F025AF" w:rsidRDefault="00D01BA4" w:rsidP="00A3700E">
            <w:pPr>
              <w:pStyle w:val="BodyText"/>
              <w:jc w:val="both"/>
              <w:rPr>
                <w:rFonts w:ascii="Times New Roman" w:hAnsi="Times New Roman" w:cs="Times New Roman"/>
                <w:b/>
                <w:bCs/>
                <w:color w:val="001F5F"/>
                <w:sz w:val="24"/>
                <w:szCs w:val="24"/>
              </w:rPr>
            </w:pPr>
            <w:r w:rsidRPr="00F025AF">
              <w:rPr>
                <w:rFonts w:ascii="Times New Roman" w:hAnsi="Times New Roman" w:cs="Times New Roman"/>
                <w:b/>
                <w:color w:val="001F5F"/>
                <w:sz w:val="24"/>
              </w:rPr>
              <w:t>Medicīniskas ierīces</w:t>
            </w:r>
          </w:p>
          <w:p w14:paraId="6BDE4900" w14:textId="3B3FE153" w:rsidR="00D01BA4" w:rsidRPr="00F025AF" w:rsidRDefault="00D01BA4" w:rsidP="00A3700E">
            <w:pPr>
              <w:pStyle w:val="BodyText"/>
              <w:jc w:val="both"/>
              <w:rPr>
                <w:rFonts w:ascii="Times New Roman" w:hAnsi="Times New Roman" w:cs="Times New Roman"/>
                <w:color w:val="001F5F"/>
                <w:sz w:val="24"/>
                <w:szCs w:val="24"/>
              </w:rPr>
            </w:pPr>
            <w:r w:rsidRPr="00F025AF">
              <w:rPr>
                <w:rFonts w:ascii="Times New Roman" w:hAnsi="Times New Roman" w:cs="Times New Roman"/>
                <w:color w:val="001F5F"/>
                <w:sz w:val="24"/>
              </w:rPr>
              <w:t>Medicīnisku ierīču koordinācijas grupas dokuments</w:t>
            </w:r>
          </w:p>
        </w:tc>
        <w:tc>
          <w:tcPr>
            <w:tcW w:w="1051" w:type="pct"/>
            <w:tcBorders>
              <w:bottom w:val="single" w:sz="4" w:space="0" w:color="auto"/>
            </w:tcBorders>
          </w:tcPr>
          <w:p w14:paraId="3EC56F3E" w14:textId="77777777" w:rsidR="00D01BA4" w:rsidRPr="00F025AF" w:rsidRDefault="00D01BA4" w:rsidP="00A3700E">
            <w:pPr>
              <w:pStyle w:val="BodyText"/>
              <w:jc w:val="both"/>
              <w:rPr>
                <w:rFonts w:ascii="Times New Roman" w:hAnsi="Times New Roman" w:cs="Times New Roman"/>
                <w:color w:val="001F5F"/>
                <w:sz w:val="24"/>
                <w:szCs w:val="24"/>
              </w:rPr>
            </w:pPr>
          </w:p>
          <w:p w14:paraId="49A364D5" w14:textId="68D29EC4" w:rsidR="00D01BA4" w:rsidRPr="00F025AF" w:rsidRDefault="00D01BA4" w:rsidP="00A3700E">
            <w:pPr>
              <w:pStyle w:val="BodyText"/>
              <w:jc w:val="both"/>
              <w:rPr>
                <w:rFonts w:ascii="Times New Roman" w:hAnsi="Times New Roman" w:cs="Times New Roman"/>
                <w:noProof/>
                <w:sz w:val="24"/>
                <w:szCs w:val="24"/>
              </w:rPr>
            </w:pPr>
            <w:r w:rsidRPr="00F025AF">
              <w:rPr>
                <w:rFonts w:ascii="Times New Roman" w:hAnsi="Times New Roman" w:cs="Times New Roman"/>
                <w:color w:val="001F5F"/>
                <w:sz w:val="24"/>
              </w:rPr>
              <w:t>MDCG 2023-6</w:t>
            </w:r>
          </w:p>
        </w:tc>
      </w:tr>
    </w:tbl>
    <w:p w14:paraId="47D75A6E" w14:textId="77777777" w:rsidR="00810F69" w:rsidRPr="00F025AF" w:rsidRDefault="00810F69" w:rsidP="00A3700E">
      <w:pPr>
        <w:pStyle w:val="BodyText"/>
        <w:jc w:val="both"/>
        <w:rPr>
          <w:rFonts w:ascii="Times New Roman" w:hAnsi="Times New Roman" w:cs="Times New Roman"/>
          <w:noProof/>
          <w:sz w:val="24"/>
        </w:rPr>
      </w:pPr>
    </w:p>
    <w:p w14:paraId="59801989" w14:textId="77777777" w:rsidR="00D01BA4" w:rsidRPr="00F025AF" w:rsidRDefault="00D01BA4" w:rsidP="00A3700E">
      <w:pPr>
        <w:pStyle w:val="BodyText"/>
        <w:jc w:val="both"/>
        <w:rPr>
          <w:rFonts w:ascii="Times New Roman" w:hAnsi="Times New Roman" w:cs="Times New Roman"/>
        </w:rPr>
      </w:pPr>
    </w:p>
    <w:p w14:paraId="25B37FF1" w14:textId="77777777" w:rsidR="005F099C" w:rsidRPr="00F025AF" w:rsidRDefault="005F099C" w:rsidP="00A3700E">
      <w:pPr>
        <w:pStyle w:val="BodyText"/>
        <w:jc w:val="both"/>
        <w:rPr>
          <w:rFonts w:ascii="Times New Roman" w:hAnsi="Times New Roman" w:cs="Times New Roman"/>
        </w:rPr>
      </w:pPr>
    </w:p>
    <w:p w14:paraId="1BCEF337" w14:textId="77777777" w:rsidR="005F099C" w:rsidRPr="00F025AF" w:rsidRDefault="005F099C" w:rsidP="00A3700E">
      <w:pPr>
        <w:pStyle w:val="BodyText"/>
        <w:jc w:val="both"/>
        <w:rPr>
          <w:rFonts w:ascii="Times New Roman" w:hAnsi="Times New Roman" w:cs="Times New Roman"/>
        </w:rPr>
      </w:pPr>
    </w:p>
    <w:p w14:paraId="7C718EFF" w14:textId="77777777" w:rsidR="005F099C" w:rsidRPr="00F025AF" w:rsidRDefault="005F099C" w:rsidP="00A3700E">
      <w:pPr>
        <w:pStyle w:val="BodyText"/>
        <w:jc w:val="both"/>
        <w:rPr>
          <w:rFonts w:ascii="Times New Roman" w:hAnsi="Times New Roman" w:cs="Times New Roman"/>
        </w:rPr>
      </w:pPr>
    </w:p>
    <w:p w14:paraId="127CB4DB" w14:textId="77777777" w:rsidR="005F099C" w:rsidRPr="00F025AF" w:rsidRDefault="005F099C" w:rsidP="00A3700E">
      <w:pPr>
        <w:pStyle w:val="BodyText"/>
        <w:jc w:val="both"/>
        <w:rPr>
          <w:rFonts w:ascii="Times New Roman" w:hAnsi="Times New Roman" w:cs="Times New Roman"/>
        </w:rPr>
      </w:pPr>
    </w:p>
    <w:p w14:paraId="20C3462C" w14:textId="77777777" w:rsidR="005F099C" w:rsidRPr="00F025AF" w:rsidRDefault="005F099C" w:rsidP="00A3700E">
      <w:pPr>
        <w:pStyle w:val="BodyText"/>
        <w:jc w:val="both"/>
        <w:rPr>
          <w:rFonts w:ascii="Times New Roman" w:hAnsi="Times New Roman" w:cs="Times New Roman"/>
        </w:rPr>
      </w:pPr>
    </w:p>
    <w:p w14:paraId="084C57CF" w14:textId="77777777" w:rsidR="00D01BA4" w:rsidRPr="00F025AF" w:rsidRDefault="00D01BA4" w:rsidP="00A3700E">
      <w:pPr>
        <w:pStyle w:val="BodyText"/>
        <w:jc w:val="both"/>
        <w:rPr>
          <w:rFonts w:ascii="Times New Roman" w:hAnsi="Times New Roman" w:cs="Times New Roman"/>
          <w:noProof/>
          <w:sz w:val="24"/>
        </w:rPr>
      </w:pPr>
    </w:p>
    <w:tbl>
      <w:tblPr>
        <w:tblStyle w:val="TableGrid"/>
        <w:tblW w:w="0" w:type="auto"/>
        <w:tblLook w:val="04A0" w:firstRow="1" w:lastRow="0" w:firstColumn="1" w:lastColumn="0" w:noHBand="0" w:noVBand="1"/>
      </w:tblPr>
      <w:tblGrid>
        <w:gridCol w:w="9291"/>
      </w:tblGrid>
      <w:tr w:rsidR="00917A64" w:rsidRPr="00F025AF" w14:paraId="14937B20" w14:textId="77777777" w:rsidTr="00917A64">
        <w:tc>
          <w:tcPr>
            <w:tcW w:w="9766" w:type="dxa"/>
          </w:tcPr>
          <w:p w14:paraId="7ACB4294" w14:textId="77777777" w:rsidR="00917A64" w:rsidRPr="00F025AF" w:rsidRDefault="00917A64" w:rsidP="00A3700E">
            <w:pPr>
              <w:jc w:val="both"/>
              <w:rPr>
                <w:rFonts w:ascii="Times New Roman" w:hAnsi="Times New Roman" w:cs="Times New Roman"/>
                <w:b/>
                <w:noProof/>
                <w:color w:val="001F5F"/>
                <w:sz w:val="36"/>
                <w:szCs w:val="32"/>
              </w:rPr>
            </w:pPr>
            <w:r w:rsidRPr="00F025AF">
              <w:rPr>
                <w:rFonts w:ascii="Times New Roman" w:hAnsi="Times New Roman" w:cs="Times New Roman"/>
                <w:b/>
                <w:color w:val="001F5F"/>
                <w:sz w:val="36"/>
              </w:rPr>
              <w:t>MDCG 2023-6</w:t>
            </w:r>
          </w:p>
          <w:p w14:paraId="5AEDC6D1" w14:textId="77777777" w:rsidR="00B50C4E" w:rsidRPr="00F025AF" w:rsidRDefault="00B50C4E" w:rsidP="00A3700E">
            <w:pPr>
              <w:jc w:val="both"/>
              <w:rPr>
                <w:rFonts w:ascii="Times New Roman" w:hAnsi="Times New Roman" w:cs="Times New Roman"/>
                <w:b/>
                <w:noProof/>
                <w:color w:val="001F5F"/>
                <w:sz w:val="36"/>
                <w:szCs w:val="32"/>
              </w:rPr>
            </w:pPr>
          </w:p>
          <w:p w14:paraId="62C61CBA" w14:textId="77777777" w:rsidR="00917A64" w:rsidRPr="00F025AF" w:rsidRDefault="00917A64" w:rsidP="00A3700E">
            <w:pPr>
              <w:jc w:val="both"/>
              <w:rPr>
                <w:rFonts w:ascii="Times New Roman" w:hAnsi="Times New Roman" w:cs="Times New Roman"/>
                <w:b/>
                <w:noProof/>
                <w:color w:val="001F5F"/>
                <w:sz w:val="36"/>
                <w:szCs w:val="32"/>
              </w:rPr>
            </w:pPr>
            <w:r w:rsidRPr="00F025AF">
              <w:rPr>
                <w:rFonts w:ascii="Times New Roman" w:hAnsi="Times New Roman" w:cs="Times New Roman"/>
                <w:b/>
                <w:color w:val="001F5F"/>
                <w:sz w:val="36"/>
              </w:rPr>
              <w:t>Norādījumi par XVI pielikuma izstrādājumu līdzvērtības pierādīšanu</w:t>
            </w:r>
          </w:p>
          <w:p w14:paraId="364799E8" w14:textId="77777777" w:rsidR="00B50C4E" w:rsidRPr="00F025AF" w:rsidRDefault="00B50C4E" w:rsidP="00A3700E">
            <w:pPr>
              <w:jc w:val="both"/>
              <w:rPr>
                <w:rFonts w:ascii="Times New Roman" w:hAnsi="Times New Roman" w:cs="Times New Roman"/>
                <w:b/>
                <w:noProof/>
                <w:color w:val="001F5F"/>
                <w:sz w:val="28"/>
                <w:szCs w:val="24"/>
              </w:rPr>
            </w:pPr>
          </w:p>
          <w:p w14:paraId="6548FA3D" w14:textId="77777777" w:rsidR="00917A64" w:rsidRPr="00F025AF" w:rsidRDefault="00917A64" w:rsidP="00A3700E">
            <w:pPr>
              <w:jc w:val="both"/>
              <w:rPr>
                <w:rFonts w:ascii="Times New Roman" w:hAnsi="Times New Roman" w:cs="Times New Roman"/>
                <w:b/>
                <w:noProof/>
                <w:color w:val="001F5F"/>
                <w:sz w:val="28"/>
                <w:szCs w:val="24"/>
              </w:rPr>
            </w:pPr>
            <w:r w:rsidRPr="00F025AF">
              <w:rPr>
                <w:rFonts w:ascii="Times New Roman" w:hAnsi="Times New Roman" w:cs="Times New Roman"/>
                <w:b/>
                <w:color w:val="001F5F"/>
                <w:sz w:val="28"/>
              </w:rPr>
              <w:t>Metodiskais līdzeklis ražotājiem un paziņotajām institūcijām</w:t>
            </w:r>
          </w:p>
          <w:p w14:paraId="3BB4DADD" w14:textId="77777777" w:rsidR="00917A64" w:rsidRPr="00F025AF" w:rsidRDefault="00917A64" w:rsidP="00A3700E">
            <w:pPr>
              <w:pStyle w:val="BodyText"/>
              <w:jc w:val="both"/>
              <w:rPr>
                <w:rFonts w:ascii="Times New Roman" w:hAnsi="Times New Roman" w:cs="Times New Roman"/>
                <w:b/>
                <w:noProof/>
                <w:sz w:val="28"/>
                <w:szCs w:val="24"/>
              </w:rPr>
            </w:pPr>
          </w:p>
          <w:p w14:paraId="243D2EEC" w14:textId="77777777" w:rsidR="00917A64" w:rsidRPr="00F025AF" w:rsidRDefault="00917A64" w:rsidP="00A3700E">
            <w:pPr>
              <w:pStyle w:val="BodyText"/>
              <w:jc w:val="both"/>
              <w:rPr>
                <w:rFonts w:ascii="Times New Roman" w:hAnsi="Times New Roman" w:cs="Times New Roman"/>
                <w:b/>
                <w:noProof/>
                <w:sz w:val="28"/>
                <w:szCs w:val="24"/>
              </w:rPr>
            </w:pPr>
          </w:p>
          <w:p w14:paraId="5A3DD705" w14:textId="77777777" w:rsidR="00917A64" w:rsidRPr="00F025AF" w:rsidRDefault="00917A64" w:rsidP="00A3700E">
            <w:pPr>
              <w:jc w:val="both"/>
              <w:rPr>
                <w:rFonts w:ascii="Times New Roman" w:hAnsi="Times New Roman" w:cs="Times New Roman"/>
                <w:b/>
                <w:noProof/>
                <w:color w:val="001F5F"/>
                <w:sz w:val="28"/>
                <w:szCs w:val="24"/>
              </w:rPr>
            </w:pPr>
            <w:r w:rsidRPr="00F025AF">
              <w:rPr>
                <w:rFonts w:ascii="Times New Roman" w:hAnsi="Times New Roman" w:cs="Times New Roman"/>
                <w:b/>
                <w:color w:val="001F5F"/>
                <w:sz w:val="28"/>
              </w:rPr>
              <w:t>2023. gada decembris</w:t>
            </w:r>
          </w:p>
          <w:p w14:paraId="2383DBC9" w14:textId="77777777" w:rsidR="00917A64" w:rsidRPr="00F025AF" w:rsidRDefault="00917A64" w:rsidP="00A3700E">
            <w:pPr>
              <w:pStyle w:val="BodyText"/>
              <w:jc w:val="both"/>
              <w:rPr>
                <w:rFonts w:ascii="Times New Roman" w:hAnsi="Times New Roman" w:cs="Times New Roman"/>
                <w:noProof/>
                <w:sz w:val="24"/>
              </w:rPr>
            </w:pPr>
          </w:p>
        </w:tc>
      </w:tr>
    </w:tbl>
    <w:p w14:paraId="2BB514FD" w14:textId="77777777" w:rsidR="00810F69" w:rsidRPr="00F025AF" w:rsidRDefault="00810F69" w:rsidP="00A3700E">
      <w:pPr>
        <w:pStyle w:val="BodyText"/>
        <w:jc w:val="both"/>
        <w:rPr>
          <w:rFonts w:ascii="Times New Roman" w:hAnsi="Times New Roman" w:cs="Times New Roman"/>
          <w:noProof/>
          <w:sz w:val="24"/>
        </w:rPr>
      </w:pPr>
    </w:p>
    <w:p w14:paraId="6D3CAE4A" w14:textId="77777777" w:rsidR="00810F69" w:rsidRPr="00F025AF" w:rsidRDefault="00810F69" w:rsidP="00A3700E">
      <w:pPr>
        <w:pStyle w:val="BodyText"/>
        <w:jc w:val="both"/>
        <w:rPr>
          <w:rFonts w:ascii="Times New Roman" w:hAnsi="Times New Roman" w:cs="Times New Roman"/>
          <w:noProof/>
          <w:sz w:val="24"/>
        </w:rPr>
      </w:pPr>
    </w:p>
    <w:p w14:paraId="4BF73901" w14:textId="77777777" w:rsidR="00810F69" w:rsidRPr="00F025AF" w:rsidRDefault="00810F69" w:rsidP="00A3700E">
      <w:pPr>
        <w:pStyle w:val="BodyText"/>
        <w:jc w:val="both"/>
        <w:rPr>
          <w:rFonts w:ascii="Times New Roman" w:hAnsi="Times New Roman" w:cs="Times New Roman"/>
          <w:noProof/>
          <w:sz w:val="24"/>
        </w:rPr>
      </w:pPr>
    </w:p>
    <w:p w14:paraId="6652B965" w14:textId="77777777" w:rsidR="00810F69" w:rsidRPr="00F025AF" w:rsidRDefault="00810F69" w:rsidP="00A3700E">
      <w:pPr>
        <w:pStyle w:val="BodyText"/>
        <w:jc w:val="both"/>
        <w:rPr>
          <w:rFonts w:ascii="Times New Roman" w:hAnsi="Times New Roman" w:cs="Times New Roman"/>
          <w:noProof/>
          <w:sz w:val="24"/>
        </w:rPr>
      </w:pPr>
    </w:p>
    <w:p w14:paraId="0E9F5653" w14:textId="77777777" w:rsidR="00810F69" w:rsidRPr="00F025AF" w:rsidRDefault="00810F69" w:rsidP="00A3700E">
      <w:pPr>
        <w:pStyle w:val="BodyText"/>
        <w:jc w:val="both"/>
        <w:rPr>
          <w:rFonts w:ascii="Times New Roman" w:hAnsi="Times New Roman" w:cs="Times New Roman"/>
          <w:noProof/>
          <w:sz w:val="24"/>
        </w:rPr>
      </w:pPr>
    </w:p>
    <w:p w14:paraId="11BF6095" w14:textId="77777777" w:rsidR="00810F69" w:rsidRPr="00F025AF" w:rsidRDefault="00810F69" w:rsidP="00A3700E">
      <w:pPr>
        <w:pStyle w:val="BodyText"/>
        <w:jc w:val="both"/>
        <w:rPr>
          <w:rFonts w:ascii="Times New Roman" w:hAnsi="Times New Roman" w:cs="Times New Roman"/>
          <w:noProof/>
          <w:sz w:val="24"/>
        </w:rPr>
      </w:pPr>
    </w:p>
    <w:p w14:paraId="75E8F0F8" w14:textId="77777777" w:rsidR="00810F69" w:rsidRPr="00F025AF" w:rsidRDefault="00810F69" w:rsidP="00A3700E">
      <w:pPr>
        <w:pStyle w:val="BodyText"/>
        <w:jc w:val="both"/>
        <w:rPr>
          <w:rFonts w:ascii="Times New Roman" w:hAnsi="Times New Roman" w:cs="Times New Roman"/>
          <w:noProof/>
          <w:sz w:val="24"/>
        </w:rPr>
      </w:pPr>
    </w:p>
    <w:p w14:paraId="6DEF0244" w14:textId="77777777" w:rsidR="005F099C" w:rsidRPr="00F025AF" w:rsidRDefault="005F099C" w:rsidP="00A3700E">
      <w:pPr>
        <w:pStyle w:val="BodyText"/>
        <w:jc w:val="both"/>
        <w:rPr>
          <w:rFonts w:ascii="Times New Roman" w:hAnsi="Times New Roman" w:cs="Times New Roman"/>
          <w:noProof/>
          <w:sz w:val="24"/>
        </w:rPr>
      </w:pPr>
    </w:p>
    <w:p w14:paraId="26C79911" w14:textId="77777777" w:rsidR="005F099C" w:rsidRPr="00F025AF" w:rsidRDefault="005F099C" w:rsidP="00A3700E">
      <w:pPr>
        <w:pStyle w:val="BodyText"/>
        <w:jc w:val="both"/>
        <w:rPr>
          <w:rFonts w:ascii="Times New Roman" w:hAnsi="Times New Roman" w:cs="Times New Roman"/>
          <w:noProof/>
          <w:sz w:val="24"/>
        </w:rPr>
      </w:pPr>
    </w:p>
    <w:p w14:paraId="28E0FA67" w14:textId="77777777" w:rsidR="005F099C" w:rsidRPr="00F025AF" w:rsidRDefault="005F099C" w:rsidP="00A3700E">
      <w:pPr>
        <w:pStyle w:val="BodyText"/>
        <w:jc w:val="both"/>
        <w:rPr>
          <w:rFonts w:ascii="Times New Roman" w:hAnsi="Times New Roman" w:cs="Times New Roman"/>
          <w:noProof/>
          <w:sz w:val="24"/>
        </w:rPr>
      </w:pPr>
    </w:p>
    <w:p w14:paraId="5AD48DE7" w14:textId="77777777" w:rsidR="005F099C" w:rsidRPr="00F025AF" w:rsidRDefault="005F099C" w:rsidP="00A3700E">
      <w:pPr>
        <w:pStyle w:val="BodyText"/>
        <w:jc w:val="both"/>
        <w:rPr>
          <w:rFonts w:ascii="Times New Roman" w:hAnsi="Times New Roman" w:cs="Times New Roman"/>
          <w:noProof/>
          <w:sz w:val="24"/>
        </w:rPr>
      </w:pPr>
    </w:p>
    <w:p w14:paraId="78866334" w14:textId="77777777" w:rsidR="005F099C" w:rsidRPr="00F025AF" w:rsidRDefault="005F099C" w:rsidP="00A3700E">
      <w:pPr>
        <w:pStyle w:val="BodyText"/>
        <w:jc w:val="both"/>
        <w:rPr>
          <w:rFonts w:ascii="Times New Roman" w:hAnsi="Times New Roman" w:cs="Times New Roman"/>
          <w:noProof/>
          <w:sz w:val="24"/>
        </w:rPr>
      </w:pPr>
    </w:p>
    <w:p w14:paraId="6AC24D59" w14:textId="77777777" w:rsidR="005F099C" w:rsidRPr="00F025AF" w:rsidRDefault="005F099C" w:rsidP="00A3700E">
      <w:pPr>
        <w:pStyle w:val="BodyText"/>
        <w:jc w:val="both"/>
        <w:rPr>
          <w:rFonts w:ascii="Times New Roman" w:hAnsi="Times New Roman" w:cs="Times New Roman"/>
          <w:noProof/>
          <w:sz w:val="24"/>
        </w:rPr>
      </w:pPr>
    </w:p>
    <w:p w14:paraId="047146D2" w14:textId="77777777" w:rsidR="00810F69" w:rsidRPr="00F025AF" w:rsidRDefault="00810F69" w:rsidP="00A3700E">
      <w:pPr>
        <w:pStyle w:val="BodyText"/>
        <w:jc w:val="both"/>
        <w:rPr>
          <w:rFonts w:ascii="Times New Roman" w:hAnsi="Times New Roman" w:cs="Times New Roman"/>
          <w:noProof/>
          <w:sz w:val="24"/>
        </w:rPr>
      </w:pPr>
    </w:p>
    <w:p w14:paraId="08B688FC" w14:textId="77777777" w:rsidR="00810F69" w:rsidRPr="00F025AF" w:rsidRDefault="00810F69" w:rsidP="00BA6F82">
      <w:pPr>
        <w:jc w:val="both"/>
        <w:rPr>
          <w:rFonts w:ascii="Times New Roman" w:hAnsi="Times New Roman" w:cs="Times New Roman"/>
          <w:noProof/>
          <w:sz w:val="24"/>
        </w:rPr>
      </w:pPr>
      <w:r w:rsidRPr="00F025AF">
        <w:rPr>
          <w:rFonts w:ascii="Times New Roman" w:hAnsi="Times New Roman" w:cs="Times New Roman"/>
          <w:sz w:val="24"/>
        </w:rPr>
        <w:t>Šo dokumentu ir apstiprinājusi Medicīnisku ierīču koordinācijas grupa (</w:t>
      </w:r>
      <w:r w:rsidRPr="00F025AF">
        <w:rPr>
          <w:rFonts w:ascii="Times New Roman" w:hAnsi="Times New Roman" w:cs="Times New Roman"/>
          <w:i/>
          <w:iCs/>
          <w:sz w:val="24"/>
        </w:rPr>
        <w:t>MDCG</w:t>
      </w:r>
      <w:r w:rsidRPr="00F025AF">
        <w:rPr>
          <w:rFonts w:ascii="Times New Roman" w:hAnsi="Times New Roman" w:cs="Times New Roman"/>
          <w:sz w:val="24"/>
        </w:rPr>
        <w:t xml:space="preserve">), kas izveidota saskaņā ar Regulas (ES) 2017/745 103. pantu. </w:t>
      </w:r>
      <w:r w:rsidRPr="00F025AF">
        <w:rPr>
          <w:rFonts w:ascii="Times New Roman" w:hAnsi="Times New Roman" w:cs="Times New Roman"/>
          <w:i/>
          <w:iCs/>
          <w:sz w:val="24"/>
        </w:rPr>
        <w:t>MDCG</w:t>
      </w:r>
      <w:r w:rsidRPr="00F025AF">
        <w:rPr>
          <w:rFonts w:ascii="Times New Roman" w:hAnsi="Times New Roman" w:cs="Times New Roman"/>
          <w:sz w:val="24"/>
        </w:rPr>
        <w:t xml:space="preserve"> veido visu dalībvalstu pārstāvji, un to vada Eiropas Komisijas pārstāvis.</w:t>
      </w:r>
    </w:p>
    <w:p w14:paraId="12740840" w14:textId="77777777" w:rsidR="005F099C" w:rsidRPr="00F025AF" w:rsidRDefault="005F099C" w:rsidP="00BA6F82">
      <w:pPr>
        <w:jc w:val="both"/>
        <w:rPr>
          <w:rFonts w:ascii="Times New Roman" w:hAnsi="Times New Roman" w:cs="Times New Roman"/>
          <w:noProof/>
          <w:sz w:val="24"/>
        </w:rPr>
      </w:pPr>
    </w:p>
    <w:p w14:paraId="5DB1E2D8" w14:textId="77777777" w:rsidR="00810F69" w:rsidRPr="00F025AF" w:rsidRDefault="00810F69" w:rsidP="00BA6F82">
      <w:pPr>
        <w:jc w:val="both"/>
        <w:rPr>
          <w:rFonts w:ascii="Times New Roman" w:hAnsi="Times New Roman" w:cs="Times New Roman"/>
          <w:noProof/>
          <w:sz w:val="24"/>
        </w:rPr>
      </w:pPr>
      <w:r w:rsidRPr="00F025AF">
        <w:rPr>
          <w:rFonts w:ascii="Times New Roman" w:hAnsi="Times New Roman" w:cs="Times New Roman"/>
          <w:sz w:val="24"/>
        </w:rPr>
        <w:t>Šis dokuments nav Eiropas Komisijas dokuments, un tas neatspoguļo Eiropas Komisijas oficiālo nostāju. Neviens šajā dokumentā paustais viedoklis nav juridiski saistošs, un tikai Eiropas Savienības Tiesa var sniegt saistošas Savienības tiesību aktu interpretācijas.</w:t>
      </w:r>
    </w:p>
    <w:p w14:paraId="6E24E0EC" w14:textId="129E7C37" w:rsidR="005F099C" w:rsidRPr="00F025AF" w:rsidRDefault="005F099C">
      <w:pPr>
        <w:rPr>
          <w:rFonts w:ascii="Times New Roman" w:hAnsi="Times New Roman" w:cs="Times New Roman"/>
          <w:noProof/>
          <w:sz w:val="24"/>
        </w:rPr>
      </w:pPr>
      <w:r w:rsidRPr="00F025AF">
        <w:rPr>
          <w:rFonts w:ascii="Times New Roman" w:hAnsi="Times New Roman" w:cs="Times New Roman"/>
        </w:rPr>
        <w:br w:type="page"/>
      </w:r>
    </w:p>
    <w:p w14:paraId="33A52F02" w14:textId="002EC85C" w:rsidR="00810F69" w:rsidRPr="00F025AF" w:rsidRDefault="005F099C" w:rsidP="005F099C">
      <w:pPr>
        <w:pStyle w:val="Heading1"/>
        <w:tabs>
          <w:tab w:val="left" w:pos="668"/>
        </w:tabs>
        <w:ind w:left="0" w:firstLine="0"/>
        <w:jc w:val="both"/>
        <w:rPr>
          <w:rFonts w:ascii="Times New Roman" w:hAnsi="Times New Roman" w:cs="Times New Roman"/>
          <w:noProof/>
          <w:color w:val="365F91"/>
          <w:sz w:val="28"/>
          <w:szCs w:val="36"/>
        </w:rPr>
      </w:pPr>
      <w:bookmarkStart w:id="0" w:name="1_Introduction"/>
      <w:bookmarkEnd w:id="0"/>
      <w:r w:rsidRPr="00F025AF">
        <w:rPr>
          <w:rFonts w:ascii="Times New Roman" w:hAnsi="Times New Roman" w:cs="Times New Roman"/>
          <w:color w:val="365F91"/>
          <w:sz w:val="28"/>
        </w:rPr>
        <w:lastRenderedPageBreak/>
        <w:t>1. Ievads</w:t>
      </w:r>
    </w:p>
    <w:p w14:paraId="4AFAC1D0" w14:textId="77777777" w:rsidR="005F099C" w:rsidRPr="00F025AF" w:rsidRDefault="005F099C" w:rsidP="00BA6F82">
      <w:pPr>
        <w:pStyle w:val="BodyText"/>
        <w:jc w:val="both"/>
        <w:rPr>
          <w:rFonts w:ascii="Times New Roman" w:hAnsi="Times New Roman" w:cs="Times New Roman"/>
          <w:noProof/>
          <w:sz w:val="24"/>
        </w:rPr>
      </w:pPr>
    </w:p>
    <w:p w14:paraId="6309410E" w14:textId="7B1B6A78" w:rsidR="00810F69" w:rsidRPr="00F025AF" w:rsidRDefault="00810F69" w:rsidP="00BA6F82">
      <w:pPr>
        <w:pStyle w:val="BodyText"/>
        <w:jc w:val="both"/>
        <w:rPr>
          <w:rFonts w:ascii="Times New Roman" w:hAnsi="Times New Roman" w:cs="Times New Roman"/>
          <w:noProof/>
          <w:sz w:val="24"/>
        </w:rPr>
      </w:pPr>
      <w:r w:rsidRPr="00F025AF">
        <w:rPr>
          <w:rFonts w:ascii="Times New Roman" w:hAnsi="Times New Roman" w:cs="Times New Roman"/>
          <w:sz w:val="24"/>
        </w:rPr>
        <w:t>Regula (ES) 2017/745 par medicīniskām ierīcēm</w:t>
      </w:r>
      <w:r w:rsidR="005F099C" w:rsidRPr="00F025AF">
        <w:rPr>
          <w:rStyle w:val="FootnoteReference"/>
          <w:rFonts w:ascii="Times New Roman" w:hAnsi="Times New Roman" w:cs="Times New Roman"/>
          <w:noProof/>
          <w:sz w:val="24"/>
        </w:rPr>
        <w:footnoteReference w:id="1"/>
      </w:r>
      <w:r w:rsidRPr="00F025AF">
        <w:rPr>
          <w:rFonts w:ascii="Times New Roman" w:hAnsi="Times New Roman" w:cs="Times New Roman"/>
          <w:sz w:val="24"/>
        </w:rPr>
        <w:t xml:space="preserve">, turpmāk dēvēta par </w:t>
      </w:r>
      <w:r w:rsidRPr="00F025AF">
        <w:rPr>
          <w:rFonts w:ascii="Times New Roman" w:hAnsi="Times New Roman" w:cs="Times New Roman"/>
          <w:i/>
          <w:iCs/>
          <w:sz w:val="24"/>
        </w:rPr>
        <w:t>MDR</w:t>
      </w:r>
      <w:r w:rsidRPr="00F025AF">
        <w:rPr>
          <w:rFonts w:ascii="Times New Roman" w:hAnsi="Times New Roman" w:cs="Times New Roman"/>
          <w:sz w:val="24"/>
        </w:rPr>
        <w:t xml:space="preserve"> (medicīnisko ierīču regulu), paredz iespēju ierīces klīniskajā novērtējumā, kas nepieciešams atbilstības novērtēšanai, izmantot klīniskās izpētes datus, kuri saistīti ar līdzvērtīgu ierīci</w:t>
      </w:r>
      <w:r w:rsidR="005F099C" w:rsidRPr="00F025AF">
        <w:rPr>
          <w:rStyle w:val="FootnoteReference"/>
          <w:rFonts w:ascii="Times New Roman" w:hAnsi="Times New Roman" w:cs="Times New Roman"/>
          <w:noProof/>
          <w:sz w:val="24"/>
        </w:rPr>
        <w:footnoteReference w:id="2"/>
      </w:r>
      <w:r w:rsidRPr="00F025AF">
        <w:rPr>
          <w:rFonts w:ascii="Times New Roman" w:hAnsi="Times New Roman" w:cs="Times New Roman"/>
          <w:sz w:val="24"/>
        </w:rPr>
        <w:t>.</w:t>
      </w:r>
    </w:p>
    <w:p w14:paraId="7EDAF63F" w14:textId="77777777" w:rsidR="005F099C" w:rsidRPr="00F025AF" w:rsidRDefault="005F099C" w:rsidP="00BA6F82">
      <w:pPr>
        <w:pStyle w:val="BodyText"/>
        <w:jc w:val="both"/>
        <w:rPr>
          <w:rFonts w:ascii="Times New Roman" w:hAnsi="Times New Roman" w:cs="Times New Roman"/>
          <w:noProof/>
          <w:sz w:val="24"/>
        </w:rPr>
      </w:pPr>
    </w:p>
    <w:p w14:paraId="7511B46A" w14:textId="4A85FA22" w:rsidR="00810F69" w:rsidRPr="00F025AF" w:rsidRDefault="00810F69" w:rsidP="00BA6F82">
      <w:pPr>
        <w:pStyle w:val="BodyText"/>
        <w:jc w:val="both"/>
        <w:rPr>
          <w:rFonts w:ascii="Times New Roman" w:hAnsi="Times New Roman" w:cs="Times New Roman"/>
          <w:noProof/>
          <w:sz w:val="24"/>
        </w:rPr>
      </w:pPr>
      <w:r w:rsidRPr="00F025AF">
        <w:rPr>
          <w:rFonts w:ascii="Times New Roman" w:hAnsi="Times New Roman" w:cs="Times New Roman"/>
          <w:sz w:val="24"/>
        </w:rPr>
        <w:t xml:space="preserve">Lai gan klīniskā pētījuma veikšana ir vistiešākais veids, kā iegūt klīniskās izpētes datus par ierīču drošumu un veiktspēju saistībā ar </w:t>
      </w:r>
      <w:r w:rsidRPr="00F025AF">
        <w:rPr>
          <w:rFonts w:ascii="Times New Roman" w:hAnsi="Times New Roman" w:cs="Times New Roman"/>
          <w:i/>
          <w:iCs/>
          <w:sz w:val="24"/>
        </w:rPr>
        <w:t>CE</w:t>
      </w:r>
      <w:r w:rsidRPr="00F025AF">
        <w:rPr>
          <w:rFonts w:ascii="Times New Roman" w:hAnsi="Times New Roman" w:cs="Times New Roman"/>
          <w:sz w:val="24"/>
        </w:rPr>
        <w:t xml:space="preserve"> zīmes piešķiršanu, klīniskās izpētes datus var iegūt arī no datiem par ierīci, attiecībā uz kuru var pierādīt līdzvērtību aplūkojamajai ierīcei</w:t>
      </w:r>
      <w:r w:rsidR="005F099C" w:rsidRPr="00F025AF">
        <w:rPr>
          <w:rStyle w:val="FootnoteReference"/>
          <w:rFonts w:ascii="Times New Roman" w:hAnsi="Times New Roman" w:cs="Times New Roman"/>
          <w:noProof/>
          <w:sz w:val="24"/>
        </w:rPr>
        <w:footnoteReference w:id="3"/>
      </w:r>
      <w:r w:rsidRPr="00F025AF">
        <w:rPr>
          <w:rFonts w:ascii="Times New Roman" w:hAnsi="Times New Roman" w:cs="Times New Roman"/>
          <w:sz w:val="24"/>
        </w:rPr>
        <w:t xml:space="preserve">. Šādos gadījumos līdzvērtību pierāda atbilstoši </w:t>
      </w:r>
      <w:r w:rsidRPr="00F025AF">
        <w:rPr>
          <w:rFonts w:ascii="Times New Roman" w:hAnsi="Times New Roman" w:cs="Times New Roman"/>
          <w:i/>
          <w:iCs/>
          <w:sz w:val="24"/>
        </w:rPr>
        <w:t>MDR</w:t>
      </w:r>
      <w:r w:rsidRPr="00F025AF">
        <w:rPr>
          <w:rFonts w:ascii="Times New Roman" w:hAnsi="Times New Roman" w:cs="Times New Roman"/>
          <w:sz w:val="24"/>
        </w:rPr>
        <w:t xml:space="preserve"> prasībām</w:t>
      </w:r>
      <w:r w:rsidR="005F099C" w:rsidRPr="00F025AF">
        <w:rPr>
          <w:rStyle w:val="FootnoteReference"/>
          <w:rFonts w:ascii="Times New Roman" w:hAnsi="Times New Roman" w:cs="Times New Roman"/>
          <w:noProof/>
          <w:sz w:val="24"/>
        </w:rPr>
        <w:footnoteReference w:id="4"/>
      </w:r>
      <w:r w:rsidRPr="00F025AF">
        <w:rPr>
          <w:rFonts w:ascii="Times New Roman" w:hAnsi="Times New Roman" w:cs="Times New Roman"/>
          <w:sz w:val="24"/>
        </w:rPr>
        <w:t>.</w:t>
      </w:r>
    </w:p>
    <w:p w14:paraId="0FEB951C" w14:textId="77777777" w:rsidR="005F099C" w:rsidRPr="00F025AF" w:rsidRDefault="005F099C" w:rsidP="00BA6F82">
      <w:pPr>
        <w:pStyle w:val="BodyText"/>
        <w:jc w:val="both"/>
        <w:rPr>
          <w:rFonts w:ascii="Times New Roman" w:hAnsi="Times New Roman" w:cs="Times New Roman"/>
          <w:noProof/>
          <w:sz w:val="24"/>
        </w:rPr>
      </w:pPr>
    </w:p>
    <w:p w14:paraId="434329CA" w14:textId="4C9D4D13" w:rsidR="00810F69" w:rsidRPr="00F025AF" w:rsidRDefault="00810F69" w:rsidP="00BA6F82">
      <w:pPr>
        <w:pStyle w:val="BodyText"/>
        <w:jc w:val="both"/>
        <w:rPr>
          <w:rFonts w:ascii="Times New Roman" w:hAnsi="Times New Roman" w:cs="Times New Roman"/>
          <w:noProof/>
          <w:sz w:val="24"/>
        </w:rPr>
      </w:pPr>
      <w:r w:rsidRPr="00F025AF">
        <w:rPr>
          <w:rFonts w:ascii="Times New Roman" w:hAnsi="Times New Roman" w:cs="Times New Roman"/>
          <w:sz w:val="24"/>
        </w:rPr>
        <w:t>Saskaņā ar Komisijas Īstenošanas regulu (ES) 2022/2346, ar ko noteic kopīgas specifikācijas tādu Eiropas Parlamenta un Padomes Regulas (ES) 2017/745 par medicīniskām ierīcēm XVI pielikuma sarakstā norādīto izstrādājumu grupām, kas nav paredzēti medicīniskam nolūkam</w:t>
      </w:r>
      <w:r w:rsidR="005F099C" w:rsidRPr="00F025AF">
        <w:rPr>
          <w:rStyle w:val="FootnoteReference"/>
          <w:rFonts w:ascii="Times New Roman" w:hAnsi="Times New Roman" w:cs="Times New Roman"/>
          <w:noProof/>
          <w:sz w:val="24"/>
        </w:rPr>
        <w:footnoteReference w:id="5"/>
      </w:r>
      <w:r w:rsidRPr="00F025AF">
        <w:rPr>
          <w:rFonts w:ascii="Times New Roman" w:hAnsi="Times New Roman" w:cs="Times New Roman"/>
          <w:sz w:val="24"/>
        </w:rPr>
        <w:t xml:space="preserve"> (turpmāk dēvētas par “kopīgajām specifikācijām”), kopumā nav iespējams pierādīt izstrādājuma, kas nav paredzēts medicīniskam nolūkam, līdzvērtību medicīniskai ierīcei, ja visi pieejamie klīnisko izmeklējumu rezultāti attiecas tikai uz medicīniskām ierīcēm. Tāpēc klīniskie izmeklējumi ir jāveic attiecībā uz izstrādājumiem, kas nav paredzēti medicīniskam nolūkam</w:t>
      </w:r>
      <w:r w:rsidR="007672B0" w:rsidRPr="00F025AF">
        <w:rPr>
          <w:rStyle w:val="FootnoteReference"/>
          <w:rFonts w:ascii="Times New Roman" w:hAnsi="Times New Roman" w:cs="Times New Roman"/>
          <w:noProof/>
          <w:sz w:val="24"/>
        </w:rPr>
        <w:footnoteReference w:id="6"/>
      </w:r>
      <w:r w:rsidRPr="00F025AF">
        <w:rPr>
          <w:rFonts w:ascii="Times New Roman" w:hAnsi="Times New Roman" w:cs="Times New Roman"/>
          <w:sz w:val="24"/>
        </w:rPr>
        <w:t>.</w:t>
      </w:r>
    </w:p>
    <w:p w14:paraId="0AC6F9E7" w14:textId="77777777" w:rsidR="005F099C" w:rsidRPr="00F025AF" w:rsidRDefault="005F099C" w:rsidP="00BA6F82">
      <w:pPr>
        <w:pStyle w:val="BodyText"/>
        <w:jc w:val="both"/>
        <w:rPr>
          <w:rFonts w:ascii="Times New Roman" w:hAnsi="Times New Roman" w:cs="Times New Roman"/>
          <w:noProof/>
          <w:sz w:val="24"/>
        </w:rPr>
      </w:pPr>
    </w:p>
    <w:p w14:paraId="02A6F7CA" w14:textId="5693F1A0" w:rsidR="00810F69" w:rsidRPr="00F025AF" w:rsidRDefault="00810F69" w:rsidP="00BA6F82">
      <w:pPr>
        <w:pStyle w:val="BodyText"/>
        <w:jc w:val="both"/>
        <w:rPr>
          <w:rFonts w:ascii="Times New Roman" w:hAnsi="Times New Roman" w:cs="Times New Roman"/>
          <w:noProof/>
          <w:sz w:val="24"/>
        </w:rPr>
      </w:pPr>
      <w:r w:rsidRPr="00F025AF">
        <w:rPr>
          <w:rFonts w:ascii="Times New Roman" w:hAnsi="Times New Roman" w:cs="Times New Roman"/>
          <w:i/>
          <w:iCs/>
          <w:sz w:val="24"/>
        </w:rPr>
        <w:t>MDR</w:t>
      </w:r>
      <w:r w:rsidRPr="00F025AF">
        <w:rPr>
          <w:rFonts w:ascii="Times New Roman" w:hAnsi="Times New Roman" w:cs="Times New Roman"/>
          <w:sz w:val="24"/>
        </w:rPr>
        <w:t xml:space="preserve"> XVI pielikumā</w:t>
      </w:r>
      <w:r w:rsidR="007672B0" w:rsidRPr="00F025AF">
        <w:rPr>
          <w:rStyle w:val="FootnoteReference"/>
          <w:rFonts w:ascii="Times New Roman" w:hAnsi="Times New Roman" w:cs="Times New Roman"/>
          <w:noProof/>
          <w:sz w:val="24"/>
        </w:rPr>
        <w:footnoteReference w:id="7"/>
      </w:r>
      <w:r w:rsidRPr="00F025AF">
        <w:rPr>
          <w:rFonts w:ascii="Times New Roman" w:hAnsi="Times New Roman" w:cs="Times New Roman"/>
          <w:sz w:val="24"/>
        </w:rPr>
        <w:t xml:space="preserve"> minētie izstrādājumi, kas nav paredzēti medicīniskam nolūkam, ir apspriesti arī norādījumu dokumentā MDCG 2020-5 “Clinical Evaluation – Equivalence” [Klīniskā izvērtēšana – līdzvērtība].</w:t>
      </w:r>
      <w:r w:rsidR="007672B0" w:rsidRPr="00F025AF">
        <w:rPr>
          <w:rStyle w:val="FootnoteReference"/>
          <w:rFonts w:ascii="Times New Roman" w:hAnsi="Times New Roman" w:cs="Times New Roman"/>
          <w:noProof/>
          <w:sz w:val="24"/>
        </w:rPr>
        <w:footnoteReference w:id="8"/>
      </w:r>
      <w:r w:rsidRPr="00F025AF">
        <w:rPr>
          <w:rFonts w:ascii="Times New Roman" w:hAnsi="Times New Roman" w:cs="Times New Roman"/>
          <w:sz w:val="24"/>
        </w:rPr>
        <w:t xml:space="preserve"> Tas tika izdots 2020. gada aprīlī, proti, pirms kļuva pieejamas kopīgās specifikācijas, un tā mērķis bija izcelt atšķirības, kas pastāv starp </w:t>
      </w:r>
      <w:r w:rsidRPr="00F025AF">
        <w:rPr>
          <w:rFonts w:ascii="Times New Roman" w:hAnsi="Times New Roman" w:cs="Times New Roman"/>
          <w:i/>
          <w:iCs/>
          <w:sz w:val="24"/>
        </w:rPr>
        <w:t>MDR</w:t>
      </w:r>
      <w:r w:rsidRPr="00F025AF">
        <w:rPr>
          <w:rFonts w:ascii="Times New Roman" w:hAnsi="Times New Roman" w:cs="Times New Roman"/>
          <w:sz w:val="24"/>
        </w:rPr>
        <w:t xml:space="preserve"> un MEDDEV 2.7/1 rev.4</w:t>
      </w:r>
      <w:r w:rsidR="007672B0" w:rsidRPr="00F025AF">
        <w:rPr>
          <w:rStyle w:val="FootnoteReference"/>
          <w:rFonts w:ascii="Times New Roman" w:hAnsi="Times New Roman" w:cs="Times New Roman"/>
          <w:noProof/>
          <w:sz w:val="24"/>
        </w:rPr>
        <w:footnoteReference w:id="9"/>
      </w:r>
      <w:r w:rsidRPr="00F025AF">
        <w:rPr>
          <w:rFonts w:ascii="Times New Roman" w:hAnsi="Times New Roman" w:cs="Times New Roman"/>
          <w:sz w:val="24"/>
        </w:rPr>
        <w:t>.</w:t>
      </w:r>
    </w:p>
    <w:p w14:paraId="2407C660" w14:textId="77777777" w:rsidR="005F099C" w:rsidRPr="00F025AF" w:rsidRDefault="005F099C" w:rsidP="00BA6F82">
      <w:pPr>
        <w:pStyle w:val="BodyText"/>
        <w:jc w:val="both"/>
        <w:rPr>
          <w:rFonts w:ascii="Times New Roman" w:hAnsi="Times New Roman" w:cs="Times New Roman"/>
          <w:noProof/>
          <w:sz w:val="24"/>
        </w:rPr>
      </w:pPr>
    </w:p>
    <w:p w14:paraId="5A7CA5D8" w14:textId="77777777" w:rsidR="00810F69" w:rsidRPr="00F025AF" w:rsidRDefault="00810F69" w:rsidP="00BA6F82">
      <w:pPr>
        <w:pStyle w:val="BodyText"/>
        <w:jc w:val="both"/>
        <w:rPr>
          <w:rFonts w:ascii="Times New Roman" w:hAnsi="Times New Roman" w:cs="Times New Roman"/>
          <w:noProof/>
          <w:sz w:val="24"/>
        </w:rPr>
      </w:pPr>
    </w:p>
    <w:p w14:paraId="7AF348C7" w14:textId="6761C45E" w:rsidR="00810F69" w:rsidRPr="00F025AF" w:rsidRDefault="006E5678" w:rsidP="006E5678">
      <w:pPr>
        <w:pStyle w:val="Heading1"/>
        <w:tabs>
          <w:tab w:val="left" w:pos="668"/>
        </w:tabs>
        <w:ind w:left="0" w:firstLine="0"/>
        <w:jc w:val="both"/>
        <w:rPr>
          <w:rFonts w:ascii="Times New Roman" w:hAnsi="Times New Roman" w:cs="Times New Roman"/>
          <w:noProof/>
          <w:color w:val="365F91"/>
          <w:sz w:val="28"/>
          <w:szCs w:val="36"/>
        </w:rPr>
      </w:pPr>
      <w:bookmarkStart w:id="1" w:name="2_Scope"/>
      <w:bookmarkEnd w:id="1"/>
      <w:r w:rsidRPr="00F025AF">
        <w:rPr>
          <w:rFonts w:ascii="Times New Roman" w:hAnsi="Times New Roman" w:cs="Times New Roman"/>
          <w:color w:val="365F91"/>
          <w:sz w:val="28"/>
        </w:rPr>
        <w:t>2. Darbības joma</w:t>
      </w:r>
    </w:p>
    <w:p w14:paraId="0C78C9B8" w14:textId="77777777" w:rsidR="006E5678" w:rsidRPr="00F025AF" w:rsidRDefault="006E5678" w:rsidP="00BA6F82">
      <w:pPr>
        <w:pStyle w:val="BodyText"/>
        <w:jc w:val="both"/>
        <w:rPr>
          <w:rFonts w:ascii="Times New Roman" w:hAnsi="Times New Roman" w:cs="Times New Roman"/>
          <w:noProof/>
          <w:sz w:val="24"/>
        </w:rPr>
      </w:pPr>
    </w:p>
    <w:p w14:paraId="5CEF7278" w14:textId="10C85E2D" w:rsidR="00810F69" w:rsidRPr="00F025AF" w:rsidRDefault="00810F69" w:rsidP="00BA6F82">
      <w:pPr>
        <w:pStyle w:val="BodyText"/>
        <w:jc w:val="both"/>
        <w:rPr>
          <w:rFonts w:ascii="Times New Roman" w:hAnsi="Times New Roman" w:cs="Times New Roman"/>
          <w:noProof/>
          <w:sz w:val="24"/>
        </w:rPr>
      </w:pPr>
      <w:r w:rsidRPr="00F025AF">
        <w:rPr>
          <w:rFonts w:ascii="Times New Roman" w:hAnsi="Times New Roman" w:cs="Times New Roman"/>
          <w:sz w:val="24"/>
        </w:rPr>
        <w:t xml:space="preserve">Šajos </w:t>
      </w:r>
      <w:r w:rsidRPr="00F025AF">
        <w:rPr>
          <w:rFonts w:ascii="Times New Roman" w:hAnsi="Times New Roman" w:cs="Times New Roman"/>
          <w:i/>
          <w:iCs/>
          <w:sz w:val="24"/>
        </w:rPr>
        <w:t>MDCG</w:t>
      </w:r>
      <w:r w:rsidRPr="00F025AF">
        <w:rPr>
          <w:rFonts w:ascii="Times New Roman" w:hAnsi="Times New Roman" w:cs="Times New Roman"/>
          <w:sz w:val="24"/>
        </w:rPr>
        <w:t xml:space="preserve"> norādījumos ir apspriesta līdzvērtības pierādīšana, pamatojoties uz datiem par jau esošu ierīci, lai veiktu marķēšanu ar </w:t>
      </w:r>
      <w:r w:rsidRPr="00F025AF">
        <w:rPr>
          <w:rFonts w:ascii="Times New Roman" w:hAnsi="Times New Roman" w:cs="Times New Roman"/>
          <w:i/>
          <w:iCs/>
          <w:sz w:val="24"/>
        </w:rPr>
        <w:t>CE</w:t>
      </w:r>
      <w:r w:rsidRPr="00F025AF">
        <w:rPr>
          <w:rFonts w:ascii="Times New Roman" w:hAnsi="Times New Roman" w:cs="Times New Roman"/>
          <w:sz w:val="24"/>
        </w:rPr>
        <w:t xml:space="preserve"> zīmi saskaņā ar </w:t>
      </w:r>
      <w:r w:rsidRPr="00F025AF">
        <w:rPr>
          <w:rFonts w:ascii="Times New Roman" w:hAnsi="Times New Roman" w:cs="Times New Roman"/>
          <w:i/>
          <w:iCs/>
          <w:sz w:val="24"/>
        </w:rPr>
        <w:t>MDR</w:t>
      </w:r>
      <w:r w:rsidRPr="00F025AF">
        <w:rPr>
          <w:rFonts w:ascii="Times New Roman" w:hAnsi="Times New Roman" w:cs="Times New Roman"/>
          <w:sz w:val="24"/>
        </w:rPr>
        <w:t xml:space="preserve">, un tie ir piemērojami attiecībā uz </w:t>
      </w:r>
      <w:r w:rsidRPr="00F025AF">
        <w:rPr>
          <w:rFonts w:ascii="Times New Roman" w:hAnsi="Times New Roman" w:cs="Times New Roman"/>
          <w:i/>
          <w:iCs/>
          <w:sz w:val="24"/>
        </w:rPr>
        <w:t>MDR</w:t>
      </w:r>
      <w:r w:rsidRPr="00F025AF">
        <w:rPr>
          <w:rFonts w:ascii="Times New Roman" w:hAnsi="Times New Roman" w:cs="Times New Roman"/>
          <w:sz w:val="24"/>
        </w:rPr>
        <w:t xml:space="preserve"> XVI pielikumā minētajiem un kopīgajās specifikācijās ietvertajiem izstrādājumiem, kas nav paredzēti medicīniskam nolūkam. Attiecībā uz divējāda lietojuma ierīcēm, kas ir paredzētas gan medicīniskam, gan nemedicīniskam nolūkam, šie norādījumi ir piemērojami vienīgi attiecībā uz paredzēto nemedicīnisko nolūku.</w:t>
      </w:r>
    </w:p>
    <w:p w14:paraId="69073F35" w14:textId="77777777" w:rsidR="00810F69" w:rsidRPr="00F025AF" w:rsidRDefault="00810F69" w:rsidP="00BA6F82">
      <w:pPr>
        <w:pStyle w:val="BodyText"/>
        <w:jc w:val="both"/>
        <w:rPr>
          <w:rFonts w:ascii="Times New Roman" w:hAnsi="Times New Roman" w:cs="Times New Roman"/>
          <w:noProof/>
          <w:sz w:val="24"/>
        </w:rPr>
      </w:pPr>
    </w:p>
    <w:p w14:paraId="5610B762" w14:textId="77777777" w:rsidR="00810F69" w:rsidRPr="00F025AF" w:rsidRDefault="00810F69" w:rsidP="00BA6F82">
      <w:pPr>
        <w:pStyle w:val="BodyText"/>
        <w:jc w:val="both"/>
        <w:rPr>
          <w:rFonts w:ascii="Times New Roman" w:hAnsi="Times New Roman" w:cs="Times New Roman"/>
          <w:noProof/>
          <w:sz w:val="24"/>
        </w:rPr>
      </w:pPr>
      <w:r w:rsidRPr="00F025AF">
        <w:rPr>
          <w:rFonts w:ascii="Times New Roman" w:hAnsi="Times New Roman" w:cs="Times New Roman"/>
          <w:sz w:val="24"/>
        </w:rPr>
        <w:t>Šis norādījumu dokuments jālieto kopā ar MDCG 2020-5 par līdzvērtību.</w:t>
      </w:r>
    </w:p>
    <w:p w14:paraId="5A58105A" w14:textId="77777777" w:rsidR="00810F69" w:rsidRPr="00F025AF" w:rsidRDefault="00810F69" w:rsidP="00BA6F82">
      <w:pPr>
        <w:pStyle w:val="BodyText"/>
        <w:jc w:val="both"/>
        <w:rPr>
          <w:rFonts w:ascii="Times New Roman" w:hAnsi="Times New Roman" w:cs="Times New Roman"/>
          <w:noProof/>
          <w:sz w:val="24"/>
        </w:rPr>
      </w:pPr>
    </w:p>
    <w:p w14:paraId="13B1292F" w14:textId="77777777" w:rsidR="006E5678" w:rsidRPr="00F025AF" w:rsidRDefault="006E5678" w:rsidP="00BA6F82">
      <w:pPr>
        <w:pStyle w:val="BodyText"/>
        <w:jc w:val="both"/>
        <w:rPr>
          <w:rFonts w:ascii="Times New Roman" w:hAnsi="Times New Roman" w:cs="Times New Roman"/>
          <w:noProof/>
          <w:sz w:val="24"/>
        </w:rPr>
      </w:pPr>
    </w:p>
    <w:p w14:paraId="7F784028" w14:textId="3B837FFE" w:rsidR="00810F69" w:rsidRPr="00F025AF" w:rsidRDefault="006E5678" w:rsidP="006E5678">
      <w:pPr>
        <w:pStyle w:val="Heading1"/>
        <w:tabs>
          <w:tab w:val="left" w:pos="668"/>
        </w:tabs>
        <w:ind w:left="0" w:firstLine="0"/>
        <w:jc w:val="both"/>
        <w:rPr>
          <w:rFonts w:ascii="Times New Roman" w:hAnsi="Times New Roman" w:cs="Times New Roman"/>
          <w:noProof/>
          <w:color w:val="365F91"/>
          <w:sz w:val="28"/>
          <w:szCs w:val="36"/>
        </w:rPr>
      </w:pPr>
      <w:bookmarkStart w:id="2" w:name="3_Demonstration_of_equivalence"/>
      <w:bookmarkEnd w:id="2"/>
      <w:r w:rsidRPr="00F025AF">
        <w:rPr>
          <w:rFonts w:ascii="Times New Roman" w:hAnsi="Times New Roman" w:cs="Times New Roman"/>
          <w:color w:val="365F91"/>
          <w:sz w:val="28"/>
        </w:rPr>
        <w:t>3. Līdzvērtības pierādīšana</w:t>
      </w:r>
    </w:p>
    <w:p w14:paraId="1C5C170E" w14:textId="77777777" w:rsidR="006E5678" w:rsidRPr="00F025AF" w:rsidRDefault="006E5678" w:rsidP="006E5678">
      <w:pPr>
        <w:pStyle w:val="Heading2"/>
        <w:tabs>
          <w:tab w:val="left" w:pos="814"/>
        </w:tabs>
        <w:spacing w:before="0"/>
        <w:ind w:left="0" w:firstLine="0"/>
        <w:jc w:val="both"/>
        <w:rPr>
          <w:rFonts w:ascii="Times New Roman" w:hAnsi="Times New Roman" w:cs="Times New Roman"/>
          <w:noProof/>
          <w:color w:val="365F91"/>
          <w:sz w:val="24"/>
        </w:rPr>
      </w:pPr>
      <w:bookmarkStart w:id="3" w:name="3.1_Product_without_an_intended_medical_"/>
      <w:bookmarkEnd w:id="3"/>
    </w:p>
    <w:p w14:paraId="43423B36" w14:textId="23B5F60F" w:rsidR="00810F69" w:rsidRPr="00F025AF" w:rsidRDefault="006E5678" w:rsidP="006E5678">
      <w:pPr>
        <w:pStyle w:val="Heading2"/>
        <w:tabs>
          <w:tab w:val="left" w:pos="814"/>
        </w:tabs>
        <w:spacing w:before="0"/>
        <w:ind w:left="0" w:firstLine="0"/>
        <w:jc w:val="both"/>
        <w:rPr>
          <w:rFonts w:ascii="Times New Roman" w:hAnsi="Times New Roman" w:cs="Times New Roman"/>
          <w:noProof/>
          <w:color w:val="365F91"/>
          <w:sz w:val="24"/>
        </w:rPr>
      </w:pPr>
      <w:r w:rsidRPr="00F025AF">
        <w:rPr>
          <w:rFonts w:ascii="Times New Roman" w:hAnsi="Times New Roman" w:cs="Times New Roman"/>
          <w:color w:val="365F91"/>
          <w:sz w:val="24"/>
        </w:rPr>
        <w:t>3.1. Izstrādājuma, kas nav paredzēts medicīniskam nolūkam, salīdzināšana ar izstrādājumu, kas nav paredzēts medicīniskam nolūkam</w:t>
      </w:r>
    </w:p>
    <w:p w14:paraId="1678B28F" w14:textId="77777777" w:rsidR="006E5678" w:rsidRPr="00F025AF" w:rsidRDefault="006E5678" w:rsidP="00BA6F82">
      <w:pPr>
        <w:pStyle w:val="BodyText"/>
        <w:jc w:val="both"/>
        <w:rPr>
          <w:rFonts w:ascii="Times New Roman" w:hAnsi="Times New Roman" w:cs="Times New Roman"/>
          <w:noProof/>
          <w:sz w:val="24"/>
        </w:rPr>
      </w:pPr>
    </w:p>
    <w:p w14:paraId="5EE66A0C" w14:textId="6C4FE14E" w:rsidR="00810F69" w:rsidRPr="00F025AF" w:rsidRDefault="00810F69" w:rsidP="00BA6F82">
      <w:pPr>
        <w:pStyle w:val="BodyText"/>
        <w:jc w:val="both"/>
        <w:rPr>
          <w:rFonts w:ascii="Times New Roman" w:hAnsi="Times New Roman" w:cs="Times New Roman"/>
          <w:noProof/>
          <w:sz w:val="24"/>
        </w:rPr>
      </w:pPr>
      <w:r w:rsidRPr="00F025AF">
        <w:rPr>
          <w:rFonts w:ascii="Times New Roman" w:hAnsi="Times New Roman" w:cs="Times New Roman"/>
          <w:sz w:val="24"/>
        </w:rPr>
        <w:t xml:space="preserve">Atsaucoties uz klīniskās izpētes datiem par līdzvērtīgu ierīci, ražotājiem ir jāņem vērā, ka līdzvērtībai starp divām ierīcēm, kas nav paredzētas medicīniskam nolūkam, ir jābūt pierādītai saskaņā ar </w:t>
      </w:r>
      <w:r w:rsidRPr="00F025AF">
        <w:rPr>
          <w:rFonts w:ascii="Times New Roman" w:hAnsi="Times New Roman" w:cs="Times New Roman"/>
          <w:i/>
          <w:iCs/>
          <w:sz w:val="24"/>
        </w:rPr>
        <w:t>MDR</w:t>
      </w:r>
      <w:r w:rsidRPr="00F025AF">
        <w:rPr>
          <w:rFonts w:ascii="Times New Roman" w:hAnsi="Times New Roman" w:cs="Times New Roman"/>
          <w:sz w:val="24"/>
        </w:rPr>
        <w:t xml:space="preserve"> noteiktajiem kritērijiem</w:t>
      </w:r>
      <w:r w:rsidR="006E5678" w:rsidRPr="00F025AF">
        <w:rPr>
          <w:rStyle w:val="FootnoteReference"/>
          <w:rFonts w:ascii="Times New Roman" w:hAnsi="Times New Roman" w:cs="Times New Roman"/>
          <w:noProof/>
          <w:sz w:val="24"/>
        </w:rPr>
        <w:footnoteReference w:id="10"/>
      </w:r>
      <w:r w:rsidRPr="00F025AF">
        <w:rPr>
          <w:rFonts w:ascii="Times New Roman" w:hAnsi="Times New Roman" w:cs="Times New Roman"/>
          <w:sz w:val="24"/>
        </w:rPr>
        <w:t>. Jo īpaši pierādīšanā ir jāpievērš uzmanība tehniskajiem, bioloģiskajiem un klīniskajiem raksturlielumiem.</w:t>
      </w:r>
    </w:p>
    <w:p w14:paraId="487F299F" w14:textId="77777777" w:rsidR="00810F69" w:rsidRPr="00F025AF" w:rsidRDefault="00810F69" w:rsidP="00BA6F82">
      <w:pPr>
        <w:pStyle w:val="BodyText"/>
        <w:jc w:val="both"/>
        <w:rPr>
          <w:rFonts w:ascii="Times New Roman" w:hAnsi="Times New Roman" w:cs="Times New Roman"/>
          <w:noProof/>
          <w:sz w:val="24"/>
        </w:rPr>
      </w:pPr>
    </w:p>
    <w:p w14:paraId="516C9BBE" w14:textId="77777777" w:rsidR="00810F69" w:rsidRPr="00F025AF" w:rsidRDefault="00810F69" w:rsidP="00BA6F82">
      <w:pPr>
        <w:pStyle w:val="BodyText"/>
        <w:jc w:val="both"/>
        <w:rPr>
          <w:rFonts w:ascii="Times New Roman" w:hAnsi="Times New Roman" w:cs="Times New Roman"/>
          <w:noProof/>
          <w:sz w:val="24"/>
        </w:rPr>
      </w:pPr>
      <w:r w:rsidRPr="00F025AF">
        <w:rPr>
          <w:rFonts w:ascii="Times New Roman" w:hAnsi="Times New Roman" w:cs="Times New Roman"/>
          <w:i/>
          <w:iCs/>
          <w:sz w:val="24"/>
        </w:rPr>
        <w:t>MDR</w:t>
      </w:r>
      <w:r w:rsidRPr="00F025AF">
        <w:rPr>
          <w:rFonts w:ascii="Times New Roman" w:hAnsi="Times New Roman" w:cs="Times New Roman"/>
          <w:sz w:val="24"/>
        </w:rPr>
        <w:t xml:space="preserve"> noteiktos tehniskos un bioloģiskos kritērijus var tieši apsvērt tādu izstrādājumu raksturlielumu salīdzināšanai, kam nav paredzēta medicīniska nolūka. Klīnisko raksturlielumu kritērijs jāapsver, ņemot vērā, ka daži no tiem attiecas konkrēti uz medicīnisku nolūku. Turpmāk tabulā ir paskaidrots, kā šie raksturlielumi jāapsver attiecībā uz izstrādājumiem, kas nav paredzēti medicīniskam nolūkam.</w:t>
      </w:r>
    </w:p>
    <w:p w14:paraId="4E9F9FD7" w14:textId="77777777" w:rsidR="00810F69" w:rsidRPr="00F025AF" w:rsidRDefault="00810F69" w:rsidP="00BA6F82">
      <w:pPr>
        <w:pStyle w:val="BodyText"/>
        <w:jc w:val="both"/>
        <w:rPr>
          <w:rFonts w:ascii="Times New Roman" w:hAnsi="Times New Roman" w:cs="Times New Roman"/>
          <w:noProof/>
          <w:sz w:val="24"/>
        </w:rPr>
      </w:pPr>
    </w:p>
    <w:p w14:paraId="5F20A158" w14:textId="77777777" w:rsidR="00810F69" w:rsidRPr="00F025AF" w:rsidRDefault="00810F69" w:rsidP="00BA6F82">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147"/>
        <w:gridCol w:w="4984"/>
      </w:tblGrid>
      <w:tr w:rsidR="00810F69" w:rsidRPr="00F025AF" w14:paraId="7C46E2E8" w14:textId="77777777" w:rsidTr="006E5678">
        <w:trPr>
          <w:trHeight w:val="537"/>
        </w:trPr>
        <w:tc>
          <w:tcPr>
            <w:tcW w:w="2271" w:type="pct"/>
          </w:tcPr>
          <w:p w14:paraId="39F0A829" w14:textId="7E9EFDF8" w:rsidR="00810F69" w:rsidRPr="00F025AF" w:rsidRDefault="00810F69" w:rsidP="00130270">
            <w:pPr>
              <w:pStyle w:val="TableParagraph"/>
              <w:spacing w:line="240" w:lineRule="auto"/>
              <w:ind w:left="0"/>
              <w:jc w:val="both"/>
              <w:rPr>
                <w:rFonts w:ascii="Times New Roman" w:hAnsi="Times New Roman" w:cs="Times New Roman"/>
                <w:b/>
                <w:noProof/>
                <w:sz w:val="24"/>
              </w:rPr>
            </w:pPr>
            <w:r w:rsidRPr="00F025AF">
              <w:rPr>
                <w:rFonts w:ascii="Times New Roman" w:hAnsi="Times New Roman" w:cs="Times New Roman"/>
                <w:b/>
                <w:sz w:val="24"/>
              </w:rPr>
              <w:t>Klīniskā kritērija elementi (</w:t>
            </w:r>
            <w:r w:rsidRPr="00F025AF">
              <w:rPr>
                <w:rFonts w:ascii="Times New Roman" w:hAnsi="Times New Roman" w:cs="Times New Roman"/>
                <w:b/>
                <w:i/>
                <w:iCs/>
                <w:sz w:val="24"/>
              </w:rPr>
              <w:t>MDR</w:t>
            </w:r>
            <w:r w:rsidRPr="00F025AF">
              <w:rPr>
                <w:rFonts w:ascii="Times New Roman" w:hAnsi="Times New Roman" w:cs="Times New Roman"/>
                <w:b/>
                <w:sz w:val="24"/>
              </w:rPr>
              <w:t xml:space="preserve"> XIV pielikuma A daļas 3. punkts)</w:t>
            </w:r>
          </w:p>
        </w:tc>
        <w:tc>
          <w:tcPr>
            <w:tcW w:w="2729" w:type="pct"/>
          </w:tcPr>
          <w:p w14:paraId="458E39A9" w14:textId="762DB2C0" w:rsidR="00810F69" w:rsidRPr="00F025AF" w:rsidRDefault="00810F69" w:rsidP="00203F38">
            <w:pPr>
              <w:pStyle w:val="TableParagraph"/>
              <w:spacing w:line="240" w:lineRule="auto"/>
              <w:ind w:left="0"/>
              <w:jc w:val="both"/>
              <w:rPr>
                <w:rFonts w:ascii="Times New Roman" w:hAnsi="Times New Roman" w:cs="Times New Roman"/>
                <w:b/>
                <w:noProof/>
                <w:sz w:val="24"/>
              </w:rPr>
            </w:pPr>
            <w:r w:rsidRPr="00F025AF">
              <w:rPr>
                <w:rFonts w:ascii="Times New Roman" w:hAnsi="Times New Roman" w:cs="Times New Roman"/>
                <w:b/>
                <w:sz w:val="24"/>
              </w:rPr>
              <w:t>Skaidrojumi par klīniskā kritērija piemērošanu attiecībā uz izstrādājumiem, kas nav paredzēti medicīniskam nolūkam</w:t>
            </w:r>
          </w:p>
        </w:tc>
      </w:tr>
      <w:tr w:rsidR="00810F69" w:rsidRPr="00F025AF" w14:paraId="4AA721E5" w14:textId="77777777" w:rsidTr="006E5678">
        <w:trPr>
          <w:trHeight w:val="537"/>
        </w:trPr>
        <w:tc>
          <w:tcPr>
            <w:tcW w:w="2271" w:type="pct"/>
          </w:tcPr>
          <w:p w14:paraId="15C03314" w14:textId="279F8D8E" w:rsidR="00810F69" w:rsidRPr="00F025AF" w:rsidRDefault="00810F69" w:rsidP="00203F38">
            <w:pPr>
              <w:pStyle w:val="TableParagraph"/>
              <w:spacing w:line="240" w:lineRule="auto"/>
              <w:ind w:left="0"/>
              <w:jc w:val="both"/>
              <w:rPr>
                <w:rFonts w:ascii="Times New Roman" w:hAnsi="Times New Roman" w:cs="Times New Roman"/>
                <w:noProof/>
                <w:sz w:val="24"/>
              </w:rPr>
            </w:pPr>
            <w:r w:rsidRPr="00F025AF">
              <w:rPr>
                <w:rFonts w:ascii="Times New Roman" w:hAnsi="Times New Roman" w:cs="Times New Roman"/>
                <w:sz w:val="24"/>
              </w:rPr>
              <w:t xml:space="preserve">ierīci izmanto </w:t>
            </w:r>
            <w:r w:rsidRPr="00F025AF">
              <w:rPr>
                <w:rFonts w:ascii="Times New Roman" w:hAnsi="Times New Roman" w:cs="Times New Roman"/>
                <w:b/>
                <w:bCs/>
                <w:sz w:val="24"/>
              </w:rPr>
              <w:t>vienā un tajā pašā klīniskajā stāvoklī vai nolūkā</w:t>
            </w:r>
            <w:r w:rsidRPr="00F025AF">
              <w:rPr>
                <w:rFonts w:ascii="Times New Roman" w:hAnsi="Times New Roman" w:cs="Times New Roman"/>
                <w:sz w:val="24"/>
              </w:rPr>
              <w:t>,</w:t>
            </w:r>
          </w:p>
        </w:tc>
        <w:tc>
          <w:tcPr>
            <w:tcW w:w="2729" w:type="pct"/>
          </w:tcPr>
          <w:p w14:paraId="09743879" w14:textId="77777777" w:rsidR="00810F69" w:rsidRPr="00F025AF" w:rsidRDefault="00810F69" w:rsidP="00BA6F82">
            <w:pPr>
              <w:pStyle w:val="TableParagraph"/>
              <w:spacing w:line="240" w:lineRule="auto"/>
              <w:ind w:left="0"/>
              <w:jc w:val="both"/>
              <w:rPr>
                <w:rFonts w:ascii="Times New Roman" w:hAnsi="Times New Roman" w:cs="Times New Roman"/>
                <w:noProof/>
                <w:sz w:val="24"/>
              </w:rPr>
            </w:pPr>
            <w:r w:rsidRPr="00F025AF">
              <w:rPr>
                <w:rFonts w:ascii="Times New Roman" w:hAnsi="Times New Roman" w:cs="Times New Roman"/>
                <w:sz w:val="24"/>
              </w:rPr>
              <w:t>piemēro tikai “izmanto vienā un tajā pašā nolūkā”</w:t>
            </w:r>
          </w:p>
        </w:tc>
      </w:tr>
      <w:tr w:rsidR="00810F69" w:rsidRPr="00F025AF" w14:paraId="26B6807F" w14:textId="77777777" w:rsidTr="006E5678">
        <w:trPr>
          <w:trHeight w:val="537"/>
        </w:trPr>
        <w:tc>
          <w:tcPr>
            <w:tcW w:w="2271" w:type="pct"/>
          </w:tcPr>
          <w:p w14:paraId="1A1778DE" w14:textId="18BDAC86" w:rsidR="00810F69" w:rsidRPr="00F025AF" w:rsidRDefault="00810F69" w:rsidP="00203F38">
            <w:pPr>
              <w:pStyle w:val="TableParagraph"/>
              <w:spacing w:line="240" w:lineRule="auto"/>
              <w:ind w:left="0"/>
              <w:jc w:val="both"/>
              <w:rPr>
                <w:rFonts w:ascii="Times New Roman" w:hAnsi="Times New Roman" w:cs="Times New Roman"/>
                <w:noProof/>
                <w:sz w:val="24"/>
              </w:rPr>
            </w:pPr>
            <w:r w:rsidRPr="00F025AF">
              <w:rPr>
                <w:rFonts w:ascii="Times New Roman" w:hAnsi="Times New Roman" w:cs="Times New Roman"/>
                <w:sz w:val="24"/>
              </w:rPr>
              <w:t xml:space="preserve">tostarp </w:t>
            </w:r>
            <w:r w:rsidRPr="00F025AF">
              <w:rPr>
                <w:rFonts w:ascii="Times New Roman" w:hAnsi="Times New Roman" w:cs="Times New Roman"/>
                <w:b/>
                <w:bCs/>
                <w:sz w:val="24"/>
              </w:rPr>
              <w:t>līdzīgā slimības smaguma pakāpē un slimības stadijā</w:t>
            </w:r>
            <w:r w:rsidRPr="00F025AF">
              <w:rPr>
                <w:rFonts w:ascii="Times New Roman" w:hAnsi="Times New Roman" w:cs="Times New Roman"/>
                <w:sz w:val="24"/>
              </w:rPr>
              <w:t>,</w:t>
            </w:r>
          </w:p>
        </w:tc>
        <w:tc>
          <w:tcPr>
            <w:tcW w:w="2729" w:type="pct"/>
          </w:tcPr>
          <w:p w14:paraId="1184978C" w14:textId="77777777" w:rsidR="00810F69" w:rsidRPr="00F025AF" w:rsidRDefault="00810F69" w:rsidP="00BA6F82">
            <w:pPr>
              <w:pStyle w:val="TableParagraph"/>
              <w:spacing w:line="240" w:lineRule="auto"/>
              <w:ind w:left="0"/>
              <w:jc w:val="both"/>
              <w:rPr>
                <w:rFonts w:ascii="Times New Roman" w:hAnsi="Times New Roman" w:cs="Times New Roman"/>
                <w:noProof/>
                <w:sz w:val="24"/>
              </w:rPr>
            </w:pPr>
            <w:r w:rsidRPr="00F025AF">
              <w:rPr>
                <w:rFonts w:ascii="Times New Roman" w:hAnsi="Times New Roman" w:cs="Times New Roman"/>
                <w:sz w:val="24"/>
              </w:rPr>
              <w:t>“līdzīgā slimības smaguma pakāpē un slimības stadijā” nav piemērojams</w:t>
            </w:r>
          </w:p>
        </w:tc>
      </w:tr>
      <w:tr w:rsidR="00810F69" w:rsidRPr="00F025AF" w14:paraId="67BE225A" w14:textId="77777777" w:rsidTr="006E5678">
        <w:trPr>
          <w:trHeight w:val="268"/>
        </w:trPr>
        <w:tc>
          <w:tcPr>
            <w:tcW w:w="2271" w:type="pct"/>
          </w:tcPr>
          <w:p w14:paraId="426C492D" w14:textId="77777777" w:rsidR="00810F69" w:rsidRPr="00F025AF" w:rsidRDefault="00810F69" w:rsidP="00BA6F82">
            <w:pPr>
              <w:pStyle w:val="TableParagraph"/>
              <w:spacing w:line="240" w:lineRule="auto"/>
              <w:ind w:left="0"/>
              <w:jc w:val="both"/>
              <w:rPr>
                <w:rFonts w:ascii="Times New Roman" w:hAnsi="Times New Roman" w:cs="Times New Roman"/>
                <w:noProof/>
                <w:sz w:val="24"/>
              </w:rPr>
            </w:pPr>
            <w:r w:rsidRPr="00F025AF">
              <w:rPr>
                <w:rFonts w:ascii="Times New Roman" w:hAnsi="Times New Roman" w:cs="Times New Roman"/>
                <w:sz w:val="24"/>
              </w:rPr>
              <w:t>tajā pašā ķermeņa vietā,</w:t>
            </w:r>
          </w:p>
        </w:tc>
        <w:tc>
          <w:tcPr>
            <w:tcW w:w="2729" w:type="pct"/>
          </w:tcPr>
          <w:p w14:paraId="4F40104C" w14:textId="77777777" w:rsidR="00810F69" w:rsidRPr="00F025AF" w:rsidRDefault="00810F69" w:rsidP="00BA6F82">
            <w:pPr>
              <w:pStyle w:val="TableParagraph"/>
              <w:spacing w:line="240" w:lineRule="auto"/>
              <w:ind w:left="0"/>
              <w:jc w:val="both"/>
              <w:rPr>
                <w:rFonts w:ascii="Times New Roman" w:hAnsi="Times New Roman" w:cs="Times New Roman"/>
                <w:noProof/>
                <w:sz w:val="24"/>
              </w:rPr>
            </w:pPr>
            <w:r w:rsidRPr="00F025AF">
              <w:rPr>
                <w:rFonts w:ascii="Times New Roman" w:hAnsi="Times New Roman" w:cs="Times New Roman"/>
                <w:sz w:val="24"/>
              </w:rPr>
              <w:t>“tajā pašā ķermeņa vietā” ir tieši piemērojams</w:t>
            </w:r>
          </w:p>
        </w:tc>
      </w:tr>
      <w:tr w:rsidR="00810F69" w:rsidRPr="00F025AF" w14:paraId="38CBC75E" w14:textId="77777777" w:rsidTr="006E5678">
        <w:trPr>
          <w:trHeight w:val="537"/>
        </w:trPr>
        <w:tc>
          <w:tcPr>
            <w:tcW w:w="2271" w:type="pct"/>
          </w:tcPr>
          <w:p w14:paraId="10856AAA" w14:textId="38FBFDCD" w:rsidR="00810F69" w:rsidRPr="00F025AF" w:rsidRDefault="00810F69" w:rsidP="00203F38">
            <w:pPr>
              <w:pStyle w:val="TableParagraph"/>
              <w:spacing w:line="240" w:lineRule="auto"/>
              <w:ind w:left="0"/>
              <w:jc w:val="both"/>
              <w:rPr>
                <w:rFonts w:ascii="Times New Roman" w:hAnsi="Times New Roman" w:cs="Times New Roman"/>
                <w:noProof/>
                <w:sz w:val="24"/>
              </w:rPr>
            </w:pPr>
            <w:r w:rsidRPr="00F025AF">
              <w:rPr>
                <w:rFonts w:ascii="Times New Roman" w:hAnsi="Times New Roman" w:cs="Times New Roman"/>
                <w:sz w:val="24"/>
              </w:rPr>
              <w:t>līdzīgā populācijā, tostarp vecuma, anatomijas un fizioloģijas ziņā;</w:t>
            </w:r>
          </w:p>
        </w:tc>
        <w:tc>
          <w:tcPr>
            <w:tcW w:w="2729" w:type="pct"/>
          </w:tcPr>
          <w:p w14:paraId="33114689" w14:textId="3F856B8A" w:rsidR="00810F69" w:rsidRPr="00F025AF" w:rsidRDefault="00810F69" w:rsidP="00203F38">
            <w:pPr>
              <w:pStyle w:val="TableParagraph"/>
              <w:spacing w:line="240" w:lineRule="auto"/>
              <w:ind w:left="0"/>
              <w:jc w:val="both"/>
              <w:rPr>
                <w:rFonts w:ascii="Times New Roman" w:hAnsi="Times New Roman" w:cs="Times New Roman"/>
                <w:noProof/>
                <w:sz w:val="24"/>
              </w:rPr>
            </w:pPr>
            <w:r w:rsidRPr="00F025AF">
              <w:rPr>
                <w:rFonts w:ascii="Times New Roman" w:hAnsi="Times New Roman" w:cs="Times New Roman"/>
                <w:sz w:val="24"/>
              </w:rPr>
              <w:t>“līdzīgā populācijā” ir tieši piemērojams tāpat kā līdzīgais “vecums”, “anatomija” un “fizioloģija”</w:t>
            </w:r>
          </w:p>
        </w:tc>
      </w:tr>
      <w:tr w:rsidR="00810F69" w:rsidRPr="00F025AF" w14:paraId="2F23B36B" w14:textId="77777777" w:rsidTr="006E5678">
        <w:trPr>
          <w:trHeight w:val="268"/>
        </w:trPr>
        <w:tc>
          <w:tcPr>
            <w:tcW w:w="2271" w:type="pct"/>
          </w:tcPr>
          <w:p w14:paraId="7CAC3391" w14:textId="77777777" w:rsidR="00810F69" w:rsidRPr="00F025AF" w:rsidRDefault="00810F69" w:rsidP="00BA6F82">
            <w:pPr>
              <w:pStyle w:val="TableParagraph"/>
              <w:spacing w:line="240" w:lineRule="auto"/>
              <w:ind w:left="0"/>
              <w:jc w:val="both"/>
              <w:rPr>
                <w:rFonts w:ascii="Times New Roman" w:hAnsi="Times New Roman" w:cs="Times New Roman"/>
                <w:noProof/>
                <w:sz w:val="24"/>
              </w:rPr>
            </w:pPr>
            <w:r w:rsidRPr="00F025AF">
              <w:rPr>
                <w:rFonts w:ascii="Times New Roman" w:hAnsi="Times New Roman" w:cs="Times New Roman"/>
                <w:sz w:val="24"/>
              </w:rPr>
              <w:t>tai ir vienāda veida lietotājs;</w:t>
            </w:r>
          </w:p>
        </w:tc>
        <w:tc>
          <w:tcPr>
            <w:tcW w:w="2729" w:type="pct"/>
          </w:tcPr>
          <w:p w14:paraId="75433A62" w14:textId="77777777" w:rsidR="00810F69" w:rsidRPr="00F025AF" w:rsidRDefault="00810F69" w:rsidP="00BA6F82">
            <w:pPr>
              <w:pStyle w:val="TableParagraph"/>
              <w:spacing w:line="240" w:lineRule="auto"/>
              <w:ind w:left="0"/>
              <w:jc w:val="both"/>
              <w:rPr>
                <w:rFonts w:ascii="Times New Roman" w:hAnsi="Times New Roman" w:cs="Times New Roman"/>
                <w:noProof/>
                <w:sz w:val="24"/>
              </w:rPr>
            </w:pPr>
            <w:r w:rsidRPr="00F025AF">
              <w:rPr>
                <w:rFonts w:ascii="Times New Roman" w:hAnsi="Times New Roman" w:cs="Times New Roman"/>
                <w:sz w:val="24"/>
              </w:rPr>
              <w:t>“vienāda veida lietotājs” ir tieši piemērojams</w:t>
            </w:r>
          </w:p>
        </w:tc>
      </w:tr>
      <w:tr w:rsidR="00810F69" w:rsidRPr="00F025AF" w14:paraId="7AEA333B" w14:textId="77777777" w:rsidTr="006E5678">
        <w:trPr>
          <w:trHeight w:val="537"/>
        </w:trPr>
        <w:tc>
          <w:tcPr>
            <w:tcW w:w="2271" w:type="pct"/>
          </w:tcPr>
          <w:p w14:paraId="07A6E66B" w14:textId="77777777" w:rsidR="00810F69" w:rsidRPr="00F025AF" w:rsidRDefault="00810F69" w:rsidP="00BA6F82">
            <w:pPr>
              <w:pStyle w:val="TableParagraph"/>
              <w:spacing w:line="240" w:lineRule="auto"/>
              <w:ind w:left="0"/>
              <w:jc w:val="both"/>
              <w:rPr>
                <w:rFonts w:ascii="Times New Roman" w:hAnsi="Times New Roman" w:cs="Times New Roman"/>
                <w:noProof/>
                <w:sz w:val="24"/>
              </w:rPr>
            </w:pPr>
            <w:r w:rsidRPr="00F025AF">
              <w:rPr>
                <w:rFonts w:ascii="Times New Roman" w:hAnsi="Times New Roman" w:cs="Times New Roman"/>
                <w:sz w:val="24"/>
              </w:rPr>
              <w:t>tai ir līdzīga attiecīgā kritiskā veiktspēja,</w:t>
            </w:r>
          </w:p>
        </w:tc>
        <w:tc>
          <w:tcPr>
            <w:tcW w:w="2729" w:type="pct"/>
          </w:tcPr>
          <w:p w14:paraId="0B1D3796" w14:textId="7C740370" w:rsidR="00810F69" w:rsidRPr="00F025AF" w:rsidRDefault="00810F69" w:rsidP="00203F38">
            <w:pPr>
              <w:pStyle w:val="TableParagraph"/>
              <w:spacing w:line="240" w:lineRule="auto"/>
              <w:ind w:left="0"/>
              <w:jc w:val="both"/>
              <w:rPr>
                <w:rFonts w:ascii="Times New Roman" w:hAnsi="Times New Roman" w:cs="Times New Roman"/>
                <w:noProof/>
                <w:sz w:val="24"/>
              </w:rPr>
            </w:pPr>
            <w:r w:rsidRPr="00F025AF">
              <w:rPr>
                <w:rFonts w:ascii="Times New Roman" w:hAnsi="Times New Roman" w:cs="Times New Roman"/>
                <w:sz w:val="24"/>
              </w:rPr>
              <w:t>“līdzīga attiecīgā kritiskā veiktspēja” ir tieši piemērojams,</w:t>
            </w:r>
          </w:p>
        </w:tc>
      </w:tr>
      <w:tr w:rsidR="00810F69" w:rsidRPr="00F025AF" w14:paraId="0555349D" w14:textId="77777777" w:rsidTr="006E5678">
        <w:trPr>
          <w:trHeight w:val="1343"/>
        </w:trPr>
        <w:tc>
          <w:tcPr>
            <w:tcW w:w="2271" w:type="pct"/>
          </w:tcPr>
          <w:p w14:paraId="05BC520D" w14:textId="77777777" w:rsidR="00810F69" w:rsidRPr="00F025AF" w:rsidRDefault="00810F69" w:rsidP="00BA6F82">
            <w:pPr>
              <w:pStyle w:val="TableParagraph"/>
              <w:spacing w:line="240" w:lineRule="auto"/>
              <w:ind w:left="0"/>
              <w:jc w:val="both"/>
              <w:rPr>
                <w:rFonts w:ascii="Times New Roman" w:hAnsi="Times New Roman" w:cs="Times New Roman"/>
                <w:noProof/>
                <w:sz w:val="24"/>
              </w:rPr>
            </w:pPr>
            <w:r w:rsidRPr="00F025AF">
              <w:rPr>
                <w:rFonts w:ascii="Times New Roman" w:hAnsi="Times New Roman" w:cs="Times New Roman"/>
                <w:sz w:val="24"/>
              </w:rPr>
              <w:t xml:space="preserve">ņemot vērā sagaidāmo </w:t>
            </w:r>
            <w:r w:rsidRPr="00F025AF">
              <w:rPr>
                <w:rFonts w:ascii="Times New Roman" w:hAnsi="Times New Roman" w:cs="Times New Roman"/>
                <w:b/>
                <w:bCs/>
                <w:sz w:val="24"/>
              </w:rPr>
              <w:t>klīnisko</w:t>
            </w:r>
            <w:r w:rsidRPr="00F025AF">
              <w:rPr>
                <w:rFonts w:ascii="Times New Roman" w:hAnsi="Times New Roman" w:cs="Times New Roman"/>
                <w:sz w:val="24"/>
              </w:rPr>
              <w:t xml:space="preserve"> iedarbību konkrētajā paredzētajā nolūkā</w:t>
            </w:r>
          </w:p>
        </w:tc>
        <w:tc>
          <w:tcPr>
            <w:tcW w:w="2729" w:type="pct"/>
          </w:tcPr>
          <w:p w14:paraId="55039418" w14:textId="20A497EF" w:rsidR="00810F69" w:rsidRPr="00F025AF" w:rsidRDefault="00810F69" w:rsidP="00203F38">
            <w:pPr>
              <w:pStyle w:val="TableParagraph"/>
              <w:spacing w:line="240" w:lineRule="auto"/>
              <w:ind w:left="0"/>
              <w:jc w:val="both"/>
              <w:rPr>
                <w:rFonts w:ascii="Times New Roman" w:hAnsi="Times New Roman" w:cs="Times New Roman"/>
                <w:noProof/>
                <w:sz w:val="24"/>
              </w:rPr>
            </w:pPr>
            <w:r w:rsidRPr="00F025AF">
              <w:rPr>
                <w:rFonts w:ascii="Times New Roman" w:hAnsi="Times New Roman" w:cs="Times New Roman"/>
                <w:sz w:val="24"/>
              </w:rPr>
              <w:t>paredzamā “klīniskā” iedarbība nav piemērojama. Tomēr izstrādājumiem ir sagaidāmā iedarbība, kas ir saistīta ar konkrēto paredzēto nolūku, tāpēc šī prasība jātraktē kā “ņemot vērā sagaidāmo iedarbību konkrētajā paredzētajā nolūkā”</w:t>
            </w:r>
          </w:p>
        </w:tc>
      </w:tr>
    </w:tbl>
    <w:p w14:paraId="30D020FC" w14:textId="77777777" w:rsidR="00810F69" w:rsidRPr="00F025AF" w:rsidRDefault="00810F69" w:rsidP="00BA6F82">
      <w:pPr>
        <w:pStyle w:val="BodyText"/>
        <w:jc w:val="both"/>
        <w:rPr>
          <w:rFonts w:ascii="Times New Roman" w:hAnsi="Times New Roman" w:cs="Times New Roman"/>
          <w:noProof/>
          <w:sz w:val="24"/>
        </w:rPr>
      </w:pPr>
    </w:p>
    <w:p w14:paraId="5993DF1F" w14:textId="34A81F17" w:rsidR="00810F69" w:rsidRPr="00F025AF" w:rsidRDefault="00130270" w:rsidP="00386375">
      <w:pPr>
        <w:pStyle w:val="Heading2"/>
        <w:keepNext/>
        <w:keepLines/>
        <w:tabs>
          <w:tab w:val="left" w:pos="814"/>
        </w:tabs>
        <w:spacing w:before="0"/>
        <w:ind w:left="0" w:firstLine="0"/>
        <w:jc w:val="both"/>
        <w:rPr>
          <w:rFonts w:ascii="Times New Roman" w:hAnsi="Times New Roman" w:cs="Times New Roman"/>
          <w:noProof/>
          <w:color w:val="365F91"/>
          <w:sz w:val="24"/>
        </w:rPr>
      </w:pPr>
      <w:bookmarkStart w:id="4" w:name="3.2_Product_without_an_intended_medical_"/>
      <w:bookmarkEnd w:id="4"/>
      <w:r w:rsidRPr="00F025AF">
        <w:rPr>
          <w:rFonts w:ascii="Times New Roman" w:hAnsi="Times New Roman" w:cs="Times New Roman"/>
          <w:color w:val="365F91"/>
          <w:sz w:val="24"/>
        </w:rPr>
        <w:lastRenderedPageBreak/>
        <w:t>3.2. Izstrādājuma, kas nav paredzēts medicīniskam nolūkam, salīdzināšana ar analoģisku medicīnisku ierīci</w:t>
      </w:r>
    </w:p>
    <w:p w14:paraId="6ECA3545" w14:textId="77777777" w:rsidR="00130270" w:rsidRPr="00F025AF" w:rsidRDefault="00130270" w:rsidP="00386375">
      <w:pPr>
        <w:pStyle w:val="BodyText"/>
        <w:keepNext/>
        <w:keepLines/>
        <w:jc w:val="both"/>
        <w:rPr>
          <w:rFonts w:ascii="Times New Roman" w:hAnsi="Times New Roman" w:cs="Times New Roman"/>
          <w:noProof/>
          <w:sz w:val="24"/>
        </w:rPr>
      </w:pPr>
    </w:p>
    <w:p w14:paraId="45778608" w14:textId="585DBE88" w:rsidR="00810F69" w:rsidRPr="00F025AF" w:rsidRDefault="00810F69" w:rsidP="00386375">
      <w:pPr>
        <w:pStyle w:val="BodyText"/>
        <w:keepNext/>
        <w:keepLines/>
        <w:jc w:val="both"/>
        <w:rPr>
          <w:rFonts w:ascii="Times New Roman" w:hAnsi="Times New Roman" w:cs="Times New Roman"/>
          <w:noProof/>
          <w:sz w:val="24"/>
        </w:rPr>
      </w:pPr>
      <w:r w:rsidRPr="00F025AF">
        <w:rPr>
          <w:rFonts w:ascii="Times New Roman" w:hAnsi="Times New Roman" w:cs="Times New Roman"/>
          <w:sz w:val="24"/>
        </w:rPr>
        <w:t>Kopumā medicīniskas ierīces salīdzināšana ar izstrādājumu, kas nav paredzēts medicīniskam nolūkam</w:t>
      </w:r>
      <w:r w:rsidR="00130270" w:rsidRPr="00F025AF">
        <w:rPr>
          <w:rStyle w:val="FootnoteReference"/>
          <w:rFonts w:ascii="Times New Roman" w:hAnsi="Times New Roman" w:cs="Times New Roman"/>
          <w:noProof/>
          <w:sz w:val="24"/>
        </w:rPr>
        <w:footnoteReference w:id="11"/>
      </w:r>
      <w:r w:rsidRPr="00F025AF">
        <w:rPr>
          <w:rFonts w:ascii="Times New Roman" w:hAnsi="Times New Roman" w:cs="Times New Roman"/>
          <w:sz w:val="24"/>
        </w:rPr>
        <w:t>, nav iespējama, jo nav iespējams salīdzināt visus klīniskos raksturlielumus. Proti, medicīniskajai ierīcei būtu noteikts un pieejams raksturlielums “līdzīgā slimības smaguma pakāpē un slimības stadijā”, savukārt izstrādājumam, kas nav paredzēts medicīniskam nolūkam, šāds raksturlielums nebūtu noteikts un pieejams</w:t>
      </w:r>
      <w:r w:rsidR="00130270" w:rsidRPr="00F025AF">
        <w:rPr>
          <w:rStyle w:val="FootnoteReference"/>
          <w:rFonts w:ascii="Times New Roman" w:hAnsi="Times New Roman" w:cs="Times New Roman"/>
          <w:noProof/>
          <w:sz w:val="24"/>
        </w:rPr>
        <w:footnoteReference w:id="12"/>
      </w:r>
      <w:r w:rsidRPr="00F025AF">
        <w:rPr>
          <w:rFonts w:ascii="Times New Roman" w:hAnsi="Times New Roman" w:cs="Times New Roman"/>
          <w:sz w:val="24"/>
        </w:rPr>
        <w:t>. Līdz ar to līdzvērtības pierādīšanu nevar pabeigt un ierīces, kas nav paredzēta medicīniskam nolūkam, līdzvērtību analoģiskai ierīcei, kurai ir medicīnisks nolūks, nevar noteikt</w:t>
      </w:r>
      <w:r w:rsidR="00130270" w:rsidRPr="00F025AF">
        <w:rPr>
          <w:rStyle w:val="FootnoteReference"/>
          <w:rFonts w:ascii="Times New Roman" w:hAnsi="Times New Roman" w:cs="Times New Roman"/>
          <w:noProof/>
          <w:sz w:val="24"/>
        </w:rPr>
        <w:footnoteReference w:id="13"/>
      </w:r>
      <w:r w:rsidRPr="00F025AF">
        <w:rPr>
          <w:rFonts w:ascii="Times New Roman" w:hAnsi="Times New Roman" w:cs="Times New Roman"/>
          <w:sz w:val="24"/>
        </w:rPr>
        <w:t>.</w:t>
      </w:r>
    </w:p>
    <w:p w14:paraId="289A7131" w14:textId="77777777" w:rsidR="00130270" w:rsidRPr="00F025AF" w:rsidRDefault="00130270" w:rsidP="00BA6F82">
      <w:pPr>
        <w:pStyle w:val="BodyText"/>
        <w:jc w:val="both"/>
        <w:rPr>
          <w:rFonts w:ascii="Times New Roman" w:hAnsi="Times New Roman" w:cs="Times New Roman"/>
          <w:noProof/>
          <w:sz w:val="24"/>
        </w:rPr>
      </w:pPr>
    </w:p>
    <w:p w14:paraId="155DAE9C" w14:textId="12690BDE" w:rsidR="00810F69" w:rsidRPr="00F025AF" w:rsidRDefault="00130270" w:rsidP="00130270">
      <w:pPr>
        <w:pStyle w:val="Heading2"/>
        <w:tabs>
          <w:tab w:val="left" w:pos="814"/>
        </w:tabs>
        <w:spacing w:before="0"/>
        <w:ind w:left="0" w:firstLine="0"/>
        <w:jc w:val="both"/>
        <w:rPr>
          <w:rFonts w:ascii="Times New Roman" w:hAnsi="Times New Roman" w:cs="Times New Roman"/>
          <w:noProof/>
          <w:color w:val="365F91"/>
          <w:sz w:val="24"/>
        </w:rPr>
      </w:pPr>
      <w:bookmarkStart w:id="5" w:name="3.3_Product_without_an_intended_medical_"/>
      <w:bookmarkEnd w:id="5"/>
      <w:r w:rsidRPr="00F025AF">
        <w:rPr>
          <w:rFonts w:ascii="Times New Roman" w:hAnsi="Times New Roman" w:cs="Times New Roman"/>
          <w:color w:val="365F91"/>
          <w:sz w:val="24"/>
        </w:rPr>
        <w:t>3.3. Izstrādājuma, kas nav paredzēts medicīniskam nolūkam, salīdzināšana ar divējāda lietojuma ierīci</w:t>
      </w:r>
    </w:p>
    <w:p w14:paraId="03BD3D58" w14:textId="77777777" w:rsidR="00130270" w:rsidRPr="00F025AF" w:rsidRDefault="00130270" w:rsidP="00BA6F82">
      <w:pPr>
        <w:pStyle w:val="BodyText"/>
        <w:jc w:val="both"/>
        <w:rPr>
          <w:rFonts w:ascii="Times New Roman" w:hAnsi="Times New Roman" w:cs="Times New Roman"/>
          <w:noProof/>
          <w:sz w:val="24"/>
        </w:rPr>
      </w:pPr>
    </w:p>
    <w:p w14:paraId="46005802" w14:textId="62F8F433" w:rsidR="00810F69" w:rsidRPr="00F025AF" w:rsidRDefault="00810F69" w:rsidP="00BA6F82">
      <w:pPr>
        <w:pStyle w:val="BodyText"/>
        <w:jc w:val="both"/>
        <w:rPr>
          <w:rFonts w:ascii="Times New Roman" w:hAnsi="Times New Roman" w:cs="Times New Roman"/>
          <w:noProof/>
          <w:sz w:val="24"/>
        </w:rPr>
      </w:pPr>
      <w:r w:rsidRPr="00F025AF">
        <w:rPr>
          <w:rFonts w:ascii="Times New Roman" w:hAnsi="Times New Roman" w:cs="Times New Roman"/>
          <w:sz w:val="24"/>
        </w:rPr>
        <w:t>Līdzvērtību starp izstrādājumu, kas nav paredzēts medicīniskam nolūkam, un ierīci, kurai ir gan medicīnisks, gan nemedicīnisks nolūks (divējāda lietojuma ierīce), var pierādīt, salīdzinot tos abu ierīču raksturlielumus, kas ir saistīti ar nemedicīnisko nolūku. Attiecībā uz divējādā lietojuma ierīci jāņem vērā tikai tie raksturlielumi, kas ir saistīti ar nemedicīnisko nolūku.</w:t>
      </w:r>
    </w:p>
    <w:p w14:paraId="163D2D8E" w14:textId="77777777" w:rsidR="00810F69" w:rsidRPr="00F025AF" w:rsidRDefault="00810F69" w:rsidP="00BA6F82">
      <w:pPr>
        <w:pStyle w:val="BodyText"/>
        <w:jc w:val="both"/>
        <w:rPr>
          <w:rFonts w:ascii="Times New Roman" w:hAnsi="Times New Roman" w:cs="Times New Roman"/>
          <w:noProof/>
          <w:sz w:val="24"/>
        </w:rPr>
      </w:pPr>
    </w:p>
    <w:p w14:paraId="397E611C" w14:textId="398352CE" w:rsidR="00130270" w:rsidRPr="00F025AF" w:rsidRDefault="00810F69" w:rsidP="005D0126">
      <w:pPr>
        <w:pStyle w:val="BodyText"/>
        <w:jc w:val="both"/>
        <w:rPr>
          <w:rFonts w:ascii="Times New Roman" w:hAnsi="Times New Roman" w:cs="Times New Roman"/>
          <w:noProof/>
          <w:sz w:val="24"/>
        </w:rPr>
      </w:pPr>
      <w:r w:rsidRPr="00F025AF">
        <w:rPr>
          <w:rFonts w:ascii="Times New Roman" w:hAnsi="Times New Roman" w:cs="Times New Roman"/>
          <w:sz w:val="24"/>
        </w:rPr>
        <w:t>Ja tiek pierādīta līdzvērtība, tā izstrādājuma klīniskajā izvērtēšanā, kas nav paredzēts medicīniskam nolūkam, jābūt izmantotiem tikai tiem divējāda lietojuma ierīces klīniskās izpētes datiem, kas ir saistīti vispārējām drošuma un veiktspējas prasībām</w:t>
      </w:r>
      <w:r w:rsidR="00130270" w:rsidRPr="00F025AF">
        <w:rPr>
          <w:rStyle w:val="FootnoteReference"/>
          <w:rFonts w:ascii="Times New Roman" w:hAnsi="Times New Roman" w:cs="Times New Roman"/>
          <w:noProof/>
          <w:sz w:val="24"/>
        </w:rPr>
        <w:footnoteReference w:id="14"/>
      </w:r>
      <w:r w:rsidRPr="00F025AF">
        <w:rPr>
          <w:rFonts w:ascii="Times New Roman" w:hAnsi="Times New Roman" w:cs="Times New Roman"/>
          <w:sz w:val="24"/>
        </w:rPr>
        <w:t>, kuras ir piemērojamas nemedicīniskajā nolūkā.</w:t>
      </w:r>
    </w:p>
    <w:sectPr w:rsidR="00130270" w:rsidRPr="00F025AF" w:rsidSect="006D0024">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79FCB" w14:textId="77777777" w:rsidR="00B453F7" w:rsidRPr="00810F69" w:rsidRDefault="00B453F7">
      <w:pPr>
        <w:rPr>
          <w:noProof/>
        </w:rPr>
      </w:pPr>
      <w:r w:rsidRPr="00810F69">
        <w:rPr>
          <w:noProof/>
        </w:rPr>
        <w:separator/>
      </w:r>
    </w:p>
  </w:endnote>
  <w:endnote w:type="continuationSeparator" w:id="0">
    <w:p w14:paraId="01783A52" w14:textId="77777777" w:rsidR="00B453F7" w:rsidRPr="00810F69" w:rsidRDefault="00B453F7">
      <w:pPr>
        <w:rPr>
          <w:noProof/>
        </w:rPr>
      </w:pPr>
      <w:r w:rsidRPr="00810F6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004B" w14:textId="77777777" w:rsidR="009B6A46" w:rsidRPr="009C04EC" w:rsidRDefault="009B6A46" w:rsidP="009B6A46">
    <w:pPr>
      <w:pStyle w:val="Header"/>
      <w:tabs>
        <w:tab w:val="left" w:pos="9072"/>
      </w:tabs>
      <w:rPr>
        <w:rStyle w:val="PageNumber"/>
        <w:rFonts w:ascii="Times New Roman" w:hAnsi="Times New Roman" w:cs="Times New Roman"/>
        <w:noProof/>
        <w:sz w:val="20"/>
        <w:szCs w:val="20"/>
        <w:u w:val="single"/>
        <w:lang w:val="en-US"/>
      </w:rPr>
    </w:pPr>
  </w:p>
  <w:p w14:paraId="7E5B22B2" w14:textId="77777777" w:rsidR="009B6A46" w:rsidRPr="009C04EC" w:rsidRDefault="009B6A46" w:rsidP="009B6A46">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094F049F" w14:textId="77777777" w:rsidR="009B6A46" w:rsidRPr="009C04EC" w:rsidRDefault="009B6A46" w:rsidP="009B6A46">
    <w:pPr>
      <w:pStyle w:val="Header"/>
      <w:tabs>
        <w:tab w:val="right" w:pos="9072"/>
      </w:tabs>
      <w:rPr>
        <w:rStyle w:val="PageNumber"/>
        <w:rFonts w:ascii="Times New Roman" w:hAnsi="Times New Roman" w:cs="Times New Roman"/>
        <w:noProof/>
        <w:sz w:val="20"/>
        <w:szCs w:val="20"/>
        <w:u w:val="single"/>
        <w:lang w:val="en-US"/>
      </w:rPr>
    </w:pPr>
  </w:p>
  <w:p w14:paraId="28D3531C" w14:textId="6CE6072E" w:rsidR="009278D9" w:rsidRPr="009B6A46" w:rsidRDefault="009B6A46" w:rsidP="009B6A46">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A4985" w14:textId="77777777" w:rsidR="00904890" w:rsidRPr="009C04EC" w:rsidRDefault="00904890" w:rsidP="00904890">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565341C4" w14:textId="77777777" w:rsidR="00904890" w:rsidRPr="009C04EC" w:rsidRDefault="00904890" w:rsidP="00904890">
    <w:pPr>
      <w:pStyle w:val="Header"/>
      <w:tabs>
        <w:tab w:val="left" w:pos="9072"/>
      </w:tabs>
      <w:rPr>
        <w:rStyle w:val="PageNumber"/>
        <w:rFonts w:ascii="Times New Roman" w:hAnsi="Times New Roman" w:cs="Times New Roman"/>
        <w:noProof/>
        <w:sz w:val="20"/>
        <w:szCs w:val="20"/>
        <w:u w:val="single"/>
        <w:lang w:val="en-US"/>
      </w:rPr>
    </w:pPr>
  </w:p>
  <w:p w14:paraId="15779F63" w14:textId="396C5E88" w:rsidR="00904890" w:rsidRPr="00904890" w:rsidRDefault="00904890">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78548" w14:textId="77777777" w:rsidR="00B453F7" w:rsidRPr="00810F69" w:rsidRDefault="00B453F7">
      <w:pPr>
        <w:rPr>
          <w:noProof/>
        </w:rPr>
      </w:pPr>
      <w:r w:rsidRPr="00810F69">
        <w:rPr>
          <w:noProof/>
        </w:rPr>
        <w:separator/>
      </w:r>
    </w:p>
  </w:footnote>
  <w:footnote w:type="continuationSeparator" w:id="0">
    <w:p w14:paraId="5051386A" w14:textId="77777777" w:rsidR="00B453F7" w:rsidRPr="00810F69" w:rsidRDefault="00B453F7">
      <w:pPr>
        <w:rPr>
          <w:noProof/>
        </w:rPr>
      </w:pPr>
      <w:r w:rsidRPr="00810F69">
        <w:rPr>
          <w:noProof/>
        </w:rPr>
        <w:continuationSeparator/>
      </w:r>
    </w:p>
  </w:footnote>
  <w:footnote w:id="1">
    <w:p w14:paraId="0FF2B26A" w14:textId="537B8908" w:rsidR="005F099C" w:rsidRPr="005F099C" w:rsidRDefault="005F099C" w:rsidP="005F099C">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Eiropas Parlamenta un Padomes 2017. gada 5. aprīļa Regula (ES) 2017/745 par medicīniskām ierīcēm – </w:t>
      </w:r>
      <w:r>
        <w:rPr>
          <w:rFonts w:ascii="Times New Roman" w:hAnsi="Times New Roman"/>
          <w:sz w:val="20"/>
          <w:u w:color="0000FF"/>
        </w:rPr>
        <w:t>http://data.europa.eu/eli/reg/2017/745/2020-04-24</w:t>
      </w:r>
      <w:r>
        <w:rPr>
          <w:rFonts w:ascii="Times New Roman" w:hAnsi="Times New Roman"/>
          <w:sz w:val="20"/>
        </w:rPr>
        <w:t>.</w:t>
      </w:r>
    </w:p>
  </w:footnote>
  <w:footnote w:id="2">
    <w:p w14:paraId="65D08955" w14:textId="4C140527" w:rsidR="005F099C" w:rsidRPr="005F099C" w:rsidRDefault="005F099C" w:rsidP="005F099C">
      <w:pPr>
        <w:jc w:val="both"/>
        <w:rPr>
          <w:rFonts w:ascii="Times New Roman" w:hAnsi="Times New Roman"/>
          <w:noProof/>
          <w:sz w:val="20"/>
          <w:szCs w:val="18"/>
        </w:rPr>
      </w:pPr>
      <w:r>
        <w:rPr>
          <w:rStyle w:val="FootnoteReference"/>
        </w:rPr>
        <w:footnoteRef/>
      </w:r>
      <w:r>
        <w:t xml:space="preserve"> </w:t>
      </w:r>
      <w:r>
        <w:rPr>
          <w:rFonts w:ascii="Times New Roman" w:hAnsi="Times New Roman"/>
          <w:i/>
          <w:iCs/>
          <w:sz w:val="20"/>
        </w:rPr>
        <w:t>MDR</w:t>
      </w:r>
      <w:r>
        <w:rPr>
          <w:rFonts w:ascii="Times New Roman" w:hAnsi="Times New Roman"/>
          <w:sz w:val="20"/>
        </w:rPr>
        <w:t xml:space="preserve"> 61. pants un XIV pielikuma A daļa.</w:t>
      </w:r>
    </w:p>
  </w:footnote>
  <w:footnote w:id="3">
    <w:p w14:paraId="2DBD4DC9" w14:textId="77BC99E0" w:rsidR="005F099C" w:rsidRPr="005F099C" w:rsidRDefault="005F099C" w:rsidP="005F099C">
      <w:pPr>
        <w:jc w:val="both"/>
        <w:rPr>
          <w:rFonts w:ascii="Times New Roman" w:hAnsi="Times New Roman"/>
          <w:noProof/>
          <w:sz w:val="20"/>
          <w:szCs w:val="18"/>
        </w:rPr>
      </w:pPr>
      <w:r>
        <w:rPr>
          <w:rStyle w:val="FootnoteReference"/>
        </w:rPr>
        <w:footnoteRef/>
      </w:r>
      <w:r>
        <w:t xml:space="preserve"> </w:t>
      </w:r>
      <w:r>
        <w:rPr>
          <w:rFonts w:ascii="Times New Roman" w:hAnsi="Times New Roman"/>
          <w:i/>
          <w:iCs/>
          <w:sz w:val="20"/>
        </w:rPr>
        <w:t>MDR</w:t>
      </w:r>
      <w:r>
        <w:rPr>
          <w:rFonts w:ascii="Times New Roman" w:hAnsi="Times New Roman"/>
          <w:sz w:val="20"/>
        </w:rPr>
        <w:t xml:space="preserve"> 2. panta 48) punkta 2. un 3. ievilkums.</w:t>
      </w:r>
    </w:p>
  </w:footnote>
  <w:footnote w:id="4">
    <w:p w14:paraId="10D9BB6D" w14:textId="428F9C91" w:rsidR="005F099C" w:rsidRPr="005F099C" w:rsidRDefault="005F099C" w:rsidP="005F099C">
      <w:pPr>
        <w:jc w:val="both"/>
        <w:rPr>
          <w:rFonts w:ascii="Times New Roman" w:hAnsi="Times New Roman"/>
          <w:noProof/>
          <w:sz w:val="20"/>
          <w:szCs w:val="18"/>
        </w:rPr>
      </w:pPr>
      <w:r>
        <w:rPr>
          <w:rStyle w:val="FootnoteReference"/>
        </w:rPr>
        <w:footnoteRef/>
      </w:r>
      <w:r>
        <w:t xml:space="preserve"> </w:t>
      </w:r>
      <w:r>
        <w:rPr>
          <w:rFonts w:ascii="Times New Roman" w:hAnsi="Times New Roman"/>
          <w:i/>
          <w:iCs/>
          <w:sz w:val="20"/>
        </w:rPr>
        <w:t>MDR</w:t>
      </w:r>
      <w:r>
        <w:rPr>
          <w:rFonts w:ascii="Times New Roman" w:hAnsi="Times New Roman"/>
          <w:sz w:val="20"/>
        </w:rPr>
        <w:t xml:space="preserve"> XIV pielikuma A daļas 3. punkts.</w:t>
      </w:r>
    </w:p>
  </w:footnote>
  <w:footnote w:id="5">
    <w:p w14:paraId="4FA72D1E" w14:textId="649AC9B7" w:rsidR="005F099C" w:rsidRPr="00470520" w:rsidRDefault="005F099C" w:rsidP="00470520">
      <w:pPr>
        <w:tabs>
          <w:tab w:val="left" w:pos="1521"/>
          <w:tab w:val="left" w:pos="2907"/>
          <w:tab w:val="left" w:pos="3715"/>
          <w:tab w:val="left" w:pos="4382"/>
          <w:tab w:val="left" w:pos="5152"/>
          <w:tab w:val="left" w:pos="6251"/>
          <w:tab w:val="left" w:pos="6960"/>
          <w:tab w:val="left" w:pos="8095"/>
          <w:tab w:val="left" w:pos="920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Komisijas Īstenošanas regula (ES) 2022/2346, ar ko noteic kopīgas specifikācijas tādu Eiropas Parlamenta un Padomes Regulas (ES) 2017/745 par medicīniskām ierīcēm XVI pielikuma sarakstā norādīto izstrādājumu grupām, kas nav paredzēti medicīniskam nolūkam – </w:t>
      </w:r>
      <w:r>
        <w:rPr>
          <w:rFonts w:ascii="Times New Roman" w:hAnsi="Times New Roman"/>
          <w:sz w:val="20"/>
          <w:u w:color="0000FF"/>
        </w:rPr>
        <w:t>http://data.europa.eu/eli/reg_impl/2022/2346/oj</w:t>
      </w:r>
      <w:r>
        <w:rPr>
          <w:rFonts w:ascii="Times New Roman" w:hAnsi="Times New Roman"/>
          <w:sz w:val="20"/>
        </w:rPr>
        <w:t>.</w:t>
      </w:r>
    </w:p>
  </w:footnote>
  <w:footnote w:id="6">
    <w:p w14:paraId="49A2C0A5" w14:textId="1627587B" w:rsidR="007672B0" w:rsidRPr="007672B0" w:rsidRDefault="007672B0" w:rsidP="007672B0">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Kopīgo specifikāciju 11. apsvērums.</w:t>
      </w:r>
    </w:p>
  </w:footnote>
  <w:footnote w:id="7">
    <w:p w14:paraId="0CB5496D" w14:textId="500F56B9" w:rsidR="007672B0" w:rsidRPr="007672B0" w:rsidRDefault="007672B0" w:rsidP="007672B0">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MDCG 2020-5 “Clinical Evaluation – Equivalence” 4. punkta “Līdzvērtības pierādīšana” a) un f) apakšpunkts.</w:t>
      </w:r>
    </w:p>
  </w:footnote>
  <w:footnote w:id="8">
    <w:p w14:paraId="38ECD491" w14:textId="01BFB980" w:rsidR="007672B0" w:rsidRPr="007672B0" w:rsidRDefault="007672B0" w:rsidP="007672B0">
      <w:pPr>
        <w:jc w:val="both"/>
        <w:rPr>
          <w:rFonts w:ascii="Times New Roman" w:hAnsi="Times New Roman"/>
          <w:noProof/>
          <w:sz w:val="20"/>
          <w:szCs w:val="18"/>
        </w:rPr>
      </w:pPr>
      <w:r>
        <w:rPr>
          <w:rStyle w:val="FootnoteReference"/>
        </w:rPr>
        <w:footnoteRef/>
      </w:r>
      <w:r>
        <w:t xml:space="preserve"> </w:t>
      </w:r>
      <w:r>
        <w:rPr>
          <w:rFonts w:ascii="Times New Roman" w:hAnsi="Times New Roman"/>
          <w:sz w:val="20"/>
          <w:u w:color="0000FF"/>
        </w:rPr>
        <w:t>https://ec.europa.eu/health/medical-devices-sector/new-regulations/guidance-mdcg-endorsed-documents-</w:t>
      </w:r>
      <w:r>
        <w:rPr>
          <w:rFonts w:ascii="Times New Roman" w:hAnsi="Times New Roman"/>
          <w:sz w:val="20"/>
        </w:rPr>
        <w:t xml:space="preserve"> </w:t>
      </w:r>
      <w:r>
        <w:rPr>
          <w:rFonts w:ascii="Times New Roman" w:hAnsi="Times New Roman"/>
          <w:sz w:val="20"/>
          <w:u w:color="0000FF"/>
        </w:rPr>
        <w:t>and-other-guidance_en#sec2</w:t>
      </w:r>
      <w:r>
        <w:rPr>
          <w:rFonts w:ascii="Times New Roman" w:hAnsi="Times New Roman"/>
          <w:sz w:val="20"/>
        </w:rPr>
        <w:t>.</w:t>
      </w:r>
    </w:p>
  </w:footnote>
  <w:footnote w:id="9">
    <w:p w14:paraId="04A972F3" w14:textId="380EF2C9" w:rsidR="007672B0" w:rsidRPr="007672B0" w:rsidRDefault="007672B0" w:rsidP="007672B0">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MEDDEV 2.7/1 rev.4 “Clinical evaluation: Guide for manufacturers and notified bodies”, kas sagatavots, lai atbalstītu Padomes Direktīvas 93/42/EEK un Padomes Direktīvas 90/385/EEK par medicīnas ierīcēm un aktīvām implantējamām medicīnas ierīcēm, kuras atceltas ar </w:t>
      </w:r>
      <w:r>
        <w:rPr>
          <w:rFonts w:ascii="Times New Roman" w:hAnsi="Times New Roman"/>
          <w:i/>
          <w:iCs/>
          <w:sz w:val="20"/>
        </w:rPr>
        <w:t>MDR</w:t>
      </w:r>
      <w:r>
        <w:rPr>
          <w:rFonts w:ascii="Times New Roman" w:hAnsi="Times New Roman"/>
          <w:sz w:val="20"/>
        </w:rPr>
        <w:t>, piemērošanu.</w:t>
      </w:r>
    </w:p>
  </w:footnote>
  <w:footnote w:id="10">
    <w:p w14:paraId="4F836B5D" w14:textId="09FCA865" w:rsidR="006E5678" w:rsidRPr="006E5678" w:rsidRDefault="006E5678" w:rsidP="006E5678">
      <w:pPr>
        <w:jc w:val="both"/>
        <w:rPr>
          <w:rFonts w:ascii="Times New Roman" w:hAnsi="Times New Roman"/>
          <w:noProof/>
          <w:sz w:val="20"/>
          <w:szCs w:val="18"/>
        </w:rPr>
      </w:pPr>
      <w:r>
        <w:rPr>
          <w:rStyle w:val="FootnoteReference"/>
        </w:rPr>
        <w:footnoteRef/>
      </w:r>
      <w:r>
        <w:t xml:space="preserve"> </w:t>
      </w:r>
      <w:r>
        <w:rPr>
          <w:rFonts w:ascii="Times New Roman" w:hAnsi="Times New Roman"/>
          <w:i/>
          <w:iCs/>
          <w:sz w:val="20"/>
        </w:rPr>
        <w:t>MDR</w:t>
      </w:r>
      <w:r>
        <w:rPr>
          <w:rFonts w:ascii="Times New Roman" w:hAnsi="Times New Roman"/>
          <w:sz w:val="20"/>
        </w:rPr>
        <w:t xml:space="preserve"> XIV pielikuma A daļas 3. punkts.</w:t>
      </w:r>
    </w:p>
  </w:footnote>
  <w:footnote w:id="11">
    <w:p w14:paraId="31583818" w14:textId="00225053" w:rsidR="00130270" w:rsidRPr="00130270" w:rsidRDefault="00130270" w:rsidP="00130270">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Kopīgo specifikāciju 11. apsvērums.</w:t>
      </w:r>
    </w:p>
  </w:footnote>
  <w:footnote w:id="12">
    <w:p w14:paraId="63800C47" w14:textId="13DE06EA" w:rsidR="00130270" w:rsidRPr="00130270" w:rsidRDefault="00130270" w:rsidP="00130270">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Ar šo arī tiek sīkāk paskaidrots MDCG 2020-5 4. punkta f) apakšpunkta teikums: “Lai pienācīgi pamatotu esošo klīniskās izpētes datu par analoģisku medicīnisku ierīci izmantošanu, līdzvērtības pierādīšanas principi jāpiemēro, pieņemot, ka izvērtējamajai ierīcei būs tikai estētisks vai cits nemedicīnisks nolūks, savukārt analoģiskajai ierīcei ir medicīnisks nolūks”.</w:t>
      </w:r>
    </w:p>
  </w:footnote>
  <w:footnote w:id="13">
    <w:p w14:paraId="1F635DB8" w14:textId="53B23656" w:rsidR="00130270" w:rsidRPr="00130270" w:rsidRDefault="00130270" w:rsidP="00130270">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Gadījumos, kad līdzvērtību nevar pierādīt, dati par līdzīgām ierīcēm var būt noderīgi dažādiem citiem MDCG 2020-5 5. punktā minētajiem mērķiem (piemēram, tam, lai pārliecinātos par riska pārvaldības sistēmas visaptverošo būtību, lai izprastu jaunākos sasniegumus un lai palīdzētu noteikt klīniskā izvērtējuma tvērumu).</w:t>
      </w:r>
    </w:p>
  </w:footnote>
  <w:footnote w:id="14">
    <w:p w14:paraId="09FC9A05" w14:textId="2A2C56A4" w:rsidR="00130270" w:rsidRPr="00130270" w:rsidRDefault="00130270" w:rsidP="00130270">
      <w:pPr>
        <w:jc w:val="both"/>
        <w:rPr>
          <w:rFonts w:ascii="Times New Roman" w:hAnsi="Times New Roman"/>
          <w:noProof/>
          <w:sz w:val="20"/>
          <w:szCs w:val="18"/>
        </w:rPr>
      </w:pPr>
      <w:r>
        <w:rPr>
          <w:rStyle w:val="FootnoteReference"/>
        </w:rPr>
        <w:footnoteRef/>
      </w:r>
      <w:r>
        <w:t xml:space="preserve"> </w:t>
      </w:r>
      <w:r>
        <w:rPr>
          <w:rFonts w:ascii="Times New Roman" w:hAnsi="Times New Roman"/>
          <w:i/>
          <w:iCs/>
          <w:sz w:val="20"/>
        </w:rPr>
        <w:t>MDR</w:t>
      </w:r>
      <w:r>
        <w:rPr>
          <w:rFonts w:ascii="Times New Roman" w:hAnsi="Times New Roman"/>
          <w:sz w:val="20"/>
        </w:rPr>
        <w:t xml:space="preserve"> I pielikums.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BF405" w14:textId="77777777" w:rsidR="00CB4800" w:rsidRPr="009C04EC" w:rsidRDefault="00CB4800" w:rsidP="00CB4800">
    <w:pPr>
      <w:pStyle w:val="Header"/>
      <w:rPr>
        <w:rStyle w:val="PageNumber"/>
        <w:noProof/>
        <w:sz w:val="18"/>
        <w:szCs w:val="18"/>
        <w:u w:val="single"/>
        <w:lang w:val="en-US"/>
      </w:rPr>
    </w:pPr>
  </w:p>
  <w:p w14:paraId="474D54E2" w14:textId="77777777" w:rsidR="00CB4800" w:rsidRPr="009C04EC" w:rsidRDefault="00CB4800" w:rsidP="00CB4800">
    <w:pPr>
      <w:pStyle w:val="Header"/>
      <w:tabs>
        <w:tab w:val="clear" w:pos="4513"/>
        <w:tab w:val="center" w:pos="9072"/>
      </w:tabs>
      <w:rPr>
        <w:noProof/>
        <w:sz w:val="18"/>
        <w:szCs w:val="18"/>
        <w:u w:val="single"/>
        <w:lang w:val="en-US"/>
      </w:rPr>
    </w:pPr>
    <w:r w:rsidRPr="009C04EC">
      <w:rPr>
        <w:noProof/>
        <w:sz w:val="18"/>
        <w:szCs w:val="18"/>
        <w:u w:val="single"/>
        <w:lang w:val="en-US"/>
      </w:rPr>
      <w:tab/>
    </w:r>
  </w:p>
  <w:p w14:paraId="28D3531B" w14:textId="29E36689" w:rsidR="009278D9" w:rsidRPr="00904890" w:rsidRDefault="009278D9" w:rsidP="00904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8C3B2" w14:textId="77777777" w:rsidR="009809E9" w:rsidRPr="009C04EC" w:rsidRDefault="009809E9" w:rsidP="009809E9">
    <w:pPr>
      <w:pStyle w:val="Header"/>
      <w:pBdr>
        <w:bottom w:val="single" w:sz="12" w:space="1" w:color="auto"/>
      </w:pBdr>
      <w:rPr>
        <w:noProof/>
        <w:sz w:val="18"/>
        <w:szCs w:val="18"/>
        <w:lang w:val="en-US"/>
      </w:rPr>
    </w:pPr>
  </w:p>
  <w:p w14:paraId="40DFA92A" w14:textId="77777777" w:rsidR="00810F69" w:rsidRPr="009809E9" w:rsidRDefault="00810F69">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36614"/>
    <w:multiLevelType w:val="multilevel"/>
    <w:tmpl w:val="86525BE8"/>
    <w:lvl w:ilvl="0">
      <w:start w:val="1"/>
      <w:numFmt w:val="decimal"/>
      <w:lvlText w:val="%1"/>
      <w:lvlJc w:val="left"/>
      <w:pPr>
        <w:ind w:left="668" w:hanging="432"/>
        <w:jc w:val="left"/>
      </w:pPr>
      <w:rPr>
        <w:rFonts w:ascii="Arial" w:eastAsia="Arial" w:hAnsi="Arial" w:cs="Arial" w:hint="default"/>
        <w:b w:val="0"/>
        <w:bCs w:val="0"/>
        <w:i w:val="0"/>
        <w:iCs w:val="0"/>
        <w:color w:val="365F91"/>
        <w:spacing w:val="0"/>
        <w:w w:val="99"/>
        <w:sz w:val="32"/>
        <w:szCs w:val="32"/>
        <w:lang w:val="en-US" w:eastAsia="en-US" w:bidi="ar-SA"/>
      </w:rPr>
    </w:lvl>
    <w:lvl w:ilvl="1">
      <w:start w:val="1"/>
      <w:numFmt w:val="decimal"/>
      <w:lvlText w:val="%1.%2"/>
      <w:lvlJc w:val="left"/>
      <w:pPr>
        <w:ind w:left="814" w:hanging="579"/>
        <w:jc w:val="left"/>
      </w:pPr>
      <w:rPr>
        <w:rFonts w:ascii="Calibri" w:eastAsia="Calibri" w:hAnsi="Calibri" w:cs="Calibri" w:hint="default"/>
        <w:b w:val="0"/>
        <w:bCs w:val="0"/>
        <w:i w:val="0"/>
        <w:iCs w:val="0"/>
        <w:color w:val="365F91"/>
        <w:spacing w:val="0"/>
        <w:w w:val="99"/>
        <w:sz w:val="26"/>
        <w:szCs w:val="26"/>
        <w:lang w:val="en-US" w:eastAsia="en-US" w:bidi="ar-SA"/>
      </w:rPr>
    </w:lvl>
    <w:lvl w:ilvl="2">
      <w:numFmt w:val="bullet"/>
      <w:lvlText w:val="•"/>
      <w:lvlJc w:val="left"/>
      <w:pPr>
        <w:ind w:left="1789" w:hanging="579"/>
      </w:pPr>
      <w:rPr>
        <w:rFonts w:hint="default"/>
        <w:lang w:val="en-US" w:eastAsia="en-US" w:bidi="ar-SA"/>
      </w:rPr>
    </w:lvl>
    <w:lvl w:ilvl="3">
      <w:numFmt w:val="bullet"/>
      <w:lvlText w:val="•"/>
      <w:lvlJc w:val="left"/>
      <w:pPr>
        <w:ind w:left="2759" w:hanging="579"/>
      </w:pPr>
      <w:rPr>
        <w:rFonts w:hint="default"/>
        <w:lang w:val="en-US" w:eastAsia="en-US" w:bidi="ar-SA"/>
      </w:rPr>
    </w:lvl>
    <w:lvl w:ilvl="4">
      <w:numFmt w:val="bullet"/>
      <w:lvlText w:val="•"/>
      <w:lvlJc w:val="left"/>
      <w:pPr>
        <w:ind w:left="3728" w:hanging="579"/>
      </w:pPr>
      <w:rPr>
        <w:rFonts w:hint="default"/>
        <w:lang w:val="en-US" w:eastAsia="en-US" w:bidi="ar-SA"/>
      </w:rPr>
    </w:lvl>
    <w:lvl w:ilvl="5">
      <w:numFmt w:val="bullet"/>
      <w:lvlText w:val="•"/>
      <w:lvlJc w:val="left"/>
      <w:pPr>
        <w:ind w:left="4698" w:hanging="579"/>
      </w:pPr>
      <w:rPr>
        <w:rFonts w:hint="default"/>
        <w:lang w:val="en-US" w:eastAsia="en-US" w:bidi="ar-SA"/>
      </w:rPr>
    </w:lvl>
    <w:lvl w:ilvl="6">
      <w:numFmt w:val="bullet"/>
      <w:lvlText w:val="•"/>
      <w:lvlJc w:val="left"/>
      <w:pPr>
        <w:ind w:left="5668" w:hanging="579"/>
      </w:pPr>
      <w:rPr>
        <w:rFonts w:hint="default"/>
        <w:lang w:val="en-US" w:eastAsia="en-US" w:bidi="ar-SA"/>
      </w:rPr>
    </w:lvl>
    <w:lvl w:ilvl="7">
      <w:numFmt w:val="bullet"/>
      <w:lvlText w:val="•"/>
      <w:lvlJc w:val="left"/>
      <w:pPr>
        <w:ind w:left="6637" w:hanging="579"/>
      </w:pPr>
      <w:rPr>
        <w:rFonts w:hint="default"/>
        <w:lang w:val="en-US" w:eastAsia="en-US" w:bidi="ar-SA"/>
      </w:rPr>
    </w:lvl>
    <w:lvl w:ilvl="8">
      <w:numFmt w:val="bullet"/>
      <w:lvlText w:val="•"/>
      <w:lvlJc w:val="left"/>
      <w:pPr>
        <w:ind w:left="7607" w:hanging="579"/>
      </w:pPr>
      <w:rPr>
        <w:rFonts w:hint="default"/>
        <w:lang w:val="en-US" w:eastAsia="en-US" w:bidi="ar-SA"/>
      </w:rPr>
    </w:lvl>
  </w:abstractNum>
  <w:num w:numId="1" w16cid:durableId="207985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278D9"/>
    <w:rsid w:val="00130270"/>
    <w:rsid w:val="00203F38"/>
    <w:rsid w:val="002A496F"/>
    <w:rsid w:val="00386375"/>
    <w:rsid w:val="00470520"/>
    <w:rsid w:val="005D0126"/>
    <w:rsid w:val="005F099C"/>
    <w:rsid w:val="006D0024"/>
    <w:rsid w:val="006E5678"/>
    <w:rsid w:val="007672B0"/>
    <w:rsid w:val="00810F69"/>
    <w:rsid w:val="008A6BCD"/>
    <w:rsid w:val="008F57C7"/>
    <w:rsid w:val="00904890"/>
    <w:rsid w:val="00917A64"/>
    <w:rsid w:val="009278D9"/>
    <w:rsid w:val="009809E9"/>
    <w:rsid w:val="009B6A46"/>
    <w:rsid w:val="00A3700E"/>
    <w:rsid w:val="00B453F7"/>
    <w:rsid w:val="00B50C4E"/>
    <w:rsid w:val="00B930AD"/>
    <w:rsid w:val="00BA6F82"/>
    <w:rsid w:val="00CB4800"/>
    <w:rsid w:val="00D01BA4"/>
    <w:rsid w:val="00E6220B"/>
    <w:rsid w:val="00EA3AA5"/>
    <w:rsid w:val="00F025AF"/>
    <w:rsid w:val="00F31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68" w:hanging="432"/>
      <w:outlineLvl w:val="0"/>
    </w:pPr>
    <w:rPr>
      <w:rFonts w:ascii="Arial" w:eastAsia="Arial" w:hAnsi="Arial" w:cs="Arial"/>
      <w:sz w:val="32"/>
      <w:szCs w:val="32"/>
    </w:rPr>
  </w:style>
  <w:style w:type="paragraph" w:styleId="Heading2">
    <w:name w:val="heading 2"/>
    <w:basedOn w:val="Normal"/>
    <w:uiPriority w:val="9"/>
    <w:unhideWhenUsed/>
    <w:qFormat/>
    <w:pPr>
      <w:spacing w:before="47"/>
      <w:ind w:left="814" w:hanging="578"/>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7"/>
    </w:pPr>
    <w:rPr>
      <w:rFonts w:ascii="Arial" w:eastAsia="Arial" w:hAnsi="Arial" w:cs="Arial"/>
      <w:b/>
      <w:bCs/>
      <w:sz w:val="48"/>
      <w:szCs w:val="48"/>
    </w:rPr>
  </w:style>
  <w:style w:type="paragraph" w:styleId="ListParagraph">
    <w:name w:val="List Paragraph"/>
    <w:basedOn w:val="Normal"/>
    <w:uiPriority w:val="1"/>
    <w:qFormat/>
    <w:pPr>
      <w:ind w:left="668" w:hanging="432"/>
    </w:pPr>
  </w:style>
  <w:style w:type="paragraph" w:customStyle="1" w:styleId="TableParagraph">
    <w:name w:val="Table Paragraph"/>
    <w:basedOn w:val="Normal"/>
    <w:uiPriority w:val="1"/>
    <w:qFormat/>
    <w:pPr>
      <w:spacing w:line="268" w:lineRule="exact"/>
      <w:ind w:left="107"/>
    </w:pPr>
  </w:style>
  <w:style w:type="paragraph" w:styleId="Header">
    <w:name w:val="header"/>
    <w:basedOn w:val="Normal"/>
    <w:link w:val="HeaderChar"/>
    <w:unhideWhenUsed/>
    <w:rsid w:val="00810F69"/>
    <w:pPr>
      <w:tabs>
        <w:tab w:val="center" w:pos="4513"/>
        <w:tab w:val="right" w:pos="9026"/>
      </w:tabs>
    </w:pPr>
  </w:style>
  <w:style w:type="character" w:customStyle="1" w:styleId="HeaderChar">
    <w:name w:val="Header Char"/>
    <w:basedOn w:val="DefaultParagraphFont"/>
    <w:link w:val="Header"/>
    <w:uiPriority w:val="99"/>
    <w:rsid w:val="00810F69"/>
    <w:rPr>
      <w:rFonts w:ascii="Calibri" w:eastAsia="Calibri" w:hAnsi="Calibri" w:cs="Calibri"/>
    </w:rPr>
  </w:style>
  <w:style w:type="paragraph" w:styleId="Footer">
    <w:name w:val="footer"/>
    <w:basedOn w:val="Normal"/>
    <w:link w:val="FooterChar"/>
    <w:unhideWhenUsed/>
    <w:rsid w:val="00810F69"/>
    <w:pPr>
      <w:tabs>
        <w:tab w:val="center" w:pos="4513"/>
        <w:tab w:val="right" w:pos="9026"/>
      </w:tabs>
    </w:pPr>
  </w:style>
  <w:style w:type="character" w:customStyle="1" w:styleId="FooterChar">
    <w:name w:val="Footer Char"/>
    <w:basedOn w:val="DefaultParagraphFont"/>
    <w:link w:val="Footer"/>
    <w:uiPriority w:val="99"/>
    <w:rsid w:val="00810F69"/>
    <w:rPr>
      <w:rFonts w:ascii="Calibri" w:eastAsia="Calibri" w:hAnsi="Calibri" w:cs="Calibri"/>
    </w:rPr>
  </w:style>
  <w:style w:type="table" w:styleId="TableGrid">
    <w:name w:val="Table Grid"/>
    <w:basedOn w:val="TableNormal"/>
    <w:uiPriority w:val="39"/>
    <w:rsid w:val="0091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1BA4"/>
    <w:pPr>
      <w:widowControl/>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5F099C"/>
    <w:rPr>
      <w:sz w:val="20"/>
      <w:szCs w:val="20"/>
    </w:rPr>
  </w:style>
  <w:style w:type="character" w:customStyle="1" w:styleId="FootnoteTextChar">
    <w:name w:val="Footnote Text Char"/>
    <w:basedOn w:val="DefaultParagraphFont"/>
    <w:link w:val="FootnoteText"/>
    <w:uiPriority w:val="99"/>
    <w:semiHidden/>
    <w:rsid w:val="005F099C"/>
    <w:rPr>
      <w:rFonts w:ascii="Calibri" w:eastAsia="Calibri" w:hAnsi="Calibri" w:cs="Calibri"/>
      <w:sz w:val="20"/>
      <w:szCs w:val="20"/>
    </w:rPr>
  </w:style>
  <w:style w:type="character" w:styleId="FootnoteReference">
    <w:name w:val="footnote reference"/>
    <w:basedOn w:val="DefaultParagraphFont"/>
    <w:uiPriority w:val="99"/>
    <w:semiHidden/>
    <w:unhideWhenUsed/>
    <w:rsid w:val="005F099C"/>
    <w:rPr>
      <w:vertAlign w:val="superscript"/>
    </w:rPr>
  </w:style>
  <w:style w:type="character" w:styleId="PageNumber">
    <w:name w:val="page number"/>
    <w:basedOn w:val="DefaultParagraphFont"/>
    <w:semiHidden/>
    <w:rsid w:val="00904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ae66e438305c3565ebb719b5a4189d0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ca89acffec4eabf2ee14ec26162b1ce"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C6A464F-3EE0-4C2E-A879-E6F00354F3C4}">
  <ds:schemaRefs>
    <ds:schemaRef ds:uri="http://schemas.microsoft.com/sharepoint/v3/contenttype/forms"/>
  </ds:schemaRefs>
</ds:datastoreItem>
</file>

<file path=customXml/itemProps2.xml><?xml version="1.0" encoding="utf-8"?>
<ds:datastoreItem xmlns:ds="http://schemas.openxmlformats.org/officeDocument/2006/customXml" ds:itemID="{023F8EFD-7EEC-4762-82BC-A02ACCFA7A8C}"/>
</file>

<file path=customXml/itemProps3.xml><?xml version="1.0" encoding="utf-8"?>
<ds:datastoreItem xmlns:ds="http://schemas.openxmlformats.org/officeDocument/2006/customXml" ds:itemID="{6FD7686B-FDD0-4679-B9A3-C35C2F9E55B7}">
  <ds:schemaRefs>
    <ds:schemaRef ds:uri="http://schemas.openxmlformats.org/officeDocument/2006/bibliography"/>
  </ds:schemaRefs>
</ds:datastoreItem>
</file>

<file path=customXml/itemProps4.xml><?xml version="1.0" encoding="utf-8"?>
<ds:datastoreItem xmlns:ds="http://schemas.openxmlformats.org/officeDocument/2006/customXml" ds:itemID="{98D320B3-0CE3-47DB-9046-6E59873A8351}"/>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ModifiedBy/>
  <cp:revision>1</cp:revision>
  <dcterms:created xsi:type="dcterms:W3CDTF">2024-02-02T11:14:00Z</dcterms:created>
  <dcterms:modified xsi:type="dcterms:W3CDTF">2024-07-02T11:50:00Z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