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87163" w14:textId="77777777" w:rsidR="00B85061" w:rsidRPr="00B85061" w:rsidRDefault="00B85061" w:rsidP="00B85061">
      <w:pPr>
        <w:shd w:val="clear" w:color="auto" w:fill="FFFFFF"/>
        <w:spacing w:after="0" w:line="240" w:lineRule="auto"/>
        <w:jc w:val="center"/>
        <w:rPr>
          <w:rFonts w:ascii="Times New Roman" w:hAnsi="Times New Roman"/>
          <w:noProof/>
          <w:kern w:val="0"/>
          <w:sz w:val="24"/>
          <w:lang w:val="en-US"/>
        </w:rPr>
      </w:pPr>
      <w:r w:rsidRPr="00B85061">
        <w:rPr>
          <w:rFonts w:ascii="Times New Roman" w:hAnsi="Times New Roman"/>
          <w:noProof/>
          <w:kern w:val="0"/>
          <w:sz w:val="24"/>
          <w:lang w:val="en-US"/>
        </w:rPr>
        <w:t>Republic of Latvia</w:t>
      </w:r>
    </w:p>
    <w:p w14:paraId="208294DF" w14:textId="77777777" w:rsidR="00B85061" w:rsidRPr="00B85061" w:rsidRDefault="00B85061" w:rsidP="00B85061">
      <w:pPr>
        <w:shd w:val="clear" w:color="auto" w:fill="FFFFFF"/>
        <w:spacing w:after="0" w:line="240" w:lineRule="auto"/>
        <w:jc w:val="center"/>
        <w:rPr>
          <w:rFonts w:ascii="Times New Roman" w:hAnsi="Times New Roman"/>
          <w:noProof/>
          <w:kern w:val="0"/>
          <w:sz w:val="24"/>
          <w:lang w:val="en-US"/>
        </w:rPr>
      </w:pPr>
    </w:p>
    <w:p w14:paraId="4C95E170" w14:textId="77777777" w:rsidR="00B85061" w:rsidRPr="00B85061" w:rsidRDefault="00B85061" w:rsidP="00B85061">
      <w:pPr>
        <w:shd w:val="clear" w:color="auto" w:fill="FFFFFF"/>
        <w:spacing w:after="0" w:line="240" w:lineRule="auto"/>
        <w:jc w:val="center"/>
        <w:rPr>
          <w:rFonts w:ascii="Times New Roman" w:hAnsi="Times New Roman"/>
          <w:noProof/>
          <w:kern w:val="0"/>
          <w:sz w:val="24"/>
          <w:lang w:val="en-US"/>
        </w:rPr>
      </w:pPr>
      <w:r w:rsidRPr="00B85061">
        <w:rPr>
          <w:rFonts w:ascii="Times New Roman" w:hAnsi="Times New Roman"/>
          <w:noProof/>
          <w:kern w:val="0"/>
          <w:sz w:val="24"/>
          <w:lang w:val="en-US"/>
        </w:rPr>
        <w:t>Latvijas Banka</w:t>
      </w:r>
    </w:p>
    <w:p w14:paraId="2CF668E5" w14:textId="77777777" w:rsidR="00B85061" w:rsidRPr="00B85061" w:rsidRDefault="00B85061" w:rsidP="00B85061">
      <w:pPr>
        <w:shd w:val="clear" w:color="auto" w:fill="FFFFFF"/>
        <w:spacing w:after="0" w:line="240" w:lineRule="auto"/>
        <w:jc w:val="center"/>
        <w:rPr>
          <w:rFonts w:ascii="Times New Roman" w:hAnsi="Times New Roman"/>
          <w:noProof/>
          <w:kern w:val="0"/>
          <w:sz w:val="24"/>
          <w:lang w:val="en-US"/>
        </w:rPr>
      </w:pPr>
      <w:r w:rsidRPr="00B85061">
        <w:rPr>
          <w:rFonts w:ascii="Times New Roman" w:hAnsi="Times New Roman"/>
          <w:noProof/>
          <w:kern w:val="0"/>
          <w:sz w:val="24"/>
          <w:lang w:val="en-US"/>
        </w:rPr>
        <w:t>Regulation No. 254</w:t>
      </w:r>
    </w:p>
    <w:p w14:paraId="0422DF8E" w14:textId="77777777" w:rsidR="00B85061" w:rsidRPr="00B85061" w:rsidRDefault="00B85061" w:rsidP="00B85061">
      <w:pPr>
        <w:shd w:val="clear" w:color="auto" w:fill="FFFFFF"/>
        <w:spacing w:after="0" w:line="240" w:lineRule="auto"/>
        <w:jc w:val="center"/>
        <w:rPr>
          <w:rFonts w:ascii="Times New Roman" w:hAnsi="Times New Roman"/>
          <w:noProof/>
          <w:kern w:val="0"/>
          <w:sz w:val="24"/>
          <w:lang w:val="en-US"/>
        </w:rPr>
      </w:pPr>
      <w:r w:rsidRPr="00B85061">
        <w:rPr>
          <w:rFonts w:ascii="Times New Roman" w:hAnsi="Times New Roman"/>
          <w:noProof/>
          <w:kern w:val="0"/>
          <w:sz w:val="24"/>
          <w:lang w:val="en-US"/>
        </w:rPr>
        <w:t>Adopted 27 November 2023</w:t>
      </w:r>
    </w:p>
    <w:p w14:paraId="48E6ED34"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E26BA95"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ED0C60A" w14:textId="77777777" w:rsidR="00B85061" w:rsidRPr="00B85061" w:rsidRDefault="00B85061" w:rsidP="00B85061">
      <w:pPr>
        <w:shd w:val="clear" w:color="auto" w:fill="FFFFFF"/>
        <w:spacing w:after="0" w:line="240" w:lineRule="auto"/>
        <w:jc w:val="center"/>
        <w:rPr>
          <w:rFonts w:ascii="Times New Roman" w:hAnsi="Times New Roman"/>
          <w:b/>
          <w:noProof/>
          <w:kern w:val="0"/>
          <w:sz w:val="28"/>
          <w:lang w:val="en-US"/>
        </w:rPr>
      </w:pPr>
      <w:r w:rsidRPr="00B85061">
        <w:rPr>
          <w:rFonts w:ascii="Times New Roman" w:hAnsi="Times New Roman"/>
          <w:b/>
          <w:noProof/>
          <w:kern w:val="0"/>
          <w:sz w:val="28"/>
          <w:lang w:val="en-US"/>
        </w:rPr>
        <w:t>Regulations for the Management of Interest Rate Risk of the Non-trading Book and Credit Spread Risk of the Non-trading Book</w:t>
      </w:r>
    </w:p>
    <w:p w14:paraId="7A4A3449"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BC4DFBD"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AC81C05" w14:textId="77777777" w:rsidR="00B85061" w:rsidRPr="00B85061" w:rsidRDefault="00B85061" w:rsidP="00B85061">
      <w:pPr>
        <w:shd w:val="clear" w:color="auto" w:fill="FFFFFF"/>
        <w:spacing w:after="0" w:line="240" w:lineRule="auto"/>
        <w:jc w:val="right"/>
        <w:rPr>
          <w:rFonts w:ascii="Times New Roman" w:hAnsi="Times New Roman"/>
          <w:i/>
          <w:noProof/>
          <w:kern w:val="0"/>
          <w:sz w:val="24"/>
          <w:lang w:val="en-US"/>
        </w:rPr>
      </w:pPr>
      <w:r w:rsidRPr="00B85061">
        <w:rPr>
          <w:rFonts w:ascii="Times New Roman" w:hAnsi="Times New Roman"/>
          <w:i/>
          <w:noProof/>
          <w:kern w:val="0"/>
          <w:sz w:val="24"/>
          <w:lang w:val="en-US"/>
        </w:rPr>
        <w:t>Issued pursuant to</w:t>
      </w:r>
    </w:p>
    <w:p w14:paraId="09E7B4CD" w14:textId="77777777" w:rsidR="00B85061" w:rsidRPr="00B85061" w:rsidRDefault="00B85061" w:rsidP="00B85061">
      <w:pPr>
        <w:shd w:val="clear" w:color="auto" w:fill="FFFFFF"/>
        <w:spacing w:after="0" w:line="240" w:lineRule="auto"/>
        <w:jc w:val="right"/>
        <w:rPr>
          <w:rFonts w:ascii="Times New Roman" w:eastAsia="Times New Roman" w:hAnsi="Times New Roman" w:cs="Times New Roman"/>
          <w:i/>
          <w:iCs/>
          <w:noProof/>
          <w:kern w:val="0"/>
          <w:sz w:val="24"/>
          <w:szCs w:val="24"/>
          <w:lang w:val="en-US"/>
          <w14:ligatures w14:val="none"/>
        </w:rPr>
      </w:pPr>
      <w:r w:rsidRPr="00B85061">
        <w:rPr>
          <w:rFonts w:ascii="Times New Roman" w:hAnsi="Times New Roman"/>
          <w:i/>
          <w:noProof/>
          <w:kern w:val="0"/>
          <w:sz w:val="24"/>
          <w:lang w:val="en-US"/>
        </w:rPr>
        <w:t>Section 34.</w:t>
      </w:r>
      <w:r w:rsidRPr="00B85061">
        <w:rPr>
          <w:rFonts w:ascii="Times New Roman" w:hAnsi="Times New Roman"/>
          <w:i/>
          <w:noProof/>
          <w:kern w:val="0"/>
          <w:sz w:val="24"/>
          <w:vertAlign w:val="superscript"/>
          <w:lang w:val="en-US"/>
        </w:rPr>
        <w:t>2</w:t>
      </w:r>
      <w:r w:rsidRPr="00B85061">
        <w:rPr>
          <w:rFonts w:ascii="Times New Roman" w:hAnsi="Times New Roman"/>
          <w:i/>
          <w:noProof/>
          <w:kern w:val="0"/>
          <w:sz w:val="24"/>
          <w:lang w:val="en-US"/>
        </w:rPr>
        <w:t>, Paragraph four, Section 50, Paragraph two, Section 101.</w:t>
      </w:r>
      <w:r w:rsidRPr="00B85061">
        <w:rPr>
          <w:rFonts w:ascii="Times New Roman" w:hAnsi="Times New Roman"/>
          <w:i/>
          <w:noProof/>
          <w:kern w:val="0"/>
          <w:sz w:val="24"/>
          <w:vertAlign w:val="superscript"/>
          <w:lang w:val="en-US"/>
        </w:rPr>
        <w:t>3</w:t>
      </w:r>
      <w:r w:rsidRPr="00B85061">
        <w:rPr>
          <w:rFonts w:ascii="Times New Roman" w:hAnsi="Times New Roman"/>
          <w:i/>
          <w:noProof/>
          <w:kern w:val="0"/>
          <w:sz w:val="24"/>
          <w:lang w:val="en-US"/>
        </w:rPr>
        <w:t>, Paragraph five of the Credit Institution Law</w:t>
      </w:r>
    </w:p>
    <w:p w14:paraId="190FCCCE"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1255364"/>
      <w:bookmarkEnd w:id="0"/>
      <w:bookmarkEnd w:id="1"/>
    </w:p>
    <w:p w14:paraId="0E30B462"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D84DA41" w14:textId="77777777" w:rsidR="00B85061" w:rsidRPr="00B85061" w:rsidRDefault="00B85061" w:rsidP="00B85061">
      <w:pPr>
        <w:shd w:val="clear" w:color="auto" w:fill="FFFFFF"/>
        <w:spacing w:after="0" w:line="240" w:lineRule="auto"/>
        <w:jc w:val="center"/>
        <w:rPr>
          <w:rFonts w:ascii="Times New Roman" w:hAnsi="Times New Roman"/>
          <w:b/>
          <w:noProof/>
          <w:kern w:val="0"/>
          <w:sz w:val="24"/>
          <w:lang w:val="en-US"/>
        </w:rPr>
      </w:pPr>
      <w:r w:rsidRPr="00B85061">
        <w:rPr>
          <w:rFonts w:ascii="Times New Roman" w:hAnsi="Times New Roman"/>
          <w:b/>
          <w:noProof/>
          <w:kern w:val="0"/>
          <w:sz w:val="24"/>
          <w:lang w:val="en-US"/>
        </w:rPr>
        <w:t>1. General Provisions</w:t>
      </w:r>
    </w:p>
    <w:p w14:paraId="6CB5FAD4"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1255365"/>
      <w:bookmarkEnd w:id="2"/>
    </w:p>
    <w:p w14:paraId="1C6483BD"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5061">
        <w:rPr>
          <w:rFonts w:ascii="Times New Roman" w:hAnsi="Times New Roman"/>
          <w:noProof/>
          <w:kern w:val="0"/>
          <w:sz w:val="24"/>
          <w:lang w:val="en-US"/>
        </w:rPr>
        <w:t>1. The Regulation prescribes the following for the credit institutions registered in Latvia, investment firms referred to in Section 11.</w:t>
      </w:r>
      <w:r w:rsidRPr="00B85061">
        <w:rPr>
          <w:rFonts w:ascii="Times New Roman" w:hAnsi="Times New Roman"/>
          <w:noProof/>
          <w:kern w:val="0"/>
          <w:sz w:val="24"/>
          <w:vertAlign w:val="superscript"/>
          <w:lang w:val="en-US"/>
        </w:rPr>
        <w:t xml:space="preserve">2 </w:t>
      </w:r>
      <w:r w:rsidRPr="00B85061">
        <w:rPr>
          <w:rFonts w:ascii="Times New Roman" w:hAnsi="Times New Roman"/>
          <w:noProof/>
          <w:kern w:val="0"/>
          <w:sz w:val="24"/>
          <w:lang w:val="en-US"/>
        </w:rPr>
        <w:t>of the Credit Institution Law, and investment firms referred to in Article 1(2) and (5) of Regulation (EU) 2019/2033 of the European Parliament and of the Council of 27 November 2019 on the prudential requirements of investment firms and amending Regulations (EU) No 1093/2010, (EU) No 575/2013, (EU) No 600/2014 and (EU) No 806/201 (hereinafter together – the institution):</w:t>
      </w:r>
      <w:bookmarkStart w:id="3" w:name="p1"/>
      <w:bookmarkEnd w:id="3"/>
    </w:p>
    <w:p w14:paraId="571EB2B7"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1.1. the minimum requirements and procedures by which the institution manages, including identifies, evaluates, analyses, and controls the interest rate risk of the non-trading book;</w:t>
      </w:r>
    </w:p>
    <w:p w14:paraId="4FBAF424"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1.2. the minimum requirements and procedures by which the institution evaluates and controls the credit spread risk of the non-trading book;</w:t>
      </w:r>
    </w:p>
    <w:p w14:paraId="5234E4DD" w14:textId="77777777" w:rsidR="00B85061" w:rsidRPr="00B85061" w:rsidRDefault="00B85061" w:rsidP="00B8506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85061">
        <w:rPr>
          <w:rFonts w:ascii="Times New Roman" w:hAnsi="Times New Roman"/>
          <w:noProof/>
          <w:kern w:val="0"/>
          <w:sz w:val="24"/>
          <w:lang w:val="en-US"/>
        </w:rPr>
        <w:t>1.3. the criteria and procedures by which Latvijas Banka determines that the internal systems implemented by the institution for the evaluation of the interest rate risk of the non-trading book are not satisfactory in accordance with the requirements of Section 49.</w:t>
      </w:r>
      <w:r w:rsidRPr="00B85061">
        <w:rPr>
          <w:rFonts w:ascii="Times New Roman" w:hAnsi="Times New Roman"/>
          <w:noProof/>
          <w:kern w:val="0"/>
          <w:sz w:val="24"/>
          <w:vertAlign w:val="superscript"/>
          <w:lang w:val="en-US"/>
        </w:rPr>
        <w:t xml:space="preserve">2 </w:t>
      </w:r>
      <w:r w:rsidRPr="00B85061">
        <w:rPr>
          <w:rFonts w:ascii="Times New Roman" w:hAnsi="Times New Roman"/>
          <w:noProof/>
          <w:kern w:val="0"/>
          <w:sz w:val="24"/>
          <w:lang w:val="en-US"/>
        </w:rPr>
        <w:t>of the Credit Institution Law;</w:t>
      </w:r>
    </w:p>
    <w:p w14:paraId="523CDFAE"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1.4. the procedures for calculating the reduction in the economic value of own funds of the institution due to sudden and unexpected changes in interest rates as set out in any of the supervisory stress scenarios applied to interest rates in accordance with the directly applicable legal acts of the European Union.</w:t>
      </w:r>
    </w:p>
    <w:p w14:paraId="045DF78C"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1255366"/>
      <w:bookmarkEnd w:id="4"/>
    </w:p>
    <w:p w14:paraId="23EE6777"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2. The following terms are used in the Regulation:</w:t>
      </w:r>
      <w:bookmarkStart w:id="5" w:name="p2"/>
      <w:bookmarkEnd w:id="5"/>
    </w:p>
    <w:p w14:paraId="0C03FD27"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2.1. components of the interest rate risk of the non-trading book (hereinafter – the interest rate risk):</w:t>
      </w:r>
    </w:p>
    <w:p w14:paraId="10136822" w14:textId="77777777" w:rsidR="00B85061" w:rsidRPr="00B85061" w:rsidRDefault="00B85061" w:rsidP="00B85061">
      <w:pPr>
        <w:shd w:val="clear" w:color="auto" w:fill="FFFFFF"/>
        <w:spacing w:after="0" w:line="240" w:lineRule="auto"/>
        <w:ind w:left="709" w:firstLine="709"/>
        <w:jc w:val="both"/>
        <w:rPr>
          <w:rFonts w:ascii="Times New Roman" w:hAnsi="Times New Roman"/>
          <w:noProof/>
          <w:kern w:val="0"/>
          <w:sz w:val="24"/>
          <w:lang w:val="en-US"/>
        </w:rPr>
      </w:pPr>
      <w:r w:rsidRPr="00B85061">
        <w:rPr>
          <w:rFonts w:ascii="Times New Roman" w:hAnsi="Times New Roman"/>
          <w:noProof/>
          <w:kern w:val="0"/>
          <w:sz w:val="24"/>
          <w:lang w:val="en-US"/>
        </w:rPr>
        <w:t>2.1.1. basis risk – the risk of incurring losses as interest rates change against interest rate sensitive instruments with the same review or maturity but different base rates;</w:t>
      </w:r>
    </w:p>
    <w:p w14:paraId="538EA536" w14:textId="77777777" w:rsidR="00B85061" w:rsidRPr="00B85061" w:rsidRDefault="00B85061" w:rsidP="00B85061">
      <w:pPr>
        <w:shd w:val="clear" w:color="auto" w:fill="FFFFFF"/>
        <w:spacing w:after="0" w:line="240" w:lineRule="auto"/>
        <w:ind w:left="709" w:firstLine="709"/>
        <w:jc w:val="both"/>
        <w:rPr>
          <w:rFonts w:ascii="Times New Roman" w:hAnsi="Times New Roman"/>
          <w:noProof/>
          <w:kern w:val="0"/>
          <w:sz w:val="24"/>
          <w:lang w:val="en-US"/>
        </w:rPr>
      </w:pPr>
      <w:r w:rsidRPr="00B85061">
        <w:rPr>
          <w:rFonts w:ascii="Times New Roman" w:hAnsi="Times New Roman"/>
          <w:noProof/>
          <w:kern w:val="0"/>
          <w:sz w:val="24"/>
          <w:lang w:val="en-US"/>
        </w:rPr>
        <w:t>2.1.2. spread risk – the risk of incurring losses due to imbalanced term structure of interest rate sensitive instruments, covering changes in the term structure of interest rates which occur consistently across the whole yield curve (parallel risk) or differently across time intervals (non-parallel risk);</w:t>
      </w:r>
    </w:p>
    <w:p w14:paraId="2264DFB0" w14:textId="77777777" w:rsidR="00B85061" w:rsidRPr="00B85061" w:rsidRDefault="00B85061" w:rsidP="00B85061">
      <w:pPr>
        <w:keepNext/>
        <w:keepLines/>
        <w:shd w:val="clear" w:color="auto" w:fill="FFFFFF"/>
        <w:spacing w:after="0" w:line="240" w:lineRule="auto"/>
        <w:ind w:left="709" w:firstLine="709"/>
        <w:jc w:val="both"/>
        <w:rPr>
          <w:rFonts w:ascii="Times New Roman" w:hAnsi="Times New Roman"/>
          <w:noProof/>
          <w:kern w:val="0"/>
          <w:sz w:val="24"/>
          <w:lang w:val="en-US"/>
        </w:rPr>
      </w:pPr>
      <w:r w:rsidRPr="00B85061">
        <w:rPr>
          <w:rFonts w:ascii="Times New Roman" w:hAnsi="Times New Roman"/>
          <w:noProof/>
          <w:kern w:val="0"/>
          <w:sz w:val="24"/>
          <w:lang w:val="en-US"/>
        </w:rPr>
        <w:t>2.1.3. optionality risk – the risk of incurring losses when interest rate sensitive instruments directly (for example, options) or indirectly (for example, credits with an early repayment option, demand deposits, time deposits with an early withdrawal option, fixed rate loan commitments, etc.) provide the institution or customer of the institution with the option to change the amount and timing of the cash flow;</w:t>
      </w:r>
    </w:p>
    <w:p w14:paraId="12E618F7"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2.2. interest rate sensitive instruments – assets (including non-performing loans that reflect the expected cash flows and timing thereof less any impairment loss recognised in the financial statements in accordance with Commission Regulation (EC) No 1126/2008 of 3 November 2008 adopting certain international accounting standards in accordance with Regulation (EC) No 1606/2002 of the European Parliament and of the Council, and also interest rate derivatives, derivatives linked to interest rates), liabilities (including interest rate derivatives, derivatives linked to interest rates, demand deposits) and off-balance sheet positions of the non-trading book (including interest rate sensitive loan commitments, interest rate derivatives, other derivatives other than interest rate derivatives but referencing the interest rate) that are sensitive to changes in interest rates, except for assets deducted from Common Equity Tier 1 within the meaning of Regulation (EU) No 575/2013 of the European Parliament and of the Council of 26 June 2013 on prudential requirements for credit institutions and investment firms and amending Regulation (EU) No 648/2012 (hereinafter – Regulation No 575/2013);</w:t>
      </w:r>
    </w:p>
    <w:p w14:paraId="20586DC9"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2.3. non-performing loan – an exposure that is a non-performing exposure within the meaning of Article 47a of Regulation No 575/2013;</w:t>
      </w:r>
    </w:p>
    <w:p w14:paraId="7B787861"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2.4. credit spread risk sensitive instruments – assets, liabilities, and off-balance sheet positions (including credit spread risk sensitive financial liabilities) in the non-trading book which are sensitive to changes in credit spread risk, except for the assets deducted from Common Equity Tier 1 within the meaning of Regulation No 575/2013;</w:t>
      </w:r>
    </w:p>
    <w:p w14:paraId="57AF2290"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2.5. market credit spread – the credit risk premium demanded by market participants for the respective credit quality;</w:t>
      </w:r>
    </w:p>
    <w:p w14:paraId="74CDDBEE"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2.6. market liquidity spread – the liquidity premium for market demand in respect of investments and the existence of buyers and sellers;</w:t>
      </w:r>
    </w:p>
    <w:p w14:paraId="187B2FB3"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2.7. residual maturity – the time from the last day of the evaluation period to the end date of the contract or the date when the respective amount is to be repaid or interest rates are to be reviewed in accordance with the terms of the contract;</w:t>
      </w:r>
    </w:p>
    <w:p w14:paraId="48E1B1C8"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2.8. economic value – the net present value of the cash flow over the residual maturity in the case of interest rate risk for interest rate sensitive instruments and in the case of credit spread risk for credit spread risk sensitive instruments in the non-trading book;</w:t>
      </w:r>
    </w:p>
    <w:p w14:paraId="156E11A3"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2.9. conditional cash flow modelling – a cash flow modelling technique when the amount or timing of cash flow depends on a specific scenario for changes in interest rates;</w:t>
      </w:r>
    </w:p>
    <w:p w14:paraId="3AA754BC"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2.10. unconditional cash flow modelling – a cash flow modelling technique when the amount and timing of cash flow does not depend on a specific scenario for changes in interest rates;</w:t>
      </w:r>
    </w:p>
    <w:p w14:paraId="406A84D1"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2.11. run-off balance sheet – a balance sheet, including on- and off-balance sheet items where existing non-trading book positions amortise and are not replaced by any new positions;</w:t>
      </w:r>
    </w:p>
    <w:p w14:paraId="51761B91"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2.12. material currency – a currency in which the carrying amount of denominated assets or liabilities is at least 5 per cent of the total financial assets or liabilities of the non-trading book or less than 5 per cent if the sum of financial assets or liabilities included in the calculation is less than 90 per cent of the total financial assets (excluding tangible assets) or liabilities of the non-trading book;</w:t>
      </w:r>
    </w:p>
    <w:p w14:paraId="3B0C7B1E"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2.13. sensitivity analysis – a stress test intended to evaluate the potential impact of a specific risk factor or several simple risk factors on a particular instrument, portfolio, or institution;</w:t>
      </w:r>
    </w:p>
    <w:p w14:paraId="68DC07E3"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2.14. scenario analysis – an evaluation that indicates how an institution or a respective portfolio can withstand a specific scenario consisting of a set of risk factors and conforming to all of the following characteristics:</w:t>
      </w:r>
    </w:p>
    <w:p w14:paraId="5C276F12" w14:textId="77777777" w:rsidR="00B85061" w:rsidRPr="00B85061" w:rsidRDefault="00B85061" w:rsidP="00B85061">
      <w:pPr>
        <w:shd w:val="clear" w:color="auto" w:fill="FFFFFF"/>
        <w:spacing w:after="0" w:line="240" w:lineRule="auto"/>
        <w:ind w:left="709" w:firstLine="709"/>
        <w:jc w:val="both"/>
        <w:rPr>
          <w:rFonts w:ascii="Times New Roman" w:hAnsi="Times New Roman"/>
          <w:noProof/>
          <w:kern w:val="0"/>
          <w:sz w:val="24"/>
          <w:lang w:val="en-US"/>
        </w:rPr>
      </w:pPr>
      <w:r w:rsidRPr="00B85061">
        <w:rPr>
          <w:rFonts w:ascii="Times New Roman" w:hAnsi="Times New Roman"/>
          <w:noProof/>
          <w:kern w:val="0"/>
          <w:sz w:val="24"/>
          <w:lang w:val="en-US"/>
        </w:rPr>
        <w:t>2.14.1. the risk factors are harmonised;</w:t>
      </w:r>
    </w:p>
    <w:p w14:paraId="6FDCFD0C" w14:textId="77777777" w:rsidR="00B85061" w:rsidRPr="00B85061" w:rsidRDefault="00B85061" w:rsidP="00B85061">
      <w:pPr>
        <w:shd w:val="clear" w:color="auto" w:fill="FFFFFF"/>
        <w:spacing w:after="0" w:line="240" w:lineRule="auto"/>
        <w:ind w:left="709" w:firstLine="709"/>
        <w:jc w:val="both"/>
        <w:rPr>
          <w:rFonts w:ascii="Times New Roman" w:hAnsi="Times New Roman"/>
          <w:noProof/>
          <w:kern w:val="0"/>
          <w:sz w:val="24"/>
          <w:lang w:val="en-US"/>
        </w:rPr>
      </w:pPr>
      <w:r w:rsidRPr="00B85061">
        <w:rPr>
          <w:rFonts w:ascii="Times New Roman" w:hAnsi="Times New Roman"/>
          <w:noProof/>
          <w:kern w:val="0"/>
          <w:sz w:val="24"/>
          <w:lang w:val="en-US"/>
        </w:rPr>
        <w:t>2.14.2. the risk factors forming the specific set envisage simultaneous occurrence of forward-looking events that cover risks and entrepreneurship areas;</w:t>
      </w:r>
    </w:p>
    <w:p w14:paraId="0BE4AAB3" w14:textId="77777777" w:rsidR="00B85061" w:rsidRPr="00B85061" w:rsidRDefault="00B85061" w:rsidP="00B85061">
      <w:pPr>
        <w:shd w:val="clear" w:color="auto" w:fill="FFFFFF"/>
        <w:spacing w:after="0" w:line="240" w:lineRule="auto"/>
        <w:ind w:left="709" w:firstLine="709"/>
        <w:jc w:val="both"/>
        <w:rPr>
          <w:rFonts w:ascii="Times New Roman" w:hAnsi="Times New Roman"/>
          <w:noProof/>
          <w:kern w:val="0"/>
          <w:sz w:val="24"/>
          <w:lang w:val="en-US"/>
        </w:rPr>
      </w:pPr>
      <w:r w:rsidRPr="00B85061">
        <w:rPr>
          <w:rFonts w:ascii="Times New Roman" w:hAnsi="Times New Roman"/>
          <w:noProof/>
          <w:kern w:val="0"/>
          <w:sz w:val="24"/>
          <w:lang w:val="en-US"/>
        </w:rPr>
        <w:t>2.14.3. the aim of the set of risk factors is to reveal as much as possible the nature of the associated risks of the portfolios, including over time, at the level of interaction, and the secondary effects thereof.</w:t>
      </w:r>
    </w:p>
    <w:p w14:paraId="5E7559E3"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 w:name="p-1255367"/>
      <w:bookmarkEnd w:id="6"/>
    </w:p>
    <w:p w14:paraId="57063088"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3. Institutions supervised by the European Central Bank and bounded by the requirements laid down by the European Central Bank for the management of interest rate risk and for the assessment and supervision of credit spread risk in the non-trading book (hereinafter – the credit spread risk) shall apply this Regulation, unless the European Central Bank has laid down requirements for the management of interest rate risk and for the assessment and supervision of credit spread risk.</w:t>
      </w:r>
      <w:bookmarkStart w:id="7" w:name="p3"/>
      <w:bookmarkEnd w:id="7"/>
    </w:p>
    <w:p w14:paraId="2380ADCB"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1255368"/>
      <w:bookmarkEnd w:id="8"/>
    </w:p>
    <w:p w14:paraId="1A981D2A"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4. The institution shall comply with the requirements of this Regulation individually and at the level of the prudential consolidation group or on a sub-consolidated basis within the meaning of Regulation No 575/2013, ensuring that the interest rate risk is managed and the credit spread risk is assessed and supervised in compliance with the requirements of this Regulation.</w:t>
      </w:r>
      <w:bookmarkStart w:id="9" w:name="p4"/>
      <w:bookmarkEnd w:id="9"/>
    </w:p>
    <w:p w14:paraId="58A3949F"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1255369"/>
      <w:bookmarkEnd w:id="10"/>
    </w:p>
    <w:p w14:paraId="168972BA"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5. When applying the requirements contained in this Regulation and establishing a system for the management of interest rate risk and for the assessment and supervision of credit spread risk which is suitable for its operations, the institution shall take into account the following:</w:t>
      </w:r>
      <w:bookmarkStart w:id="11" w:name="p5"/>
      <w:bookmarkEnd w:id="11"/>
    </w:p>
    <w:p w14:paraId="320310AE"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5.1. the amount of the current and potential exposures exposed to the interest rate risk and credit spread risk, depending on the size, complexity, and diversity of the non-trading book positions;</w:t>
      </w:r>
    </w:p>
    <w:p w14:paraId="3AA3A526"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5.2. the size, nature of work, business model, and operational strategy of the institution;</w:t>
      </w:r>
    </w:p>
    <w:p w14:paraId="330376A7"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5.3. the current and foreseeable business environment conditions;</w:t>
      </w:r>
    </w:p>
    <w:p w14:paraId="26EBA1F6"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5.4. the potential impact of the interest rate risk and credit spread risk on the continuity of the institution’s operations;</w:t>
      </w:r>
    </w:p>
    <w:p w14:paraId="38B1242C"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5.5. the number of units involved in the management of interest rate risk and in the assessment and supervision of credit spread risk, including specialists with an appropriate qualification and experience;</w:t>
      </w:r>
    </w:p>
    <w:p w14:paraId="7EC58299"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5.6. the risk profile and general approach to risk management to ensure that the systems for the management of interest rate risk and credit spread risk are aligned with the general approach to risk management;</w:t>
      </w:r>
    </w:p>
    <w:p w14:paraId="7A3026E2"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5.7. any other factors that significantly affect the level of interest rate risk and credit spread risk of the specific institution.</w:t>
      </w:r>
    </w:p>
    <w:p w14:paraId="24509D52"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1255370"/>
      <w:bookmarkEnd w:id="12"/>
    </w:p>
    <w:p w14:paraId="43B017F3"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6. The institution shall continuously manage the interest rate risk and assess and supervise the credit spread risk throughout the entire existence of the transaction exposed to the interest rate risk and credit spread risk in respect of both economic value and net interest income, additionally taking into account changes in the market value of instruments measured at fair value. The institution shall take into account an increase or decrease in profit, loss, and own funds for the short and medium term resulting from changes in interest rate or credit spread risk.</w:t>
      </w:r>
      <w:bookmarkStart w:id="13" w:name="p6"/>
      <w:bookmarkEnd w:id="13"/>
    </w:p>
    <w:p w14:paraId="559391DA"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1255371"/>
      <w:bookmarkEnd w:id="14"/>
    </w:p>
    <w:p w14:paraId="194F4A77" w14:textId="77777777" w:rsidR="00B85061" w:rsidRPr="00B85061" w:rsidRDefault="00B85061" w:rsidP="00B85061">
      <w:pPr>
        <w:keepNext/>
        <w:keepLines/>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7. The institution shall determine changes in net interest income as a difference between the expected net interest income according to the stress scenario, assuming that the institution will continue to operate, and the expected net interest income according to the baseline scenario which is based on the forecasts for operations of the institution, economic development, and business environment. Net interest income shall include interest income and interest expense.</w:t>
      </w:r>
      <w:bookmarkStart w:id="15" w:name="p7"/>
      <w:bookmarkEnd w:id="15"/>
    </w:p>
    <w:p w14:paraId="11E86AC9"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 w:name="p-1255372"/>
      <w:bookmarkEnd w:id="16"/>
    </w:p>
    <w:p w14:paraId="1C55534D"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8. When determining changes in economic value or economic value of own funds as a difference between the expected economic value or economic value of own funds according to the stress scenario and the expected economic value or economic value of own funds according to the baseline scenario respectively which is based on the forecasts for operations of the institution, economic development, and business environment, the institution shall take into account the run-off balance sheet. The economic value of own funds shall reflect the economic value, excluding own funds from the cash flow.</w:t>
      </w:r>
      <w:bookmarkStart w:id="17" w:name="p8"/>
      <w:bookmarkEnd w:id="17"/>
    </w:p>
    <w:p w14:paraId="10695FE2"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 w:name="p-1255373"/>
      <w:bookmarkEnd w:id="18"/>
    </w:p>
    <w:p w14:paraId="35900957"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9. The institution shall determine changes in the market value of instruments in the non-trading book which are measured at fair value at the end of the assessment period as a difference between the expected market value according to the stress scenario, assuming that the institution will continue to operate, and the expected market value according to the baseline scenario which is based on the forecasts for operations of the institution, economic development, and business environment.</w:t>
      </w:r>
      <w:bookmarkStart w:id="19" w:name="p9"/>
      <w:bookmarkEnd w:id="19"/>
    </w:p>
    <w:p w14:paraId="71C316D5"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1255374"/>
      <w:bookmarkEnd w:id="20"/>
    </w:p>
    <w:p w14:paraId="644FED7A"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10. The institution shall ensure that its process of the management of interest rate risk and the assessment and supervision of credit spread risk is documented, including:</w:t>
      </w:r>
      <w:bookmarkStart w:id="21" w:name="p10"/>
      <w:bookmarkEnd w:id="21"/>
    </w:p>
    <w:p w14:paraId="69564426"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10.1. the institution’s internal normative documents (including policies, procedures, by-laws, instructions) regarding the management of interest rate risk and the assessment and supervision of credit spread risk are documented and approved at an appropriate management level;</w:t>
      </w:r>
    </w:p>
    <w:p w14:paraId="2D81560C"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10.2. all assumptions made in the management of interest rate risk and the assessment and supervision of credit spread risk, including stress testing, are documented, and also the impact of these assumptions on the overall results is analysed;</w:t>
      </w:r>
    </w:p>
    <w:p w14:paraId="55CEE7F2"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10.3. results of the assessment of interest rate risk and credit spread risk are documented and approved by the responsible body of the institution and at least once in a calendar quarter at a relevant management level in accordance with the procedures laid down by the institution.</w:t>
      </w:r>
    </w:p>
    <w:p w14:paraId="7DA503BB"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1255375"/>
      <w:bookmarkEnd w:id="22"/>
    </w:p>
    <w:p w14:paraId="3E8D0E73"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11. The requirements of this Regulation for the interest rate risk shall be applicable to all interest rate sensitive instruments, including pension plan assets and pension liabilities, and also small trading book business identified in accordance with Article 94 of Regulation No 575/2013 if the assessment of the interest rate risk thereof is not included in the management of another risk. The interest rate risk shall reflect the current and potential future adverse impact of changes in interest rates which affects the interest rate sensitive instruments in the non-trading book on the economic value of own funds of the institution or net interest income, additionally taking into account changes in the market value of instruments measured at fair value.</w:t>
      </w:r>
      <w:bookmarkStart w:id="23" w:name="p11"/>
      <w:bookmarkEnd w:id="23"/>
    </w:p>
    <w:p w14:paraId="447032CF"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 w:name="p-1255376"/>
      <w:bookmarkEnd w:id="24"/>
    </w:p>
    <w:p w14:paraId="1F5A11A8"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12. The requirements of this Regulation for the credit spread risk shall be applicable to all interest rate sensitive instruments, except for non-performing loans, all instruments in the non-trading book measured at fair value, and also small trading book business identified in accordance with Article 94 of Regulation No 575/2013 if the assessment of the credit spread risk thereof is not included in the management of another risk. When assessing the credit spread risk, the institution shall take into account that it arises from changes in the market price of credit risk, liquidity, and other characteristics of the instruments exposed to the credit risk which cannot be explained by the interest rate risk or expected default risk or credit risk, assuming that the level of creditworthiness (for example, credit rating, default probability) remains unchanged, i.e. the credit spread risk does not include the impact of changes in credit quality. In particular, negative changes in the institution’s credit quality may not positively affect the level of credit spread risk. The institution shall properly justify and document clear, objective, and transparent information on the exclusion of any instrument reflected in the non-trading book from the assessment and supervision of the credit spread risk due to the absence of sensitivity to changes in the credit spread and on the exclusion process.</w:t>
      </w:r>
      <w:bookmarkStart w:id="25" w:name="p12"/>
      <w:bookmarkEnd w:id="25"/>
    </w:p>
    <w:p w14:paraId="5D64276E"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 w:name="p-1255377"/>
      <w:bookmarkEnd w:id="26"/>
    </w:p>
    <w:p w14:paraId="66499926"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13. Requirements of this Regulation shall be applicable to all areas of operations and services of the institution with the interest rate risk and credit spread risk.</w:t>
      </w:r>
      <w:bookmarkStart w:id="27" w:name="p13"/>
      <w:bookmarkEnd w:id="27"/>
    </w:p>
    <w:p w14:paraId="3085401D"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 w:name="p-1255378"/>
      <w:bookmarkEnd w:id="28"/>
    </w:p>
    <w:p w14:paraId="02F9754D"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14. Supervisory board and executive board of the institution shall be responsible for the establishment and efficient functioning of the process of managing the interest rate risk and assessing and supervising the credit spread risk, ensuring that members of the supervisory board and executive board have sufficient knowledge and experience and they dedicate sufficient time to address the issues related to the management of interest rate risk and the assessment and supervision of credit spread risk.</w:t>
      </w:r>
      <w:bookmarkStart w:id="29" w:name="p14"/>
      <w:bookmarkEnd w:id="29"/>
    </w:p>
    <w:p w14:paraId="3715B981"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n2"/>
      <w:bookmarkStart w:id="31" w:name="n-1255379"/>
      <w:bookmarkEnd w:id="30"/>
      <w:bookmarkEnd w:id="31"/>
    </w:p>
    <w:p w14:paraId="577A5BFC" w14:textId="77777777" w:rsidR="00B85061" w:rsidRPr="00B85061" w:rsidRDefault="00B85061" w:rsidP="00B85061">
      <w:pPr>
        <w:shd w:val="clear" w:color="auto" w:fill="FFFFFF"/>
        <w:spacing w:after="0" w:line="240" w:lineRule="auto"/>
        <w:jc w:val="center"/>
        <w:rPr>
          <w:rFonts w:ascii="Times New Roman" w:hAnsi="Times New Roman"/>
          <w:b/>
          <w:noProof/>
          <w:kern w:val="0"/>
          <w:sz w:val="24"/>
          <w:lang w:val="en-US"/>
        </w:rPr>
      </w:pPr>
      <w:r w:rsidRPr="00B85061">
        <w:rPr>
          <w:rFonts w:ascii="Times New Roman" w:hAnsi="Times New Roman"/>
          <w:b/>
          <w:noProof/>
          <w:kern w:val="0"/>
          <w:sz w:val="24"/>
          <w:lang w:val="en-US"/>
        </w:rPr>
        <w:t>2. Interest Rate Risk and Credit Spread Risk Strategy and Internal Normative Documents for Implementation Thereof</w:t>
      </w:r>
    </w:p>
    <w:p w14:paraId="0C27C664"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 w:name="p-1255380"/>
      <w:bookmarkEnd w:id="32"/>
    </w:p>
    <w:p w14:paraId="6CF296C2"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15. The institution shall ensure that the process of managing the interest rate risk and assessing and supervising the credit spread risk is an integral part of the institution’s risk management system, capital adequacy assessment, and operational planning.</w:t>
      </w:r>
      <w:bookmarkStart w:id="33" w:name="p15"/>
      <w:bookmarkEnd w:id="33"/>
    </w:p>
    <w:p w14:paraId="318E85AA"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 w:name="p-1255381"/>
      <w:bookmarkEnd w:id="34"/>
    </w:p>
    <w:p w14:paraId="43AAA7E5"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16. The institution shall ensure the management of interest rate risk and the assessment and supervision of credit spread risk, taking into account interaction thereof with other risks inherent to the operations of the institution, such as market risk, liquidity risk, operational risk, credit risk.</w:t>
      </w:r>
      <w:bookmarkStart w:id="35" w:name="p16"/>
      <w:bookmarkEnd w:id="35"/>
    </w:p>
    <w:p w14:paraId="04F7CD91"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 w:name="p-1255382"/>
      <w:bookmarkEnd w:id="36"/>
    </w:p>
    <w:p w14:paraId="3195F131"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17. The institution shall ensure that the interest rate risk and credit spread risk strategy is part of the institution’s overall risk strategy which is aligned with the process of assessing capital and liquidity adequacy.</w:t>
      </w:r>
      <w:bookmarkStart w:id="37" w:name="p17"/>
      <w:bookmarkEnd w:id="37"/>
    </w:p>
    <w:p w14:paraId="6052C382"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 w:name="p-1255383"/>
      <w:bookmarkEnd w:id="38"/>
    </w:p>
    <w:p w14:paraId="622342D8"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18. The interest rate risk strategy shall determine at least the following:</w:t>
      </w:r>
      <w:bookmarkStart w:id="39" w:name="p18"/>
      <w:bookmarkEnd w:id="39"/>
    </w:p>
    <w:p w14:paraId="7DC83287"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18.1. objectives of efficient management of interest rate risk;</w:t>
      </w:r>
    </w:p>
    <w:p w14:paraId="044771FD"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18.2. basic principles for the management of interest rate risk;</w:t>
      </w:r>
    </w:p>
    <w:p w14:paraId="43EC9DA6"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18.3. the acceptable level of interest rate risk that the institution is willing to obtain by taking the relevant interest rate risk;</w:t>
      </w:r>
    </w:p>
    <w:p w14:paraId="6768BF9F"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18.4. the desired level of interest rate risk as the acceptable impact of changes in interest rates on economic value and net interest income, additionally taking into account changes in the market value of instruments measured at fair value;</w:t>
      </w:r>
    </w:p>
    <w:p w14:paraId="388C1A31"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18.5. the ultimate possible level of interest rate risk that the institution is able to cover with available resources;</w:t>
      </w:r>
    </w:p>
    <w:p w14:paraId="71D5A510"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18.6. actions to ensure compliance with the acceptable level of interest rate risk;</w:t>
      </w:r>
    </w:p>
    <w:p w14:paraId="2C2A39CB"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18.7. the amount of capital necessary to cover the interest rate risk and changes thereof, applying different economic development scenarios and solutions that the institution intends to apply if the institution cannot comply with the own funds requirements in any of the scenarios;</w:t>
      </w:r>
    </w:p>
    <w:p w14:paraId="6AF7F8A2"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18.8. prescribed methods for mitigating the interest rate risk, including the acceptable strategies for hedging the interest rate risk and the instruments to be used, and also the potential consequences of mitigating the interest rate risk by using derivatives.</w:t>
      </w:r>
    </w:p>
    <w:p w14:paraId="460A6187"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 w:name="p-1255384"/>
      <w:bookmarkEnd w:id="40"/>
    </w:p>
    <w:p w14:paraId="174C497E"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19. The credit spread risk strategy shall determine at least the following:</w:t>
      </w:r>
      <w:bookmarkStart w:id="41" w:name="p19"/>
      <w:bookmarkEnd w:id="41"/>
    </w:p>
    <w:p w14:paraId="64AC2B42"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19.1. objectives of efficient assessment and supervision of credit spread risk;</w:t>
      </w:r>
    </w:p>
    <w:p w14:paraId="3C045D91"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19.1. basic principles for the assessment and supervision of credit spread risk;</w:t>
      </w:r>
    </w:p>
    <w:p w14:paraId="0E864E4F"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19.3. the acceptable level of credit spread risk;</w:t>
      </w:r>
    </w:p>
    <w:p w14:paraId="5176DCE1"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19.4. the desired level of credit spread risk as the acceptable impact of changes in credit spread on economic value and net interest income, additionally taking into account changes in the market value of instruments measured at fair value, depending on the exposure to credit spread risk;</w:t>
      </w:r>
    </w:p>
    <w:p w14:paraId="580475B5"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19.5. the ultimate possible level of credit spread risk that the institution is able to cover with available resources;</w:t>
      </w:r>
    </w:p>
    <w:p w14:paraId="3E249604"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19.6. actions to ensure compliance with the acceptable level of credit spread risk;</w:t>
      </w:r>
    </w:p>
    <w:p w14:paraId="1C9BFB8F"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19.7. the amount of capital necessary to cover the credit spread risk, where necessary, and changes thereof, applying different economic development scenarios and solutions that the institution intends to apply if the institution cannot comply with the own funds requirements in any of the scenarios.</w:t>
      </w:r>
    </w:p>
    <w:p w14:paraId="270E6A34"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 w:name="p-1255385"/>
      <w:bookmarkEnd w:id="42"/>
    </w:p>
    <w:p w14:paraId="6F0D0AC7"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20. Determination of the acceptable and desired levels of interest rate risk and credit spread risk and other parameters of interest rate risk and credit spread risk shall be based on the results of the assessment of the institution’s ability to take the interest rate risk and credit spread risk, including on assessments of economic value and assessments of net interest income, and assessments of changes in the market value of instruments in the non-trading book measured at fair value.</w:t>
      </w:r>
      <w:bookmarkStart w:id="43" w:name="p20"/>
      <w:bookmarkEnd w:id="43"/>
    </w:p>
    <w:p w14:paraId="626375D8"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 w:name="p-1255386"/>
      <w:bookmarkEnd w:id="44"/>
    </w:p>
    <w:p w14:paraId="1CACBB8F"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21. If the institution’s business model is based on generating net interest income by using the yield curve, namely by combining financial assets with a comparatively long repricing period and liabilities with a comparatively short repricing period, the institution shall specify in its interest rate risk strategy how it intends to overcome periods with a flat or inverse yield curve.</w:t>
      </w:r>
      <w:bookmarkStart w:id="45" w:name="p21"/>
      <w:bookmarkEnd w:id="45"/>
    </w:p>
    <w:p w14:paraId="29A4197E"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 w:name="p-1255387"/>
      <w:bookmarkEnd w:id="46"/>
    </w:p>
    <w:p w14:paraId="1772C7A0"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22. The institution arranging significant transactions exposed to spread risk, basis risk, and optionality risk shall determine the desired level of interest rate risk and other parameters characterising interest rate risk separately for the spread risk, basis risk, and optionality risk.</w:t>
      </w:r>
      <w:bookmarkStart w:id="47" w:name="p22"/>
      <w:bookmarkEnd w:id="47"/>
    </w:p>
    <w:p w14:paraId="2960F83A"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1255388"/>
      <w:bookmarkEnd w:id="48"/>
    </w:p>
    <w:p w14:paraId="081F9E44"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23. The institution shall establish criteria for identifying materiality for the components of interest rate risk specified in Paragraph 22 of this Regulation.</w:t>
      </w:r>
      <w:bookmarkStart w:id="49" w:name="p23"/>
      <w:bookmarkEnd w:id="49"/>
    </w:p>
    <w:p w14:paraId="40075E56"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 w:name="p-1255389"/>
      <w:bookmarkEnd w:id="50"/>
    </w:p>
    <w:p w14:paraId="75BAD597"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24. In determining the desired level of interest rate risk in respect of both economic value and net interest income, additionally taking into account changes in the market value of instruments measured at fair value, the institution shall take into account at least the following:</w:t>
      </w:r>
      <w:bookmarkStart w:id="51" w:name="p24"/>
      <w:bookmarkEnd w:id="51"/>
    </w:p>
    <w:p w14:paraId="1BA10595"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24.1. the impact of accounting policy on net interest income risk, separately analysing the impact of changes in interest rates on interest income, interest expense, and market value of instruments reflected in both the profit or loss statement and other comprehensive income included in the own funds item;</w:t>
      </w:r>
    </w:p>
    <w:p w14:paraId="0B5FE532"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24.2. the potential impact of interest rate derivatives used for hedging risk on the profit or loss statement if the effectiveness of the respective instruments is limited by changes in interest rates;</w:t>
      </w:r>
    </w:p>
    <w:p w14:paraId="78E86E40"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24.3. the impact of instruments measured at fair value with embedded optionality on net interest income at various stress levels of stress test of interest rates, namely from the baseline scenario which is based on the forecasts for operations of the institution, economic development, and business environment to a significant unfavourable scenario.</w:t>
      </w:r>
    </w:p>
    <w:p w14:paraId="07DA8B35"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 w:name="p-1255390"/>
      <w:bookmarkEnd w:id="52"/>
    </w:p>
    <w:p w14:paraId="661B30C4"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25. The institution shall determine the ultimate possible levels of interest rate risk and credit spread risk, taking into account other risks inherent to the operations of the institution resulting from the risk strategy of the institution.</w:t>
      </w:r>
      <w:bookmarkStart w:id="53" w:name="p25"/>
      <w:bookmarkEnd w:id="53"/>
    </w:p>
    <w:p w14:paraId="3C2AB81A"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 w:name="p-1255391"/>
      <w:bookmarkEnd w:id="54"/>
    </w:p>
    <w:p w14:paraId="4DE5A2AC"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26. When taking the decision on activities hedging the interest rate risk, the institution shall take into account the impact of accounting policy, however, the accounting methods may not determine the approach to the management of interest rate risk.</w:t>
      </w:r>
      <w:bookmarkStart w:id="55" w:name="p26"/>
      <w:bookmarkEnd w:id="55"/>
    </w:p>
    <w:p w14:paraId="7D9E8988"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 w:name="p-1255392"/>
      <w:bookmarkEnd w:id="56"/>
    </w:p>
    <w:p w14:paraId="460F1992"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27. When developing the interest rate risk and credit spread risk strategy, the institution shall evaluate the qualification and availability of employees necessary for the implementation thereof, and also the capabilities of the information system and organisational structure of the management to implement this strategy.</w:t>
      </w:r>
      <w:bookmarkStart w:id="57" w:name="p27"/>
      <w:bookmarkEnd w:id="57"/>
    </w:p>
    <w:p w14:paraId="4C54D6EC"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 w:name="p-1255393"/>
      <w:bookmarkEnd w:id="58"/>
    </w:p>
    <w:p w14:paraId="6DC5F040"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28. The institution shall establish and implement a risk culture in the areas of the management of interest rate risk and the assessment and supervision of credit spread risk in accordance with the requirements laid down in laws and regulations for the establishment of the internal control system.</w:t>
      </w:r>
      <w:bookmarkStart w:id="59" w:name="p28"/>
      <w:bookmarkEnd w:id="59"/>
    </w:p>
    <w:p w14:paraId="5D9EC341"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 w:name="p-1255394"/>
      <w:bookmarkEnd w:id="60"/>
    </w:p>
    <w:p w14:paraId="2EB58622"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29. The institution shall be obliged to achieve that the internal normative documents thereof in the area of the management of interest rate risk and also in the area of the assessment and supervision of credit spread risk ensure the implementation of the interest rate risk and credit spread risk strategy and determine authorities and regulations for the efficient identification, assessment, analysis, and monitoring of interest rate risk and also for the assessment and supervision of credit spread risk. The internal normative documents of the institution shall lay down requirements that are at least as cautious as the regulatory requirements.</w:t>
      </w:r>
      <w:bookmarkStart w:id="61" w:name="p29"/>
      <w:bookmarkEnd w:id="61"/>
    </w:p>
    <w:p w14:paraId="04E780F3"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 w:name="p-1255395"/>
      <w:bookmarkEnd w:id="62"/>
    </w:p>
    <w:p w14:paraId="404A9F67"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30. The institution shall develop policies and procedures related to the management of interest rate risk which include at least the following:</w:t>
      </w:r>
      <w:bookmarkStart w:id="63" w:name="p30"/>
      <w:bookmarkEnd w:id="63"/>
    </w:p>
    <w:p w14:paraId="09D203F2"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30.1. the mutual separation of the non-trading book and trading book and the procedures for and supervision of internal risk transfer between books;</w:t>
      </w:r>
    </w:p>
    <w:p w14:paraId="58EE0001"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30.2. the definition of economic value used by the institution and conformity thereof to the method used for the valuation of asset and liability items;</w:t>
      </w:r>
    </w:p>
    <w:p w14:paraId="3D82FCD5"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30.3. the definition of net interest income used by the institution, additionally taking into account changes in the market value of instruments measured at fair value, and conformity thereof to the used approach to financial forecasting;</w:t>
      </w:r>
    </w:p>
    <w:p w14:paraId="652A4261"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30.4. the cash flow modelling techniques used (conditional or unconditional cash flow modelling);</w:t>
      </w:r>
    </w:p>
    <w:p w14:paraId="21417CA0"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30.5. the assessment of fixed rate loan commitments, including the hedging of any related risk;</w:t>
      </w:r>
    </w:p>
    <w:p w14:paraId="6856C37D"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30.6. the sources of information necessary for the management of interest rate and the storage procedures thereof, and also the information technology systems used;</w:t>
      </w:r>
    </w:p>
    <w:p w14:paraId="6396898B"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30.7. the approach to and methods for the assessment of interest rate risk;</w:t>
      </w:r>
    </w:p>
    <w:p w14:paraId="2127925C"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30.8. the stress testing for interest rate risk, ranging from a simple sensitivity analysis to scenario analysis at different stress levels, namely from the baseline scenario which is based on the forecasts for operations of the institution, economic development, and business environment to a significant unfavourable scenario;</w:t>
      </w:r>
    </w:p>
    <w:p w14:paraId="06268661"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30.9. the aggregation of interest rate risk exposures in different currencies;</w:t>
      </w:r>
    </w:p>
    <w:p w14:paraId="0EFDD823"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30.10. the procedures for managing, including identifying, assessing, analysing, and supervising, the basis risk, optionality risk, and spread risk;</w:t>
      </w:r>
    </w:p>
    <w:p w14:paraId="3B59603A"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30.11. the behavioural and modelling assumptions used in the assessment of interest rate risk in respect of both economic value and net interest income, additionally taking into account changes in the market value of instruments measured at fair value, at least for the following areas:</w:t>
      </w:r>
    </w:p>
    <w:p w14:paraId="6ECD5CAC" w14:textId="77777777" w:rsidR="00B85061" w:rsidRPr="00B85061" w:rsidRDefault="00B85061" w:rsidP="00B85061">
      <w:pPr>
        <w:shd w:val="clear" w:color="auto" w:fill="FFFFFF"/>
        <w:spacing w:after="0" w:line="240" w:lineRule="auto"/>
        <w:ind w:left="709" w:firstLine="709"/>
        <w:jc w:val="both"/>
        <w:rPr>
          <w:rFonts w:ascii="Times New Roman" w:hAnsi="Times New Roman"/>
          <w:noProof/>
          <w:kern w:val="0"/>
          <w:sz w:val="24"/>
          <w:lang w:val="en-US"/>
        </w:rPr>
      </w:pPr>
      <w:r w:rsidRPr="00B85061">
        <w:rPr>
          <w:rFonts w:ascii="Times New Roman" w:hAnsi="Times New Roman"/>
          <w:noProof/>
          <w:kern w:val="0"/>
          <w:sz w:val="24"/>
          <w:lang w:val="en-US"/>
        </w:rPr>
        <w:t>30.11.1. the level of detail used in calculations (for example, the use of time intervals or term groups, provided that the criteria for the allocation of cash flow remain consistent to ensure data comparability over different periods);</w:t>
      </w:r>
    </w:p>
    <w:p w14:paraId="576916E3" w14:textId="77777777" w:rsidR="00B85061" w:rsidRPr="00B85061" w:rsidRDefault="00B85061" w:rsidP="00B85061">
      <w:pPr>
        <w:shd w:val="clear" w:color="auto" w:fill="FFFFFF"/>
        <w:spacing w:after="0" w:line="240" w:lineRule="auto"/>
        <w:ind w:left="709" w:firstLine="709"/>
        <w:jc w:val="both"/>
        <w:rPr>
          <w:rFonts w:ascii="Times New Roman" w:hAnsi="Times New Roman"/>
          <w:noProof/>
          <w:kern w:val="0"/>
          <w:sz w:val="24"/>
          <w:lang w:val="en-US"/>
        </w:rPr>
      </w:pPr>
      <w:r w:rsidRPr="00B85061">
        <w:rPr>
          <w:rFonts w:ascii="Times New Roman" w:hAnsi="Times New Roman"/>
          <w:noProof/>
          <w:kern w:val="0"/>
          <w:sz w:val="24"/>
          <w:lang w:val="en-US"/>
        </w:rPr>
        <w:t>30.11.2. the balances of sight deposits, settlement accounts, savings accounts, and other liability items with short contractual residual maturity but long behavioural residual maturity, and also the interest flow from them;</w:t>
      </w:r>
    </w:p>
    <w:p w14:paraId="759FEB96" w14:textId="77777777" w:rsidR="00B85061" w:rsidRPr="00B85061" w:rsidRDefault="00B85061" w:rsidP="00B85061">
      <w:pPr>
        <w:shd w:val="clear" w:color="auto" w:fill="FFFFFF"/>
        <w:spacing w:after="0" w:line="240" w:lineRule="auto"/>
        <w:ind w:left="709" w:firstLine="709"/>
        <w:jc w:val="both"/>
        <w:rPr>
          <w:rFonts w:ascii="Times New Roman" w:hAnsi="Times New Roman"/>
          <w:noProof/>
          <w:kern w:val="0"/>
          <w:sz w:val="24"/>
          <w:lang w:val="en-US"/>
        </w:rPr>
      </w:pPr>
      <w:r w:rsidRPr="00B85061">
        <w:rPr>
          <w:rFonts w:ascii="Times New Roman" w:hAnsi="Times New Roman"/>
          <w:noProof/>
          <w:kern w:val="0"/>
          <w:sz w:val="24"/>
          <w:lang w:val="en-US"/>
        </w:rPr>
        <w:t>30.11.3. the time deposits with an early withdrawal option;</w:t>
      </w:r>
    </w:p>
    <w:p w14:paraId="131DD3A1" w14:textId="77777777" w:rsidR="00B85061" w:rsidRPr="00B85061" w:rsidRDefault="00B85061" w:rsidP="00B85061">
      <w:pPr>
        <w:shd w:val="clear" w:color="auto" w:fill="FFFFFF"/>
        <w:spacing w:after="0" w:line="240" w:lineRule="auto"/>
        <w:ind w:left="709" w:firstLine="709"/>
        <w:jc w:val="both"/>
        <w:rPr>
          <w:rFonts w:ascii="Times New Roman" w:hAnsi="Times New Roman"/>
          <w:noProof/>
          <w:kern w:val="0"/>
          <w:sz w:val="24"/>
          <w:lang w:val="en-US"/>
        </w:rPr>
      </w:pPr>
      <w:r w:rsidRPr="00B85061">
        <w:rPr>
          <w:rFonts w:ascii="Times New Roman" w:hAnsi="Times New Roman"/>
          <w:noProof/>
          <w:kern w:val="0"/>
          <w:sz w:val="24"/>
          <w:lang w:val="en-US"/>
        </w:rPr>
        <w:t>30.11.4. the fixed interest rate loans, including with an early redemption option, and loan commitments;</w:t>
      </w:r>
    </w:p>
    <w:p w14:paraId="7A4C7DF5" w14:textId="77777777" w:rsidR="00B85061" w:rsidRPr="00B85061" w:rsidRDefault="00B85061" w:rsidP="00B85061">
      <w:pPr>
        <w:shd w:val="clear" w:color="auto" w:fill="FFFFFF"/>
        <w:spacing w:after="0" w:line="240" w:lineRule="auto"/>
        <w:ind w:left="709" w:firstLine="709"/>
        <w:jc w:val="both"/>
        <w:rPr>
          <w:rFonts w:ascii="Times New Roman" w:hAnsi="Times New Roman"/>
          <w:noProof/>
          <w:kern w:val="0"/>
          <w:sz w:val="24"/>
          <w:lang w:val="en-US"/>
        </w:rPr>
      </w:pPr>
      <w:r w:rsidRPr="00B85061">
        <w:rPr>
          <w:rFonts w:ascii="Times New Roman" w:hAnsi="Times New Roman"/>
          <w:noProof/>
          <w:kern w:val="0"/>
          <w:sz w:val="24"/>
          <w:lang w:val="en-US"/>
        </w:rPr>
        <w:t>30.11.5. the own funds items included in the calculation of economic value;</w:t>
      </w:r>
    </w:p>
    <w:p w14:paraId="6389223A" w14:textId="77777777" w:rsidR="00B85061" w:rsidRPr="00B85061" w:rsidRDefault="00B85061" w:rsidP="00B85061">
      <w:pPr>
        <w:shd w:val="clear" w:color="auto" w:fill="FFFFFF"/>
        <w:spacing w:after="0" w:line="240" w:lineRule="auto"/>
        <w:ind w:left="709" w:firstLine="709"/>
        <w:jc w:val="both"/>
        <w:rPr>
          <w:rFonts w:ascii="Times New Roman" w:hAnsi="Times New Roman"/>
          <w:noProof/>
          <w:kern w:val="0"/>
          <w:sz w:val="24"/>
          <w:lang w:val="en-US"/>
        </w:rPr>
      </w:pPr>
      <w:r w:rsidRPr="00B85061">
        <w:rPr>
          <w:rFonts w:ascii="Times New Roman" w:hAnsi="Times New Roman"/>
          <w:noProof/>
          <w:kern w:val="0"/>
          <w:sz w:val="24"/>
          <w:lang w:val="en-US"/>
        </w:rPr>
        <w:t>30.11.6. the use of optionality and interest rate options of the institution and customers (automatic and behavioural, embedded and direct) and the consequences of using the optionality, including stress testing at different stress levels, namely from the baseline scenario which is based on the forecasts for operations of the institution, economic development, and business environment to a significant unfavourable scenario;</w:t>
      </w:r>
    </w:p>
    <w:p w14:paraId="1EF2FF96" w14:textId="77777777" w:rsidR="00B85061" w:rsidRPr="00B85061" w:rsidRDefault="00B85061" w:rsidP="00B85061">
      <w:pPr>
        <w:shd w:val="clear" w:color="auto" w:fill="FFFFFF"/>
        <w:spacing w:after="0" w:line="240" w:lineRule="auto"/>
        <w:ind w:left="709" w:firstLine="709"/>
        <w:jc w:val="both"/>
        <w:rPr>
          <w:rFonts w:ascii="Times New Roman" w:hAnsi="Times New Roman"/>
          <w:noProof/>
          <w:kern w:val="0"/>
          <w:sz w:val="24"/>
          <w:lang w:val="en-US"/>
        </w:rPr>
      </w:pPr>
      <w:r w:rsidRPr="00B85061">
        <w:rPr>
          <w:rFonts w:ascii="Times New Roman" w:hAnsi="Times New Roman"/>
          <w:noProof/>
          <w:kern w:val="0"/>
          <w:sz w:val="24"/>
          <w:lang w:val="en-US"/>
        </w:rPr>
        <w:t>30.11.7. the commercial reserves, including the definition and valuation methodology used by the institution;</w:t>
      </w:r>
    </w:p>
    <w:p w14:paraId="6B43E246" w14:textId="77777777" w:rsidR="00B85061" w:rsidRPr="00B85061" w:rsidRDefault="00B85061" w:rsidP="00B85061">
      <w:pPr>
        <w:shd w:val="clear" w:color="auto" w:fill="FFFFFF"/>
        <w:spacing w:after="0" w:line="240" w:lineRule="auto"/>
        <w:ind w:left="709" w:firstLine="709"/>
        <w:jc w:val="both"/>
        <w:rPr>
          <w:rFonts w:ascii="Times New Roman" w:hAnsi="Times New Roman"/>
          <w:noProof/>
          <w:kern w:val="0"/>
          <w:sz w:val="24"/>
          <w:lang w:val="en-US"/>
        </w:rPr>
      </w:pPr>
      <w:r w:rsidRPr="00B85061">
        <w:rPr>
          <w:rFonts w:ascii="Times New Roman" w:hAnsi="Times New Roman"/>
          <w:noProof/>
          <w:kern w:val="0"/>
          <w:sz w:val="24"/>
          <w:lang w:val="en-US"/>
        </w:rPr>
        <w:t>30.11.8. the impact of accounting policy on the results of the assessment of interest rate risk, in particular the hedge-accounting effectiveness of interest rate risk;</w:t>
      </w:r>
    </w:p>
    <w:p w14:paraId="264C8DE5" w14:textId="77777777" w:rsidR="00B85061" w:rsidRPr="00B85061" w:rsidRDefault="00B85061" w:rsidP="00B85061">
      <w:pPr>
        <w:shd w:val="clear" w:color="auto" w:fill="FFFFFF"/>
        <w:spacing w:after="0" w:line="240" w:lineRule="auto"/>
        <w:ind w:left="709" w:firstLine="709"/>
        <w:jc w:val="both"/>
        <w:rPr>
          <w:rFonts w:ascii="Times New Roman" w:hAnsi="Times New Roman"/>
          <w:noProof/>
          <w:kern w:val="0"/>
          <w:sz w:val="24"/>
          <w:lang w:val="en-US"/>
        </w:rPr>
      </w:pPr>
      <w:r w:rsidRPr="00B85061">
        <w:rPr>
          <w:rFonts w:ascii="Times New Roman" w:hAnsi="Times New Roman"/>
          <w:noProof/>
          <w:kern w:val="0"/>
          <w:sz w:val="24"/>
          <w:lang w:val="en-US"/>
        </w:rPr>
        <w:t>30.11.9. the interest rate sensitive instruments linked to inflation or other market factors, justifying assumptions, for example, with reliable economic development forecasts or generally accepted market practices (for example, a future inflation forecast curve);</w:t>
      </w:r>
    </w:p>
    <w:p w14:paraId="61EC4469"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30.11.10. the diversification assumptions;</w:t>
      </w:r>
    </w:p>
    <w:p w14:paraId="40094F27"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30.12. the methodology for determining the risk-free interest rate;</w:t>
      </w:r>
    </w:p>
    <w:p w14:paraId="402E714C"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30.13. the process of identifying, assessing, allocating, and supervising the amount of capital necessary to cover interest rate risk, including the inclusion of interest-free assets and liabilities in the calculation;</w:t>
      </w:r>
    </w:p>
    <w:p w14:paraId="50BD3A30"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30.14. the adequate limits that correspond to the institution’s willingness to take the interest rate risk of a specific level;</w:t>
      </w:r>
    </w:p>
    <w:p w14:paraId="066E2B84"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30.15. the procedures for supervising the interest rate risk hedging strategy (in respect of both economic value and net interest income, additionally taking into account changes in the market value of instruments measured at fair value), including that based on derivatives;</w:t>
      </w:r>
    </w:p>
    <w:p w14:paraId="4B8825E4"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30.16. the procedures for controlling mark-to-market risk in respect of instruments carried at fair value;</w:t>
      </w:r>
    </w:p>
    <w:p w14:paraId="41228BD9"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30.17. the policies for validating models used in the assessment of interest rate risk and evaluating the relevant model risk;</w:t>
      </w:r>
    </w:p>
    <w:p w14:paraId="655BCC83"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30.18. the process of reporting and presenting accounts;</w:t>
      </w:r>
    </w:p>
    <w:p w14:paraId="0DC19EC6"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30.19. the duties, authorities, responsibility, and communication channels of employees involved in the management of interest rate risk.</w:t>
      </w:r>
    </w:p>
    <w:p w14:paraId="57F4DBF5"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 w:name="p-1255396"/>
      <w:bookmarkEnd w:id="64"/>
    </w:p>
    <w:p w14:paraId="67A73186"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31. The institution shall develop the policies and procedures related to the assessment and supervision of credit spread risk which include at least the following:</w:t>
      </w:r>
      <w:bookmarkStart w:id="65" w:name="p31"/>
      <w:bookmarkEnd w:id="65"/>
    </w:p>
    <w:p w14:paraId="1423D49F"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31.1. the mutual separation of the non-trading book and trading book and the procedures for and supervision of internal risk transfer between books;</w:t>
      </w:r>
    </w:p>
    <w:p w14:paraId="3DA0A3AA"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31.2. the sources of information necessary for the assessment and supervision of credit spread risk and the storage procedures thereof, and also the information technology systems used;</w:t>
      </w:r>
    </w:p>
    <w:p w14:paraId="56B38AAC" w14:textId="77777777" w:rsidR="00B85061" w:rsidRPr="00B85061" w:rsidRDefault="00B85061" w:rsidP="00B85061">
      <w:pPr>
        <w:keepNext/>
        <w:keepLines/>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31.3. the methodology for assessing credit spread risk which allows the institution to assess the credit spread risk of an individual exposure and the credit spread risk of a pool of exposures and the level of credit spread risk inherent to the overall operations of the institution in different periods in respect of both economic value and net interest income, additionally taking into account changes in the market value of instruments measured at fair value;</w:t>
      </w:r>
    </w:p>
    <w:p w14:paraId="40DBC120"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31.4. the stress testing for credit spread risk, ranging from a simple sensitivity analysis to scenario analysis at different stress levels, namely from the baseline scenario which is based on the forecasts for operations of the institution, economic development, and business environment to a significant unfavourable scenario;</w:t>
      </w:r>
    </w:p>
    <w:p w14:paraId="498CBDE5"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31.5. the modelling assumptions used in the assessment of credit spread risk in respect of both economic value and net interest income, additionally taking into account changes in the market value of instruments measured at fair value;</w:t>
      </w:r>
    </w:p>
    <w:p w14:paraId="375DC8CB"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31.6. the process of identifying, assessing, allocating, and supervising the amount of capital necessary to cover credit spread risk, taking into account the results of the analysis of the need to determine additional capital to cover credit spread risk;</w:t>
      </w:r>
    </w:p>
    <w:p w14:paraId="23ECDBFB"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31.7. the policies for validating models used in the assessment of credit spread risk and evaluating the relevant model risk;</w:t>
      </w:r>
    </w:p>
    <w:p w14:paraId="50BFE38E"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31.8. the process of reporting and presenting accounts;</w:t>
      </w:r>
    </w:p>
    <w:p w14:paraId="6C89A157"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31.9. the duties, authorities, responsibility, and communication channels of employees involved in the assessment and supervision of credit spread risk.</w:t>
      </w:r>
    </w:p>
    <w:p w14:paraId="76FF6FE0"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 w:name="p-1255397"/>
      <w:bookmarkEnd w:id="66"/>
    </w:p>
    <w:p w14:paraId="4073EC85"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32. The institution shall regularly, but at least once a year and under rapidly changing market conditions, test, validate, review, document, and approve the behavioural and modelling assumptions used in the assessment of interest rate risk and credit spread risk.</w:t>
      </w:r>
      <w:bookmarkStart w:id="67" w:name="p32"/>
      <w:bookmarkEnd w:id="67"/>
    </w:p>
    <w:p w14:paraId="3A4585CE"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 w:name="p-1255398"/>
      <w:bookmarkEnd w:id="68"/>
    </w:p>
    <w:p w14:paraId="182B015C"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33. Prior to introducing a new financial service or entering a new market, the institution shall analyse the potential magnitude of interest rate risk and credit spread risk associated with these services, conformity thereof to the institution’s desired levels of interest rate risk and credit spread risk, and impact thereof on the amount of capital necessary to cover the institution’s interest rate risk and credit spread risk, and also the resources necessary for the management of interest rate risk and credit spread risk, including information technology systems and applications. The institution shall assess the need to develop new policies and procedures for the management of interest rate risk and credit spread risk of these financial services or to make amendments to the existing applicable policies and procedures. These requirements shall apply not only to the new financial services but also to the existing financial services the conditions of which change significantly.</w:t>
      </w:r>
      <w:bookmarkStart w:id="69" w:name="p33"/>
      <w:bookmarkEnd w:id="69"/>
    </w:p>
    <w:p w14:paraId="44DFF1E0"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 w:name="p-1255399"/>
      <w:bookmarkEnd w:id="70"/>
    </w:p>
    <w:p w14:paraId="5E4EF4D7"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34. The institution shall regularly, but at least once a year, review the internal normative documents regarding the management of interest rate risk and the assessment and supervision of credit spread risk on the basis of the results of the management of interest rate risk and the assessment and supervision of credit spread risk in order to ensure conformity thereof to the institution’s business model, operational strategy, macroeconomic situation, and future forecasts and also best international practices.</w:t>
      </w:r>
      <w:bookmarkStart w:id="71" w:name="p34"/>
      <w:bookmarkEnd w:id="71"/>
    </w:p>
    <w:p w14:paraId="1613CD7A"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 w:name="p-1255400"/>
      <w:bookmarkEnd w:id="72"/>
    </w:p>
    <w:p w14:paraId="10BE6DFB"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35. The institution shall lay down the internal reporting procedures for deviations from the approved internal normative documents.</w:t>
      </w:r>
      <w:bookmarkStart w:id="73" w:name="p35"/>
      <w:bookmarkEnd w:id="73"/>
    </w:p>
    <w:p w14:paraId="748DF38C"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 w:name="p-1255401"/>
      <w:bookmarkEnd w:id="74"/>
    </w:p>
    <w:p w14:paraId="04C53900"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36. The institution shall establish, document, and strictly follow clearly defined limits that ensure implementation of the interest rate risk policy of the institution in accordance with the interest rate risk strategy and the willingness to take the risk and that are applicable when assessing the impact of the planned exposure on the interest rate risk of the institution.</w:t>
      </w:r>
      <w:bookmarkStart w:id="75" w:name="p36"/>
      <w:bookmarkEnd w:id="75"/>
    </w:p>
    <w:p w14:paraId="1D286149"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 w:name="p-1255402"/>
      <w:bookmarkEnd w:id="76"/>
    </w:p>
    <w:p w14:paraId="3128EE69"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37. When introducing the interest rate risk limit system, the institution shall ensure compliance with the following requirements:</w:t>
      </w:r>
      <w:bookmarkStart w:id="77" w:name="p37"/>
      <w:bookmarkEnd w:id="77"/>
    </w:p>
    <w:p w14:paraId="0A4EF12A"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37.1. develop limits at the individual level and at the level of the prudential consolidation group or on a sub-consolidated basis within the meaning of Regulation No 575/2013 according to the institution’s size, business model, operational objectives, nature, and complexity, capital adequacy, the amount of current and planned transactions, and also the ability of the institution to manage interest rate risk;</w:t>
      </w:r>
    </w:p>
    <w:p w14:paraId="11868285"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37.2. in accordance with Sub-paragraph 37.1 of this Regulation, set limits for each component of interest rate risk or individual unit, portfolio, products, type of instruments, specific instrument;</w:t>
      </w:r>
    </w:p>
    <w:p w14:paraId="7049ECE0"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37.3. determine and, if necessary, improve limits of interest rate risk, taking into account historical fluctuations of interest rate, stress testing scenarios and results at different stress levels, namely from the baseline scenario which is based on the forecasts for operations of the institution, economic development, and business environment to a significant unfavourable scenario;</w:t>
      </w:r>
    </w:p>
    <w:p w14:paraId="5F112EEE"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37.4. regularly, but at least once a year, review and, if necessary, improve limits of interest rate risk according to changes in the operations of the institution and the external and internal conditions affecting the operations of the institution.</w:t>
      </w:r>
    </w:p>
    <w:p w14:paraId="31424D7C"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 w:name="p-1255403"/>
      <w:bookmarkEnd w:id="78"/>
    </w:p>
    <w:p w14:paraId="57A34C89"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38. The institution shall establish procedures for providing timely information to the management of a relevant level and also the actions and responsibility in the case of non-compliance or potential non-compliance with the limits of interest rate risk. If policies of the institution provide for a possibility to deviate from the set limits in extraordinary cases, such deviation shall be approved by the executive board or a committee authorised for this purpose.</w:t>
      </w:r>
      <w:bookmarkStart w:id="79" w:name="p38"/>
      <w:bookmarkEnd w:id="79"/>
    </w:p>
    <w:p w14:paraId="2EBC1058"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n3"/>
      <w:bookmarkStart w:id="81" w:name="n-1255404"/>
      <w:bookmarkEnd w:id="80"/>
      <w:bookmarkEnd w:id="81"/>
    </w:p>
    <w:p w14:paraId="7FCBBB02" w14:textId="77777777" w:rsidR="00B85061" w:rsidRPr="00B85061" w:rsidRDefault="00B85061" w:rsidP="00B85061">
      <w:pPr>
        <w:shd w:val="clear" w:color="auto" w:fill="FFFFFF"/>
        <w:spacing w:after="0" w:line="240" w:lineRule="auto"/>
        <w:jc w:val="center"/>
        <w:rPr>
          <w:rFonts w:ascii="Times New Roman" w:hAnsi="Times New Roman"/>
          <w:b/>
          <w:noProof/>
          <w:kern w:val="0"/>
          <w:sz w:val="24"/>
          <w:lang w:val="en-US"/>
        </w:rPr>
      </w:pPr>
      <w:r w:rsidRPr="00B85061">
        <w:rPr>
          <w:rFonts w:ascii="Times New Roman" w:hAnsi="Times New Roman"/>
          <w:b/>
          <w:noProof/>
          <w:kern w:val="0"/>
          <w:sz w:val="24"/>
          <w:lang w:val="en-US"/>
        </w:rPr>
        <w:t>3. Responsibility of the Institution’s Management in the Area of the Management of Interest Rate Risk and the Assessment and Supervision of Credit Spread Risk</w:t>
      </w:r>
    </w:p>
    <w:p w14:paraId="45D24106"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 w:name="p-1255405"/>
      <w:bookmarkEnd w:id="82"/>
    </w:p>
    <w:p w14:paraId="2E15626A"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39. The supervisory board of the institution shall:</w:t>
      </w:r>
      <w:bookmarkStart w:id="83" w:name="p39"/>
      <w:bookmarkEnd w:id="83"/>
    </w:p>
    <w:p w14:paraId="056D512E"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39.1. approve the interest rate risk and credit spread risk strategy;</w:t>
      </w:r>
    </w:p>
    <w:p w14:paraId="4DD00EED"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39.2. approve the major policies for the implementation of the interest rate risk strategy and the credit spread risk strategy, including the procedure for delegating responsibility and duties in the area of the management of interest rate risk and the assessment and supervision of credit spread risk;</w:t>
      </w:r>
    </w:p>
    <w:p w14:paraId="41D9834C"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39.3. lay down the procedures for exchanging information between the supervisory board and the executive board, ensuring that the executive board of the institution submits a report to the supervisory board of the institution on the management of interest rate risk and the assessment and supervision of credit spread risk, aggregating information on the achievement of the objectives set in the interest rate risk and credit spread risk strategy, reporting on the results of limit control and stress testing, and, if necessary, submitting an action plan for overcoming critical situations;</w:t>
      </w:r>
    </w:p>
    <w:p w14:paraId="508ED559"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39.4. monitor and control how the executive board of the institution manages the interest rate risk and credit spread risk inherent to the operations of the institution and whether this activity is performed in accordance with the interest rate risk and credit spread risk strategy and policies;</w:t>
      </w:r>
    </w:p>
    <w:p w14:paraId="129B8FE6"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39.5. ensure that the remuneration policy of the institution is not in conflict with the interest rate risk and credit spread risk strategy thereof and does not promote short-term profit-making that poses a threat to the medium- and long-term objectives when conducting transactions exposed to the interest rate risk and credit spread risk;</w:t>
      </w:r>
    </w:p>
    <w:p w14:paraId="74EC38DA"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39.6. ensure that the institution allocates sufficient resources, including employees with an appropriate qualification, for the management of interest rate risk and the assessment and supervision of credit spread risk;</w:t>
      </w:r>
    </w:p>
    <w:p w14:paraId="254DFC48"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39.7. regularly, but at least once a year, on the basis of the institution’s financial results and operational plans, the results of the management of interest rate risk and the assessment and supervision of credit spread risk and taking into account changes in laws and regulations, economic situation, markets, and forecasts, and also the introduction of new financial services, review the interest rate risk and credit spread risk strategy and major policies and assess the capital adequacy necessary to cover the interest rate risk and credit spread risk that it has taken or will take.</w:t>
      </w:r>
    </w:p>
    <w:p w14:paraId="3BD41E03"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 w:name="p-1255406"/>
      <w:bookmarkEnd w:id="84"/>
    </w:p>
    <w:p w14:paraId="53903A59"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40. The executive board of the institution shall be responsible for the implementation of the interest rate risk and credit spread risk strategy approved by the supervisory board of the institution and also for the efficient management of interest rate risk and the assessment and supervision of credit spread risk, and it shall:</w:t>
      </w:r>
      <w:bookmarkStart w:id="85" w:name="p40"/>
      <w:bookmarkEnd w:id="85"/>
    </w:p>
    <w:p w14:paraId="5F1B3954"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40.1. ensure the development of policies and procedures for the management of interest rate risk;</w:t>
      </w:r>
    </w:p>
    <w:p w14:paraId="327332EB"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40.2. ensure the development of policies and procedures for the assessment and supervision of credit spread risk;</w:t>
      </w:r>
    </w:p>
    <w:p w14:paraId="08752E53"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40.3. ensure the achievement of the objectives set in the interest rate risk strategy of the institution and the application of policies and procedures for the management of interest rate risk in order to provide reasonable assurance of achieving the objectives of the management of interest rate risk;</w:t>
      </w:r>
    </w:p>
    <w:p w14:paraId="127EEE89"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40.4. ensure the achievement of the objectives set in the credit spread risk strategy of the institution and the application of policies and procedures for the assessment and supervision of credit spread risk in order to provide reasonable assurance of achieving the objectives of the assessment and supervision of credit spread risk;</w:t>
      </w:r>
    </w:p>
    <w:p w14:paraId="2A91C314"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40.5. determines the distribution of authorities, duties, and responsibility for the management of interest rate risk and the assessment and supervision of credit spread risk among the institution’s units and responsible employees, following the principle that the functions of the management of interest rate risk and the assessment and supervision of credit spread risk should be independent from the functions of taking the interest rate risk and credit spread risk;</w:t>
      </w:r>
    </w:p>
    <w:p w14:paraId="34F5B0C8"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40.6. approve the limits for the management of interest rate risk, including the procedures for deviating from the limits set, and ensure compliance with and regular review thereof;</w:t>
      </w:r>
    </w:p>
    <w:p w14:paraId="508BAC51"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40.7. approve the initiatives to hedge the interest rate risk and credit spread risk prior to the implementation thereof;</w:t>
      </w:r>
    </w:p>
    <w:p w14:paraId="195E7A17"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40.8. approve and regularly review the stress testing procedures, scenarios, assumptions, and the procedures for submitting reports on stress testing results of the management of interest rate risk and the assessment and supervision of credit spread risk, determining the unit or employees responsible for timely preparation and submission of reports to the executive board, and ensure control;</w:t>
      </w:r>
    </w:p>
    <w:p w14:paraId="587E95F4"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40.9. ensure the validation of the methods used in the management of interest rate risk and the assessment and supervision of credit spread risk and the evaluation of the relevant model risk;</w:t>
      </w:r>
    </w:p>
    <w:p w14:paraId="0B4B8411"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40.10. regularly, but at least once every calendar quarter, examine and evaluate the results of the management of interest rate risk and the assessment and supervision of credit spread risk, determining the procedures and frequency for submitting reports on the results of the management of interest rate risk and the assessment and supervision of credit spread risk;</w:t>
      </w:r>
    </w:p>
    <w:p w14:paraId="6B162C28"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40.11. ensure that the employees involved in the management of interest rate risk and the assessment and supervision of credit spread risk are informed about the interest rate risk and credit spread risk strategy, policies, and procedures, and responsibility for the compliance with the policies and procedures of the institution;</w:t>
      </w:r>
    </w:p>
    <w:p w14:paraId="4CA8EC46"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40.12. ensure the attraction of such employees whose qualification, technical knowledge, and experience correspond to the duties to be performed in the management of interest rate risk and the assessment and supervision of credit spread risk.</w:t>
      </w:r>
    </w:p>
    <w:p w14:paraId="077D0915"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 w:name="p-1255407"/>
      <w:bookmarkEnd w:id="86"/>
    </w:p>
    <w:p w14:paraId="62D22153"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41. The institution’s performer of the internal audit function or performer of the external audit shall regularly audit the process of managing the interest rate risk and assessing and controlling the credit spread risk and assess the effectiveness thereof, and ascertain that the practice of the institution in the management of interest rate risk and credit spread risk complies with the internal normative documents of the institution and that employees of the institution also adhere to the internal normative documents introduced. Additionally, the performer of the internal audit function or performer of the external audit shall regularly audit the information systems, including data quality. Reports on the results of the audits carried out and the deficiencies detected shall be submitted to the supervisory board of the institution. The institution shall, within one month after submission of the internal or external audit report to the supervisory board of the institution, submit a copy of this report to Latvijas Banka, an excerpt of the minutes of the relevant meeting of the supervisory board, and information on the decisions taken by the supervisory board regarding the measures to be taken by the institution in order to implement the audit recommendations, including to eliminate the deficiencies and shortcomings detected during the audits.</w:t>
      </w:r>
      <w:bookmarkStart w:id="87" w:name="p41"/>
      <w:bookmarkEnd w:id="87"/>
    </w:p>
    <w:p w14:paraId="32555DEC"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n4"/>
      <w:bookmarkStart w:id="89" w:name="n-1255408"/>
      <w:bookmarkEnd w:id="88"/>
      <w:bookmarkEnd w:id="89"/>
    </w:p>
    <w:p w14:paraId="1000E860" w14:textId="77777777" w:rsidR="00B85061" w:rsidRPr="00B85061" w:rsidRDefault="00B85061" w:rsidP="00B85061">
      <w:pPr>
        <w:shd w:val="clear" w:color="auto" w:fill="FFFFFF"/>
        <w:spacing w:after="0" w:line="240" w:lineRule="auto"/>
        <w:jc w:val="center"/>
        <w:rPr>
          <w:rFonts w:ascii="Times New Roman" w:hAnsi="Times New Roman"/>
          <w:b/>
          <w:noProof/>
          <w:kern w:val="0"/>
          <w:sz w:val="24"/>
          <w:lang w:val="en-US"/>
        </w:rPr>
      </w:pPr>
      <w:r w:rsidRPr="00B85061">
        <w:rPr>
          <w:rFonts w:ascii="Times New Roman" w:hAnsi="Times New Roman"/>
          <w:b/>
          <w:noProof/>
          <w:kern w:val="0"/>
          <w:sz w:val="24"/>
          <w:lang w:val="en-US"/>
        </w:rPr>
        <w:t>4. Management Information System</w:t>
      </w:r>
    </w:p>
    <w:p w14:paraId="0DDF62DA"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 w:name="p-1255409"/>
      <w:bookmarkEnd w:id="90"/>
    </w:p>
    <w:p w14:paraId="4DDFEC9B"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42. The institution shall introduce a management information system which provides such information that enables the management of the institution to duly supervise the system for the management of interest rate risk and the assessment and supervision of credit spread risk, including the maintenance of the capital necessary to cover interest rate risk and credit spread risk and examine results of the stress testing, and it shall:</w:t>
      </w:r>
      <w:bookmarkStart w:id="91" w:name="p42"/>
      <w:bookmarkEnd w:id="91"/>
    </w:p>
    <w:p w14:paraId="2284E4FB"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42.1. ensure timely, high-quality (reliable, accurate, traceable), detailed, and comprehensive information on transactions exposed to the interest rate risk and credit spread risk;</w:t>
      </w:r>
    </w:p>
    <w:p w14:paraId="5F512F86"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42.2. ensure that all components of the interest rate risk are identified and the interest rate risk is supervised at any portfolio, unit, subsidiary, individual, prudential consolidation group level, or on a sub-consolidated basis within the meaning of Regulation No 575/2013;</w:t>
      </w:r>
    </w:p>
    <w:p w14:paraId="48990650"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42.3. enable to assess, including in terms of currency, both the total extent of the interest rate risk and credit spread risk of the institution and the extent of the interest rate risk and credit spread risk in different portfolios (in particular portfolios that can be potentially subject to significant changes in the market value) or transactions;</w:t>
      </w:r>
    </w:p>
    <w:p w14:paraId="319414B6"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42.4. enable to assess sensitivity of the institution to changes in market conditions and other significant factors;</w:t>
      </w:r>
    </w:p>
    <w:p w14:paraId="18EB684E"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42.5. enable to assess the conformity of the extent of interest rate risk and credit spread risk to the objectives and limits set in the interest rate risk and credit spread risk strategy and policies.</w:t>
      </w:r>
    </w:p>
    <w:p w14:paraId="1A0D382D"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2" w:name="p-1255410"/>
      <w:bookmarkEnd w:id="92"/>
    </w:p>
    <w:p w14:paraId="0830E6E6"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43. The institution shall regularly, but at least once every calendar quarter and each time when the institution receives information indicating a deterioration in the interest rate risk and credit spread risk profile, prepare reports on interest rate risk and credit spread risk for the institution’s management of the relevant level which shall examine them and take appropriate decisions in a timely manner.</w:t>
      </w:r>
      <w:bookmarkStart w:id="93" w:name="p43"/>
      <w:bookmarkEnd w:id="93"/>
    </w:p>
    <w:p w14:paraId="5716C325"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4" w:name="p-1255411"/>
      <w:bookmarkEnd w:id="94"/>
    </w:p>
    <w:p w14:paraId="1F49481F"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44. The institution shall adjust the level of detail of the interest rate risk and credit spread risk report to the relevant management level and also to the specific situation and business environment of the institution.</w:t>
      </w:r>
      <w:bookmarkStart w:id="95" w:name="p44"/>
      <w:bookmarkEnd w:id="95"/>
    </w:p>
    <w:p w14:paraId="59609365"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6" w:name="p-1255412"/>
      <w:bookmarkEnd w:id="96"/>
    </w:p>
    <w:p w14:paraId="69036421"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45. The interest rate risk report shall include at least the following:</w:t>
      </w:r>
      <w:bookmarkStart w:id="97" w:name="p45"/>
      <w:bookmarkEnd w:id="97"/>
    </w:p>
    <w:p w14:paraId="4225290B"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45.1. a summary of the institution’s total extent of interest rate risk, changes thereof, and the factors affecting the changes (for example, assets, liabilities, cash flows, and strategies);</w:t>
      </w:r>
    </w:p>
    <w:p w14:paraId="26A469C8"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45.2. information on spread risk, basis risk, and optionality risk transactions;</w:t>
      </w:r>
    </w:p>
    <w:p w14:paraId="0C7AEEE2"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45.3. information on non-trading book transactions which can be exposed to significant changes in the market value and the impact of the respective changes;</w:t>
      </w:r>
    </w:p>
    <w:p w14:paraId="632B03AE"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45.4. a summary of business environment conditions and changes in other significant factors of the interest rate risk;</w:t>
      </w:r>
    </w:p>
    <w:p w14:paraId="0439112B"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45.5. information attesting conformity of the operations of the institution to the interest rate risk strategy and policies;</w:t>
      </w:r>
    </w:p>
    <w:p w14:paraId="1C5441C4"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45.6. information on compliance with the limits and positions where the set limits could be exceeded;</w:t>
      </w:r>
    </w:p>
    <w:p w14:paraId="676BB6F2"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45.7. a comparison of the previous forecasts or interest rate risk estimates with the actual results (for example, a comparison of the forecasted loss resulting from early redemption of the fixed interest rate loans with the historically realised loss) to identify potential modelling deficiencies;</w:t>
      </w:r>
    </w:p>
    <w:p w14:paraId="2A564B57"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45.8. detailed information on behavioural and modelling assumptions, impact thereof on the amount of interest rate risk, including economic value, net interest income, additionally taking into account changes in the market value of instruments measured at fair value, and information on changes in assumptions in the stress tests of interest rate risk;</w:t>
      </w:r>
    </w:p>
    <w:p w14:paraId="4B9511E3"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45.9. detailed information on the impact of the interest rate derivatives used on the amount of interest rate risk, including economic value and net interest income, additionally taking into account changes in the market value of instruments measured at fair value;</w:t>
      </w:r>
    </w:p>
    <w:p w14:paraId="30DBFDAB"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45.10. detailed information on the impact of instruments measured at fair value, including Tier 3 assets and liabilities within the meaning of Commission Regulation (EC) No 1126/2008 of 3 November 2008 adopting certain international accounting standards in accordance with Regulation (EC) No 1606/2002 of the European Parliament and of the Council, on the amount of interest rate risk and also economic value and net interest income, additionally taking into account changes in the market value of instruments measured at fair value;</w:t>
      </w:r>
    </w:p>
    <w:p w14:paraId="029F588D"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45.11. information on the scenarios and assumptions used in stress testing, including supervisory outlier tests, results of the stress testing, and sensitivity thereof in respect of the major assumptions, conclusions made, and decisions taken;</w:t>
      </w:r>
    </w:p>
    <w:p w14:paraId="3614BB04"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45.12. a summary of the review of the process of managing interest rate risk and the audits carried out on the process of managing interest rate risk by the performer of the internal audit function or the performer of the external audit, and the main conclusions made as a result of the audits carried out.</w:t>
      </w:r>
    </w:p>
    <w:p w14:paraId="54575F39"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8" w:name="p-1255413"/>
      <w:bookmarkEnd w:id="98"/>
    </w:p>
    <w:p w14:paraId="36ECE539"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46. The credit spread risk report shall include at least the following:</w:t>
      </w:r>
      <w:bookmarkStart w:id="99" w:name="p46"/>
      <w:bookmarkEnd w:id="99"/>
    </w:p>
    <w:p w14:paraId="39229B8B"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46.1. a summary of the institution’s total extent of credit spread risk, changes thereof, and the factors affecting the changes (for example, assets, liabilities, cash flows, off-balance sheet position, strategies);</w:t>
      </w:r>
    </w:p>
    <w:p w14:paraId="7FB5E32E"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46.2. information on non-trading book transactions which can be exposed to significant changes in the market value, and impact of the respective changes;</w:t>
      </w:r>
    </w:p>
    <w:p w14:paraId="7FD96B0C"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46.3. a summary of business environment conditions and changes in other significant factors of the credit spread risk;</w:t>
      </w:r>
    </w:p>
    <w:p w14:paraId="52EC97A1"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46.4. information attesting conformity of the operations of the institution to the credit spread risk strategy and policies;</w:t>
      </w:r>
    </w:p>
    <w:p w14:paraId="5981E775"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46.5. information on modelling assumptions;</w:t>
      </w:r>
    </w:p>
    <w:p w14:paraId="679969E3"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46.6. a comparison of the previous forecasts or credit spread risk estimates with the actual results to identify potential modelling deficiencies;</w:t>
      </w:r>
    </w:p>
    <w:p w14:paraId="0380295F"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46.7. information on the scenarios and assumptions used in stress testing, stress testing results, conclusions made, and decisions taken;</w:t>
      </w:r>
    </w:p>
    <w:p w14:paraId="66BFD74F"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46.8. a summary of the review of the process of assessing and supervising credit spread risk and the audits carried out on the process of assessing and supervising credit spread risk by the performer of the internal audit function or the performer of the external audit, and the main conclusions made as a result of the audits carried out.</w:t>
      </w:r>
    </w:p>
    <w:p w14:paraId="68B3DB92"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0" w:name="p-1255414"/>
      <w:bookmarkEnd w:id="100"/>
    </w:p>
    <w:p w14:paraId="56FB6321"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47. The institution shall establish and appropriately document a transparent communication and reporting mechanism to provide the management, units, and employees of the institution with a possibility of receiving and exchanging information on the management of interest rate risk and the assessment and supervision of credit spread risk, including changes in the levels of interest rate risk and credit spread risk.</w:t>
      </w:r>
      <w:bookmarkStart w:id="101" w:name="p47"/>
      <w:bookmarkEnd w:id="101"/>
    </w:p>
    <w:p w14:paraId="0516C2D5"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2" w:name="p-1255415"/>
      <w:bookmarkEnd w:id="102"/>
    </w:p>
    <w:p w14:paraId="553D10B0"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48. The institution shall, as far as possible, use the same data, assumptions, definitions, and processes in the management of interest rate risk that it uses in the valuation and planning of financial statement items thereof, including budgeting, individually and at the level of the prudential consolidation group, or on a sub-consolidated basis within the meaning of Regulation No 575/2013.</w:t>
      </w:r>
      <w:bookmarkStart w:id="103" w:name="p48"/>
      <w:bookmarkEnd w:id="103"/>
    </w:p>
    <w:p w14:paraId="22B60954"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4" w:name="p-1255416"/>
      <w:bookmarkEnd w:id="104"/>
    </w:p>
    <w:p w14:paraId="3C90A9BE"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49. Prior to using any external or internal data for the management of interest rate risk and the assessment and supervision of credit spread risk, including establishing a historical database, the institution shall perform appropriate data quality checks and assure the accuracy, reliability, and conformity of the data for intended use. Additionally, the institution shall:</w:t>
      </w:r>
      <w:bookmarkStart w:id="105" w:name="p49"/>
      <w:bookmarkEnd w:id="105"/>
    </w:p>
    <w:p w14:paraId="14CCA9C7"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49.1. document the source data used in the management of interest rate risk and the assessment and supervision of credit spread risk;</w:t>
      </w:r>
    </w:p>
    <w:p w14:paraId="0A9A0346"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49.2. determine the frequency of updating the historical database used in the management of interest rate risk and the assessment and supervision of credit spread risk.</w:t>
      </w:r>
    </w:p>
    <w:p w14:paraId="517C4EF3"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6" w:name="p-1255417"/>
      <w:bookmarkEnd w:id="106"/>
    </w:p>
    <w:p w14:paraId="28ED94CC"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50. The institution shall, within the framework of the information technology system thereof, ensure the integrity, current relevance, reliability, and accuracy of the information and data used in the management of interest rate risk and the assessment and supervision of credit spread risk, including in the case of a crisis. The institution shall develop and implement control procedures for the management of any non-compliance and violations arising during data processing, including the identification, processing, and rectification of the causes of non-compliance and violations.</w:t>
      </w:r>
      <w:bookmarkStart w:id="107" w:name="p50"/>
      <w:bookmarkEnd w:id="107"/>
    </w:p>
    <w:p w14:paraId="3D722BC1"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8" w:name="p-1255418"/>
      <w:bookmarkEnd w:id="108"/>
    </w:p>
    <w:p w14:paraId="60055631"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51. The institution shall provide the necessary information technology systems and applications for the management of interest rate risk and the assessment and supervision of credit spread risk in order to ensure timely, accurate, and complete assessment and supervision of interest rate risk and credit spread risk, processing of characterising information and exposures, and evaluation of results, and also preparation of reports.</w:t>
      </w:r>
      <w:bookmarkStart w:id="109" w:name="p51"/>
      <w:bookmarkEnd w:id="109"/>
    </w:p>
    <w:p w14:paraId="47C86FCA"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0" w:name="p-1255419"/>
      <w:bookmarkEnd w:id="110"/>
    </w:p>
    <w:p w14:paraId="6F7577FD"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52. The institution shall ensure that the information technology systems and applications are appropriate and flexible in respect of the amount, diversity, and complexity of the operations carried out (for example, such that are capable of applying stress tests for interest rate risk and credit spread risk at different stress levels and, if necessary, capable of applying also additional scenarios, and also calculating relevant indicators, such that are capable of calculating net interest income, economic value, economic value of own funds, and changes in the market value of instruments in the non-trading book measured at fair value, and imposing specific limits on the internal risk parameter assumptions of the institution) where complete and regularly updated information is available on the following:</w:t>
      </w:r>
      <w:bookmarkStart w:id="111" w:name="p52"/>
      <w:bookmarkEnd w:id="111"/>
    </w:p>
    <w:p w14:paraId="08891C6D"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52.1. each exposure exposed to the interest rate risk and credit spread risk, including on each exposure exposed to the spread risk, basis risk, and optionality risk;</w:t>
      </w:r>
    </w:p>
    <w:p w14:paraId="0F142A49"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52.2. the repricing date of each transaction, the type and size of interest rate, the size of credit spread, options (for example, early redemption, early withdrawal), and payments related to the implementation of the respective options.</w:t>
      </w:r>
    </w:p>
    <w:p w14:paraId="13A6FE33"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2" w:name="p-1255421"/>
      <w:bookmarkEnd w:id="112"/>
    </w:p>
    <w:p w14:paraId="0872AF8A"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53. The institution shall provide users of the information technology system, according to the level of authority thereof, with a possibility to:</w:t>
      </w:r>
      <w:bookmarkStart w:id="113" w:name="p53"/>
      <w:bookmarkEnd w:id="113"/>
    </w:p>
    <w:p w14:paraId="32C4FFC6"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53.1. summarise information on exposures exposed to the interest rate risk and credit spread risk by financial services, individual parts of financial services, portfolios, specific characteristics;</w:t>
      </w:r>
    </w:p>
    <w:p w14:paraId="4A952313"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53.2. assess the impact of individual exposures on the total amount of exposures;</w:t>
      </w:r>
    </w:p>
    <w:p w14:paraId="566F6911"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53.3. assess the impact of an individual exposure, portfolio, or product on the total levels of interest rate risk and credit spread risk.</w:t>
      </w:r>
    </w:p>
    <w:p w14:paraId="0B1E90DD"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4" w:name="p-1255422"/>
      <w:bookmarkEnd w:id="114"/>
    </w:p>
    <w:p w14:paraId="2EA8200A"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54. When implementing the information technology systems for the management of interest rate risk and the assessment and supervision of credit spread risk, the institution shall ensure that the security of the development and implementation process, including the security of the information and data to be used, conforms to the requirements laid down in laws and regulations in the field of information systems security.</w:t>
      </w:r>
      <w:bookmarkStart w:id="115" w:name="p54"/>
      <w:bookmarkEnd w:id="115"/>
    </w:p>
    <w:p w14:paraId="02E1EA7D"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6" w:name="p-1255423"/>
      <w:bookmarkEnd w:id="116"/>
    </w:p>
    <w:p w14:paraId="2FED827F"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55. The institution shall ensure that plans for the continuity of operations and recovery of operations in extraordinary cases for the information technology systems used in the management of interest rate risk and the assessment and supervision of credit spread risk are tested within the framework of common regular testing of information systems of the institution.</w:t>
      </w:r>
      <w:bookmarkStart w:id="117" w:name="p55"/>
      <w:bookmarkEnd w:id="117"/>
    </w:p>
    <w:p w14:paraId="45B407BF"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n5"/>
      <w:bookmarkStart w:id="119" w:name="n-1255424"/>
      <w:bookmarkEnd w:id="118"/>
      <w:bookmarkEnd w:id="119"/>
    </w:p>
    <w:p w14:paraId="269A116A" w14:textId="77777777" w:rsidR="00B85061" w:rsidRPr="00B85061" w:rsidRDefault="00B85061" w:rsidP="00B85061">
      <w:pPr>
        <w:shd w:val="clear" w:color="auto" w:fill="FFFFFF"/>
        <w:spacing w:after="0" w:line="240" w:lineRule="auto"/>
        <w:jc w:val="center"/>
        <w:rPr>
          <w:rFonts w:ascii="Times New Roman" w:hAnsi="Times New Roman"/>
          <w:b/>
          <w:noProof/>
          <w:kern w:val="0"/>
          <w:sz w:val="24"/>
          <w:lang w:val="en-US"/>
        </w:rPr>
      </w:pPr>
      <w:r w:rsidRPr="00B85061">
        <w:rPr>
          <w:rFonts w:ascii="Times New Roman" w:hAnsi="Times New Roman"/>
          <w:b/>
          <w:noProof/>
          <w:kern w:val="0"/>
          <w:sz w:val="24"/>
          <w:lang w:val="en-US"/>
        </w:rPr>
        <w:t>5. Assessment of Interest Rate Risk</w:t>
      </w:r>
    </w:p>
    <w:p w14:paraId="7F9ADFFA"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0" w:name="p-1255427"/>
      <w:bookmarkEnd w:id="120"/>
    </w:p>
    <w:p w14:paraId="738F7D2B"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56. The institution shall assess interest rate risk in accordance with one of the following approaches:</w:t>
      </w:r>
      <w:bookmarkStart w:id="121" w:name="p56"/>
      <w:bookmarkEnd w:id="121"/>
    </w:p>
    <w:p w14:paraId="62C1C47E"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56.1. the standardised methodology referred to in the directly applicable legal act of the European Union;</w:t>
      </w:r>
    </w:p>
    <w:p w14:paraId="3E9C08F0"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56.2. the simplified standardised methodology referred to in the directly applicable legal act of the European Union if the institution has been identified as a small and non-complex institution within the meaning of Article 4(1)(145) of Regulation No 575/2013;</w:t>
      </w:r>
    </w:p>
    <w:p w14:paraId="030FC000"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56.3. the internal system which conforms to the requirements laid down in Chapter 5 of this Regulation.</w:t>
      </w:r>
    </w:p>
    <w:p w14:paraId="0E456731"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2" w:name="p-1255428"/>
      <w:bookmarkEnd w:id="122"/>
    </w:p>
    <w:p w14:paraId="17947635"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57. The institution shall ensure that the assessment of interest rate risk covers all components and sources of interest rate risk.</w:t>
      </w:r>
      <w:bookmarkStart w:id="123" w:name="p57"/>
      <w:bookmarkEnd w:id="123"/>
    </w:p>
    <w:p w14:paraId="35878A99"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4" w:name="p-1255429"/>
      <w:bookmarkEnd w:id="124"/>
    </w:p>
    <w:p w14:paraId="2BDCE407"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58. The institution shall not rely in the assessment of interest rate risk solely on the supervisory stress test specified in the directly applicable legal act of the European Union and also not on the results of the assessment of interest rate risk conducted by Latvijas Banka or other supervisory authorities and shall not use them as the sole method for the assessment of interest rate risk. However, the institution shall ensure that the supervisory stress tests specified in the directly applicable legal act of the European Union are integrated into the institution’s management of interest rate risk as an integral part thereof and are used as additional tools in the assessment of interest rate risk.</w:t>
      </w:r>
      <w:bookmarkStart w:id="125" w:name="p58"/>
      <w:bookmarkEnd w:id="125"/>
    </w:p>
    <w:p w14:paraId="5424AF37"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6" w:name="p-1255432"/>
      <w:bookmarkEnd w:id="126"/>
    </w:p>
    <w:p w14:paraId="1E62C68C"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59. The institution shall apply to the assessment of interest rate risk several analytical and statistical methods corresponding to the operational strategy, business model, specific nature and complexity of the operations thereof, allowing the institution to assess the interest rate risk of individual exposures and portfolios thereof, and also the overall level of interest rate risk level inherent to the operations of the institution in different periods of time, namely short-term and long-term, in respect of economic value and net interest income, additionally taking into account changes in the market value of instruments measured at fair value, for example:</w:t>
      </w:r>
      <w:bookmarkStart w:id="127" w:name="p59"/>
      <w:bookmarkEnd w:id="127"/>
    </w:p>
    <w:p w14:paraId="4E679C1C"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59.1. the gap analysis, including the repricing gap method and the full revaluation approach, parallel gap analysis, and non-parallel gap analysis;</w:t>
      </w:r>
    </w:p>
    <w:p w14:paraId="77DCC14D"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59.2. the duration analysis, including the calculation of the modified duration and partially modified duration;</w:t>
      </w:r>
    </w:p>
    <w:p w14:paraId="6AF08CB9"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59.3. convexity analysis;</w:t>
      </w:r>
    </w:p>
    <w:p w14:paraId="295388D3"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59.4. the grouping of interest rate sensitive instruments by different interest rates or options.</w:t>
      </w:r>
    </w:p>
    <w:p w14:paraId="04B4C49F"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8" w:name="p-1255433"/>
      <w:bookmarkEnd w:id="128"/>
    </w:p>
    <w:p w14:paraId="25E7C38E"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60. The institution may use the methods for the assessment of interest rate risk specified in Annexes I and II to the European Banking Authority’s Guidelines EBA/GL/2022/14 of 20 October 2022, Guidelines issued on the basis of Article 84 (6) of Directive 2013/36/EU specifying criteria for the identification, evaluation, management and mitigation of the risks arising from potential changes in interest rates and of the assessment and monitoring of credit spread risk, of institutions’ non-trading book activities.</w:t>
      </w:r>
      <w:bookmarkStart w:id="129" w:name="p60"/>
      <w:bookmarkEnd w:id="129"/>
    </w:p>
    <w:p w14:paraId="4745F67A"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0" w:name="p-1255434"/>
      <w:bookmarkEnd w:id="130"/>
    </w:p>
    <w:p w14:paraId="620D82A1"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61. The institution shall document and regularly review the selection, nature, limitations, and application procedures of the methods employed, and also the assumptions and estimates used in the methods. The institution may not rely on a single method when assessing the interest rate risk. The institution shall ensure that the quantitative measurement of interest rate risk corresponds to the specific nature, complexity, current and planned amount of transactions, and diversity of the operations of the institution to assess all sources of interest rate risk inherent to the institution, such as:</w:t>
      </w:r>
      <w:bookmarkStart w:id="131" w:name="p61"/>
      <w:bookmarkEnd w:id="131"/>
    </w:p>
    <w:p w14:paraId="3B59524D"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61.1. mismatched maturities for attracting and placing interest rate sensitive instruments;</w:t>
      </w:r>
    </w:p>
    <w:p w14:paraId="6CB71874"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61.2. mismatched maturities for reviewing interest rates for interest rate sensitive instruments in assets and liabilities;</w:t>
      </w:r>
    </w:p>
    <w:p w14:paraId="47321B18"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61.3. the concentration of interest rate sensitive instruments over different time intervals;</w:t>
      </w:r>
    </w:p>
    <w:p w14:paraId="6846326C"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61.4. the use of derivatives and other interest rate risk hedging instruments from the perspective of different base assets, convexity, and maturity;</w:t>
      </w:r>
    </w:p>
    <w:p w14:paraId="680936BE"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61.5. transactions involving early withdrawal or early redemption options;</w:t>
      </w:r>
    </w:p>
    <w:p w14:paraId="44860B3D"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61.6. the use of interest rate swaps and interest rate options;</w:t>
      </w:r>
    </w:p>
    <w:p w14:paraId="6569F26F"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61.7. other sources of interest rate risk.</w:t>
      </w:r>
    </w:p>
    <w:p w14:paraId="2C866CE9"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2" w:name="p-1255435"/>
      <w:bookmarkEnd w:id="132"/>
    </w:p>
    <w:p w14:paraId="3C0CDF4A"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62. The institution shall include commercial reserves in the calculation of changes in net interest income. When taking the decision to exclude commercial reserves and other gaps from the calculation of changes in economic value, the institution shall ensure that:</w:t>
      </w:r>
      <w:bookmarkStart w:id="133" w:name="p62"/>
      <w:bookmarkEnd w:id="133"/>
    </w:p>
    <w:p w14:paraId="54DF0002"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62.1. a transparent methodology is used to determine the risk-free interest rate at the moment when each instrument is incurred;</w:t>
      </w:r>
    </w:p>
    <w:p w14:paraId="0A103CAC"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62.2. the exclusion of commercial reserves from the cash flow is justified and corresponds to the management and hedging of interest rate risk of the institution;</w:t>
      </w:r>
    </w:p>
    <w:p w14:paraId="2BF45433"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62.3. the approach used is consistently applied to all units of the institution and all interest rate sensitive instruments.</w:t>
      </w:r>
    </w:p>
    <w:p w14:paraId="574EE777"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4" w:name="p-1255437"/>
      <w:bookmarkEnd w:id="134"/>
    </w:p>
    <w:p w14:paraId="0912B040"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63. When determining the behavioural and modelling assumptions to be used in the assessment of interest rate risk, the institution shall take into account the materiality thresholds specified in the directly applicable legal act of the European Union that determines the standardised methodology and the simplified standardised methodology.</w:t>
      </w:r>
      <w:bookmarkStart w:id="135" w:name="p63"/>
      <w:bookmarkEnd w:id="135"/>
    </w:p>
    <w:p w14:paraId="2D004FEF"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 w:name="n5.1"/>
      <w:bookmarkStart w:id="137" w:name="n-1255438"/>
      <w:bookmarkEnd w:id="136"/>
      <w:bookmarkEnd w:id="137"/>
    </w:p>
    <w:p w14:paraId="00073EA6" w14:textId="77777777" w:rsidR="00B85061" w:rsidRPr="00B85061" w:rsidRDefault="00B85061" w:rsidP="00B85061">
      <w:pPr>
        <w:shd w:val="clear" w:color="auto" w:fill="FFFFFF"/>
        <w:spacing w:after="0" w:line="240" w:lineRule="auto"/>
        <w:jc w:val="center"/>
        <w:rPr>
          <w:rFonts w:ascii="Times New Roman" w:hAnsi="Times New Roman"/>
          <w:b/>
          <w:noProof/>
          <w:kern w:val="0"/>
          <w:sz w:val="24"/>
          <w:lang w:val="en-US"/>
        </w:rPr>
      </w:pPr>
      <w:r w:rsidRPr="00B85061">
        <w:rPr>
          <w:rFonts w:ascii="Times New Roman" w:hAnsi="Times New Roman"/>
          <w:b/>
          <w:noProof/>
          <w:kern w:val="0"/>
          <w:sz w:val="24"/>
          <w:lang w:val="en-US"/>
        </w:rPr>
        <w:t>5.1. Assumptions about the Behaviour of Customers in Respect of Accounts with an Embedded Customer Option</w:t>
      </w:r>
    </w:p>
    <w:p w14:paraId="30FB09F9"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8" w:name="p-1255439"/>
      <w:bookmarkEnd w:id="138"/>
    </w:p>
    <w:p w14:paraId="29BA5A9E"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64. The institution shall develop and document in the internal normative documents a policy governing the determination and regular assessment of the assumption in respect of the balance sheet and off-balance sheet items with an embedded option, including:</w:t>
      </w:r>
      <w:bookmarkStart w:id="139" w:name="p64"/>
      <w:bookmarkEnd w:id="139"/>
    </w:p>
    <w:p w14:paraId="6D33399C"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64.1. identify all significant products and positions with an embedded option that could affect the applied interest or repricing date;</w:t>
      </w:r>
    </w:p>
    <w:p w14:paraId="61360A2F"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64.2. establish strategies for pricing and mitigation of interest rate risk (for example, use of derivatives, imposition of a fine for early termination of a time deposit or loan contract) in order to manage options of the behaviour of customers within the desired level of interest rate risk;</w:t>
      </w:r>
    </w:p>
    <w:p w14:paraId="7131984B"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64.3. ensure that the modelling of assumptions about the behaviour of customers is based on prudent assumptions, justified by historical data and back-testing;</w:t>
      </w:r>
    </w:p>
    <w:p w14:paraId="16AC72AE"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64.4. assess the impact of the assumptions to be used on the results of the assessment of interest rate risk, including conduct stress testing of the assumptions and ascribing the results to the amount of capital necessary to cover interest rate risk;</w:t>
      </w:r>
    </w:p>
    <w:p w14:paraId="70B83362"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64.5. ensure the validation of the assumptions to be used in order to verify stability thereof in the course of time and adjust it, where necessary.</w:t>
      </w:r>
    </w:p>
    <w:p w14:paraId="65981CF4"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0" w:name="p-1255441"/>
      <w:bookmarkEnd w:id="140"/>
    </w:p>
    <w:p w14:paraId="179B9B47"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65. When analysing the impact of behavioural and modelling assumptions to be used on the results of the assessment of interest rate risk, the institution shall take into account the following:</w:t>
      </w:r>
      <w:bookmarkStart w:id="141" w:name="p65"/>
      <w:bookmarkEnd w:id="141"/>
    </w:p>
    <w:p w14:paraId="47A0B614"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65.1. the movement of the balance of customer funds between different types of products, as characteristics, conditions, and terms thereof change;</w:t>
      </w:r>
    </w:p>
    <w:p w14:paraId="7B75FB72"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65.2. the ability of product rates to adjust to changes in market interest rates;</w:t>
      </w:r>
    </w:p>
    <w:p w14:paraId="783C50FA"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65.3. the potential impact on the rate of early redemption of the current and future loans which is caused by the economic environment, terms of the contract, scenarios for changes in interest rates, and other values affecting the embedded behavioural options.</w:t>
      </w:r>
    </w:p>
    <w:p w14:paraId="3CFB7DBB"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2" w:name="p-1255442"/>
      <w:bookmarkEnd w:id="142"/>
    </w:p>
    <w:p w14:paraId="171352F7"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66. When determining and documenting in the internal normative documents the assumptions about the behaviour of customers in respect of accounts without fixed repricing dates or accounts with an unspecified maturity, the institution shall:</w:t>
      </w:r>
      <w:bookmarkStart w:id="143" w:name="p66"/>
      <w:bookmarkEnd w:id="143"/>
    </w:p>
    <w:p w14:paraId="5B629403"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66.1. ensure that sight deposits accepted from financial customers within the meaning of Article 411 of Regulation No 575/2013 are not subject to the behavioural modelling, except for the operational deposits specified in Article 27(1)(a) of Commission Delegated Regulation (EU) 2015/61 of 10 October 2014 to supplement Regulation (EU) No 575/2013 of the European Parliament and the Council with regard to liquidity coverage requirement for Credit Institutions;</w:t>
      </w:r>
    </w:p>
    <w:p w14:paraId="6FD51F76"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66.2. ensure that the assumptions reflect characteristics of accounts held by both depositors (small or medium enterprises, private individuals, or corporate depositors) and customers in at least three categories:</w:t>
      </w:r>
    </w:p>
    <w:p w14:paraId="5E24F30B" w14:textId="77777777" w:rsidR="00B85061" w:rsidRPr="00B85061" w:rsidRDefault="00B85061" w:rsidP="00B85061">
      <w:pPr>
        <w:shd w:val="clear" w:color="auto" w:fill="FFFFFF"/>
        <w:spacing w:after="0" w:line="240" w:lineRule="auto"/>
        <w:ind w:left="709" w:firstLine="709"/>
        <w:jc w:val="both"/>
        <w:rPr>
          <w:rFonts w:ascii="Times New Roman" w:hAnsi="Times New Roman"/>
          <w:noProof/>
          <w:kern w:val="0"/>
          <w:sz w:val="24"/>
          <w:lang w:val="en-US"/>
        </w:rPr>
      </w:pPr>
      <w:r w:rsidRPr="00B85061">
        <w:rPr>
          <w:rFonts w:ascii="Times New Roman" w:hAnsi="Times New Roman"/>
          <w:noProof/>
          <w:kern w:val="0"/>
          <w:sz w:val="24"/>
          <w:lang w:val="en-US"/>
        </w:rPr>
        <w:t>66.2.1. the sight deposits of private individuals, small or medium-sized enterprises within the meaning of Article 411 of Regulation No 575/2013 that are held in the account for transactions, including interest-free sight deposits and other balances in accounts the compensation component of which does not affect the decision of the customer to hold funds;</w:t>
      </w:r>
    </w:p>
    <w:p w14:paraId="4A8CCC88" w14:textId="77777777" w:rsidR="00B85061" w:rsidRPr="00B85061" w:rsidRDefault="00B85061" w:rsidP="00B85061">
      <w:pPr>
        <w:shd w:val="clear" w:color="auto" w:fill="FFFFFF"/>
        <w:spacing w:after="0" w:line="240" w:lineRule="auto"/>
        <w:ind w:left="709" w:firstLine="709"/>
        <w:jc w:val="both"/>
        <w:rPr>
          <w:rFonts w:ascii="Times New Roman" w:hAnsi="Times New Roman"/>
          <w:noProof/>
          <w:kern w:val="0"/>
          <w:sz w:val="24"/>
          <w:lang w:val="en-US"/>
        </w:rPr>
      </w:pPr>
      <w:r w:rsidRPr="00B85061">
        <w:rPr>
          <w:rFonts w:ascii="Times New Roman" w:hAnsi="Times New Roman"/>
          <w:noProof/>
          <w:kern w:val="0"/>
          <w:sz w:val="24"/>
          <w:lang w:val="en-US"/>
        </w:rPr>
        <w:t>66.2.2. the sight deposits of private individuals, small or medium-sized enterprises, except for the deposits referred to in Sub-paragraph 66.2.1 of this Regulation, the compensation account of which affects the decision of the customer to hold funds in the account;</w:t>
      </w:r>
    </w:p>
    <w:p w14:paraId="168F4797" w14:textId="77777777" w:rsidR="00B85061" w:rsidRPr="00B85061" w:rsidRDefault="00B85061" w:rsidP="00B85061">
      <w:pPr>
        <w:shd w:val="clear" w:color="auto" w:fill="FFFFFF"/>
        <w:spacing w:after="0" w:line="240" w:lineRule="auto"/>
        <w:ind w:left="709" w:firstLine="709"/>
        <w:jc w:val="both"/>
        <w:rPr>
          <w:rFonts w:ascii="Times New Roman" w:hAnsi="Times New Roman"/>
          <w:noProof/>
          <w:kern w:val="0"/>
          <w:sz w:val="24"/>
          <w:lang w:val="en-US"/>
        </w:rPr>
      </w:pPr>
      <w:r w:rsidRPr="00B85061">
        <w:rPr>
          <w:rFonts w:ascii="Times New Roman" w:hAnsi="Times New Roman"/>
          <w:noProof/>
          <w:kern w:val="0"/>
          <w:sz w:val="24"/>
          <w:lang w:val="en-US"/>
        </w:rPr>
        <w:t>66.2.3. the corporate deposits, except for those of financial customers within the meaning of Article 411 of Regulation No 575/2013 or other fully price sensitive accounts;</w:t>
      </w:r>
    </w:p>
    <w:p w14:paraId="11BA1897"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66.3. determine a stable amount of sight deposits for each of the categories referred to in Sub-paragraph 66.2 of this Regulation, using observed changes in the amount of sight deposits that are related to the top-down and bottom-up movements of risk-free interest rate at least over the previous 10 years;</w:t>
      </w:r>
    </w:p>
    <w:p w14:paraId="2B4E1D31"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66.4. identify the base of basic funds for each of the categories referred to in Sub-paragraph 66.2 of this Regulation, namely stable sight deposits the repricing of which is unlikely in a significantly changing environment of interest rate and market conditions, and also identify sight deposits with limited flexibility against changes in interest rates;</w:t>
      </w:r>
    </w:p>
    <w:p w14:paraId="6EC2AD73"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66.5. assess the potential movement of the balance of customer funds between sight deposits and other deposits which can change the behavioural assumptions in different scenarios for changes in interest rates;</w:t>
      </w:r>
    </w:p>
    <w:p w14:paraId="3D850E03"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66.6. except for the deposits referred to in point 2(a) of Article 428f of Regulation No 575/2013, but not limited to centrally regulated deposits and deposits with significant economic or fiscal restrictions in the case of withdrawal, present a repricing maturity that does not exceed the weighted average maximum repricing maturity of five years in respect of the following categories of deposits:</w:t>
      </w:r>
    </w:p>
    <w:p w14:paraId="34775F09" w14:textId="77777777" w:rsidR="00B85061" w:rsidRPr="00B85061" w:rsidRDefault="00B85061" w:rsidP="00B85061">
      <w:pPr>
        <w:shd w:val="clear" w:color="auto" w:fill="FFFFFF"/>
        <w:spacing w:after="0" w:line="240" w:lineRule="auto"/>
        <w:ind w:left="709" w:firstLine="709"/>
        <w:jc w:val="both"/>
        <w:rPr>
          <w:rFonts w:ascii="Times New Roman" w:hAnsi="Times New Roman"/>
          <w:noProof/>
          <w:kern w:val="0"/>
          <w:sz w:val="24"/>
          <w:lang w:val="en-US"/>
        </w:rPr>
      </w:pPr>
      <w:r w:rsidRPr="00B85061">
        <w:rPr>
          <w:rFonts w:ascii="Times New Roman" w:hAnsi="Times New Roman"/>
          <w:noProof/>
          <w:kern w:val="0"/>
          <w:sz w:val="24"/>
          <w:lang w:val="en-US"/>
        </w:rPr>
        <w:t>66.6.1. the operational deposits specified in Article 27(1)(a) of Commission Delegated Regulation (EU) 2015/61 of 10 October 2014 to supplement Regulation (EU) No 575/2013 of the European Parliament and the Council with regard to liquidity coverage requirement for Credit Institutions;</w:t>
      </w:r>
    </w:p>
    <w:p w14:paraId="62859CDB" w14:textId="77777777" w:rsidR="00B85061" w:rsidRPr="00B85061" w:rsidRDefault="00B85061" w:rsidP="00B85061">
      <w:pPr>
        <w:shd w:val="clear" w:color="auto" w:fill="FFFFFF"/>
        <w:spacing w:after="0" w:line="240" w:lineRule="auto"/>
        <w:ind w:left="709" w:firstLine="709"/>
        <w:jc w:val="both"/>
        <w:rPr>
          <w:rFonts w:ascii="Times New Roman" w:hAnsi="Times New Roman"/>
          <w:noProof/>
          <w:kern w:val="0"/>
          <w:sz w:val="24"/>
          <w:lang w:val="en-US"/>
        </w:rPr>
      </w:pPr>
      <w:r w:rsidRPr="00B85061">
        <w:rPr>
          <w:rFonts w:ascii="Times New Roman" w:hAnsi="Times New Roman"/>
          <w:noProof/>
          <w:kern w:val="0"/>
          <w:sz w:val="24"/>
          <w:lang w:val="en-US"/>
        </w:rPr>
        <w:t>66.6.2. the sight deposits of private individuals, small or medium-sized enterprises;</w:t>
      </w:r>
    </w:p>
    <w:p w14:paraId="3ADF6D6D" w14:textId="77777777" w:rsidR="00B85061" w:rsidRPr="00B85061" w:rsidRDefault="00B85061" w:rsidP="00B85061">
      <w:pPr>
        <w:shd w:val="clear" w:color="auto" w:fill="FFFFFF"/>
        <w:spacing w:after="0" w:line="240" w:lineRule="auto"/>
        <w:ind w:left="709" w:firstLine="709"/>
        <w:jc w:val="both"/>
        <w:rPr>
          <w:rFonts w:ascii="Times New Roman" w:hAnsi="Times New Roman"/>
          <w:noProof/>
          <w:kern w:val="0"/>
          <w:sz w:val="24"/>
          <w:lang w:val="en-US"/>
        </w:rPr>
      </w:pPr>
      <w:r w:rsidRPr="00B85061">
        <w:rPr>
          <w:rFonts w:ascii="Times New Roman" w:hAnsi="Times New Roman"/>
          <w:noProof/>
          <w:kern w:val="0"/>
          <w:sz w:val="24"/>
          <w:lang w:val="en-US"/>
        </w:rPr>
        <w:t>66.6.3. the corporate sight deposits attracted from customers other than financial customers within the meaning of Article 411 of Regulation No 575/2013;</w:t>
      </w:r>
    </w:p>
    <w:p w14:paraId="2875CFB5"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66.7. apply the five-year restriction referred to in Sub-paragraph 66.6 of this Regulation both to the amount of the total portfolio of all the categories of deposits referred to in Sub-paragraphs 66.6.1, 66.6.2, and 66.6.3 of this Regulation and each currency separately;</w:t>
      </w:r>
    </w:p>
    <w:p w14:paraId="4AAE15D0"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66.8. assess the potential restrictions on the repricing of deposits of private individuals and small or medium-sized enterprises in an environment of low or negative interest rates and the impact of such restrictions on the stability of deposits in different scenarios for changes in interest rates;</w:t>
      </w:r>
    </w:p>
    <w:p w14:paraId="1387BC35"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66.9. ensure that assumptions about the base of basic funds of customers and the reduction of other modelled balances are prudent, justified, and appropriate, balancing the benefits from net interest income with the additional risk of economic value that is related to fixing the future interest rate return on the assets financed by such funds and the potential loss of revenue under circumstances of a rising interest rate;</w:t>
      </w:r>
    </w:p>
    <w:p w14:paraId="594C0974"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66.10. not rely solely on one analytical or statistical method for determining behavioural assumptions, repricing dates, and cash flow profile of sight deposits, and supplement the quantitative assessment with an expert qualitative evaluation;</w:t>
      </w:r>
    </w:p>
    <w:p w14:paraId="55139CED" w14:textId="77777777" w:rsidR="00B85061" w:rsidRPr="00B85061" w:rsidRDefault="00B85061" w:rsidP="00B85061">
      <w:pPr>
        <w:keepNext/>
        <w:keepLines/>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66.11. assess the impact of the assumptions to be used on the results of the assessment of interest rate risk (economic value and net interest income, additionally taking into account changes in the market value of instruments measured at fair value) and the amount of capital necessary to cover interest rate risk, including conduct a sensitivity analysis in respect of the assumption parameters (for example, the amount of the basic funds of customers and repricing date) and calculations according to the terms of the contract in order to exclude the impact of assumptions.</w:t>
      </w:r>
    </w:p>
    <w:p w14:paraId="6C781E9D"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 w:name="n5.2"/>
      <w:bookmarkStart w:id="145" w:name="n-1255443"/>
      <w:bookmarkEnd w:id="144"/>
      <w:bookmarkEnd w:id="145"/>
    </w:p>
    <w:p w14:paraId="573B6A2A" w14:textId="77777777" w:rsidR="00B85061" w:rsidRPr="00B85061" w:rsidRDefault="00B85061" w:rsidP="00B85061">
      <w:pPr>
        <w:shd w:val="clear" w:color="auto" w:fill="FFFFFF"/>
        <w:spacing w:after="0" w:line="240" w:lineRule="auto"/>
        <w:jc w:val="center"/>
        <w:rPr>
          <w:rFonts w:ascii="Times New Roman" w:hAnsi="Times New Roman"/>
          <w:b/>
          <w:noProof/>
          <w:kern w:val="0"/>
          <w:sz w:val="24"/>
          <w:lang w:val="en-US"/>
        </w:rPr>
      </w:pPr>
      <w:r w:rsidRPr="00B85061">
        <w:rPr>
          <w:rFonts w:ascii="Times New Roman" w:hAnsi="Times New Roman"/>
          <w:b/>
          <w:noProof/>
          <w:kern w:val="0"/>
          <w:sz w:val="24"/>
          <w:lang w:val="en-US"/>
        </w:rPr>
        <w:t>5.2. Assumptions about the Own Funds Items</w:t>
      </w:r>
    </w:p>
    <w:p w14:paraId="1D64B449"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6" w:name="p-1255444"/>
      <w:bookmarkEnd w:id="146"/>
    </w:p>
    <w:p w14:paraId="3B6524FE"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67. When determining and documenting in the internal normative documents the assumptions about investment maturity, namely the assumptions about the stabilisation of income generated from the use of own funds, the institution shall:</w:t>
      </w:r>
      <w:bookmarkStart w:id="147" w:name="p67"/>
      <w:bookmarkEnd w:id="147"/>
    </w:p>
    <w:p w14:paraId="32490143"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67.1. establish a methodology to identify which own funds items are considered to be suitable for such an assumption;</w:t>
      </w:r>
    </w:p>
    <w:p w14:paraId="35C22AC7"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67.2. determine the investment maturity profile for the appropriate own funds that balances the benefit from the stabilisation of income arising from investing funds in long-term positions with fixed returns against the additional sensitivity of the economic value of the respective positions under conditions of interest rate stress, and the risk of insufficient generation of income as interest rates rise;</w:t>
      </w:r>
    </w:p>
    <w:p w14:paraId="74EFDA0C"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67.3. assess the impact of the chosen investment maturity profile on the results of the assessment of interest rate risk (economic value and net interest income, additionally taking into account changes in the market value of instruments measured at fair value), including regularly make calculations, excluding the own funds items.</w:t>
      </w:r>
    </w:p>
    <w:p w14:paraId="308D02AF"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8" w:name="p-1255445"/>
      <w:bookmarkEnd w:id="148"/>
    </w:p>
    <w:p w14:paraId="2CACC506"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68. When taking the decision to use the assumption about the investment maturity in respect of the own funds items, the institution shall take into account that it may not invest in the positions that significantly restrict its ability to adapt to the changing economic and business environment.</w:t>
      </w:r>
      <w:bookmarkStart w:id="149" w:name="p68"/>
      <w:bookmarkEnd w:id="149"/>
    </w:p>
    <w:p w14:paraId="7B0F3BA9"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0" w:name="p-1255446"/>
      <w:bookmarkEnd w:id="150"/>
    </w:p>
    <w:p w14:paraId="1270C359"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69. If the institution has not determined the assumptions about the investment maturity in respect of the own funds items or has determined assumptions of a short-term nature, the institution shall assess and document the impact of the selected approach on the volatility of economic value and net interest income.</w:t>
      </w:r>
      <w:bookmarkStart w:id="151" w:name="p69"/>
      <w:bookmarkEnd w:id="151"/>
    </w:p>
    <w:p w14:paraId="0B02F80A"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2" w:name="p-1255447"/>
      <w:bookmarkEnd w:id="152"/>
    </w:p>
    <w:p w14:paraId="0BF24EC9"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70. Assumptions about the investment maturity shall be considered elements of the institution’s planning cycle, and they may not be adjusted to changes in the forecasts for the volatility of the institution’s interest rates.</w:t>
      </w:r>
      <w:bookmarkStart w:id="153" w:name="p70"/>
      <w:bookmarkEnd w:id="153"/>
    </w:p>
    <w:p w14:paraId="69C51C81"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 w:name="n5.3"/>
      <w:bookmarkStart w:id="155" w:name="n-1255450"/>
      <w:bookmarkEnd w:id="154"/>
      <w:bookmarkEnd w:id="155"/>
    </w:p>
    <w:p w14:paraId="49E37680" w14:textId="77777777" w:rsidR="00B85061" w:rsidRPr="00B85061" w:rsidRDefault="00B85061" w:rsidP="00B85061">
      <w:pPr>
        <w:shd w:val="clear" w:color="auto" w:fill="FFFFFF"/>
        <w:spacing w:after="0" w:line="240" w:lineRule="auto"/>
        <w:jc w:val="center"/>
        <w:rPr>
          <w:rFonts w:ascii="Times New Roman" w:hAnsi="Times New Roman"/>
          <w:b/>
          <w:noProof/>
          <w:kern w:val="0"/>
          <w:sz w:val="24"/>
          <w:lang w:val="en-US"/>
        </w:rPr>
      </w:pPr>
      <w:r w:rsidRPr="00B85061">
        <w:rPr>
          <w:rFonts w:ascii="Times New Roman" w:hAnsi="Times New Roman"/>
          <w:b/>
          <w:noProof/>
          <w:kern w:val="0"/>
          <w:sz w:val="24"/>
          <w:lang w:val="en-US"/>
        </w:rPr>
        <w:t>5.3. Stress Testing for the Interest Rate Risk, Assessment of Critical Situations, and Measures to Prevent or Eliminate Them</w:t>
      </w:r>
    </w:p>
    <w:p w14:paraId="3645ED15"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6" w:name="p-1255451"/>
      <w:bookmarkEnd w:id="156"/>
    </w:p>
    <w:p w14:paraId="33A51DA4"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71. For the purpose of identifying how the potential changes in interest rates affect the interest rate sensitive instruments, the economic value of the institution, the economic value of own funds, and net interest income, additionally taking into account changes in the market value of instruments measured at fair value, the availability of the capital necessary to cover potential loss or other resources, and the prices thereof for overcoming critical situations, the institution shall regularly, but at least once every calendar quarter, and each time when the institution receives information indicating a deterioration in the interest rate risk profile (including increased volatility of interest rates), perform stress testing which includes at least the following:</w:t>
      </w:r>
      <w:bookmarkStart w:id="157" w:name="p71"/>
      <w:bookmarkEnd w:id="157"/>
    </w:p>
    <w:p w14:paraId="606EDC57"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71.1. the stress tests developed by the institution in accordance with the requirements laid down in Paragraphs 74, 75, 76, 77, 78, 79, 80, 81, 82, 83, 84, 85, and 86 of this Regulation;</w:t>
      </w:r>
    </w:p>
    <w:p w14:paraId="1807E58D"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71.2. the supervisory stress tests referred to in the directly applicable legal acts of the European Union.</w:t>
      </w:r>
    </w:p>
    <w:p w14:paraId="01FE13F0"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8" w:name="p-1255453"/>
      <w:bookmarkEnd w:id="158"/>
    </w:p>
    <w:p w14:paraId="0B4F9D21"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72. Additionally, the institution shall regularly, but at least once a year, assess the critical stress tests within the process of assessing the capital adequacy, including assess its ability to overcome the critical situation identified and analyse the feasibility of the intended action plan.</w:t>
      </w:r>
      <w:bookmarkStart w:id="159" w:name="p72"/>
      <w:bookmarkEnd w:id="159"/>
    </w:p>
    <w:p w14:paraId="084BC4A6"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0" w:name="p-1255454"/>
      <w:bookmarkEnd w:id="160"/>
    </w:p>
    <w:p w14:paraId="5DC3CD9D"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73. The institution shall also ensure stress testing in accordance with the stress test, including scenario and assumptions, specified by Latvijas Banka, if so required.</w:t>
      </w:r>
      <w:bookmarkStart w:id="161" w:name="p73"/>
      <w:bookmarkEnd w:id="161"/>
    </w:p>
    <w:p w14:paraId="3BB3EF42"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2" w:name="p-1255455"/>
      <w:bookmarkEnd w:id="162"/>
    </w:p>
    <w:p w14:paraId="00EE8727"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74. The institution shall use forward-looking stress tests in stress testing with a sufficiently significant impact on the institution, but not such that are impossible. The quantity and level of detail of the stress tests shall depend on the institution’s size, specific nature of operations and objectives, the amount, diversity, and complexity of the current and planned transactions, and also on the risk profile of the institution.</w:t>
      </w:r>
      <w:bookmarkStart w:id="163" w:name="p74"/>
      <w:bookmarkEnd w:id="163"/>
    </w:p>
    <w:p w14:paraId="59C3A448"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4" w:name="p-1255456"/>
      <w:bookmarkEnd w:id="164"/>
    </w:p>
    <w:p w14:paraId="41823214"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75. The institution shall develop and document the objectives and methodology of stress testing, stress scenarios, parameters, and assumptions that are statistically and economically justified and, after approval thereof by the executive board, shall perform stress testing for the interest rate risk, analyse results of the stress testing, and use them in the management of interest rate risk and decision-taking, including taking decisions on the amount of capital necessary to cover the potential loss, improvement of the limit system, review of the interest rate risk strategy and the internal normative documents.</w:t>
      </w:r>
      <w:bookmarkStart w:id="165" w:name="p75"/>
      <w:bookmarkEnd w:id="165"/>
    </w:p>
    <w:p w14:paraId="3AC7F8FD"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6" w:name="p-1255457"/>
      <w:bookmarkEnd w:id="166"/>
    </w:p>
    <w:p w14:paraId="24A7E5F1"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76. When developing stress tests, the institution shall take into account all available internal and external information on historical fluctuations of interest rates and current conditions and behaviour, and also future forecasts and interest rate simulations.</w:t>
      </w:r>
      <w:bookmarkStart w:id="167" w:name="p76"/>
      <w:bookmarkEnd w:id="167"/>
    </w:p>
    <w:p w14:paraId="582D14D5"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8" w:name="p-1255458"/>
      <w:bookmarkEnd w:id="168"/>
    </w:p>
    <w:p w14:paraId="548517C1"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77. For the purpose of ensuring high-quality stress testing for interest rate risk, the institution shall, using sensitivity analysis and scenario analysis at the institutional level and level of the prudential consolidation group within the meaning of Regulation No 575/2013, develop such stress tests that include changes in quantitative and qualitative components of interest rate risk and the indicators affecting them, including changes in the indicators characterising current and future conditions of the business environment for different periods and stress levels, namely from the baseline scenario which is based on the forecasts for operations of the institution, economic development, and business environment to a significant unfavourable scenario which is based on significant unfavourable forecasts for economic development.</w:t>
      </w:r>
      <w:bookmarkStart w:id="169" w:name="p77"/>
      <w:bookmarkEnd w:id="169"/>
    </w:p>
    <w:p w14:paraId="10ED21EE"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0" w:name="p-1255459"/>
      <w:bookmarkEnd w:id="170"/>
    </w:p>
    <w:p w14:paraId="743B60A1"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78. When analysing the indicators characterising current and future conditions of the business environment and changes thereof, the institution shall use the indicators characterising the macroeconomic situation and development thereof, the competitive environment and development thereof, and also the indicators characterising general market trends.</w:t>
      </w:r>
      <w:bookmarkStart w:id="171" w:name="p78"/>
      <w:bookmarkEnd w:id="171"/>
    </w:p>
    <w:p w14:paraId="24F6F108"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2" w:name="p-1255460"/>
      <w:bookmarkEnd w:id="172"/>
    </w:p>
    <w:p w14:paraId="30899327"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79. When performing stress testing, the institution shall calculate and analyse the correlation of interest rate risk with other risks, in particular market risk, liquidity risk, and credit risk, and also calculate the secondary impact.</w:t>
      </w:r>
      <w:bookmarkStart w:id="173" w:name="p79"/>
      <w:bookmarkEnd w:id="173"/>
    </w:p>
    <w:p w14:paraId="28DF1171"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4" w:name="p-1255461"/>
      <w:bookmarkEnd w:id="174"/>
    </w:p>
    <w:p w14:paraId="10ACE077"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80. The institution shall analyse both the potential impact of a one-time event and the consequences that might be caused by events over a longer period, including in relation to potential changes in customer behaviour.</w:t>
      </w:r>
      <w:bookmarkStart w:id="175" w:name="p80"/>
      <w:bookmarkEnd w:id="175"/>
    </w:p>
    <w:p w14:paraId="532BE27C"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6" w:name="p-1255462"/>
      <w:bookmarkEnd w:id="176"/>
    </w:p>
    <w:p w14:paraId="559CA429"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81. When developing the methodology for the stress testing for interest rate risk and performing stress testing, the institution shall ensure the following:</w:t>
      </w:r>
      <w:bookmarkStart w:id="177" w:name="p81"/>
      <w:bookmarkEnd w:id="177"/>
    </w:p>
    <w:p w14:paraId="75528F0F"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81.1. stress tests for changes in different interest rates, including in the slope and shape of the yield curve (parallel and non-parallel changes);</w:t>
      </w:r>
    </w:p>
    <w:p w14:paraId="7B472E4D"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81.2. stress tests for changes in assumptions about the correlation of changes in interest rates and own funds items and also about the behaviour of asset and liability items, including stress tests where the assumptions (for example, behavioural assumptions) themselves are functions of changes in the level of interest rates;</w:t>
      </w:r>
    </w:p>
    <w:p w14:paraId="74C849EA"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81.3. the use of assumptions about conditional or unconditional cash flow modelling approaches;</w:t>
      </w:r>
    </w:p>
    <w:p w14:paraId="42C87F48"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81.4. proper assessment of the justification of diversification assumptions;</w:t>
      </w:r>
    </w:p>
    <w:p w14:paraId="20C7CEF1"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81.5. stress tests reflecting significant changes in the interrelationship of key market rates to assess the basis risk;</w:t>
      </w:r>
    </w:p>
    <w:p w14:paraId="2C5AA89A"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81.6. scenarios for stress testing for negative interest rates and provide for a possibility that negative interest rates can asymmetrically affect interest rate sensitive instruments;</w:t>
      </w:r>
    </w:p>
    <w:p w14:paraId="2D02E680"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81.7. reverse stress testing in order to:</w:t>
      </w:r>
    </w:p>
    <w:p w14:paraId="63518C12" w14:textId="77777777" w:rsidR="00B85061" w:rsidRPr="00B85061" w:rsidRDefault="00B85061" w:rsidP="00B85061">
      <w:pPr>
        <w:shd w:val="clear" w:color="auto" w:fill="FFFFFF"/>
        <w:spacing w:after="0" w:line="240" w:lineRule="auto"/>
        <w:ind w:left="709" w:firstLine="709"/>
        <w:jc w:val="both"/>
        <w:rPr>
          <w:rFonts w:ascii="Times New Roman" w:hAnsi="Times New Roman"/>
          <w:noProof/>
          <w:kern w:val="0"/>
          <w:sz w:val="24"/>
          <w:lang w:val="en-US"/>
        </w:rPr>
      </w:pPr>
      <w:r w:rsidRPr="00B85061">
        <w:rPr>
          <w:rFonts w:ascii="Times New Roman" w:hAnsi="Times New Roman"/>
          <w:noProof/>
          <w:kern w:val="0"/>
          <w:sz w:val="24"/>
          <w:lang w:val="en-US"/>
        </w:rPr>
        <w:t>81.7.1. identify such negative consequences which can significantly threaten the institution’s capital, economic value, financial indicators, and net interest income, additionally taking into account changes in the market value of instruments measured at fair value;</w:t>
      </w:r>
    </w:p>
    <w:p w14:paraId="4A778AFF" w14:textId="77777777" w:rsidR="00B85061" w:rsidRPr="00B85061" w:rsidRDefault="00B85061" w:rsidP="00B85061">
      <w:pPr>
        <w:shd w:val="clear" w:color="auto" w:fill="FFFFFF"/>
        <w:spacing w:after="0" w:line="240" w:lineRule="auto"/>
        <w:ind w:left="709" w:firstLine="709"/>
        <w:jc w:val="both"/>
        <w:rPr>
          <w:rFonts w:ascii="Times New Roman" w:hAnsi="Times New Roman"/>
          <w:noProof/>
          <w:kern w:val="0"/>
          <w:sz w:val="24"/>
          <w:lang w:val="en-US"/>
        </w:rPr>
      </w:pPr>
      <w:r w:rsidRPr="00B85061">
        <w:rPr>
          <w:rFonts w:ascii="Times New Roman" w:hAnsi="Times New Roman"/>
          <w:noProof/>
          <w:kern w:val="0"/>
          <w:sz w:val="24"/>
          <w:lang w:val="en-US"/>
        </w:rPr>
        <w:t>81.7.2. recognise events or combinations of events that could result in the negative consequences referred to in Sub-paragraph 81.7.1 of this Regulation;</w:t>
      </w:r>
    </w:p>
    <w:p w14:paraId="671C2729" w14:textId="77777777" w:rsidR="00B85061" w:rsidRPr="00B85061" w:rsidRDefault="00B85061" w:rsidP="00B85061">
      <w:pPr>
        <w:shd w:val="clear" w:color="auto" w:fill="FFFFFF"/>
        <w:spacing w:after="0" w:line="240" w:lineRule="auto"/>
        <w:ind w:left="709" w:firstLine="709"/>
        <w:jc w:val="both"/>
        <w:rPr>
          <w:rFonts w:ascii="Times New Roman" w:hAnsi="Times New Roman"/>
          <w:noProof/>
          <w:kern w:val="0"/>
          <w:sz w:val="24"/>
          <w:lang w:val="en-US"/>
        </w:rPr>
      </w:pPr>
      <w:r w:rsidRPr="00B85061">
        <w:rPr>
          <w:rFonts w:ascii="Times New Roman" w:hAnsi="Times New Roman"/>
          <w:noProof/>
          <w:kern w:val="0"/>
          <w:sz w:val="24"/>
          <w:lang w:val="en-US"/>
        </w:rPr>
        <w:t>81.7.3. identify deficiencies in the interest rate risk hedging strategies;</w:t>
      </w:r>
    </w:p>
    <w:p w14:paraId="3E173785" w14:textId="77777777" w:rsidR="00B85061" w:rsidRPr="00B85061" w:rsidRDefault="00B85061" w:rsidP="00B85061">
      <w:pPr>
        <w:shd w:val="clear" w:color="auto" w:fill="FFFFFF"/>
        <w:spacing w:after="0" w:line="240" w:lineRule="auto"/>
        <w:ind w:left="709" w:firstLine="709"/>
        <w:jc w:val="both"/>
        <w:rPr>
          <w:rFonts w:ascii="Times New Roman" w:hAnsi="Times New Roman"/>
          <w:noProof/>
          <w:kern w:val="0"/>
          <w:sz w:val="24"/>
          <w:lang w:val="en-US"/>
        </w:rPr>
      </w:pPr>
      <w:r w:rsidRPr="00B85061">
        <w:rPr>
          <w:rFonts w:ascii="Times New Roman" w:hAnsi="Times New Roman"/>
          <w:noProof/>
          <w:kern w:val="0"/>
          <w:sz w:val="24"/>
          <w:lang w:val="en-US"/>
        </w:rPr>
        <w:t>81.7.4. determine the necessary corrective measures;</w:t>
      </w:r>
    </w:p>
    <w:p w14:paraId="1BB9CB2D"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81.8. special stress tests that are characteristic of the business model and operating profile of the institution.</w:t>
      </w:r>
    </w:p>
    <w:p w14:paraId="41B4395E"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8" w:name="p-1255463"/>
      <w:bookmarkEnd w:id="178"/>
    </w:p>
    <w:p w14:paraId="3A099195"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82. The institution shall perform stress testing for interest rate risk separately for each currency in which it has interest rate sensitive instruments and also at an aggregate level, determining and documenting the method for aggregating different currencies. As regards significant currencies in which the institution has conducted transactions, the institution shall apply the stress tests that are characteristic of the currency and aligned with economic characteristics. All asset or liability positions of the non-trading book in a foreign currency shall be revalued and disclosed by the institution in euros according to the foreign exchange rate used in accounting as at the reporting date.</w:t>
      </w:r>
      <w:bookmarkStart w:id="179" w:name="p82"/>
      <w:bookmarkEnd w:id="179"/>
    </w:p>
    <w:p w14:paraId="1C22D114"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0" w:name="p-1255464"/>
      <w:bookmarkEnd w:id="180"/>
    </w:p>
    <w:p w14:paraId="7EBBBED5"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83. If the institution uses the assumption about interrelationships between interest rates of different currencies when performing stress testing for interest rate risk, it shall analyse the impact of this assumption on the total results.</w:t>
      </w:r>
      <w:bookmarkStart w:id="181" w:name="p83"/>
      <w:bookmarkEnd w:id="181"/>
    </w:p>
    <w:p w14:paraId="0394F807"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2" w:name="p-1255465"/>
      <w:bookmarkEnd w:id="182"/>
    </w:p>
    <w:p w14:paraId="04FBE7C2"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84. When performing stress testing with sensitivity analysis in respect of economic value, the institution shall evaluate the limitations related to the use of the assumption about the run-off balance sheet and the ability of the institution to cover long-term interest rate risk.</w:t>
      </w:r>
      <w:bookmarkStart w:id="183" w:name="p84"/>
      <w:bookmarkEnd w:id="183"/>
    </w:p>
    <w:p w14:paraId="4EF6AE54"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4" w:name="p-1255466"/>
      <w:bookmarkEnd w:id="184"/>
    </w:p>
    <w:p w14:paraId="688AB6D6"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85. In cases where balance sheet instruments are characterised by significant revaluation limitations (upper or lower limits), the institution shall, if it is relevant, take into account the impact that would occur by replacing the respective instruments with other instruments that have comparable characteristics, irrespective of the use of the assumption about the run-off balance sheet.</w:t>
      </w:r>
      <w:bookmarkStart w:id="185" w:name="p85"/>
      <w:bookmarkEnd w:id="185"/>
    </w:p>
    <w:p w14:paraId="2C952648"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6" w:name="n6"/>
      <w:bookmarkStart w:id="187" w:name="n-1255467"/>
      <w:bookmarkEnd w:id="186"/>
      <w:bookmarkEnd w:id="187"/>
    </w:p>
    <w:p w14:paraId="70EA5944" w14:textId="77777777" w:rsidR="00B85061" w:rsidRPr="00B85061" w:rsidRDefault="00B85061" w:rsidP="00B85061">
      <w:pPr>
        <w:keepNext/>
        <w:keepLines/>
        <w:shd w:val="clear" w:color="auto" w:fill="FFFFFF"/>
        <w:spacing w:after="0" w:line="240" w:lineRule="auto"/>
        <w:jc w:val="center"/>
        <w:rPr>
          <w:rFonts w:ascii="Times New Roman" w:hAnsi="Times New Roman"/>
          <w:b/>
          <w:noProof/>
          <w:kern w:val="0"/>
          <w:sz w:val="24"/>
          <w:lang w:val="en-US"/>
        </w:rPr>
      </w:pPr>
      <w:r w:rsidRPr="00B85061">
        <w:rPr>
          <w:rFonts w:ascii="Times New Roman" w:hAnsi="Times New Roman"/>
          <w:b/>
          <w:noProof/>
          <w:kern w:val="0"/>
          <w:sz w:val="24"/>
          <w:lang w:val="en-US"/>
        </w:rPr>
        <w:t>6. Validation of Models</w:t>
      </w:r>
    </w:p>
    <w:p w14:paraId="696F7FFC" w14:textId="77777777" w:rsidR="00B85061" w:rsidRPr="00B85061" w:rsidRDefault="00B85061" w:rsidP="00B85061">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8" w:name="p-1255468"/>
      <w:bookmarkEnd w:id="188"/>
    </w:p>
    <w:p w14:paraId="758DD12B"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86. The institution shall regularly, but at least once a year, perform the validation of the models used in the assessment of interest rate risk and credit spread risk and assess the corresponding model risk that is clearly defined in the internal normative documents of the institution.</w:t>
      </w:r>
      <w:bookmarkStart w:id="189" w:name="p86"/>
      <w:bookmarkEnd w:id="189"/>
    </w:p>
    <w:p w14:paraId="5C9E4AAB"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0" w:name="p-1255469"/>
      <w:bookmarkEnd w:id="190"/>
    </w:p>
    <w:p w14:paraId="3FA35943"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87. The institution shall ensure that the validation of models and the assessment of the model risk are performed by the employees who have the necessary qualification, knowledge, and experience in the performance of such task and who have not been involved in the development of the model.</w:t>
      </w:r>
      <w:bookmarkStart w:id="191" w:name="p87"/>
      <w:bookmarkEnd w:id="191"/>
    </w:p>
    <w:p w14:paraId="78A442B1"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2" w:name="p-1255470"/>
      <w:bookmarkEnd w:id="192"/>
    </w:p>
    <w:p w14:paraId="509F7AF5"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88. The institution shall ensure that the review and validation of the model input data, modelling methodology, underlying assumptions, and model outputs are independent of the development of the model.</w:t>
      </w:r>
      <w:bookmarkStart w:id="193" w:name="p88"/>
      <w:bookmarkEnd w:id="193"/>
    </w:p>
    <w:p w14:paraId="113CF02F"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4" w:name="p-1255471"/>
      <w:bookmarkEnd w:id="194"/>
    </w:p>
    <w:p w14:paraId="69D6F31E"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89. The institution shall perform the initial validation of the model for the assessment of interest rate risk and credit spread risk prior to using the model and performing the ongoing validation.</w:t>
      </w:r>
      <w:bookmarkStart w:id="195" w:name="p89"/>
      <w:bookmarkEnd w:id="195"/>
    </w:p>
    <w:p w14:paraId="7639C101"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6" w:name="p-1255472"/>
      <w:bookmarkEnd w:id="196"/>
    </w:p>
    <w:p w14:paraId="20AE2DEA"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90. The institution shall ensure a clear division of duties and responsibility to develop models and perform high-quality and independent initial and ongoing validation of models, and also to ensure appropriate documentation of the validation of models. The institution shall document the calculations for the review and validation of models in such a detailed manner that a third party can re-perform the respective analysis and calculations.</w:t>
      </w:r>
      <w:bookmarkStart w:id="197" w:name="p90"/>
      <w:bookmarkEnd w:id="197"/>
    </w:p>
    <w:p w14:paraId="552428DF"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8" w:name="p-1255473"/>
      <w:bookmarkEnd w:id="198"/>
    </w:p>
    <w:p w14:paraId="6740DC0F"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91. The validation policy, including the validation of mathematical calculations, assumptions, and software of the models used in the assessment of interest rate risk and credit spread risk, irrespective of whether internal or external input data and models are used, shall include at least the following:</w:t>
      </w:r>
      <w:bookmarkStart w:id="199" w:name="p91"/>
      <w:bookmarkEnd w:id="199"/>
    </w:p>
    <w:p w14:paraId="3E471E9D"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91.1. information on the procedures for the initial and ongoing validations, including the verification of processes and determination of benchmarks, processes, methods, and tools used in the validation, and objectives thereof to ensure the integrity of model and identify the circumstances in which the underlying assumptions of the model are inadequate and the input variables do not form reasonable and efficient grounds for the modelling result;</w:t>
      </w:r>
    </w:p>
    <w:p w14:paraId="496E4DD8"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91.2. information on the frequency of validation and the circumstances that determine the need for additional validation;</w:t>
      </w:r>
    </w:p>
    <w:p w14:paraId="27AD2505"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91.3. duties, authorities, and responsibility of the employees involved in the development of the initial and ongoing validation process, evaluation and approval of results, and decision-taking;</w:t>
      </w:r>
    </w:p>
    <w:p w14:paraId="38720A95"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91.4. procedures for evaluating the conceptual and methodological justification of the model and also the justification of the model risk which is based on quantitative and qualitative criteria;</w:t>
      </w:r>
    </w:p>
    <w:p w14:paraId="0A0CC0D6"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91.5. analysis of the internal and external input data, modelling methodology, underlying assumptions of the model, and results provided by the model, including comparison of the results obtained from the model calculation with the actual results;</w:t>
      </w:r>
    </w:p>
    <w:p w14:paraId="264E88E4"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91.6. procedures for evaluating the process of using expert opinions and judgements;</w:t>
      </w:r>
    </w:p>
    <w:p w14:paraId="2DE660AE"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91.7. validation of diversification assumptions;</w:t>
      </w:r>
    </w:p>
    <w:p w14:paraId="7A17C27B"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91.8. procedures to follow in the case where problems have been identified in the validation process in respect of the reliability of the model and the decision-taking process to resolve these problems;</w:t>
      </w:r>
    </w:p>
    <w:p w14:paraId="7C8CEFA0"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91.9. transition policy for the amendment or withdrawal of the approved models, including procedures for controlling and documenting changes and versions.</w:t>
      </w:r>
    </w:p>
    <w:p w14:paraId="45D1D292"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0" w:name="p-1255474"/>
      <w:bookmarkEnd w:id="200"/>
    </w:p>
    <w:p w14:paraId="1D881836"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92. The institution shall ensure that, during the process of reviewing and validating models, a validation report is prepared, documenting results of the validation and also conclusions and consequences arising from the analysis of validation, and recommendations for the review and further use of model specifications. The validation report shall be submitted to the institution’s management of the relevant level which has sufficient authority to take the decision to eliminate deficiencies of models and approve the use of models.</w:t>
      </w:r>
      <w:bookmarkStart w:id="201" w:name="p92"/>
      <w:bookmarkEnd w:id="201"/>
    </w:p>
    <w:p w14:paraId="09159C0C"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2" w:name="p-1255475"/>
      <w:bookmarkEnd w:id="202"/>
    </w:p>
    <w:p w14:paraId="1D103654"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93. After the approval of models, the institution shall ensure a cycle of the ongoing validation of models which includes supervision, review of the models and comparing of the modelling results with the actual results.</w:t>
      </w:r>
      <w:bookmarkStart w:id="203" w:name="p93"/>
      <w:bookmarkEnd w:id="203"/>
    </w:p>
    <w:p w14:paraId="1200F050"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4" w:name="p-1255476"/>
      <w:bookmarkEnd w:id="204"/>
    </w:p>
    <w:p w14:paraId="490FDE97"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94. The institution shall ensure a process of ongoing reviewing of the models where:</w:t>
      </w:r>
      <w:bookmarkStart w:id="205" w:name="p94"/>
      <w:bookmarkEnd w:id="205"/>
    </w:p>
    <w:p w14:paraId="00DB232C"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94.1. criteria and conditions are defined to determine whether increased attention is required for the review results or part thereof;</w:t>
      </w:r>
    </w:p>
    <w:p w14:paraId="71E0FA11"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94.2. procedures for informing the management in a timely manner are laid down in the case of increased attention to take the decision on measures to eliminate deficiencies of the model, limitations on the use of the model, and, if necessary, other measures.</w:t>
      </w:r>
    </w:p>
    <w:p w14:paraId="5EE64906"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6" w:name="p-1255477"/>
      <w:bookmarkEnd w:id="206"/>
    </w:p>
    <w:p w14:paraId="438C514F"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95. Taking into account the nature of the external data and models, the institution may integrate the external model into the internal model to manage and control the interest rate risk and credit spread risk, ensuring adequate adaptation of the external data and models to the institution’s size, specific nature of operations, and the amount of the conducted and planned transactions.</w:t>
      </w:r>
      <w:bookmarkStart w:id="207" w:name="p95"/>
      <w:bookmarkEnd w:id="207"/>
    </w:p>
    <w:p w14:paraId="79180D47"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8" w:name="p-1255478"/>
      <w:bookmarkEnd w:id="208"/>
    </w:p>
    <w:p w14:paraId="2AC244DF"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96. The institution shall ensure that all employees involved in the use of the external model have a sufficiently detailed understanding of the components of the external model, including analysis, assumptions, methodologies, and technical and operational aspects related to the components of the external model, and that the external models are appropriately integrated into the overall risk management systems and processes of the institution.</w:t>
      </w:r>
      <w:bookmarkStart w:id="209" w:name="p96"/>
      <w:bookmarkEnd w:id="209"/>
    </w:p>
    <w:p w14:paraId="79D8DE06"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0" w:name="p-1255479"/>
      <w:bookmarkEnd w:id="210"/>
    </w:p>
    <w:p w14:paraId="0FCA832B"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97. The institution shall regularly review the justification for the selection of a specific external model or set of external data thereof and also continuously evaluate updates of the external data and the external model. The institution shall document the justification for the selection and use of external data and external models from the perspective of the specific nature of operations and risk profile of the institution, including in the justification information at least on the following:</w:t>
      </w:r>
      <w:bookmarkStart w:id="211" w:name="p97"/>
      <w:bookmarkEnd w:id="211"/>
    </w:p>
    <w:p w14:paraId="6716CD2E"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97.1. the integration of the external models into the processes and internal model of the institution;</w:t>
      </w:r>
    </w:p>
    <w:p w14:paraId="70CA3F44"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97.2. the external data used in the internal model, and also sources and use thereof;</w:t>
      </w:r>
    </w:p>
    <w:p w14:paraId="19EA0094"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97.3. the aspects of the external data and external models relevant to the risk profile of the institution, including limitations.</w:t>
      </w:r>
    </w:p>
    <w:p w14:paraId="4124DE65"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2" w:name="n7"/>
      <w:bookmarkStart w:id="213" w:name="n-1255480"/>
      <w:bookmarkEnd w:id="212"/>
      <w:bookmarkEnd w:id="213"/>
    </w:p>
    <w:p w14:paraId="3E749E1C" w14:textId="77777777" w:rsidR="00B85061" w:rsidRPr="00B85061" w:rsidRDefault="00B85061" w:rsidP="00B85061">
      <w:pPr>
        <w:shd w:val="clear" w:color="auto" w:fill="FFFFFF"/>
        <w:spacing w:after="0" w:line="240" w:lineRule="auto"/>
        <w:jc w:val="center"/>
        <w:rPr>
          <w:rFonts w:ascii="Times New Roman" w:hAnsi="Times New Roman"/>
          <w:b/>
          <w:noProof/>
          <w:kern w:val="0"/>
          <w:sz w:val="24"/>
          <w:lang w:val="en-US"/>
        </w:rPr>
      </w:pPr>
      <w:r w:rsidRPr="00B85061">
        <w:rPr>
          <w:rFonts w:ascii="Times New Roman" w:hAnsi="Times New Roman"/>
          <w:b/>
          <w:noProof/>
          <w:kern w:val="0"/>
          <w:sz w:val="24"/>
          <w:lang w:val="en-US"/>
        </w:rPr>
        <w:t>7. Criteria and Procedures for Determining that the Internal Systems Implemented by the Institution for the Assessment of Interest Rate Risk are Unsatisfactory</w:t>
      </w:r>
    </w:p>
    <w:p w14:paraId="1AE274B6"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4" w:name="p-1255481"/>
      <w:bookmarkEnd w:id="214"/>
    </w:p>
    <w:p w14:paraId="7CA42A1A"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98. When evaluating the quality of the institution’s management of interest rate risk, including the methodology for the assessment of interest rate risk, Latvijas Banka shall rely on the analysis of the information and reports provided by the institution and take into account at least whether:</w:t>
      </w:r>
      <w:bookmarkStart w:id="215" w:name="p98"/>
      <w:bookmarkEnd w:id="215"/>
    </w:p>
    <w:p w14:paraId="40F02C4B"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98.1. the system for the assessment of interest rate risk is efficient and ensures timely identification, supervision of the deterioration of the level of interest rate risk and taking of necessary measures in a timely manner;</w:t>
      </w:r>
    </w:p>
    <w:p w14:paraId="58E01508"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98.2. the institution properly analyses all significant factors and sources of interest rate risk that affect the level of interest rate risk at the moment of the assessment;</w:t>
      </w:r>
    </w:p>
    <w:p w14:paraId="2793C14E"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98.3. the management of the institution is regularly informed of the level of interest rate risk, the results of stress testing, and the amount of capital necessary to cover interest rate risk;</w:t>
      </w:r>
    </w:p>
    <w:p w14:paraId="6A6B884D"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98.4. the assumptions, estimates, and conclusions of the institution are reasonable, appropriately justified, and documented;</w:t>
      </w:r>
    </w:p>
    <w:p w14:paraId="3A58F04D"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98.5. the policies, procedures, and practices of the institution conform to the requirements of this Regulation.</w:t>
      </w:r>
    </w:p>
    <w:p w14:paraId="01079D42"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6" w:name="p-1255482"/>
      <w:bookmarkEnd w:id="216"/>
    </w:p>
    <w:p w14:paraId="1C2893F1"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5061">
        <w:rPr>
          <w:rFonts w:ascii="Times New Roman" w:hAnsi="Times New Roman"/>
          <w:noProof/>
          <w:kern w:val="0"/>
          <w:sz w:val="24"/>
          <w:lang w:val="en-US"/>
        </w:rPr>
        <w:t>99. The internal system established by the institution for the assessment of interest rate risk shall be considered unsatisfactory within the meaning of Section 49.</w:t>
      </w:r>
      <w:r w:rsidRPr="00B85061">
        <w:rPr>
          <w:rFonts w:ascii="Times New Roman" w:hAnsi="Times New Roman"/>
          <w:noProof/>
          <w:kern w:val="0"/>
          <w:sz w:val="24"/>
          <w:vertAlign w:val="superscript"/>
          <w:lang w:val="en-US"/>
        </w:rPr>
        <w:t xml:space="preserve">2 </w:t>
      </w:r>
      <w:r w:rsidRPr="00B85061">
        <w:rPr>
          <w:rFonts w:ascii="Times New Roman" w:hAnsi="Times New Roman"/>
          <w:noProof/>
          <w:kern w:val="0"/>
          <w:sz w:val="24"/>
          <w:lang w:val="en-US"/>
        </w:rPr>
        <w:t>of the Credit Institution Law in any of the following cases:</w:t>
      </w:r>
      <w:bookmarkStart w:id="217" w:name="p99"/>
      <w:bookmarkEnd w:id="217"/>
    </w:p>
    <w:p w14:paraId="5BC04969"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99.1. it does not conform to the requirements of this Regulation, taking into account the principle of proportionality specified in Paragraph 5 of this Regulation;</w:t>
      </w:r>
    </w:p>
    <w:p w14:paraId="7ACD23B6"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99.2. the implemented methods for the assessment of interest rate risk do not cover economic value and net interest income, additionally taking into account changes in the market value of instruments measured at fair value, all components of interest rate risk, or all interest rate sensitive instruments in a reasonable manner. For the purpose of ensuring proper assessment of the extent of interest rate risk, the institution may not be limited to the methods referred to in Paragraphs 59 and 60 of this Regulation;</w:t>
      </w:r>
    </w:p>
    <w:p w14:paraId="2ADFE81E"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99.3. it has not been regularly calibrated, back-tested, and all parameters and assumptions have not been reviewed, including calibration, testing, and review have not been properly supervised and documented, taking into account the nature, size, complexity, and diversity of interest rate risk in the business model and types of operations of the institution.</w:t>
      </w:r>
    </w:p>
    <w:p w14:paraId="6AD8890F"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8" w:name="n8"/>
      <w:bookmarkStart w:id="219" w:name="n-1255483"/>
      <w:bookmarkEnd w:id="218"/>
      <w:bookmarkEnd w:id="219"/>
    </w:p>
    <w:p w14:paraId="100EED34" w14:textId="77777777" w:rsidR="00B85061" w:rsidRPr="00B85061" w:rsidRDefault="00B85061" w:rsidP="00B85061">
      <w:pPr>
        <w:shd w:val="clear" w:color="auto" w:fill="FFFFFF"/>
        <w:spacing w:after="0" w:line="240" w:lineRule="auto"/>
        <w:jc w:val="center"/>
        <w:rPr>
          <w:rFonts w:ascii="Times New Roman" w:hAnsi="Times New Roman"/>
          <w:b/>
          <w:noProof/>
          <w:kern w:val="0"/>
          <w:sz w:val="24"/>
          <w:lang w:val="en-US"/>
        </w:rPr>
      </w:pPr>
      <w:r w:rsidRPr="00B85061">
        <w:rPr>
          <w:rFonts w:ascii="Times New Roman" w:hAnsi="Times New Roman"/>
          <w:b/>
          <w:noProof/>
          <w:kern w:val="0"/>
          <w:sz w:val="24"/>
          <w:lang w:val="en-US"/>
        </w:rPr>
        <w:t>8. Assessment and Supervision of Credit Spread Risk</w:t>
      </w:r>
    </w:p>
    <w:p w14:paraId="27AE94F8"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0" w:name="p-1255484"/>
      <w:bookmarkEnd w:id="220"/>
    </w:p>
    <w:p w14:paraId="6F95C6F5"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100. The institution shall ensure the assessment and supervision of credit spread risk that cover all sources of credit spread risk, including changes in the market credit spread and market liquidity spread, and that allow to assess and supervise both how changes in credit spread risk affect the economic value and net interest income of the institution, additionally taking into account changes in the market value of instruments measured at fair value, and mutual interaction thereof in the short and long term. The institution may include in the assessment and supervision of credit spread risk the idiosyncratic credit spread, reflecting a specific credit risk which is associated with the credit quality of an individual borrower (also reflecting the assessment of risks arising from the sector and geographic location of the borrower) and the specific nature of the credit instrument (for example, whether it is a debt instrument or derivative) if inclusion thereof ensures more conservative results of the assessment of credit spread risk.</w:t>
      </w:r>
      <w:bookmarkStart w:id="221" w:name="p100"/>
      <w:bookmarkEnd w:id="221"/>
    </w:p>
    <w:p w14:paraId="5FFE8F2D"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2" w:name="p-1255485"/>
      <w:bookmarkEnd w:id="222"/>
    </w:p>
    <w:p w14:paraId="43C79A06"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101. When assessing changes in the market credit spread and market liquidity spread, the institution may consider aspects, which are specific to a particular currency, as a significant criterion for the assessment of market credit spread and market liquidity spread.</w:t>
      </w:r>
      <w:bookmarkStart w:id="223" w:name="p101"/>
      <w:bookmarkEnd w:id="223"/>
    </w:p>
    <w:p w14:paraId="5B6CA880"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4" w:name="p-1255486"/>
      <w:bookmarkEnd w:id="224"/>
    </w:p>
    <w:p w14:paraId="72892BE9"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102. In the assessment and supervision of credit spread risk, the institution shall avoid any overlap with the system for the management of credit value adjustment risk within the meaning of Regulation No 575/2013.</w:t>
      </w:r>
      <w:bookmarkStart w:id="225" w:name="p102"/>
      <w:bookmarkEnd w:id="225"/>
    </w:p>
    <w:p w14:paraId="13667BB0"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6" w:name="p-1255487"/>
      <w:bookmarkEnd w:id="226"/>
    </w:p>
    <w:p w14:paraId="5DA3D418"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103. The institution shall take into account the impact of accounting policy on the results of the assessment and supervision of credit spread risk, in particular on net interest income, additionally taking into account changes in the market value of instruments measured at fair value.</w:t>
      </w:r>
      <w:bookmarkStart w:id="227" w:name="p103"/>
      <w:bookmarkEnd w:id="227"/>
    </w:p>
    <w:p w14:paraId="710C8FA8"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8" w:name="p-1255488"/>
      <w:bookmarkEnd w:id="228"/>
    </w:p>
    <w:p w14:paraId="09F0124D"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104. The institution shall establish and implement a system for the supervision of credit spread risk that ensures at least the following:</w:t>
      </w:r>
      <w:bookmarkStart w:id="229" w:name="p104"/>
      <w:bookmarkEnd w:id="229"/>
    </w:p>
    <w:p w14:paraId="59FAC799"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104.1. efficient preparation and supervision of documentation;</w:t>
      </w:r>
    </w:p>
    <w:p w14:paraId="04C81832"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104.2. assessment and supervision of the impact of modelling assumptions to be used on the results of the assessment of credit spread risk (including economic value, net interest income, and changes in the market value of instruments in the non-trading book measured at fair value);</w:t>
      </w:r>
    </w:p>
    <w:p w14:paraId="0B54E0F4"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104.3. assessment and supervision of credit spread risk for derivatives in the non-trading book;</w:t>
      </w:r>
    </w:p>
    <w:p w14:paraId="52469940"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104.4. assessment and supervision of the impact of changes in the fair value of instruments caused by changes in credit spreads;</w:t>
      </w:r>
    </w:p>
    <w:p w14:paraId="79721752"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104.5. maintenance of information systems and accuracy and timeliness of information provided in information systems (including the management information system);</w:t>
      </w:r>
    </w:p>
    <w:p w14:paraId="28F59449"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104.6. compliance with the principle of division of duties;</w:t>
      </w:r>
    </w:p>
    <w:p w14:paraId="704672C8"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104.7. compliance with the requirements of laws and regulations and also of the approved internal normative documents of the institution;</w:t>
      </w:r>
    </w:p>
    <w:p w14:paraId="59AE60AF" w14:textId="77777777" w:rsidR="00B85061" w:rsidRPr="00B85061" w:rsidRDefault="00B85061" w:rsidP="00B85061">
      <w:pPr>
        <w:shd w:val="clear" w:color="auto" w:fill="FFFFFF"/>
        <w:spacing w:after="0" w:line="240" w:lineRule="auto"/>
        <w:ind w:firstLine="709"/>
        <w:jc w:val="both"/>
        <w:rPr>
          <w:rFonts w:ascii="Times New Roman" w:hAnsi="Times New Roman"/>
          <w:noProof/>
          <w:kern w:val="0"/>
          <w:sz w:val="24"/>
          <w:lang w:val="en-US"/>
        </w:rPr>
      </w:pPr>
      <w:r w:rsidRPr="00B85061">
        <w:rPr>
          <w:rFonts w:ascii="Times New Roman" w:hAnsi="Times New Roman"/>
          <w:noProof/>
          <w:kern w:val="0"/>
          <w:sz w:val="24"/>
          <w:lang w:val="en-US"/>
        </w:rPr>
        <w:t>104.8. transparency of decision-taking, allowing to identify deviations from the credit spread risk policy and procedures, and decisions that have been handed over to decision-taking at a higher level.</w:t>
      </w:r>
    </w:p>
    <w:p w14:paraId="11C0077F"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0" w:name="p-1255489"/>
      <w:bookmarkEnd w:id="230"/>
    </w:p>
    <w:p w14:paraId="0EEC5886"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105. The institution shall ensure separate assessment of credit spread risk and other risks, including interest rate risk.</w:t>
      </w:r>
      <w:bookmarkStart w:id="231" w:name="p105"/>
      <w:bookmarkEnd w:id="231"/>
    </w:p>
    <w:p w14:paraId="1C0CC7CD"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2" w:name="p-1255490"/>
      <w:bookmarkEnd w:id="232"/>
    </w:p>
    <w:p w14:paraId="3159C303"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106. The institution shall ensure that any assumptions about diversification between credit spread risk and interest rate risk or other risks are documented and approved, credibility and stability thereof are tested using historical data that are suitable to the respective institution and markets in which it operates, and also the impact of diversification is stable in economic downturn and under market conditions that are unfavourable to the operations and risk profile of the institution.</w:t>
      </w:r>
      <w:bookmarkStart w:id="233" w:name="p106"/>
      <w:bookmarkEnd w:id="233"/>
    </w:p>
    <w:p w14:paraId="5B9B2520"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4" w:name="n9"/>
      <w:bookmarkStart w:id="235" w:name="n-1255491"/>
      <w:bookmarkEnd w:id="234"/>
      <w:bookmarkEnd w:id="235"/>
    </w:p>
    <w:p w14:paraId="69EC3110" w14:textId="77777777" w:rsidR="00B85061" w:rsidRPr="00B85061" w:rsidRDefault="00B85061" w:rsidP="00B85061">
      <w:pPr>
        <w:shd w:val="clear" w:color="auto" w:fill="FFFFFF"/>
        <w:spacing w:after="0" w:line="240" w:lineRule="auto"/>
        <w:jc w:val="center"/>
        <w:rPr>
          <w:rFonts w:ascii="Times New Roman" w:hAnsi="Times New Roman"/>
          <w:b/>
          <w:noProof/>
          <w:kern w:val="0"/>
          <w:sz w:val="24"/>
          <w:lang w:val="en-US"/>
        </w:rPr>
      </w:pPr>
      <w:r w:rsidRPr="00B85061">
        <w:rPr>
          <w:rFonts w:ascii="Times New Roman" w:hAnsi="Times New Roman"/>
          <w:b/>
          <w:noProof/>
          <w:kern w:val="0"/>
          <w:sz w:val="24"/>
          <w:lang w:val="en-US"/>
        </w:rPr>
        <w:t>9. Determination of the Amount of Capital Necessary to Cover Interest Rate Risk and Credit Spread Risk</w:t>
      </w:r>
    </w:p>
    <w:p w14:paraId="252316FE"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6" w:name="p-1255492"/>
      <w:bookmarkEnd w:id="236"/>
    </w:p>
    <w:p w14:paraId="4E35E27E"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107. The institution shall establish a justified, efficient, and comprehensive process to continuously assess and ensure the capital necessary to cover inherent and potential interest rate risk and credit spread risk of the current and planned operations of the institution and also determine the elements and structure of such capital.</w:t>
      </w:r>
      <w:bookmarkStart w:id="237" w:name="p107"/>
      <w:bookmarkEnd w:id="237"/>
    </w:p>
    <w:p w14:paraId="043EDBE9"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8" w:name="p-1255493"/>
      <w:bookmarkEnd w:id="238"/>
    </w:p>
    <w:p w14:paraId="7A872ED7"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108. The process carried out by the institution to assess the amount of capital necessary to cover interest rate risk shall include both the quantitative assessment of capital adequacy and the qualitative aspects. The institution shall additionally analyse the need to allocate additional capital to cover the credit spread risk.</w:t>
      </w:r>
      <w:bookmarkStart w:id="239" w:name="p108"/>
      <w:bookmarkEnd w:id="239"/>
    </w:p>
    <w:p w14:paraId="2F1CECF6"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0" w:name="p-1255494"/>
      <w:bookmarkEnd w:id="240"/>
    </w:p>
    <w:p w14:paraId="03BB60C7"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109. The institution shall ensure that the process and result of assessing the capital adequacy necessary to cover interest rate risk and credit spread risk are fully documented, reflected in its report on the process of assessing the capital adequacy, and used in capital assessments related to the relevant operational areas.</w:t>
      </w:r>
      <w:bookmarkStart w:id="241" w:name="p109"/>
      <w:bookmarkEnd w:id="241"/>
    </w:p>
    <w:p w14:paraId="467C69BD"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2" w:name="p-1255495"/>
      <w:bookmarkEnd w:id="242"/>
    </w:p>
    <w:p w14:paraId="2DF16163"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110. When determining the amount of capital necessary to cover interest rate risk, the institution shall comply with the requirements of regulatory provisions of Latvijas Banka for establishing the process of assessing capital adequacy.</w:t>
      </w:r>
      <w:bookmarkStart w:id="243" w:name="p110"/>
      <w:bookmarkEnd w:id="243"/>
    </w:p>
    <w:p w14:paraId="2031D1C2"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4" w:name="n10"/>
      <w:bookmarkStart w:id="245" w:name="n-1255496"/>
      <w:bookmarkEnd w:id="244"/>
      <w:bookmarkEnd w:id="245"/>
    </w:p>
    <w:p w14:paraId="3248BB32" w14:textId="77777777" w:rsidR="00B85061" w:rsidRPr="00B85061" w:rsidRDefault="00B85061" w:rsidP="00B85061">
      <w:pPr>
        <w:shd w:val="clear" w:color="auto" w:fill="FFFFFF"/>
        <w:spacing w:after="0" w:line="240" w:lineRule="auto"/>
        <w:jc w:val="center"/>
        <w:rPr>
          <w:rFonts w:ascii="Times New Roman" w:hAnsi="Times New Roman"/>
          <w:b/>
          <w:noProof/>
          <w:kern w:val="0"/>
          <w:sz w:val="24"/>
          <w:lang w:val="en-US"/>
        </w:rPr>
      </w:pPr>
      <w:r w:rsidRPr="00B85061">
        <w:rPr>
          <w:rFonts w:ascii="Times New Roman" w:hAnsi="Times New Roman"/>
          <w:b/>
          <w:noProof/>
          <w:kern w:val="0"/>
          <w:sz w:val="24"/>
          <w:lang w:val="en-US"/>
        </w:rPr>
        <w:t>10. Closing Provisions</w:t>
      </w:r>
    </w:p>
    <w:p w14:paraId="2B423E17"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6" w:name="p-1255497"/>
      <w:bookmarkEnd w:id="246"/>
    </w:p>
    <w:p w14:paraId="2754B26D"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111. The Financial and Capital Market Commission’s Regulation No. 190 of 20 October 2020, Regulations for the Management of Interest Rate Risk, Calculation of the Reduction in the Economic Value, and Preparation of the Report on the Term Structure of Interest Rate Risk (</w:t>
      </w:r>
      <w:r w:rsidRPr="00B85061">
        <w:rPr>
          <w:rFonts w:ascii="Times New Roman" w:hAnsi="Times New Roman"/>
          <w:i/>
          <w:iCs/>
          <w:noProof/>
          <w:kern w:val="0"/>
          <w:sz w:val="24"/>
          <w:lang w:val="en-US"/>
        </w:rPr>
        <w:t>Latvijas Vēstnesis</w:t>
      </w:r>
      <w:r w:rsidRPr="00B85061">
        <w:rPr>
          <w:rFonts w:ascii="Times New Roman" w:hAnsi="Times New Roman"/>
          <w:noProof/>
          <w:kern w:val="0"/>
          <w:sz w:val="24"/>
          <w:lang w:val="en-US"/>
        </w:rPr>
        <w:t>, 2020, No. 210), is repealed.</w:t>
      </w:r>
      <w:bookmarkStart w:id="247" w:name="p111"/>
      <w:bookmarkEnd w:id="247"/>
    </w:p>
    <w:p w14:paraId="774DD0AB"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bookmarkStart w:id="248" w:name="p-1255498"/>
      <w:bookmarkEnd w:id="248"/>
    </w:p>
    <w:p w14:paraId="7F4B1E7D"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112. Sub-paragraphs 56.1 and 56.2, Paragraphs 58 and 63, and Sub-paragraph 71.2 of this Regulation shall be applicable from the day when the directly applicable legal acts of the European Union referred to therein come into force.</w:t>
      </w:r>
      <w:bookmarkStart w:id="249" w:name="p112"/>
      <w:bookmarkEnd w:id="249"/>
    </w:p>
    <w:p w14:paraId="7FDD90AD"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0" w:name="p-1255499"/>
      <w:bookmarkEnd w:id="250"/>
    </w:p>
    <w:p w14:paraId="72043302" w14:textId="77777777" w:rsidR="00B85061" w:rsidRPr="00B85061" w:rsidRDefault="00B85061" w:rsidP="00B85061">
      <w:pPr>
        <w:shd w:val="clear" w:color="auto" w:fill="FFFFFF"/>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113. The Regulation shall come into force on 31 December 2023.</w:t>
      </w:r>
      <w:bookmarkStart w:id="251" w:name="p113"/>
      <w:bookmarkEnd w:id="251"/>
    </w:p>
    <w:p w14:paraId="2625BECD"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1587AE" w14:textId="77777777" w:rsidR="00B85061" w:rsidRPr="00B85061" w:rsidRDefault="00B85061" w:rsidP="00B8506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02E373" w14:textId="77777777" w:rsidR="00B85061" w:rsidRPr="00B85061" w:rsidRDefault="00B85061" w:rsidP="00B85061">
      <w:pPr>
        <w:shd w:val="clear" w:color="auto" w:fill="FFFFFF"/>
        <w:tabs>
          <w:tab w:val="left" w:pos="7938"/>
        </w:tabs>
        <w:spacing w:after="0" w:line="240" w:lineRule="auto"/>
        <w:jc w:val="both"/>
        <w:rPr>
          <w:rFonts w:ascii="Times New Roman" w:hAnsi="Times New Roman"/>
          <w:noProof/>
          <w:kern w:val="0"/>
          <w:sz w:val="24"/>
          <w:lang w:val="en-US"/>
        </w:rPr>
      </w:pPr>
      <w:r w:rsidRPr="00B85061">
        <w:rPr>
          <w:rFonts w:ascii="Times New Roman" w:hAnsi="Times New Roman"/>
          <w:noProof/>
          <w:kern w:val="0"/>
          <w:sz w:val="24"/>
          <w:lang w:val="en-US"/>
        </w:rPr>
        <w:t>Governor of Latvijas Banka</w:t>
      </w:r>
      <w:r w:rsidRPr="00B85061">
        <w:rPr>
          <w:rFonts w:ascii="Times New Roman" w:hAnsi="Times New Roman"/>
          <w:noProof/>
          <w:kern w:val="0"/>
          <w:sz w:val="24"/>
          <w:lang w:val="en-US"/>
        </w:rPr>
        <w:tab/>
        <w:t>M. Kazāks</w:t>
      </w:r>
    </w:p>
    <w:p w14:paraId="43DC5FF6" w14:textId="77777777" w:rsidR="00B85061" w:rsidRPr="00B85061" w:rsidRDefault="00B85061" w:rsidP="00B85061">
      <w:pPr>
        <w:spacing w:after="0" w:line="240" w:lineRule="auto"/>
        <w:jc w:val="both"/>
        <w:rPr>
          <w:rFonts w:ascii="Times New Roman" w:eastAsia="Times New Roman" w:hAnsi="Times New Roman" w:cs="Times New Roman"/>
          <w:i/>
          <w:iCs/>
          <w:noProof/>
          <w:kern w:val="0"/>
          <w:sz w:val="24"/>
          <w:szCs w:val="24"/>
          <w:lang w:val="en-US"/>
          <w14:ligatures w14:val="none"/>
        </w:rPr>
      </w:pPr>
    </w:p>
    <w:sectPr w:rsidR="00B85061" w:rsidRPr="00B85061" w:rsidSect="00830513">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DE767" w14:textId="77777777" w:rsidR="00830513" w:rsidRPr="00B85061" w:rsidRDefault="00830513" w:rsidP="00371372">
      <w:pPr>
        <w:spacing w:after="0" w:line="240" w:lineRule="auto"/>
        <w:rPr>
          <w:noProof/>
          <w:kern w:val="0"/>
          <w:lang w:val="en-US"/>
        </w:rPr>
      </w:pPr>
      <w:r w:rsidRPr="00B85061">
        <w:rPr>
          <w:noProof/>
          <w:kern w:val="0"/>
          <w:lang w:val="en-US"/>
        </w:rPr>
        <w:separator/>
      </w:r>
    </w:p>
  </w:endnote>
  <w:endnote w:type="continuationSeparator" w:id="0">
    <w:p w14:paraId="40CE80A6" w14:textId="77777777" w:rsidR="00830513" w:rsidRPr="00B85061" w:rsidRDefault="00830513" w:rsidP="00371372">
      <w:pPr>
        <w:spacing w:after="0" w:line="240" w:lineRule="auto"/>
        <w:rPr>
          <w:noProof/>
          <w:kern w:val="0"/>
          <w:lang w:val="en-US"/>
        </w:rPr>
      </w:pPr>
      <w:r w:rsidRPr="00B85061">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70865" w14:textId="77777777" w:rsidR="00B85061" w:rsidRDefault="00B850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7EFC7" w14:textId="77777777" w:rsidR="00E96222" w:rsidRPr="00B85061" w:rsidRDefault="00E96222" w:rsidP="00E96222">
    <w:pPr>
      <w:pStyle w:val="Footer"/>
      <w:tabs>
        <w:tab w:val="clear" w:pos="4153"/>
        <w:tab w:val="clear" w:pos="8306"/>
        <w:tab w:val="right" w:pos="9072"/>
      </w:tabs>
      <w:rPr>
        <w:rFonts w:ascii="Times New Roman" w:hAnsi="Times New Roman" w:cs="Times New Roman"/>
        <w:noProof/>
        <w:kern w:val="0"/>
        <w:sz w:val="20"/>
        <w:szCs w:val="20"/>
        <w:lang w:val="en-US"/>
      </w:rPr>
    </w:pPr>
  </w:p>
  <w:p w14:paraId="3D5310E6" w14:textId="36F91D6E" w:rsidR="0035162D" w:rsidRPr="00B85061" w:rsidRDefault="00E96222" w:rsidP="00E96222">
    <w:pPr>
      <w:pStyle w:val="Footer"/>
      <w:tabs>
        <w:tab w:val="clear" w:pos="4153"/>
        <w:tab w:val="clear" w:pos="8306"/>
        <w:tab w:val="right" w:pos="9072"/>
      </w:tabs>
      <w:rPr>
        <w:rFonts w:ascii="Times New Roman" w:hAnsi="Times New Roman" w:cs="Times New Roman"/>
        <w:noProof/>
        <w:kern w:val="0"/>
        <w:sz w:val="20"/>
        <w:szCs w:val="20"/>
        <w:lang w:val="en-US"/>
      </w:rPr>
    </w:pPr>
    <w:r w:rsidRPr="00B85061">
      <w:rPr>
        <w:rFonts w:ascii="Times New Roman" w:hAnsi="Times New Roman" w:cs="Times New Roman"/>
        <w:noProof/>
        <w:kern w:val="0"/>
        <w:sz w:val="20"/>
        <w:szCs w:val="20"/>
        <w:lang w:val="en-US"/>
      </w:rPr>
      <w:t xml:space="preserve">Translation </w:t>
    </w:r>
    <w:r w:rsidRPr="00B85061">
      <w:rPr>
        <w:rFonts w:ascii="Times New Roman" w:hAnsi="Times New Roman" w:cs="Times New Roman"/>
        <w:noProof/>
        <w:kern w:val="0"/>
        <w:sz w:val="20"/>
        <w:szCs w:val="20"/>
        <w:lang w:val="en-US"/>
      </w:rPr>
      <w:fldChar w:fldCharType="begin"/>
    </w:r>
    <w:r w:rsidRPr="00B85061">
      <w:rPr>
        <w:rFonts w:ascii="Times New Roman" w:hAnsi="Times New Roman" w:cs="Times New Roman"/>
        <w:noProof/>
        <w:kern w:val="0"/>
        <w:sz w:val="20"/>
        <w:szCs w:val="20"/>
        <w:lang w:val="en-US"/>
      </w:rPr>
      <w:instrText>symbol 169 \f "UnivrstyRoman TL" \s 8</w:instrText>
    </w:r>
    <w:r w:rsidRPr="00B85061">
      <w:rPr>
        <w:rFonts w:ascii="Times New Roman" w:hAnsi="Times New Roman" w:cs="Times New Roman"/>
        <w:noProof/>
        <w:kern w:val="0"/>
        <w:sz w:val="20"/>
        <w:szCs w:val="20"/>
        <w:lang w:val="en-US"/>
      </w:rPr>
      <w:fldChar w:fldCharType="separate"/>
    </w:r>
    <w:r w:rsidRPr="00B85061">
      <w:rPr>
        <w:rFonts w:ascii="Times New Roman" w:hAnsi="Times New Roman" w:cs="Times New Roman"/>
        <w:noProof/>
        <w:kern w:val="0"/>
        <w:sz w:val="20"/>
        <w:szCs w:val="20"/>
        <w:lang w:val="en-US"/>
      </w:rPr>
      <w:t>©</w:t>
    </w:r>
    <w:r w:rsidRPr="00B85061">
      <w:rPr>
        <w:rFonts w:ascii="Times New Roman" w:hAnsi="Times New Roman" w:cs="Times New Roman"/>
        <w:noProof/>
        <w:kern w:val="0"/>
        <w:sz w:val="20"/>
        <w:szCs w:val="20"/>
        <w:lang w:val="en-US"/>
      </w:rPr>
      <w:fldChar w:fldCharType="end"/>
    </w:r>
    <w:r w:rsidRPr="00B85061">
      <w:rPr>
        <w:rFonts w:ascii="Times New Roman" w:hAnsi="Times New Roman" w:cs="Times New Roman"/>
        <w:noProof/>
        <w:kern w:val="0"/>
        <w:sz w:val="20"/>
        <w:szCs w:val="20"/>
        <w:lang w:val="en-US"/>
      </w:rPr>
      <w:t xml:space="preserve"> 2024 Valsts valodas centrs (State Language Centre)</w:t>
    </w:r>
    <w:r w:rsidRPr="00B85061">
      <w:rPr>
        <w:rFonts w:ascii="Times New Roman" w:hAnsi="Times New Roman" w:cs="Times New Roman"/>
        <w:noProof/>
        <w:kern w:val="0"/>
        <w:sz w:val="20"/>
        <w:szCs w:val="20"/>
        <w:lang w:val="en-US"/>
      </w:rPr>
      <w:tab/>
    </w:r>
    <w:r w:rsidRPr="00B85061">
      <w:rPr>
        <w:rStyle w:val="PageNumber"/>
        <w:rFonts w:ascii="Times New Roman" w:hAnsi="Times New Roman" w:cs="Times New Roman"/>
        <w:noProof/>
        <w:kern w:val="0"/>
        <w:sz w:val="20"/>
        <w:szCs w:val="20"/>
        <w:lang w:val="en-US"/>
      </w:rPr>
      <w:fldChar w:fldCharType="begin"/>
    </w:r>
    <w:r w:rsidRPr="00B85061">
      <w:rPr>
        <w:rStyle w:val="PageNumber"/>
        <w:rFonts w:ascii="Times New Roman" w:hAnsi="Times New Roman" w:cs="Times New Roman"/>
        <w:noProof/>
        <w:kern w:val="0"/>
        <w:sz w:val="20"/>
        <w:szCs w:val="20"/>
        <w:lang w:val="en-US"/>
      </w:rPr>
      <w:instrText xml:space="preserve"> PAGE </w:instrText>
    </w:r>
    <w:r w:rsidRPr="00B85061">
      <w:rPr>
        <w:rStyle w:val="PageNumber"/>
        <w:rFonts w:ascii="Times New Roman" w:hAnsi="Times New Roman" w:cs="Times New Roman"/>
        <w:noProof/>
        <w:kern w:val="0"/>
        <w:sz w:val="20"/>
        <w:szCs w:val="20"/>
        <w:lang w:val="en-US"/>
      </w:rPr>
      <w:fldChar w:fldCharType="separate"/>
    </w:r>
    <w:r w:rsidRPr="00B85061">
      <w:rPr>
        <w:rStyle w:val="PageNumber"/>
        <w:rFonts w:ascii="Times New Roman" w:hAnsi="Times New Roman" w:cs="Times New Roman"/>
        <w:noProof/>
        <w:kern w:val="0"/>
        <w:sz w:val="20"/>
        <w:szCs w:val="20"/>
        <w:lang w:val="en-US"/>
      </w:rPr>
      <w:t>2</w:t>
    </w:r>
    <w:r w:rsidRPr="00B85061">
      <w:rPr>
        <w:rStyle w:val="PageNumber"/>
        <w:rFonts w:ascii="Times New Roman" w:hAnsi="Times New Roman" w:cs="Times New Roman"/>
        <w:noProof/>
        <w:kern w:val="0"/>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59E4B" w14:textId="77777777" w:rsidR="006B7FE3" w:rsidRPr="00B85061" w:rsidRDefault="006B7FE3" w:rsidP="006B7FE3">
    <w:pPr>
      <w:pStyle w:val="Footer"/>
      <w:rPr>
        <w:rFonts w:ascii="Times New Roman" w:hAnsi="Times New Roman" w:cs="Times New Roman"/>
        <w:noProof/>
        <w:kern w:val="0"/>
        <w:sz w:val="20"/>
        <w:szCs w:val="20"/>
        <w:lang w:val="en-US"/>
      </w:rPr>
    </w:pPr>
  </w:p>
  <w:p w14:paraId="409E2C95" w14:textId="241BD7C4" w:rsidR="0035162D" w:rsidRPr="00B85061" w:rsidRDefault="006B7FE3">
    <w:pPr>
      <w:pStyle w:val="Footer"/>
      <w:rPr>
        <w:rFonts w:ascii="Times New Roman" w:hAnsi="Times New Roman" w:cs="Times New Roman"/>
        <w:noProof/>
        <w:kern w:val="0"/>
        <w:sz w:val="20"/>
        <w:szCs w:val="20"/>
        <w:lang w:val="en-US"/>
      </w:rPr>
    </w:pPr>
    <w:r w:rsidRPr="00B85061">
      <w:rPr>
        <w:rFonts w:ascii="Times New Roman" w:hAnsi="Times New Roman" w:cs="Times New Roman"/>
        <w:noProof/>
        <w:kern w:val="0"/>
        <w:sz w:val="20"/>
        <w:szCs w:val="20"/>
        <w:lang w:val="en-US"/>
      </w:rPr>
      <w:t xml:space="preserve">Translation </w:t>
    </w:r>
    <w:r w:rsidRPr="00B85061">
      <w:rPr>
        <w:rFonts w:ascii="Times New Roman" w:hAnsi="Times New Roman" w:cs="Times New Roman"/>
        <w:noProof/>
        <w:kern w:val="0"/>
        <w:sz w:val="20"/>
        <w:szCs w:val="20"/>
        <w:lang w:val="en-US"/>
      </w:rPr>
      <w:fldChar w:fldCharType="begin"/>
    </w:r>
    <w:r w:rsidRPr="00B85061">
      <w:rPr>
        <w:rFonts w:ascii="Times New Roman" w:hAnsi="Times New Roman" w:cs="Times New Roman"/>
        <w:noProof/>
        <w:kern w:val="0"/>
        <w:sz w:val="20"/>
        <w:szCs w:val="20"/>
        <w:lang w:val="en-US"/>
      </w:rPr>
      <w:instrText>symbol 169 \f "UnivrstyRoman TL" \s 8</w:instrText>
    </w:r>
    <w:r w:rsidRPr="00B85061">
      <w:rPr>
        <w:rFonts w:ascii="Times New Roman" w:hAnsi="Times New Roman" w:cs="Times New Roman"/>
        <w:noProof/>
        <w:kern w:val="0"/>
        <w:sz w:val="20"/>
        <w:szCs w:val="20"/>
        <w:lang w:val="en-US"/>
      </w:rPr>
      <w:fldChar w:fldCharType="separate"/>
    </w:r>
    <w:r w:rsidRPr="00B85061">
      <w:rPr>
        <w:rFonts w:ascii="Times New Roman" w:hAnsi="Times New Roman" w:cs="Times New Roman"/>
        <w:noProof/>
        <w:kern w:val="0"/>
        <w:sz w:val="20"/>
        <w:szCs w:val="20"/>
        <w:lang w:val="en-US"/>
      </w:rPr>
      <w:t>©</w:t>
    </w:r>
    <w:r w:rsidRPr="00B85061">
      <w:rPr>
        <w:rFonts w:ascii="Times New Roman" w:hAnsi="Times New Roman" w:cs="Times New Roman"/>
        <w:noProof/>
        <w:kern w:val="0"/>
        <w:sz w:val="20"/>
        <w:szCs w:val="20"/>
        <w:lang w:val="en-US"/>
      </w:rPr>
      <w:fldChar w:fldCharType="end"/>
    </w:r>
    <w:r w:rsidRPr="00B85061">
      <w:rPr>
        <w:rFonts w:ascii="Times New Roman" w:hAnsi="Times New Roman" w:cs="Times New Roman"/>
        <w:noProof/>
        <w:kern w:val="0"/>
        <w:sz w:val="20"/>
        <w:szCs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AD2BB" w14:textId="77777777" w:rsidR="00830513" w:rsidRPr="00B85061" w:rsidRDefault="00830513" w:rsidP="00371372">
      <w:pPr>
        <w:spacing w:after="0" w:line="240" w:lineRule="auto"/>
        <w:rPr>
          <w:noProof/>
          <w:kern w:val="0"/>
          <w:lang w:val="en-US"/>
        </w:rPr>
      </w:pPr>
      <w:r w:rsidRPr="00B85061">
        <w:rPr>
          <w:noProof/>
          <w:kern w:val="0"/>
          <w:lang w:val="en-US"/>
        </w:rPr>
        <w:separator/>
      </w:r>
    </w:p>
  </w:footnote>
  <w:footnote w:type="continuationSeparator" w:id="0">
    <w:p w14:paraId="455E85D6" w14:textId="77777777" w:rsidR="00830513" w:rsidRPr="00B85061" w:rsidRDefault="00830513" w:rsidP="00371372">
      <w:pPr>
        <w:spacing w:after="0" w:line="240" w:lineRule="auto"/>
        <w:rPr>
          <w:noProof/>
          <w:kern w:val="0"/>
          <w:lang w:val="en-US"/>
        </w:rPr>
      </w:pPr>
      <w:r w:rsidRPr="00B85061">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0BC89" w14:textId="77777777" w:rsidR="00B85061" w:rsidRDefault="00B850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52355" w14:textId="77777777" w:rsidR="00B85061" w:rsidRDefault="00B850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21ACB" w14:textId="77777777" w:rsidR="00B85061" w:rsidRDefault="00B850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D7"/>
    <w:rsid w:val="00052489"/>
    <w:rsid w:val="00053692"/>
    <w:rsid w:val="0008133A"/>
    <w:rsid w:val="000A2F78"/>
    <w:rsid w:val="00110D06"/>
    <w:rsid w:val="001629DD"/>
    <w:rsid w:val="00281AD7"/>
    <w:rsid w:val="002E7C05"/>
    <w:rsid w:val="0030379B"/>
    <w:rsid w:val="0035162D"/>
    <w:rsid w:val="003666FE"/>
    <w:rsid w:val="00371372"/>
    <w:rsid w:val="003736BB"/>
    <w:rsid w:val="003E6A15"/>
    <w:rsid w:val="004454AB"/>
    <w:rsid w:val="004F61AE"/>
    <w:rsid w:val="0052147E"/>
    <w:rsid w:val="00527069"/>
    <w:rsid w:val="00564499"/>
    <w:rsid w:val="00581328"/>
    <w:rsid w:val="00641CE0"/>
    <w:rsid w:val="00683FF2"/>
    <w:rsid w:val="006951AD"/>
    <w:rsid w:val="006A2016"/>
    <w:rsid w:val="006B7FE3"/>
    <w:rsid w:val="006F6095"/>
    <w:rsid w:val="00772D7B"/>
    <w:rsid w:val="007967E5"/>
    <w:rsid w:val="007C397E"/>
    <w:rsid w:val="007C4F5A"/>
    <w:rsid w:val="00830513"/>
    <w:rsid w:val="008411C8"/>
    <w:rsid w:val="008824E4"/>
    <w:rsid w:val="0089716F"/>
    <w:rsid w:val="009026A0"/>
    <w:rsid w:val="00913D7A"/>
    <w:rsid w:val="00914D4A"/>
    <w:rsid w:val="00964D47"/>
    <w:rsid w:val="00994854"/>
    <w:rsid w:val="00A24618"/>
    <w:rsid w:val="00A65E5B"/>
    <w:rsid w:val="00A863AF"/>
    <w:rsid w:val="00B85061"/>
    <w:rsid w:val="00BB2044"/>
    <w:rsid w:val="00BE45BF"/>
    <w:rsid w:val="00BE69CA"/>
    <w:rsid w:val="00C1584D"/>
    <w:rsid w:val="00CA469E"/>
    <w:rsid w:val="00D07F48"/>
    <w:rsid w:val="00D226C8"/>
    <w:rsid w:val="00D61025"/>
    <w:rsid w:val="00DC2BE4"/>
    <w:rsid w:val="00DE65D5"/>
    <w:rsid w:val="00DF399D"/>
    <w:rsid w:val="00DF5D30"/>
    <w:rsid w:val="00E12FC3"/>
    <w:rsid w:val="00E13DA7"/>
    <w:rsid w:val="00E41EAC"/>
    <w:rsid w:val="00E651C5"/>
    <w:rsid w:val="00E96222"/>
    <w:rsid w:val="00F22D59"/>
    <w:rsid w:val="00F3109D"/>
    <w:rsid w:val="00F3535C"/>
    <w:rsid w:val="00F81202"/>
    <w:rsid w:val="00F82F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AD8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1A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1A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1A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1A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1A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1A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1A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1A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1A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A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1A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1A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1A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1A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1A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1A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1A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1AD7"/>
    <w:rPr>
      <w:rFonts w:eastAsiaTheme="majorEastAsia" w:cstheme="majorBidi"/>
      <w:color w:val="272727" w:themeColor="text1" w:themeTint="D8"/>
    </w:rPr>
  </w:style>
  <w:style w:type="paragraph" w:styleId="Title">
    <w:name w:val="Title"/>
    <w:basedOn w:val="Normal"/>
    <w:next w:val="Normal"/>
    <w:link w:val="TitleChar"/>
    <w:uiPriority w:val="10"/>
    <w:qFormat/>
    <w:rsid w:val="00281A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1A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1A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1A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1AD7"/>
    <w:pPr>
      <w:spacing w:before="160"/>
      <w:jc w:val="center"/>
    </w:pPr>
    <w:rPr>
      <w:i/>
      <w:iCs/>
      <w:color w:val="404040" w:themeColor="text1" w:themeTint="BF"/>
    </w:rPr>
  </w:style>
  <w:style w:type="character" w:customStyle="1" w:styleId="QuoteChar">
    <w:name w:val="Quote Char"/>
    <w:basedOn w:val="DefaultParagraphFont"/>
    <w:link w:val="Quote"/>
    <w:uiPriority w:val="29"/>
    <w:rsid w:val="00281AD7"/>
    <w:rPr>
      <w:i/>
      <w:iCs/>
      <w:color w:val="404040" w:themeColor="text1" w:themeTint="BF"/>
    </w:rPr>
  </w:style>
  <w:style w:type="paragraph" w:styleId="ListParagraph">
    <w:name w:val="List Paragraph"/>
    <w:basedOn w:val="Normal"/>
    <w:uiPriority w:val="34"/>
    <w:qFormat/>
    <w:rsid w:val="00281AD7"/>
    <w:pPr>
      <w:ind w:left="720"/>
      <w:contextualSpacing/>
    </w:pPr>
  </w:style>
  <w:style w:type="character" w:styleId="IntenseEmphasis">
    <w:name w:val="Intense Emphasis"/>
    <w:basedOn w:val="DefaultParagraphFont"/>
    <w:uiPriority w:val="21"/>
    <w:qFormat/>
    <w:rsid w:val="00281AD7"/>
    <w:rPr>
      <w:i/>
      <w:iCs/>
      <w:color w:val="0F4761" w:themeColor="accent1" w:themeShade="BF"/>
    </w:rPr>
  </w:style>
  <w:style w:type="paragraph" w:styleId="IntenseQuote">
    <w:name w:val="Intense Quote"/>
    <w:basedOn w:val="Normal"/>
    <w:next w:val="Normal"/>
    <w:link w:val="IntenseQuoteChar"/>
    <w:uiPriority w:val="30"/>
    <w:qFormat/>
    <w:rsid w:val="00281A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1AD7"/>
    <w:rPr>
      <w:i/>
      <w:iCs/>
      <w:color w:val="0F4761" w:themeColor="accent1" w:themeShade="BF"/>
    </w:rPr>
  </w:style>
  <w:style w:type="character" w:styleId="IntenseReference">
    <w:name w:val="Intense Reference"/>
    <w:basedOn w:val="DefaultParagraphFont"/>
    <w:uiPriority w:val="32"/>
    <w:qFormat/>
    <w:rsid w:val="00281AD7"/>
    <w:rPr>
      <w:b/>
      <w:bCs/>
      <w:smallCaps/>
      <w:color w:val="0F4761" w:themeColor="accent1" w:themeShade="BF"/>
      <w:spacing w:val="5"/>
    </w:rPr>
  </w:style>
  <w:style w:type="character" w:styleId="Hyperlink">
    <w:name w:val="Hyperlink"/>
    <w:basedOn w:val="DefaultParagraphFont"/>
    <w:uiPriority w:val="99"/>
    <w:semiHidden/>
    <w:unhideWhenUsed/>
    <w:rsid w:val="00DF399D"/>
    <w:rPr>
      <w:color w:val="0000FF"/>
      <w:u w:val="single"/>
    </w:rPr>
  </w:style>
  <w:style w:type="paragraph" w:customStyle="1" w:styleId="tv213">
    <w:name w:val="tv213"/>
    <w:basedOn w:val="Normal"/>
    <w:rsid w:val="00DF399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3713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1372"/>
  </w:style>
  <w:style w:type="paragraph" w:styleId="Footer">
    <w:name w:val="footer"/>
    <w:basedOn w:val="Normal"/>
    <w:link w:val="FooterChar"/>
    <w:unhideWhenUsed/>
    <w:rsid w:val="003713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1372"/>
  </w:style>
  <w:style w:type="character" w:styleId="PageNumber">
    <w:name w:val="page number"/>
    <w:basedOn w:val="DefaultParagraphFont"/>
    <w:rsid w:val="00E96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608825">
      <w:bodyDiv w:val="1"/>
      <w:marLeft w:val="0"/>
      <w:marRight w:val="0"/>
      <w:marTop w:val="0"/>
      <w:marBottom w:val="0"/>
      <w:divBdr>
        <w:top w:val="none" w:sz="0" w:space="0" w:color="auto"/>
        <w:left w:val="none" w:sz="0" w:space="0" w:color="auto"/>
        <w:bottom w:val="none" w:sz="0" w:space="0" w:color="auto"/>
        <w:right w:val="none" w:sz="0" w:space="0" w:color="auto"/>
      </w:divBdr>
      <w:divsChild>
        <w:div w:id="193808483">
          <w:marLeft w:val="0"/>
          <w:marRight w:val="0"/>
          <w:marTop w:val="480"/>
          <w:marBottom w:val="240"/>
          <w:divBdr>
            <w:top w:val="none" w:sz="0" w:space="0" w:color="auto"/>
            <w:left w:val="none" w:sz="0" w:space="0" w:color="auto"/>
            <w:bottom w:val="none" w:sz="0" w:space="0" w:color="auto"/>
            <w:right w:val="none" w:sz="0" w:space="0" w:color="auto"/>
          </w:divBdr>
        </w:div>
        <w:div w:id="147326795">
          <w:marLeft w:val="0"/>
          <w:marRight w:val="0"/>
          <w:marTop w:val="0"/>
          <w:marBottom w:val="567"/>
          <w:divBdr>
            <w:top w:val="none" w:sz="0" w:space="0" w:color="auto"/>
            <w:left w:val="none" w:sz="0" w:space="0" w:color="auto"/>
            <w:bottom w:val="none" w:sz="0" w:space="0" w:color="auto"/>
            <w:right w:val="none" w:sz="0" w:space="0" w:color="auto"/>
          </w:divBdr>
        </w:div>
        <w:div w:id="1394425252">
          <w:marLeft w:val="0"/>
          <w:marRight w:val="0"/>
          <w:marTop w:val="0"/>
          <w:marBottom w:val="567"/>
          <w:divBdr>
            <w:top w:val="none" w:sz="0" w:space="0" w:color="auto"/>
            <w:left w:val="none" w:sz="0" w:space="0" w:color="auto"/>
            <w:bottom w:val="none" w:sz="0" w:space="0" w:color="auto"/>
            <w:right w:val="none" w:sz="0" w:space="0" w:color="auto"/>
          </w:divBdr>
        </w:div>
        <w:div w:id="1363482222">
          <w:marLeft w:val="0"/>
          <w:marRight w:val="0"/>
          <w:marTop w:val="0"/>
          <w:marBottom w:val="0"/>
          <w:divBdr>
            <w:top w:val="none" w:sz="0" w:space="0" w:color="auto"/>
            <w:left w:val="none" w:sz="0" w:space="0" w:color="auto"/>
            <w:bottom w:val="none" w:sz="0" w:space="0" w:color="auto"/>
            <w:right w:val="none" w:sz="0" w:space="0" w:color="auto"/>
          </w:divBdr>
        </w:div>
        <w:div w:id="220404813">
          <w:marLeft w:val="0"/>
          <w:marRight w:val="0"/>
          <w:marTop w:val="0"/>
          <w:marBottom w:val="0"/>
          <w:divBdr>
            <w:top w:val="none" w:sz="0" w:space="0" w:color="auto"/>
            <w:left w:val="none" w:sz="0" w:space="0" w:color="auto"/>
            <w:bottom w:val="none" w:sz="0" w:space="0" w:color="auto"/>
            <w:right w:val="none" w:sz="0" w:space="0" w:color="auto"/>
          </w:divBdr>
        </w:div>
        <w:div w:id="902715872">
          <w:marLeft w:val="0"/>
          <w:marRight w:val="0"/>
          <w:marTop w:val="0"/>
          <w:marBottom w:val="0"/>
          <w:divBdr>
            <w:top w:val="none" w:sz="0" w:space="0" w:color="auto"/>
            <w:left w:val="none" w:sz="0" w:space="0" w:color="auto"/>
            <w:bottom w:val="none" w:sz="0" w:space="0" w:color="auto"/>
            <w:right w:val="none" w:sz="0" w:space="0" w:color="auto"/>
          </w:divBdr>
        </w:div>
        <w:div w:id="155195024">
          <w:marLeft w:val="0"/>
          <w:marRight w:val="0"/>
          <w:marTop w:val="0"/>
          <w:marBottom w:val="0"/>
          <w:divBdr>
            <w:top w:val="none" w:sz="0" w:space="0" w:color="auto"/>
            <w:left w:val="none" w:sz="0" w:space="0" w:color="auto"/>
            <w:bottom w:val="none" w:sz="0" w:space="0" w:color="auto"/>
            <w:right w:val="none" w:sz="0" w:space="0" w:color="auto"/>
          </w:divBdr>
        </w:div>
        <w:div w:id="785350104">
          <w:marLeft w:val="0"/>
          <w:marRight w:val="0"/>
          <w:marTop w:val="0"/>
          <w:marBottom w:val="0"/>
          <w:divBdr>
            <w:top w:val="none" w:sz="0" w:space="0" w:color="auto"/>
            <w:left w:val="none" w:sz="0" w:space="0" w:color="auto"/>
            <w:bottom w:val="none" w:sz="0" w:space="0" w:color="auto"/>
            <w:right w:val="none" w:sz="0" w:space="0" w:color="auto"/>
          </w:divBdr>
        </w:div>
        <w:div w:id="125244345">
          <w:marLeft w:val="0"/>
          <w:marRight w:val="0"/>
          <w:marTop w:val="0"/>
          <w:marBottom w:val="0"/>
          <w:divBdr>
            <w:top w:val="none" w:sz="0" w:space="0" w:color="auto"/>
            <w:left w:val="none" w:sz="0" w:space="0" w:color="auto"/>
            <w:bottom w:val="none" w:sz="0" w:space="0" w:color="auto"/>
            <w:right w:val="none" w:sz="0" w:space="0" w:color="auto"/>
          </w:divBdr>
        </w:div>
        <w:div w:id="704449043">
          <w:marLeft w:val="0"/>
          <w:marRight w:val="0"/>
          <w:marTop w:val="0"/>
          <w:marBottom w:val="0"/>
          <w:divBdr>
            <w:top w:val="none" w:sz="0" w:space="0" w:color="auto"/>
            <w:left w:val="none" w:sz="0" w:space="0" w:color="auto"/>
            <w:bottom w:val="none" w:sz="0" w:space="0" w:color="auto"/>
            <w:right w:val="none" w:sz="0" w:space="0" w:color="auto"/>
          </w:divBdr>
        </w:div>
        <w:div w:id="2141419116">
          <w:marLeft w:val="0"/>
          <w:marRight w:val="0"/>
          <w:marTop w:val="0"/>
          <w:marBottom w:val="0"/>
          <w:divBdr>
            <w:top w:val="none" w:sz="0" w:space="0" w:color="auto"/>
            <w:left w:val="none" w:sz="0" w:space="0" w:color="auto"/>
            <w:bottom w:val="none" w:sz="0" w:space="0" w:color="auto"/>
            <w:right w:val="none" w:sz="0" w:space="0" w:color="auto"/>
          </w:divBdr>
        </w:div>
        <w:div w:id="815992526">
          <w:marLeft w:val="0"/>
          <w:marRight w:val="0"/>
          <w:marTop w:val="0"/>
          <w:marBottom w:val="0"/>
          <w:divBdr>
            <w:top w:val="none" w:sz="0" w:space="0" w:color="auto"/>
            <w:left w:val="none" w:sz="0" w:space="0" w:color="auto"/>
            <w:bottom w:val="none" w:sz="0" w:space="0" w:color="auto"/>
            <w:right w:val="none" w:sz="0" w:space="0" w:color="auto"/>
          </w:divBdr>
        </w:div>
        <w:div w:id="2041466415">
          <w:marLeft w:val="0"/>
          <w:marRight w:val="0"/>
          <w:marTop w:val="0"/>
          <w:marBottom w:val="0"/>
          <w:divBdr>
            <w:top w:val="none" w:sz="0" w:space="0" w:color="auto"/>
            <w:left w:val="none" w:sz="0" w:space="0" w:color="auto"/>
            <w:bottom w:val="none" w:sz="0" w:space="0" w:color="auto"/>
            <w:right w:val="none" w:sz="0" w:space="0" w:color="auto"/>
          </w:divBdr>
        </w:div>
        <w:div w:id="2140415040">
          <w:marLeft w:val="0"/>
          <w:marRight w:val="0"/>
          <w:marTop w:val="0"/>
          <w:marBottom w:val="0"/>
          <w:divBdr>
            <w:top w:val="none" w:sz="0" w:space="0" w:color="auto"/>
            <w:left w:val="none" w:sz="0" w:space="0" w:color="auto"/>
            <w:bottom w:val="none" w:sz="0" w:space="0" w:color="auto"/>
            <w:right w:val="none" w:sz="0" w:space="0" w:color="auto"/>
          </w:divBdr>
        </w:div>
        <w:div w:id="1207722371">
          <w:marLeft w:val="0"/>
          <w:marRight w:val="0"/>
          <w:marTop w:val="0"/>
          <w:marBottom w:val="0"/>
          <w:divBdr>
            <w:top w:val="none" w:sz="0" w:space="0" w:color="auto"/>
            <w:left w:val="none" w:sz="0" w:space="0" w:color="auto"/>
            <w:bottom w:val="none" w:sz="0" w:space="0" w:color="auto"/>
            <w:right w:val="none" w:sz="0" w:space="0" w:color="auto"/>
          </w:divBdr>
        </w:div>
        <w:div w:id="339431222">
          <w:marLeft w:val="0"/>
          <w:marRight w:val="0"/>
          <w:marTop w:val="0"/>
          <w:marBottom w:val="0"/>
          <w:divBdr>
            <w:top w:val="none" w:sz="0" w:space="0" w:color="auto"/>
            <w:left w:val="none" w:sz="0" w:space="0" w:color="auto"/>
            <w:bottom w:val="none" w:sz="0" w:space="0" w:color="auto"/>
            <w:right w:val="none" w:sz="0" w:space="0" w:color="auto"/>
          </w:divBdr>
        </w:div>
        <w:div w:id="1641495225">
          <w:marLeft w:val="0"/>
          <w:marRight w:val="0"/>
          <w:marTop w:val="0"/>
          <w:marBottom w:val="0"/>
          <w:divBdr>
            <w:top w:val="none" w:sz="0" w:space="0" w:color="auto"/>
            <w:left w:val="none" w:sz="0" w:space="0" w:color="auto"/>
            <w:bottom w:val="none" w:sz="0" w:space="0" w:color="auto"/>
            <w:right w:val="none" w:sz="0" w:space="0" w:color="auto"/>
          </w:divBdr>
        </w:div>
        <w:div w:id="1826974738">
          <w:marLeft w:val="0"/>
          <w:marRight w:val="0"/>
          <w:marTop w:val="0"/>
          <w:marBottom w:val="0"/>
          <w:divBdr>
            <w:top w:val="none" w:sz="0" w:space="0" w:color="auto"/>
            <w:left w:val="none" w:sz="0" w:space="0" w:color="auto"/>
            <w:bottom w:val="none" w:sz="0" w:space="0" w:color="auto"/>
            <w:right w:val="none" w:sz="0" w:space="0" w:color="auto"/>
          </w:divBdr>
        </w:div>
        <w:div w:id="61291391">
          <w:marLeft w:val="0"/>
          <w:marRight w:val="0"/>
          <w:marTop w:val="0"/>
          <w:marBottom w:val="0"/>
          <w:divBdr>
            <w:top w:val="none" w:sz="0" w:space="0" w:color="auto"/>
            <w:left w:val="none" w:sz="0" w:space="0" w:color="auto"/>
            <w:bottom w:val="none" w:sz="0" w:space="0" w:color="auto"/>
            <w:right w:val="none" w:sz="0" w:space="0" w:color="auto"/>
          </w:divBdr>
        </w:div>
        <w:div w:id="2131508209">
          <w:marLeft w:val="0"/>
          <w:marRight w:val="0"/>
          <w:marTop w:val="0"/>
          <w:marBottom w:val="0"/>
          <w:divBdr>
            <w:top w:val="none" w:sz="0" w:space="0" w:color="auto"/>
            <w:left w:val="none" w:sz="0" w:space="0" w:color="auto"/>
            <w:bottom w:val="none" w:sz="0" w:space="0" w:color="auto"/>
            <w:right w:val="none" w:sz="0" w:space="0" w:color="auto"/>
          </w:divBdr>
        </w:div>
        <w:div w:id="913052045">
          <w:marLeft w:val="0"/>
          <w:marRight w:val="0"/>
          <w:marTop w:val="0"/>
          <w:marBottom w:val="0"/>
          <w:divBdr>
            <w:top w:val="none" w:sz="0" w:space="0" w:color="auto"/>
            <w:left w:val="none" w:sz="0" w:space="0" w:color="auto"/>
            <w:bottom w:val="none" w:sz="0" w:space="0" w:color="auto"/>
            <w:right w:val="none" w:sz="0" w:space="0" w:color="auto"/>
          </w:divBdr>
        </w:div>
        <w:div w:id="1495947756">
          <w:marLeft w:val="0"/>
          <w:marRight w:val="0"/>
          <w:marTop w:val="0"/>
          <w:marBottom w:val="0"/>
          <w:divBdr>
            <w:top w:val="none" w:sz="0" w:space="0" w:color="auto"/>
            <w:left w:val="none" w:sz="0" w:space="0" w:color="auto"/>
            <w:bottom w:val="none" w:sz="0" w:space="0" w:color="auto"/>
            <w:right w:val="none" w:sz="0" w:space="0" w:color="auto"/>
          </w:divBdr>
        </w:div>
        <w:div w:id="1459568037">
          <w:marLeft w:val="0"/>
          <w:marRight w:val="0"/>
          <w:marTop w:val="0"/>
          <w:marBottom w:val="0"/>
          <w:divBdr>
            <w:top w:val="none" w:sz="0" w:space="0" w:color="auto"/>
            <w:left w:val="none" w:sz="0" w:space="0" w:color="auto"/>
            <w:bottom w:val="none" w:sz="0" w:space="0" w:color="auto"/>
            <w:right w:val="none" w:sz="0" w:space="0" w:color="auto"/>
          </w:divBdr>
        </w:div>
        <w:div w:id="222570957">
          <w:marLeft w:val="0"/>
          <w:marRight w:val="0"/>
          <w:marTop w:val="0"/>
          <w:marBottom w:val="0"/>
          <w:divBdr>
            <w:top w:val="none" w:sz="0" w:space="0" w:color="auto"/>
            <w:left w:val="none" w:sz="0" w:space="0" w:color="auto"/>
            <w:bottom w:val="none" w:sz="0" w:space="0" w:color="auto"/>
            <w:right w:val="none" w:sz="0" w:space="0" w:color="auto"/>
          </w:divBdr>
        </w:div>
        <w:div w:id="822428696">
          <w:marLeft w:val="0"/>
          <w:marRight w:val="0"/>
          <w:marTop w:val="0"/>
          <w:marBottom w:val="0"/>
          <w:divBdr>
            <w:top w:val="none" w:sz="0" w:space="0" w:color="auto"/>
            <w:left w:val="none" w:sz="0" w:space="0" w:color="auto"/>
            <w:bottom w:val="none" w:sz="0" w:space="0" w:color="auto"/>
            <w:right w:val="none" w:sz="0" w:space="0" w:color="auto"/>
          </w:divBdr>
        </w:div>
        <w:div w:id="1888906696">
          <w:marLeft w:val="0"/>
          <w:marRight w:val="0"/>
          <w:marTop w:val="0"/>
          <w:marBottom w:val="0"/>
          <w:divBdr>
            <w:top w:val="none" w:sz="0" w:space="0" w:color="auto"/>
            <w:left w:val="none" w:sz="0" w:space="0" w:color="auto"/>
            <w:bottom w:val="none" w:sz="0" w:space="0" w:color="auto"/>
            <w:right w:val="none" w:sz="0" w:space="0" w:color="auto"/>
          </w:divBdr>
        </w:div>
        <w:div w:id="898714361">
          <w:marLeft w:val="0"/>
          <w:marRight w:val="0"/>
          <w:marTop w:val="0"/>
          <w:marBottom w:val="0"/>
          <w:divBdr>
            <w:top w:val="none" w:sz="0" w:space="0" w:color="auto"/>
            <w:left w:val="none" w:sz="0" w:space="0" w:color="auto"/>
            <w:bottom w:val="none" w:sz="0" w:space="0" w:color="auto"/>
            <w:right w:val="none" w:sz="0" w:space="0" w:color="auto"/>
          </w:divBdr>
        </w:div>
        <w:div w:id="1432356872">
          <w:marLeft w:val="0"/>
          <w:marRight w:val="0"/>
          <w:marTop w:val="0"/>
          <w:marBottom w:val="0"/>
          <w:divBdr>
            <w:top w:val="none" w:sz="0" w:space="0" w:color="auto"/>
            <w:left w:val="none" w:sz="0" w:space="0" w:color="auto"/>
            <w:bottom w:val="none" w:sz="0" w:space="0" w:color="auto"/>
            <w:right w:val="none" w:sz="0" w:space="0" w:color="auto"/>
          </w:divBdr>
        </w:div>
        <w:div w:id="412244951">
          <w:marLeft w:val="0"/>
          <w:marRight w:val="0"/>
          <w:marTop w:val="0"/>
          <w:marBottom w:val="0"/>
          <w:divBdr>
            <w:top w:val="none" w:sz="0" w:space="0" w:color="auto"/>
            <w:left w:val="none" w:sz="0" w:space="0" w:color="auto"/>
            <w:bottom w:val="none" w:sz="0" w:space="0" w:color="auto"/>
            <w:right w:val="none" w:sz="0" w:space="0" w:color="auto"/>
          </w:divBdr>
        </w:div>
        <w:div w:id="1558055407">
          <w:marLeft w:val="0"/>
          <w:marRight w:val="0"/>
          <w:marTop w:val="0"/>
          <w:marBottom w:val="0"/>
          <w:divBdr>
            <w:top w:val="none" w:sz="0" w:space="0" w:color="auto"/>
            <w:left w:val="none" w:sz="0" w:space="0" w:color="auto"/>
            <w:bottom w:val="none" w:sz="0" w:space="0" w:color="auto"/>
            <w:right w:val="none" w:sz="0" w:space="0" w:color="auto"/>
          </w:divBdr>
        </w:div>
        <w:div w:id="778522740">
          <w:marLeft w:val="0"/>
          <w:marRight w:val="0"/>
          <w:marTop w:val="0"/>
          <w:marBottom w:val="0"/>
          <w:divBdr>
            <w:top w:val="none" w:sz="0" w:space="0" w:color="auto"/>
            <w:left w:val="none" w:sz="0" w:space="0" w:color="auto"/>
            <w:bottom w:val="none" w:sz="0" w:space="0" w:color="auto"/>
            <w:right w:val="none" w:sz="0" w:space="0" w:color="auto"/>
          </w:divBdr>
        </w:div>
        <w:div w:id="429661060">
          <w:marLeft w:val="0"/>
          <w:marRight w:val="0"/>
          <w:marTop w:val="0"/>
          <w:marBottom w:val="0"/>
          <w:divBdr>
            <w:top w:val="none" w:sz="0" w:space="0" w:color="auto"/>
            <w:left w:val="none" w:sz="0" w:space="0" w:color="auto"/>
            <w:bottom w:val="none" w:sz="0" w:space="0" w:color="auto"/>
            <w:right w:val="none" w:sz="0" w:space="0" w:color="auto"/>
          </w:divBdr>
        </w:div>
        <w:div w:id="718670837">
          <w:marLeft w:val="0"/>
          <w:marRight w:val="0"/>
          <w:marTop w:val="0"/>
          <w:marBottom w:val="0"/>
          <w:divBdr>
            <w:top w:val="none" w:sz="0" w:space="0" w:color="auto"/>
            <w:left w:val="none" w:sz="0" w:space="0" w:color="auto"/>
            <w:bottom w:val="none" w:sz="0" w:space="0" w:color="auto"/>
            <w:right w:val="none" w:sz="0" w:space="0" w:color="auto"/>
          </w:divBdr>
        </w:div>
        <w:div w:id="1280796851">
          <w:marLeft w:val="0"/>
          <w:marRight w:val="0"/>
          <w:marTop w:val="0"/>
          <w:marBottom w:val="0"/>
          <w:divBdr>
            <w:top w:val="none" w:sz="0" w:space="0" w:color="auto"/>
            <w:left w:val="none" w:sz="0" w:space="0" w:color="auto"/>
            <w:bottom w:val="none" w:sz="0" w:space="0" w:color="auto"/>
            <w:right w:val="none" w:sz="0" w:space="0" w:color="auto"/>
          </w:divBdr>
        </w:div>
        <w:div w:id="1044065035">
          <w:marLeft w:val="0"/>
          <w:marRight w:val="0"/>
          <w:marTop w:val="0"/>
          <w:marBottom w:val="0"/>
          <w:divBdr>
            <w:top w:val="none" w:sz="0" w:space="0" w:color="auto"/>
            <w:left w:val="none" w:sz="0" w:space="0" w:color="auto"/>
            <w:bottom w:val="none" w:sz="0" w:space="0" w:color="auto"/>
            <w:right w:val="none" w:sz="0" w:space="0" w:color="auto"/>
          </w:divBdr>
        </w:div>
        <w:div w:id="1650592028">
          <w:marLeft w:val="0"/>
          <w:marRight w:val="0"/>
          <w:marTop w:val="0"/>
          <w:marBottom w:val="0"/>
          <w:divBdr>
            <w:top w:val="none" w:sz="0" w:space="0" w:color="auto"/>
            <w:left w:val="none" w:sz="0" w:space="0" w:color="auto"/>
            <w:bottom w:val="none" w:sz="0" w:space="0" w:color="auto"/>
            <w:right w:val="none" w:sz="0" w:space="0" w:color="auto"/>
          </w:divBdr>
        </w:div>
        <w:div w:id="2100789033">
          <w:marLeft w:val="0"/>
          <w:marRight w:val="0"/>
          <w:marTop w:val="0"/>
          <w:marBottom w:val="0"/>
          <w:divBdr>
            <w:top w:val="none" w:sz="0" w:space="0" w:color="auto"/>
            <w:left w:val="none" w:sz="0" w:space="0" w:color="auto"/>
            <w:bottom w:val="none" w:sz="0" w:space="0" w:color="auto"/>
            <w:right w:val="none" w:sz="0" w:space="0" w:color="auto"/>
          </w:divBdr>
        </w:div>
        <w:div w:id="2072078357">
          <w:marLeft w:val="0"/>
          <w:marRight w:val="0"/>
          <w:marTop w:val="0"/>
          <w:marBottom w:val="0"/>
          <w:divBdr>
            <w:top w:val="none" w:sz="0" w:space="0" w:color="auto"/>
            <w:left w:val="none" w:sz="0" w:space="0" w:color="auto"/>
            <w:bottom w:val="none" w:sz="0" w:space="0" w:color="auto"/>
            <w:right w:val="none" w:sz="0" w:space="0" w:color="auto"/>
          </w:divBdr>
        </w:div>
        <w:div w:id="138348460">
          <w:marLeft w:val="0"/>
          <w:marRight w:val="0"/>
          <w:marTop w:val="0"/>
          <w:marBottom w:val="0"/>
          <w:divBdr>
            <w:top w:val="none" w:sz="0" w:space="0" w:color="auto"/>
            <w:left w:val="none" w:sz="0" w:space="0" w:color="auto"/>
            <w:bottom w:val="none" w:sz="0" w:space="0" w:color="auto"/>
            <w:right w:val="none" w:sz="0" w:space="0" w:color="auto"/>
          </w:divBdr>
        </w:div>
        <w:div w:id="1377192928">
          <w:marLeft w:val="0"/>
          <w:marRight w:val="0"/>
          <w:marTop w:val="0"/>
          <w:marBottom w:val="0"/>
          <w:divBdr>
            <w:top w:val="none" w:sz="0" w:space="0" w:color="auto"/>
            <w:left w:val="none" w:sz="0" w:space="0" w:color="auto"/>
            <w:bottom w:val="none" w:sz="0" w:space="0" w:color="auto"/>
            <w:right w:val="none" w:sz="0" w:space="0" w:color="auto"/>
          </w:divBdr>
        </w:div>
        <w:div w:id="1718583086">
          <w:marLeft w:val="0"/>
          <w:marRight w:val="0"/>
          <w:marTop w:val="0"/>
          <w:marBottom w:val="0"/>
          <w:divBdr>
            <w:top w:val="none" w:sz="0" w:space="0" w:color="auto"/>
            <w:left w:val="none" w:sz="0" w:space="0" w:color="auto"/>
            <w:bottom w:val="none" w:sz="0" w:space="0" w:color="auto"/>
            <w:right w:val="none" w:sz="0" w:space="0" w:color="auto"/>
          </w:divBdr>
        </w:div>
        <w:div w:id="971978188">
          <w:marLeft w:val="0"/>
          <w:marRight w:val="0"/>
          <w:marTop w:val="0"/>
          <w:marBottom w:val="0"/>
          <w:divBdr>
            <w:top w:val="none" w:sz="0" w:space="0" w:color="auto"/>
            <w:left w:val="none" w:sz="0" w:space="0" w:color="auto"/>
            <w:bottom w:val="none" w:sz="0" w:space="0" w:color="auto"/>
            <w:right w:val="none" w:sz="0" w:space="0" w:color="auto"/>
          </w:divBdr>
        </w:div>
        <w:div w:id="2052533182">
          <w:marLeft w:val="0"/>
          <w:marRight w:val="0"/>
          <w:marTop w:val="0"/>
          <w:marBottom w:val="0"/>
          <w:divBdr>
            <w:top w:val="none" w:sz="0" w:space="0" w:color="auto"/>
            <w:left w:val="none" w:sz="0" w:space="0" w:color="auto"/>
            <w:bottom w:val="none" w:sz="0" w:space="0" w:color="auto"/>
            <w:right w:val="none" w:sz="0" w:space="0" w:color="auto"/>
          </w:divBdr>
        </w:div>
        <w:div w:id="822161942">
          <w:marLeft w:val="0"/>
          <w:marRight w:val="0"/>
          <w:marTop w:val="0"/>
          <w:marBottom w:val="0"/>
          <w:divBdr>
            <w:top w:val="none" w:sz="0" w:space="0" w:color="auto"/>
            <w:left w:val="none" w:sz="0" w:space="0" w:color="auto"/>
            <w:bottom w:val="none" w:sz="0" w:space="0" w:color="auto"/>
            <w:right w:val="none" w:sz="0" w:space="0" w:color="auto"/>
          </w:divBdr>
        </w:div>
        <w:div w:id="147869191">
          <w:marLeft w:val="0"/>
          <w:marRight w:val="0"/>
          <w:marTop w:val="0"/>
          <w:marBottom w:val="0"/>
          <w:divBdr>
            <w:top w:val="none" w:sz="0" w:space="0" w:color="auto"/>
            <w:left w:val="none" w:sz="0" w:space="0" w:color="auto"/>
            <w:bottom w:val="none" w:sz="0" w:space="0" w:color="auto"/>
            <w:right w:val="none" w:sz="0" w:space="0" w:color="auto"/>
          </w:divBdr>
        </w:div>
        <w:div w:id="1863588565">
          <w:marLeft w:val="0"/>
          <w:marRight w:val="0"/>
          <w:marTop w:val="0"/>
          <w:marBottom w:val="0"/>
          <w:divBdr>
            <w:top w:val="none" w:sz="0" w:space="0" w:color="auto"/>
            <w:left w:val="none" w:sz="0" w:space="0" w:color="auto"/>
            <w:bottom w:val="none" w:sz="0" w:space="0" w:color="auto"/>
            <w:right w:val="none" w:sz="0" w:space="0" w:color="auto"/>
          </w:divBdr>
        </w:div>
        <w:div w:id="1932664966">
          <w:marLeft w:val="0"/>
          <w:marRight w:val="0"/>
          <w:marTop w:val="0"/>
          <w:marBottom w:val="0"/>
          <w:divBdr>
            <w:top w:val="none" w:sz="0" w:space="0" w:color="auto"/>
            <w:left w:val="none" w:sz="0" w:space="0" w:color="auto"/>
            <w:bottom w:val="none" w:sz="0" w:space="0" w:color="auto"/>
            <w:right w:val="none" w:sz="0" w:space="0" w:color="auto"/>
          </w:divBdr>
        </w:div>
        <w:div w:id="1050152104">
          <w:marLeft w:val="0"/>
          <w:marRight w:val="0"/>
          <w:marTop w:val="0"/>
          <w:marBottom w:val="0"/>
          <w:divBdr>
            <w:top w:val="none" w:sz="0" w:space="0" w:color="auto"/>
            <w:left w:val="none" w:sz="0" w:space="0" w:color="auto"/>
            <w:bottom w:val="none" w:sz="0" w:space="0" w:color="auto"/>
            <w:right w:val="none" w:sz="0" w:space="0" w:color="auto"/>
          </w:divBdr>
        </w:div>
        <w:div w:id="230317494">
          <w:marLeft w:val="0"/>
          <w:marRight w:val="0"/>
          <w:marTop w:val="0"/>
          <w:marBottom w:val="0"/>
          <w:divBdr>
            <w:top w:val="none" w:sz="0" w:space="0" w:color="auto"/>
            <w:left w:val="none" w:sz="0" w:space="0" w:color="auto"/>
            <w:bottom w:val="none" w:sz="0" w:space="0" w:color="auto"/>
            <w:right w:val="none" w:sz="0" w:space="0" w:color="auto"/>
          </w:divBdr>
        </w:div>
        <w:div w:id="604701105">
          <w:marLeft w:val="0"/>
          <w:marRight w:val="0"/>
          <w:marTop w:val="0"/>
          <w:marBottom w:val="0"/>
          <w:divBdr>
            <w:top w:val="none" w:sz="0" w:space="0" w:color="auto"/>
            <w:left w:val="none" w:sz="0" w:space="0" w:color="auto"/>
            <w:bottom w:val="none" w:sz="0" w:space="0" w:color="auto"/>
            <w:right w:val="none" w:sz="0" w:space="0" w:color="auto"/>
          </w:divBdr>
        </w:div>
        <w:div w:id="2097171676">
          <w:marLeft w:val="0"/>
          <w:marRight w:val="0"/>
          <w:marTop w:val="0"/>
          <w:marBottom w:val="0"/>
          <w:divBdr>
            <w:top w:val="none" w:sz="0" w:space="0" w:color="auto"/>
            <w:left w:val="none" w:sz="0" w:space="0" w:color="auto"/>
            <w:bottom w:val="none" w:sz="0" w:space="0" w:color="auto"/>
            <w:right w:val="none" w:sz="0" w:space="0" w:color="auto"/>
          </w:divBdr>
        </w:div>
        <w:div w:id="969241339">
          <w:marLeft w:val="0"/>
          <w:marRight w:val="0"/>
          <w:marTop w:val="0"/>
          <w:marBottom w:val="0"/>
          <w:divBdr>
            <w:top w:val="none" w:sz="0" w:space="0" w:color="auto"/>
            <w:left w:val="none" w:sz="0" w:space="0" w:color="auto"/>
            <w:bottom w:val="none" w:sz="0" w:space="0" w:color="auto"/>
            <w:right w:val="none" w:sz="0" w:space="0" w:color="auto"/>
          </w:divBdr>
        </w:div>
        <w:div w:id="986665450">
          <w:marLeft w:val="0"/>
          <w:marRight w:val="0"/>
          <w:marTop w:val="0"/>
          <w:marBottom w:val="0"/>
          <w:divBdr>
            <w:top w:val="none" w:sz="0" w:space="0" w:color="auto"/>
            <w:left w:val="none" w:sz="0" w:space="0" w:color="auto"/>
            <w:bottom w:val="none" w:sz="0" w:space="0" w:color="auto"/>
            <w:right w:val="none" w:sz="0" w:space="0" w:color="auto"/>
          </w:divBdr>
        </w:div>
        <w:div w:id="228656678">
          <w:marLeft w:val="0"/>
          <w:marRight w:val="0"/>
          <w:marTop w:val="0"/>
          <w:marBottom w:val="0"/>
          <w:divBdr>
            <w:top w:val="none" w:sz="0" w:space="0" w:color="auto"/>
            <w:left w:val="none" w:sz="0" w:space="0" w:color="auto"/>
            <w:bottom w:val="none" w:sz="0" w:space="0" w:color="auto"/>
            <w:right w:val="none" w:sz="0" w:space="0" w:color="auto"/>
          </w:divBdr>
        </w:div>
        <w:div w:id="2033997487">
          <w:marLeft w:val="0"/>
          <w:marRight w:val="0"/>
          <w:marTop w:val="0"/>
          <w:marBottom w:val="0"/>
          <w:divBdr>
            <w:top w:val="none" w:sz="0" w:space="0" w:color="auto"/>
            <w:left w:val="none" w:sz="0" w:space="0" w:color="auto"/>
            <w:bottom w:val="none" w:sz="0" w:space="0" w:color="auto"/>
            <w:right w:val="none" w:sz="0" w:space="0" w:color="auto"/>
          </w:divBdr>
        </w:div>
        <w:div w:id="472647258">
          <w:marLeft w:val="0"/>
          <w:marRight w:val="0"/>
          <w:marTop w:val="0"/>
          <w:marBottom w:val="0"/>
          <w:divBdr>
            <w:top w:val="none" w:sz="0" w:space="0" w:color="auto"/>
            <w:left w:val="none" w:sz="0" w:space="0" w:color="auto"/>
            <w:bottom w:val="none" w:sz="0" w:space="0" w:color="auto"/>
            <w:right w:val="none" w:sz="0" w:space="0" w:color="auto"/>
          </w:divBdr>
        </w:div>
        <w:div w:id="1016613708">
          <w:marLeft w:val="0"/>
          <w:marRight w:val="0"/>
          <w:marTop w:val="0"/>
          <w:marBottom w:val="0"/>
          <w:divBdr>
            <w:top w:val="none" w:sz="0" w:space="0" w:color="auto"/>
            <w:left w:val="none" w:sz="0" w:space="0" w:color="auto"/>
            <w:bottom w:val="none" w:sz="0" w:space="0" w:color="auto"/>
            <w:right w:val="none" w:sz="0" w:space="0" w:color="auto"/>
          </w:divBdr>
        </w:div>
        <w:div w:id="1236472506">
          <w:marLeft w:val="0"/>
          <w:marRight w:val="0"/>
          <w:marTop w:val="0"/>
          <w:marBottom w:val="0"/>
          <w:divBdr>
            <w:top w:val="none" w:sz="0" w:space="0" w:color="auto"/>
            <w:left w:val="none" w:sz="0" w:space="0" w:color="auto"/>
            <w:bottom w:val="none" w:sz="0" w:space="0" w:color="auto"/>
            <w:right w:val="none" w:sz="0" w:space="0" w:color="auto"/>
          </w:divBdr>
        </w:div>
        <w:div w:id="1852640243">
          <w:marLeft w:val="0"/>
          <w:marRight w:val="0"/>
          <w:marTop w:val="0"/>
          <w:marBottom w:val="0"/>
          <w:divBdr>
            <w:top w:val="none" w:sz="0" w:space="0" w:color="auto"/>
            <w:left w:val="none" w:sz="0" w:space="0" w:color="auto"/>
            <w:bottom w:val="none" w:sz="0" w:space="0" w:color="auto"/>
            <w:right w:val="none" w:sz="0" w:space="0" w:color="auto"/>
          </w:divBdr>
        </w:div>
        <w:div w:id="1924097305">
          <w:marLeft w:val="0"/>
          <w:marRight w:val="0"/>
          <w:marTop w:val="0"/>
          <w:marBottom w:val="0"/>
          <w:divBdr>
            <w:top w:val="none" w:sz="0" w:space="0" w:color="auto"/>
            <w:left w:val="none" w:sz="0" w:space="0" w:color="auto"/>
            <w:bottom w:val="none" w:sz="0" w:space="0" w:color="auto"/>
            <w:right w:val="none" w:sz="0" w:space="0" w:color="auto"/>
          </w:divBdr>
        </w:div>
        <w:div w:id="317269300">
          <w:marLeft w:val="0"/>
          <w:marRight w:val="0"/>
          <w:marTop w:val="0"/>
          <w:marBottom w:val="0"/>
          <w:divBdr>
            <w:top w:val="none" w:sz="0" w:space="0" w:color="auto"/>
            <w:left w:val="none" w:sz="0" w:space="0" w:color="auto"/>
            <w:bottom w:val="none" w:sz="0" w:space="0" w:color="auto"/>
            <w:right w:val="none" w:sz="0" w:space="0" w:color="auto"/>
          </w:divBdr>
        </w:div>
        <w:div w:id="1258172821">
          <w:marLeft w:val="0"/>
          <w:marRight w:val="0"/>
          <w:marTop w:val="0"/>
          <w:marBottom w:val="0"/>
          <w:divBdr>
            <w:top w:val="none" w:sz="0" w:space="0" w:color="auto"/>
            <w:left w:val="none" w:sz="0" w:space="0" w:color="auto"/>
            <w:bottom w:val="none" w:sz="0" w:space="0" w:color="auto"/>
            <w:right w:val="none" w:sz="0" w:space="0" w:color="auto"/>
          </w:divBdr>
        </w:div>
        <w:div w:id="1042630595">
          <w:marLeft w:val="0"/>
          <w:marRight w:val="0"/>
          <w:marTop w:val="0"/>
          <w:marBottom w:val="0"/>
          <w:divBdr>
            <w:top w:val="none" w:sz="0" w:space="0" w:color="auto"/>
            <w:left w:val="none" w:sz="0" w:space="0" w:color="auto"/>
            <w:bottom w:val="none" w:sz="0" w:space="0" w:color="auto"/>
            <w:right w:val="none" w:sz="0" w:space="0" w:color="auto"/>
          </w:divBdr>
        </w:div>
        <w:div w:id="653605624">
          <w:marLeft w:val="0"/>
          <w:marRight w:val="0"/>
          <w:marTop w:val="0"/>
          <w:marBottom w:val="0"/>
          <w:divBdr>
            <w:top w:val="none" w:sz="0" w:space="0" w:color="auto"/>
            <w:left w:val="none" w:sz="0" w:space="0" w:color="auto"/>
            <w:bottom w:val="none" w:sz="0" w:space="0" w:color="auto"/>
            <w:right w:val="none" w:sz="0" w:space="0" w:color="auto"/>
          </w:divBdr>
        </w:div>
        <w:div w:id="1443763655">
          <w:marLeft w:val="0"/>
          <w:marRight w:val="0"/>
          <w:marTop w:val="0"/>
          <w:marBottom w:val="0"/>
          <w:divBdr>
            <w:top w:val="none" w:sz="0" w:space="0" w:color="auto"/>
            <w:left w:val="none" w:sz="0" w:space="0" w:color="auto"/>
            <w:bottom w:val="none" w:sz="0" w:space="0" w:color="auto"/>
            <w:right w:val="none" w:sz="0" w:space="0" w:color="auto"/>
          </w:divBdr>
        </w:div>
        <w:div w:id="280575277">
          <w:marLeft w:val="0"/>
          <w:marRight w:val="0"/>
          <w:marTop w:val="0"/>
          <w:marBottom w:val="0"/>
          <w:divBdr>
            <w:top w:val="none" w:sz="0" w:space="0" w:color="auto"/>
            <w:left w:val="none" w:sz="0" w:space="0" w:color="auto"/>
            <w:bottom w:val="none" w:sz="0" w:space="0" w:color="auto"/>
            <w:right w:val="none" w:sz="0" w:space="0" w:color="auto"/>
          </w:divBdr>
        </w:div>
        <w:div w:id="1937127590">
          <w:marLeft w:val="0"/>
          <w:marRight w:val="0"/>
          <w:marTop w:val="0"/>
          <w:marBottom w:val="0"/>
          <w:divBdr>
            <w:top w:val="none" w:sz="0" w:space="0" w:color="auto"/>
            <w:left w:val="none" w:sz="0" w:space="0" w:color="auto"/>
            <w:bottom w:val="none" w:sz="0" w:space="0" w:color="auto"/>
            <w:right w:val="none" w:sz="0" w:space="0" w:color="auto"/>
          </w:divBdr>
        </w:div>
        <w:div w:id="1418671784">
          <w:marLeft w:val="0"/>
          <w:marRight w:val="0"/>
          <w:marTop w:val="0"/>
          <w:marBottom w:val="0"/>
          <w:divBdr>
            <w:top w:val="none" w:sz="0" w:space="0" w:color="auto"/>
            <w:left w:val="none" w:sz="0" w:space="0" w:color="auto"/>
            <w:bottom w:val="none" w:sz="0" w:space="0" w:color="auto"/>
            <w:right w:val="none" w:sz="0" w:space="0" w:color="auto"/>
          </w:divBdr>
        </w:div>
        <w:div w:id="1475875908">
          <w:marLeft w:val="0"/>
          <w:marRight w:val="0"/>
          <w:marTop w:val="0"/>
          <w:marBottom w:val="0"/>
          <w:divBdr>
            <w:top w:val="none" w:sz="0" w:space="0" w:color="auto"/>
            <w:left w:val="none" w:sz="0" w:space="0" w:color="auto"/>
            <w:bottom w:val="none" w:sz="0" w:space="0" w:color="auto"/>
            <w:right w:val="none" w:sz="0" w:space="0" w:color="auto"/>
          </w:divBdr>
        </w:div>
        <w:div w:id="2115051564">
          <w:marLeft w:val="0"/>
          <w:marRight w:val="0"/>
          <w:marTop w:val="0"/>
          <w:marBottom w:val="0"/>
          <w:divBdr>
            <w:top w:val="none" w:sz="0" w:space="0" w:color="auto"/>
            <w:left w:val="none" w:sz="0" w:space="0" w:color="auto"/>
            <w:bottom w:val="none" w:sz="0" w:space="0" w:color="auto"/>
            <w:right w:val="none" w:sz="0" w:space="0" w:color="auto"/>
          </w:divBdr>
        </w:div>
        <w:div w:id="1153377811">
          <w:marLeft w:val="0"/>
          <w:marRight w:val="0"/>
          <w:marTop w:val="0"/>
          <w:marBottom w:val="0"/>
          <w:divBdr>
            <w:top w:val="none" w:sz="0" w:space="0" w:color="auto"/>
            <w:left w:val="none" w:sz="0" w:space="0" w:color="auto"/>
            <w:bottom w:val="none" w:sz="0" w:space="0" w:color="auto"/>
            <w:right w:val="none" w:sz="0" w:space="0" w:color="auto"/>
          </w:divBdr>
        </w:div>
        <w:div w:id="656418930">
          <w:marLeft w:val="0"/>
          <w:marRight w:val="0"/>
          <w:marTop w:val="0"/>
          <w:marBottom w:val="0"/>
          <w:divBdr>
            <w:top w:val="none" w:sz="0" w:space="0" w:color="auto"/>
            <w:left w:val="none" w:sz="0" w:space="0" w:color="auto"/>
            <w:bottom w:val="none" w:sz="0" w:space="0" w:color="auto"/>
            <w:right w:val="none" w:sz="0" w:space="0" w:color="auto"/>
          </w:divBdr>
        </w:div>
        <w:div w:id="930773360">
          <w:marLeft w:val="0"/>
          <w:marRight w:val="0"/>
          <w:marTop w:val="0"/>
          <w:marBottom w:val="0"/>
          <w:divBdr>
            <w:top w:val="none" w:sz="0" w:space="0" w:color="auto"/>
            <w:left w:val="none" w:sz="0" w:space="0" w:color="auto"/>
            <w:bottom w:val="none" w:sz="0" w:space="0" w:color="auto"/>
            <w:right w:val="none" w:sz="0" w:space="0" w:color="auto"/>
          </w:divBdr>
        </w:div>
        <w:div w:id="1535003838">
          <w:marLeft w:val="0"/>
          <w:marRight w:val="0"/>
          <w:marTop w:val="0"/>
          <w:marBottom w:val="0"/>
          <w:divBdr>
            <w:top w:val="none" w:sz="0" w:space="0" w:color="auto"/>
            <w:left w:val="none" w:sz="0" w:space="0" w:color="auto"/>
            <w:bottom w:val="none" w:sz="0" w:space="0" w:color="auto"/>
            <w:right w:val="none" w:sz="0" w:space="0" w:color="auto"/>
          </w:divBdr>
        </w:div>
        <w:div w:id="559219544">
          <w:marLeft w:val="0"/>
          <w:marRight w:val="0"/>
          <w:marTop w:val="0"/>
          <w:marBottom w:val="0"/>
          <w:divBdr>
            <w:top w:val="none" w:sz="0" w:space="0" w:color="auto"/>
            <w:left w:val="none" w:sz="0" w:space="0" w:color="auto"/>
            <w:bottom w:val="none" w:sz="0" w:space="0" w:color="auto"/>
            <w:right w:val="none" w:sz="0" w:space="0" w:color="auto"/>
          </w:divBdr>
        </w:div>
        <w:div w:id="1197818777">
          <w:marLeft w:val="0"/>
          <w:marRight w:val="0"/>
          <w:marTop w:val="0"/>
          <w:marBottom w:val="0"/>
          <w:divBdr>
            <w:top w:val="none" w:sz="0" w:space="0" w:color="auto"/>
            <w:left w:val="none" w:sz="0" w:space="0" w:color="auto"/>
            <w:bottom w:val="none" w:sz="0" w:space="0" w:color="auto"/>
            <w:right w:val="none" w:sz="0" w:space="0" w:color="auto"/>
          </w:divBdr>
        </w:div>
        <w:div w:id="1587685373">
          <w:marLeft w:val="0"/>
          <w:marRight w:val="0"/>
          <w:marTop w:val="0"/>
          <w:marBottom w:val="0"/>
          <w:divBdr>
            <w:top w:val="none" w:sz="0" w:space="0" w:color="auto"/>
            <w:left w:val="none" w:sz="0" w:space="0" w:color="auto"/>
            <w:bottom w:val="none" w:sz="0" w:space="0" w:color="auto"/>
            <w:right w:val="none" w:sz="0" w:space="0" w:color="auto"/>
          </w:divBdr>
        </w:div>
        <w:div w:id="417946961">
          <w:marLeft w:val="0"/>
          <w:marRight w:val="0"/>
          <w:marTop w:val="0"/>
          <w:marBottom w:val="0"/>
          <w:divBdr>
            <w:top w:val="none" w:sz="0" w:space="0" w:color="auto"/>
            <w:left w:val="none" w:sz="0" w:space="0" w:color="auto"/>
            <w:bottom w:val="none" w:sz="0" w:space="0" w:color="auto"/>
            <w:right w:val="none" w:sz="0" w:space="0" w:color="auto"/>
          </w:divBdr>
        </w:div>
        <w:div w:id="391579644">
          <w:marLeft w:val="0"/>
          <w:marRight w:val="0"/>
          <w:marTop w:val="0"/>
          <w:marBottom w:val="0"/>
          <w:divBdr>
            <w:top w:val="none" w:sz="0" w:space="0" w:color="auto"/>
            <w:left w:val="none" w:sz="0" w:space="0" w:color="auto"/>
            <w:bottom w:val="none" w:sz="0" w:space="0" w:color="auto"/>
            <w:right w:val="none" w:sz="0" w:space="0" w:color="auto"/>
          </w:divBdr>
        </w:div>
        <w:div w:id="1672636220">
          <w:marLeft w:val="0"/>
          <w:marRight w:val="0"/>
          <w:marTop w:val="0"/>
          <w:marBottom w:val="0"/>
          <w:divBdr>
            <w:top w:val="none" w:sz="0" w:space="0" w:color="auto"/>
            <w:left w:val="none" w:sz="0" w:space="0" w:color="auto"/>
            <w:bottom w:val="none" w:sz="0" w:space="0" w:color="auto"/>
            <w:right w:val="none" w:sz="0" w:space="0" w:color="auto"/>
          </w:divBdr>
        </w:div>
        <w:div w:id="317928232">
          <w:marLeft w:val="0"/>
          <w:marRight w:val="0"/>
          <w:marTop w:val="0"/>
          <w:marBottom w:val="0"/>
          <w:divBdr>
            <w:top w:val="none" w:sz="0" w:space="0" w:color="auto"/>
            <w:left w:val="none" w:sz="0" w:space="0" w:color="auto"/>
            <w:bottom w:val="none" w:sz="0" w:space="0" w:color="auto"/>
            <w:right w:val="none" w:sz="0" w:space="0" w:color="auto"/>
          </w:divBdr>
        </w:div>
        <w:div w:id="339433136">
          <w:marLeft w:val="0"/>
          <w:marRight w:val="0"/>
          <w:marTop w:val="0"/>
          <w:marBottom w:val="0"/>
          <w:divBdr>
            <w:top w:val="none" w:sz="0" w:space="0" w:color="auto"/>
            <w:left w:val="none" w:sz="0" w:space="0" w:color="auto"/>
            <w:bottom w:val="none" w:sz="0" w:space="0" w:color="auto"/>
            <w:right w:val="none" w:sz="0" w:space="0" w:color="auto"/>
          </w:divBdr>
        </w:div>
        <w:div w:id="882866023">
          <w:marLeft w:val="0"/>
          <w:marRight w:val="0"/>
          <w:marTop w:val="0"/>
          <w:marBottom w:val="0"/>
          <w:divBdr>
            <w:top w:val="none" w:sz="0" w:space="0" w:color="auto"/>
            <w:left w:val="none" w:sz="0" w:space="0" w:color="auto"/>
            <w:bottom w:val="none" w:sz="0" w:space="0" w:color="auto"/>
            <w:right w:val="none" w:sz="0" w:space="0" w:color="auto"/>
          </w:divBdr>
        </w:div>
        <w:div w:id="1490055726">
          <w:marLeft w:val="0"/>
          <w:marRight w:val="0"/>
          <w:marTop w:val="0"/>
          <w:marBottom w:val="0"/>
          <w:divBdr>
            <w:top w:val="none" w:sz="0" w:space="0" w:color="auto"/>
            <w:left w:val="none" w:sz="0" w:space="0" w:color="auto"/>
            <w:bottom w:val="none" w:sz="0" w:space="0" w:color="auto"/>
            <w:right w:val="none" w:sz="0" w:space="0" w:color="auto"/>
          </w:divBdr>
        </w:div>
        <w:div w:id="135033190">
          <w:marLeft w:val="0"/>
          <w:marRight w:val="0"/>
          <w:marTop w:val="0"/>
          <w:marBottom w:val="0"/>
          <w:divBdr>
            <w:top w:val="none" w:sz="0" w:space="0" w:color="auto"/>
            <w:left w:val="none" w:sz="0" w:space="0" w:color="auto"/>
            <w:bottom w:val="none" w:sz="0" w:space="0" w:color="auto"/>
            <w:right w:val="none" w:sz="0" w:space="0" w:color="auto"/>
          </w:divBdr>
        </w:div>
        <w:div w:id="115373856">
          <w:marLeft w:val="0"/>
          <w:marRight w:val="0"/>
          <w:marTop w:val="0"/>
          <w:marBottom w:val="0"/>
          <w:divBdr>
            <w:top w:val="none" w:sz="0" w:space="0" w:color="auto"/>
            <w:left w:val="none" w:sz="0" w:space="0" w:color="auto"/>
            <w:bottom w:val="none" w:sz="0" w:space="0" w:color="auto"/>
            <w:right w:val="none" w:sz="0" w:space="0" w:color="auto"/>
          </w:divBdr>
        </w:div>
        <w:div w:id="549145410">
          <w:marLeft w:val="0"/>
          <w:marRight w:val="0"/>
          <w:marTop w:val="0"/>
          <w:marBottom w:val="0"/>
          <w:divBdr>
            <w:top w:val="none" w:sz="0" w:space="0" w:color="auto"/>
            <w:left w:val="none" w:sz="0" w:space="0" w:color="auto"/>
            <w:bottom w:val="none" w:sz="0" w:space="0" w:color="auto"/>
            <w:right w:val="none" w:sz="0" w:space="0" w:color="auto"/>
          </w:divBdr>
        </w:div>
        <w:div w:id="1019433430">
          <w:marLeft w:val="0"/>
          <w:marRight w:val="0"/>
          <w:marTop w:val="0"/>
          <w:marBottom w:val="0"/>
          <w:divBdr>
            <w:top w:val="none" w:sz="0" w:space="0" w:color="auto"/>
            <w:left w:val="none" w:sz="0" w:space="0" w:color="auto"/>
            <w:bottom w:val="none" w:sz="0" w:space="0" w:color="auto"/>
            <w:right w:val="none" w:sz="0" w:space="0" w:color="auto"/>
          </w:divBdr>
        </w:div>
        <w:div w:id="569997458">
          <w:marLeft w:val="0"/>
          <w:marRight w:val="0"/>
          <w:marTop w:val="0"/>
          <w:marBottom w:val="0"/>
          <w:divBdr>
            <w:top w:val="none" w:sz="0" w:space="0" w:color="auto"/>
            <w:left w:val="none" w:sz="0" w:space="0" w:color="auto"/>
            <w:bottom w:val="none" w:sz="0" w:space="0" w:color="auto"/>
            <w:right w:val="none" w:sz="0" w:space="0" w:color="auto"/>
          </w:divBdr>
        </w:div>
        <w:div w:id="357006656">
          <w:marLeft w:val="0"/>
          <w:marRight w:val="0"/>
          <w:marTop w:val="0"/>
          <w:marBottom w:val="0"/>
          <w:divBdr>
            <w:top w:val="none" w:sz="0" w:space="0" w:color="auto"/>
            <w:left w:val="none" w:sz="0" w:space="0" w:color="auto"/>
            <w:bottom w:val="none" w:sz="0" w:space="0" w:color="auto"/>
            <w:right w:val="none" w:sz="0" w:space="0" w:color="auto"/>
          </w:divBdr>
        </w:div>
        <w:div w:id="916747889">
          <w:marLeft w:val="0"/>
          <w:marRight w:val="0"/>
          <w:marTop w:val="0"/>
          <w:marBottom w:val="0"/>
          <w:divBdr>
            <w:top w:val="none" w:sz="0" w:space="0" w:color="auto"/>
            <w:left w:val="none" w:sz="0" w:space="0" w:color="auto"/>
            <w:bottom w:val="none" w:sz="0" w:space="0" w:color="auto"/>
            <w:right w:val="none" w:sz="0" w:space="0" w:color="auto"/>
          </w:divBdr>
        </w:div>
        <w:div w:id="1821186360">
          <w:marLeft w:val="0"/>
          <w:marRight w:val="0"/>
          <w:marTop w:val="0"/>
          <w:marBottom w:val="0"/>
          <w:divBdr>
            <w:top w:val="none" w:sz="0" w:space="0" w:color="auto"/>
            <w:left w:val="none" w:sz="0" w:space="0" w:color="auto"/>
            <w:bottom w:val="none" w:sz="0" w:space="0" w:color="auto"/>
            <w:right w:val="none" w:sz="0" w:space="0" w:color="auto"/>
          </w:divBdr>
        </w:div>
        <w:div w:id="2069723864">
          <w:marLeft w:val="0"/>
          <w:marRight w:val="0"/>
          <w:marTop w:val="0"/>
          <w:marBottom w:val="0"/>
          <w:divBdr>
            <w:top w:val="none" w:sz="0" w:space="0" w:color="auto"/>
            <w:left w:val="none" w:sz="0" w:space="0" w:color="auto"/>
            <w:bottom w:val="none" w:sz="0" w:space="0" w:color="auto"/>
            <w:right w:val="none" w:sz="0" w:space="0" w:color="auto"/>
          </w:divBdr>
        </w:div>
        <w:div w:id="1502545899">
          <w:marLeft w:val="0"/>
          <w:marRight w:val="0"/>
          <w:marTop w:val="0"/>
          <w:marBottom w:val="0"/>
          <w:divBdr>
            <w:top w:val="none" w:sz="0" w:space="0" w:color="auto"/>
            <w:left w:val="none" w:sz="0" w:space="0" w:color="auto"/>
            <w:bottom w:val="none" w:sz="0" w:space="0" w:color="auto"/>
            <w:right w:val="none" w:sz="0" w:space="0" w:color="auto"/>
          </w:divBdr>
        </w:div>
        <w:div w:id="1245608501">
          <w:marLeft w:val="0"/>
          <w:marRight w:val="0"/>
          <w:marTop w:val="0"/>
          <w:marBottom w:val="0"/>
          <w:divBdr>
            <w:top w:val="none" w:sz="0" w:space="0" w:color="auto"/>
            <w:left w:val="none" w:sz="0" w:space="0" w:color="auto"/>
            <w:bottom w:val="none" w:sz="0" w:space="0" w:color="auto"/>
            <w:right w:val="none" w:sz="0" w:space="0" w:color="auto"/>
          </w:divBdr>
        </w:div>
        <w:div w:id="1644429845">
          <w:marLeft w:val="0"/>
          <w:marRight w:val="0"/>
          <w:marTop w:val="0"/>
          <w:marBottom w:val="0"/>
          <w:divBdr>
            <w:top w:val="none" w:sz="0" w:space="0" w:color="auto"/>
            <w:left w:val="none" w:sz="0" w:space="0" w:color="auto"/>
            <w:bottom w:val="none" w:sz="0" w:space="0" w:color="auto"/>
            <w:right w:val="none" w:sz="0" w:space="0" w:color="auto"/>
          </w:divBdr>
        </w:div>
        <w:div w:id="1718240364">
          <w:marLeft w:val="0"/>
          <w:marRight w:val="0"/>
          <w:marTop w:val="0"/>
          <w:marBottom w:val="0"/>
          <w:divBdr>
            <w:top w:val="none" w:sz="0" w:space="0" w:color="auto"/>
            <w:left w:val="none" w:sz="0" w:space="0" w:color="auto"/>
            <w:bottom w:val="none" w:sz="0" w:space="0" w:color="auto"/>
            <w:right w:val="none" w:sz="0" w:space="0" w:color="auto"/>
          </w:divBdr>
        </w:div>
        <w:div w:id="63383182">
          <w:marLeft w:val="0"/>
          <w:marRight w:val="0"/>
          <w:marTop w:val="0"/>
          <w:marBottom w:val="0"/>
          <w:divBdr>
            <w:top w:val="none" w:sz="0" w:space="0" w:color="auto"/>
            <w:left w:val="none" w:sz="0" w:space="0" w:color="auto"/>
            <w:bottom w:val="none" w:sz="0" w:space="0" w:color="auto"/>
            <w:right w:val="none" w:sz="0" w:space="0" w:color="auto"/>
          </w:divBdr>
        </w:div>
        <w:div w:id="381104422">
          <w:marLeft w:val="0"/>
          <w:marRight w:val="0"/>
          <w:marTop w:val="0"/>
          <w:marBottom w:val="0"/>
          <w:divBdr>
            <w:top w:val="none" w:sz="0" w:space="0" w:color="auto"/>
            <w:left w:val="none" w:sz="0" w:space="0" w:color="auto"/>
            <w:bottom w:val="none" w:sz="0" w:space="0" w:color="auto"/>
            <w:right w:val="none" w:sz="0" w:space="0" w:color="auto"/>
          </w:divBdr>
        </w:div>
        <w:div w:id="501622972">
          <w:marLeft w:val="0"/>
          <w:marRight w:val="0"/>
          <w:marTop w:val="0"/>
          <w:marBottom w:val="0"/>
          <w:divBdr>
            <w:top w:val="none" w:sz="0" w:space="0" w:color="auto"/>
            <w:left w:val="none" w:sz="0" w:space="0" w:color="auto"/>
            <w:bottom w:val="none" w:sz="0" w:space="0" w:color="auto"/>
            <w:right w:val="none" w:sz="0" w:space="0" w:color="auto"/>
          </w:divBdr>
        </w:div>
        <w:div w:id="1406494120">
          <w:marLeft w:val="0"/>
          <w:marRight w:val="0"/>
          <w:marTop w:val="0"/>
          <w:marBottom w:val="0"/>
          <w:divBdr>
            <w:top w:val="none" w:sz="0" w:space="0" w:color="auto"/>
            <w:left w:val="none" w:sz="0" w:space="0" w:color="auto"/>
            <w:bottom w:val="none" w:sz="0" w:space="0" w:color="auto"/>
            <w:right w:val="none" w:sz="0" w:space="0" w:color="auto"/>
          </w:divBdr>
        </w:div>
        <w:div w:id="1960916995">
          <w:marLeft w:val="0"/>
          <w:marRight w:val="0"/>
          <w:marTop w:val="0"/>
          <w:marBottom w:val="0"/>
          <w:divBdr>
            <w:top w:val="none" w:sz="0" w:space="0" w:color="auto"/>
            <w:left w:val="none" w:sz="0" w:space="0" w:color="auto"/>
            <w:bottom w:val="none" w:sz="0" w:space="0" w:color="auto"/>
            <w:right w:val="none" w:sz="0" w:space="0" w:color="auto"/>
          </w:divBdr>
        </w:div>
        <w:div w:id="1616642076">
          <w:marLeft w:val="0"/>
          <w:marRight w:val="0"/>
          <w:marTop w:val="0"/>
          <w:marBottom w:val="0"/>
          <w:divBdr>
            <w:top w:val="none" w:sz="0" w:space="0" w:color="auto"/>
            <w:left w:val="none" w:sz="0" w:space="0" w:color="auto"/>
            <w:bottom w:val="none" w:sz="0" w:space="0" w:color="auto"/>
            <w:right w:val="none" w:sz="0" w:space="0" w:color="auto"/>
          </w:divBdr>
        </w:div>
        <w:div w:id="1233005918">
          <w:marLeft w:val="0"/>
          <w:marRight w:val="0"/>
          <w:marTop w:val="0"/>
          <w:marBottom w:val="0"/>
          <w:divBdr>
            <w:top w:val="none" w:sz="0" w:space="0" w:color="auto"/>
            <w:left w:val="none" w:sz="0" w:space="0" w:color="auto"/>
            <w:bottom w:val="none" w:sz="0" w:space="0" w:color="auto"/>
            <w:right w:val="none" w:sz="0" w:space="0" w:color="auto"/>
          </w:divBdr>
        </w:div>
        <w:div w:id="318729738">
          <w:marLeft w:val="0"/>
          <w:marRight w:val="0"/>
          <w:marTop w:val="0"/>
          <w:marBottom w:val="0"/>
          <w:divBdr>
            <w:top w:val="none" w:sz="0" w:space="0" w:color="auto"/>
            <w:left w:val="none" w:sz="0" w:space="0" w:color="auto"/>
            <w:bottom w:val="none" w:sz="0" w:space="0" w:color="auto"/>
            <w:right w:val="none" w:sz="0" w:space="0" w:color="auto"/>
          </w:divBdr>
        </w:div>
        <w:div w:id="824128943">
          <w:marLeft w:val="0"/>
          <w:marRight w:val="0"/>
          <w:marTop w:val="0"/>
          <w:marBottom w:val="0"/>
          <w:divBdr>
            <w:top w:val="none" w:sz="0" w:space="0" w:color="auto"/>
            <w:left w:val="none" w:sz="0" w:space="0" w:color="auto"/>
            <w:bottom w:val="none" w:sz="0" w:space="0" w:color="auto"/>
            <w:right w:val="none" w:sz="0" w:space="0" w:color="auto"/>
          </w:divBdr>
        </w:div>
        <w:div w:id="286668487">
          <w:marLeft w:val="0"/>
          <w:marRight w:val="0"/>
          <w:marTop w:val="0"/>
          <w:marBottom w:val="0"/>
          <w:divBdr>
            <w:top w:val="none" w:sz="0" w:space="0" w:color="auto"/>
            <w:left w:val="none" w:sz="0" w:space="0" w:color="auto"/>
            <w:bottom w:val="none" w:sz="0" w:space="0" w:color="auto"/>
            <w:right w:val="none" w:sz="0" w:space="0" w:color="auto"/>
          </w:divBdr>
        </w:div>
        <w:div w:id="2036349617">
          <w:marLeft w:val="0"/>
          <w:marRight w:val="0"/>
          <w:marTop w:val="0"/>
          <w:marBottom w:val="0"/>
          <w:divBdr>
            <w:top w:val="none" w:sz="0" w:space="0" w:color="auto"/>
            <w:left w:val="none" w:sz="0" w:space="0" w:color="auto"/>
            <w:bottom w:val="none" w:sz="0" w:space="0" w:color="auto"/>
            <w:right w:val="none" w:sz="0" w:space="0" w:color="auto"/>
          </w:divBdr>
        </w:div>
        <w:div w:id="596063967">
          <w:marLeft w:val="0"/>
          <w:marRight w:val="0"/>
          <w:marTop w:val="0"/>
          <w:marBottom w:val="0"/>
          <w:divBdr>
            <w:top w:val="none" w:sz="0" w:space="0" w:color="auto"/>
            <w:left w:val="none" w:sz="0" w:space="0" w:color="auto"/>
            <w:bottom w:val="none" w:sz="0" w:space="0" w:color="auto"/>
            <w:right w:val="none" w:sz="0" w:space="0" w:color="auto"/>
          </w:divBdr>
        </w:div>
        <w:div w:id="598759363">
          <w:marLeft w:val="0"/>
          <w:marRight w:val="0"/>
          <w:marTop w:val="0"/>
          <w:marBottom w:val="0"/>
          <w:divBdr>
            <w:top w:val="none" w:sz="0" w:space="0" w:color="auto"/>
            <w:left w:val="none" w:sz="0" w:space="0" w:color="auto"/>
            <w:bottom w:val="none" w:sz="0" w:space="0" w:color="auto"/>
            <w:right w:val="none" w:sz="0" w:space="0" w:color="auto"/>
          </w:divBdr>
        </w:div>
        <w:div w:id="104814873">
          <w:marLeft w:val="0"/>
          <w:marRight w:val="0"/>
          <w:marTop w:val="0"/>
          <w:marBottom w:val="0"/>
          <w:divBdr>
            <w:top w:val="none" w:sz="0" w:space="0" w:color="auto"/>
            <w:left w:val="none" w:sz="0" w:space="0" w:color="auto"/>
            <w:bottom w:val="none" w:sz="0" w:space="0" w:color="auto"/>
            <w:right w:val="none" w:sz="0" w:space="0" w:color="auto"/>
          </w:divBdr>
        </w:div>
        <w:div w:id="941886127">
          <w:marLeft w:val="0"/>
          <w:marRight w:val="0"/>
          <w:marTop w:val="0"/>
          <w:marBottom w:val="0"/>
          <w:divBdr>
            <w:top w:val="none" w:sz="0" w:space="0" w:color="auto"/>
            <w:left w:val="none" w:sz="0" w:space="0" w:color="auto"/>
            <w:bottom w:val="none" w:sz="0" w:space="0" w:color="auto"/>
            <w:right w:val="none" w:sz="0" w:space="0" w:color="auto"/>
          </w:divBdr>
        </w:div>
        <w:div w:id="1792704341">
          <w:marLeft w:val="0"/>
          <w:marRight w:val="0"/>
          <w:marTop w:val="0"/>
          <w:marBottom w:val="0"/>
          <w:divBdr>
            <w:top w:val="none" w:sz="0" w:space="0" w:color="auto"/>
            <w:left w:val="none" w:sz="0" w:space="0" w:color="auto"/>
            <w:bottom w:val="none" w:sz="0" w:space="0" w:color="auto"/>
            <w:right w:val="none" w:sz="0" w:space="0" w:color="auto"/>
          </w:divBdr>
        </w:div>
        <w:div w:id="258832867">
          <w:marLeft w:val="0"/>
          <w:marRight w:val="0"/>
          <w:marTop w:val="0"/>
          <w:marBottom w:val="0"/>
          <w:divBdr>
            <w:top w:val="none" w:sz="0" w:space="0" w:color="auto"/>
            <w:left w:val="none" w:sz="0" w:space="0" w:color="auto"/>
            <w:bottom w:val="none" w:sz="0" w:space="0" w:color="auto"/>
            <w:right w:val="none" w:sz="0" w:space="0" w:color="auto"/>
          </w:divBdr>
        </w:div>
        <w:div w:id="547030958">
          <w:marLeft w:val="0"/>
          <w:marRight w:val="0"/>
          <w:marTop w:val="0"/>
          <w:marBottom w:val="0"/>
          <w:divBdr>
            <w:top w:val="none" w:sz="0" w:space="0" w:color="auto"/>
            <w:left w:val="none" w:sz="0" w:space="0" w:color="auto"/>
            <w:bottom w:val="none" w:sz="0" w:space="0" w:color="auto"/>
            <w:right w:val="none" w:sz="0" w:space="0" w:color="auto"/>
          </w:divBdr>
        </w:div>
        <w:div w:id="934092874">
          <w:marLeft w:val="0"/>
          <w:marRight w:val="0"/>
          <w:marTop w:val="0"/>
          <w:marBottom w:val="0"/>
          <w:divBdr>
            <w:top w:val="none" w:sz="0" w:space="0" w:color="auto"/>
            <w:left w:val="none" w:sz="0" w:space="0" w:color="auto"/>
            <w:bottom w:val="none" w:sz="0" w:space="0" w:color="auto"/>
            <w:right w:val="none" w:sz="0" w:space="0" w:color="auto"/>
          </w:divBdr>
        </w:div>
        <w:div w:id="116203808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FA4E56-F4AB-4000-809C-779A4022A1FD}">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802DE020-8FFA-460C-9057-0218845870FB}">
  <ds:schemaRefs>
    <ds:schemaRef ds:uri="http://schemas.microsoft.com/sharepoint/v3/contenttype/forms"/>
  </ds:schemaRefs>
</ds:datastoreItem>
</file>

<file path=customXml/itemProps3.xml><?xml version="1.0" encoding="utf-8"?>
<ds:datastoreItem xmlns:ds="http://schemas.openxmlformats.org/officeDocument/2006/customXml" ds:itemID="{F7C4CE80-0C87-491C-920D-9559F89C1FBF}"/>
</file>

<file path=docProps/app.xml><?xml version="1.0" encoding="utf-8"?>
<Properties xmlns="http://schemas.openxmlformats.org/officeDocument/2006/extended-properties" xmlns:vt="http://schemas.openxmlformats.org/officeDocument/2006/docPropsVTypes">
  <Template>Normal</Template>
  <TotalTime>0</TotalTime>
  <Pages>26</Pages>
  <Words>57524</Words>
  <Characters>32789</Characters>
  <Application>Microsoft Office Word</Application>
  <DocSecurity>0</DocSecurity>
  <Lines>273</Lines>
  <Paragraphs>180</Paragraphs>
  <ScaleCrop>false</ScaleCrop>
  <Company/>
  <LinksUpToDate>false</LinksUpToDate>
  <CharactersWithSpaces>90133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2024-03-19T10:48:00Z</dcterms:created>
  <dcterms:modified xsi:type="dcterms:W3CDTF">2024-08-06T10:44:00Z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