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1F55D" w14:textId="07AA4A9A" w:rsidR="004323C0" w:rsidRPr="004323C0" w:rsidRDefault="00C57868" w:rsidP="004323C0">
      <w:pPr>
        <w:jc w:val="both"/>
        <w:rPr>
          <w:rFonts w:ascii="Times New Roman" w:hAnsi="Times New Roman" w:cs="Times New Roman"/>
          <w:noProof/>
          <w:sz w:val="24"/>
          <w:szCs w:val="24"/>
        </w:rPr>
      </w:pPr>
      <w:bookmarkStart w:id="0" w:name="_Hlk174103343"/>
      <w:bookmarkEnd w:id="0"/>
      <w:r w:rsidRPr="002E7FD7">
        <w:rPr>
          <w:rFonts w:ascii="Times New Roman" w:hAnsi="Times New Roman" w:cs="Times New Roman"/>
          <w:noProof/>
          <w:sz w:val="24"/>
          <w:szCs w:val="24"/>
        </w:rPr>
        <w:drawing>
          <wp:inline distT="0" distB="0" distL="0" distR="0" wp14:anchorId="2AFCA141" wp14:editId="3F3D3772">
            <wp:extent cx="5762625" cy="8791176"/>
            <wp:effectExtent l="0" t="0" r="0" b="0"/>
            <wp:docPr id="125051082" name="Picture 1" descr="A blue cover with 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1082" name="Picture 1" descr="A blue cover with a blue and white background&#10;&#10;Description automatically generated"/>
                    <pic:cNvPicPr/>
                  </pic:nvPicPr>
                  <pic:blipFill>
                    <a:blip r:embed="rId11"/>
                    <a:stretch>
                      <a:fillRect/>
                    </a:stretch>
                  </pic:blipFill>
                  <pic:spPr>
                    <a:xfrm>
                      <a:off x="0" y="0"/>
                      <a:ext cx="5762625" cy="8791176"/>
                    </a:xfrm>
                    <a:prstGeom prst="rect">
                      <a:avLst/>
                    </a:prstGeom>
                  </pic:spPr>
                </pic:pic>
              </a:graphicData>
            </a:graphic>
          </wp:inline>
        </w:drawing>
      </w:r>
    </w:p>
    <w:p w14:paraId="00EED93D" w14:textId="5D8663AA" w:rsidR="004323C0" w:rsidRPr="004323C0" w:rsidRDefault="004323C0" w:rsidP="004323C0">
      <w:pPr>
        <w:jc w:val="center"/>
        <w:rPr>
          <w:rFonts w:ascii="Times New Roman" w:hAnsi="Times New Roman" w:cs="Times New Roman"/>
          <w:noProof/>
          <w:sz w:val="24"/>
          <w:szCs w:val="24"/>
        </w:rPr>
      </w:pPr>
    </w:p>
    <w:p w14:paraId="1F660609" w14:textId="77777777" w:rsidR="004323C0" w:rsidRPr="004323C0" w:rsidRDefault="004323C0" w:rsidP="004323C0">
      <w:pPr>
        <w:rPr>
          <w:rFonts w:ascii="Times New Roman" w:hAnsi="Times New Roman" w:cs="Times New Roman"/>
          <w:noProof/>
          <w:sz w:val="24"/>
          <w:szCs w:val="24"/>
        </w:rPr>
      </w:pPr>
      <w:r>
        <w:br w:type="page"/>
      </w:r>
    </w:p>
    <w:p w14:paraId="28024A42" w14:textId="77777777" w:rsidR="004323C0" w:rsidRPr="004323C0" w:rsidRDefault="004323C0" w:rsidP="004323C0">
      <w:pPr>
        <w:jc w:val="both"/>
        <w:rPr>
          <w:rFonts w:ascii="Times New Roman" w:hAnsi="Times New Roman" w:cs="Times New Roman"/>
          <w:b/>
          <w:noProof/>
          <w:sz w:val="24"/>
          <w:szCs w:val="24"/>
        </w:rPr>
      </w:pPr>
    </w:p>
    <w:p w14:paraId="7AE78849" w14:textId="77777777" w:rsidR="004323C0" w:rsidRPr="004323C0" w:rsidRDefault="004323C0" w:rsidP="004323C0">
      <w:pPr>
        <w:pStyle w:val="BodyText"/>
        <w:jc w:val="both"/>
        <w:rPr>
          <w:rFonts w:ascii="Times New Roman" w:hAnsi="Times New Roman" w:cs="Times New Roman"/>
          <w:b/>
          <w:noProof/>
          <w:sz w:val="24"/>
          <w:szCs w:val="24"/>
        </w:rPr>
      </w:pPr>
    </w:p>
    <w:p w14:paraId="1F644F35" w14:textId="77777777" w:rsidR="004323C0" w:rsidRPr="004323C0" w:rsidRDefault="004323C0" w:rsidP="004323C0">
      <w:pPr>
        <w:pStyle w:val="BodyText"/>
        <w:jc w:val="both"/>
        <w:rPr>
          <w:rFonts w:ascii="Times New Roman" w:hAnsi="Times New Roman" w:cs="Times New Roman"/>
          <w:b/>
          <w:noProof/>
          <w:sz w:val="24"/>
          <w:szCs w:val="24"/>
        </w:rPr>
      </w:pPr>
    </w:p>
    <w:p w14:paraId="663F734D" w14:textId="77777777" w:rsidR="004323C0" w:rsidRPr="004323C0" w:rsidRDefault="004323C0" w:rsidP="004323C0">
      <w:pPr>
        <w:jc w:val="both"/>
        <w:rPr>
          <w:rFonts w:ascii="Times New Roman" w:hAnsi="Times New Roman" w:cs="Times New Roman"/>
          <w:noProof/>
          <w:sz w:val="24"/>
          <w:szCs w:val="24"/>
        </w:rPr>
      </w:pPr>
    </w:p>
    <w:p w14:paraId="2B374304" w14:textId="77777777" w:rsidR="004323C0" w:rsidRPr="004323C0" w:rsidRDefault="004323C0" w:rsidP="004323C0">
      <w:pPr>
        <w:pStyle w:val="BodyText"/>
        <w:jc w:val="both"/>
        <w:rPr>
          <w:rFonts w:ascii="Times New Roman" w:hAnsi="Times New Roman" w:cs="Times New Roman"/>
          <w:b/>
          <w:noProof/>
          <w:sz w:val="24"/>
          <w:szCs w:val="24"/>
        </w:rPr>
      </w:pPr>
    </w:p>
    <w:p w14:paraId="0212B577" w14:textId="77777777" w:rsidR="004323C0" w:rsidRPr="004323C0" w:rsidRDefault="004323C0" w:rsidP="004323C0">
      <w:pPr>
        <w:pStyle w:val="BodyText"/>
        <w:jc w:val="both"/>
        <w:rPr>
          <w:rFonts w:ascii="Times New Roman" w:hAnsi="Times New Roman" w:cs="Times New Roman"/>
          <w:b/>
          <w:noProof/>
          <w:sz w:val="24"/>
          <w:szCs w:val="24"/>
        </w:rPr>
      </w:pPr>
    </w:p>
    <w:p w14:paraId="22C854DF" w14:textId="77777777" w:rsidR="004323C0" w:rsidRPr="004323C0" w:rsidRDefault="004323C0" w:rsidP="004323C0">
      <w:pPr>
        <w:pStyle w:val="BodyText"/>
        <w:jc w:val="both"/>
        <w:rPr>
          <w:rFonts w:ascii="Times New Roman" w:hAnsi="Times New Roman" w:cs="Times New Roman"/>
          <w:b/>
          <w:noProof/>
          <w:sz w:val="24"/>
          <w:szCs w:val="24"/>
        </w:rPr>
      </w:pPr>
    </w:p>
    <w:p w14:paraId="7A6CC328" w14:textId="77777777" w:rsidR="004323C0" w:rsidRPr="004323C0" w:rsidRDefault="004323C0" w:rsidP="004323C0">
      <w:pPr>
        <w:pStyle w:val="BodyText"/>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5272"/>
        <w:gridCol w:w="3859"/>
      </w:tblGrid>
      <w:tr w:rsidR="004323C0" w:rsidRPr="004323C0" w14:paraId="3EB184C1" w14:textId="77777777">
        <w:trPr>
          <w:trHeight w:val="1022"/>
        </w:trPr>
        <w:tc>
          <w:tcPr>
            <w:tcW w:w="2887" w:type="pct"/>
            <w:tcBorders>
              <w:right w:val="single" w:sz="12" w:space="0" w:color="A6A6A6"/>
            </w:tcBorders>
          </w:tcPr>
          <w:p w14:paraId="3987C5B3" w14:textId="77777777" w:rsidR="004323C0" w:rsidRPr="004323C0" w:rsidRDefault="004323C0">
            <w:pPr>
              <w:pStyle w:val="TableParagraph"/>
              <w:spacing w:before="0"/>
              <w:jc w:val="right"/>
              <w:rPr>
                <w:rFonts w:ascii="Times New Roman" w:hAnsi="Times New Roman" w:cs="Times New Roman"/>
                <w:b/>
                <w:noProof/>
                <w:color w:val="808080"/>
                <w:sz w:val="28"/>
                <w:szCs w:val="28"/>
              </w:rPr>
            </w:pPr>
            <w:r>
              <w:rPr>
                <w:rFonts w:ascii="Times New Roman" w:hAnsi="Times New Roman"/>
                <w:b/>
                <w:color w:val="808080"/>
                <w:sz w:val="28"/>
              </w:rPr>
              <w:t>Rokasgrāmata Eiropas uzņēmējdarbības statistikas apkopotājiem par globālajām vērtību ķēdēm</w:t>
            </w:r>
          </w:p>
        </w:tc>
        <w:tc>
          <w:tcPr>
            <w:tcW w:w="2113" w:type="pct"/>
            <w:tcBorders>
              <w:left w:val="single" w:sz="12" w:space="0" w:color="A6A6A6"/>
            </w:tcBorders>
            <w:vAlign w:val="bottom"/>
          </w:tcPr>
          <w:p w14:paraId="28B83AB9" w14:textId="77777777" w:rsidR="004323C0" w:rsidRPr="004323C0" w:rsidRDefault="004323C0">
            <w:pPr>
              <w:pStyle w:val="TableParagraph"/>
              <w:spacing w:before="0"/>
              <w:rPr>
                <w:rFonts w:ascii="Times New Roman" w:hAnsi="Times New Roman" w:cs="Times New Roman"/>
                <w:b/>
                <w:noProof/>
                <w:color w:val="808080"/>
                <w:sz w:val="28"/>
                <w:szCs w:val="28"/>
              </w:rPr>
            </w:pPr>
            <w:r>
              <w:rPr>
                <w:rFonts w:ascii="Times New Roman" w:hAnsi="Times New Roman"/>
                <w:b/>
                <w:color w:val="808080"/>
                <w:sz w:val="28"/>
              </w:rPr>
              <w:t>2023. gada izdevums</w:t>
            </w:r>
          </w:p>
        </w:tc>
      </w:tr>
    </w:tbl>
    <w:p w14:paraId="3B3EA6C5" w14:textId="77777777" w:rsidR="004323C0" w:rsidRPr="004323C0" w:rsidRDefault="004323C0" w:rsidP="004323C0">
      <w:pPr>
        <w:jc w:val="both"/>
        <w:rPr>
          <w:rFonts w:ascii="Times New Roman" w:hAnsi="Times New Roman" w:cs="Times New Roman"/>
          <w:noProof/>
          <w:sz w:val="24"/>
          <w:szCs w:val="24"/>
        </w:rPr>
      </w:pPr>
    </w:p>
    <w:p w14:paraId="6D90B86B" w14:textId="77777777" w:rsidR="004323C0" w:rsidRPr="004323C0" w:rsidRDefault="004323C0" w:rsidP="004323C0">
      <w:pPr>
        <w:rPr>
          <w:rFonts w:ascii="Times New Roman" w:hAnsi="Times New Roman" w:cs="Times New Roman"/>
          <w:noProof/>
          <w:sz w:val="24"/>
          <w:szCs w:val="24"/>
        </w:rPr>
      </w:pPr>
      <w:r>
        <w:br w:type="page"/>
      </w:r>
    </w:p>
    <w:p w14:paraId="63FFCD71" w14:textId="77777777" w:rsidR="004323C0" w:rsidRPr="004323C0" w:rsidRDefault="004323C0" w:rsidP="004323C0">
      <w:pPr>
        <w:jc w:val="both"/>
        <w:rPr>
          <w:rFonts w:ascii="Times New Roman" w:hAnsi="Times New Roman" w:cs="Times New Roman"/>
          <w:noProof/>
          <w:sz w:val="24"/>
          <w:szCs w:val="24"/>
        </w:rPr>
      </w:pPr>
    </w:p>
    <w:p w14:paraId="67794988" w14:textId="77777777" w:rsidR="004323C0" w:rsidRPr="004323C0" w:rsidRDefault="004323C0" w:rsidP="004323C0">
      <w:pPr>
        <w:pStyle w:val="BodyText"/>
        <w:jc w:val="both"/>
        <w:rPr>
          <w:rFonts w:ascii="Times New Roman" w:hAnsi="Times New Roman" w:cs="Times New Roman"/>
          <w:b/>
          <w:noProof/>
          <w:sz w:val="24"/>
          <w:szCs w:val="24"/>
        </w:rPr>
      </w:pPr>
    </w:p>
    <w:p w14:paraId="3306CC4F" w14:textId="77777777" w:rsidR="004323C0" w:rsidRPr="004323C0" w:rsidRDefault="004323C0" w:rsidP="004323C0">
      <w:pPr>
        <w:pStyle w:val="BodyText"/>
        <w:jc w:val="both"/>
        <w:rPr>
          <w:rFonts w:ascii="Times New Roman" w:hAnsi="Times New Roman" w:cs="Times New Roman"/>
          <w:b/>
          <w:noProof/>
          <w:sz w:val="24"/>
          <w:szCs w:val="24"/>
        </w:rPr>
      </w:pPr>
    </w:p>
    <w:p w14:paraId="26D8CDBD" w14:textId="77777777" w:rsidR="004323C0" w:rsidRPr="004323C0" w:rsidRDefault="004323C0" w:rsidP="004323C0">
      <w:pPr>
        <w:pStyle w:val="BodyText"/>
        <w:jc w:val="both"/>
        <w:rPr>
          <w:rFonts w:ascii="Times New Roman" w:hAnsi="Times New Roman" w:cs="Times New Roman"/>
          <w:b/>
          <w:noProof/>
          <w:sz w:val="24"/>
          <w:szCs w:val="24"/>
        </w:rPr>
      </w:pPr>
    </w:p>
    <w:p w14:paraId="665999BC" w14:textId="77777777" w:rsidR="004323C0" w:rsidRPr="004323C0" w:rsidRDefault="004323C0" w:rsidP="004323C0">
      <w:pPr>
        <w:pStyle w:val="BodyText"/>
        <w:jc w:val="both"/>
        <w:rPr>
          <w:rFonts w:ascii="Times New Roman" w:hAnsi="Times New Roman" w:cs="Times New Roman"/>
          <w:b/>
          <w:noProof/>
          <w:sz w:val="24"/>
          <w:szCs w:val="24"/>
        </w:rPr>
      </w:pPr>
    </w:p>
    <w:p w14:paraId="166BA57B" w14:textId="77777777" w:rsidR="004323C0" w:rsidRPr="004323C0" w:rsidRDefault="004323C0" w:rsidP="004323C0">
      <w:pPr>
        <w:pStyle w:val="BodyText"/>
        <w:jc w:val="both"/>
        <w:rPr>
          <w:rFonts w:ascii="Times New Roman" w:hAnsi="Times New Roman" w:cs="Times New Roman"/>
          <w:b/>
          <w:noProof/>
          <w:sz w:val="24"/>
          <w:szCs w:val="24"/>
        </w:rPr>
      </w:pPr>
    </w:p>
    <w:p w14:paraId="3AB80D8A" w14:textId="77777777" w:rsidR="004323C0" w:rsidRPr="004323C0" w:rsidRDefault="004323C0" w:rsidP="004323C0">
      <w:pPr>
        <w:pStyle w:val="BodyText"/>
        <w:jc w:val="both"/>
        <w:rPr>
          <w:rFonts w:ascii="Times New Roman" w:hAnsi="Times New Roman" w:cs="Times New Roman"/>
          <w:b/>
          <w:noProof/>
          <w:sz w:val="24"/>
          <w:szCs w:val="24"/>
        </w:rPr>
      </w:pPr>
    </w:p>
    <w:p w14:paraId="41EC4744" w14:textId="77777777" w:rsidR="004323C0" w:rsidRPr="004323C0" w:rsidRDefault="004323C0" w:rsidP="004323C0">
      <w:pPr>
        <w:pStyle w:val="BodyText"/>
        <w:jc w:val="both"/>
        <w:rPr>
          <w:rFonts w:ascii="Times New Roman" w:hAnsi="Times New Roman" w:cs="Times New Roman"/>
          <w:b/>
          <w:noProof/>
          <w:sz w:val="24"/>
          <w:szCs w:val="24"/>
        </w:rPr>
      </w:pPr>
    </w:p>
    <w:p w14:paraId="2076D745" w14:textId="77777777" w:rsidR="004323C0" w:rsidRPr="004323C0" w:rsidRDefault="004323C0" w:rsidP="004323C0">
      <w:pPr>
        <w:pStyle w:val="BodyText"/>
        <w:jc w:val="both"/>
        <w:rPr>
          <w:rFonts w:ascii="Times New Roman" w:hAnsi="Times New Roman" w:cs="Times New Roman"/>
          <w:b/>
          <w:noProof/>
          <w:sz w:val="24"/>
          <w:szCs w:val="24"/>
        </w:rPr>
      </w:pPr>
    </w:p>
    <w:p w14:paraId="0A2D2432" w14:textId="77777777" w:rsidR="004323C0" w:rsidRPr="004323C0" w:rsidRDefault="004323C0" w:rsidP="004323C0">
      <w:pPr>
        <w:pStyle w:val="BodyText"/>
        <w:jc w:val="both"/>
        <w:rPr>
          <w:rFonts w:ascii="Times New Roman" w:hAnsi="Times New Roman" w:cs="Times New Roman"/>
          <w:b/>
          <w:noProof/>
          <w:sz w:val="24"/>
          <w:szCs w:val="24"/>
        </w:rPr>
      </w:pPr>
    </w:p>
    <w:p w14:paraId="00D25980" w14:textId="77777777" w:rsidR="004323C0" w:rsidRPr="004323C0" w:rsidRDefault="004323C0" w:rsidP="004323C0">
      <w:pPr>
        <w:pStyle w:val="BodyText"/>
        <w:jc w:val="both"/>
        <w:rPr>
          <w:rFonts w:ascii="Times New Roman" w:hAnsi="Times New Roman" w:cs="Times New Roman"/>
          <w:b/>
          <w:noProof/>
          <w:sz w:val="24"/>
          <w:szCs w:val="24"/>
        </w:rPr>
      </w:pPr>
    </w:p>
    <w:p w14:paraId="20C033FB" w14:textId="77777777" w:rsidR="004323C0" w:rsidRPr="004323C0" w:rsidRDefault="004323C0" w:rsidP="004323C0">
      <w:pPr>
        <w:pStyle w:val="BodyText"/>
        <w:jc w:val="both"/>
        <w:rPr>
          <w:rFonts w:ascii="Times New Roman" w:hAnsi="Times New Roman" w:cs="Times New Roman"/>
          <w:b/>
          <w:noProof/>
          <w:sz w:val="24"/>
          <w:szCs w:val="24"/>
        </w:rPr>
      </w:pPr>
    </w:p>
    <w:p w14:paraId="0896EBAC" w14:textId="77777777" w:rsidR="004323C0" w:rsidRPr="004323C0" w:rsidRDefault="004323C0" w:rsidP="004323C0">
      <w:pPr>
        <w:pStyle w:val="BodyText"/>
        <w:jc w:val="both"/>
        <w:rPr>
          <w:rFonts w:ascii="Times New Roman" w:hAnsi="Times New Roman" w:cs="Times New Roman"/>
          <w:b/>
          <w:noProof/>
          <w:sz w:val="24"/>
          <w:szCs w:val="24"/>
        </w:rPr>
      </w:pPr>
    </w:p>
    <w:p w14:paraId="20DBC90A" w14:textId="77777777" w:rsidR="004323C0" w:rsidRPr="004323C0" w:rsidRDefault="004323C0" w:rsidP="004323C0">
      <w:pPr>
        <w:pStyle w:val="BodyText"/>
        <w:jc w:val="both"/>
        <w:rPr>
          <w:rFonts w:ascii="Times New Roman" w:hAnsi="Times New Roman" w:cs="Times New Roman"/>
          <w:b/>
          <w:noProof/>
          <w:sz w:val="24"/>
          <w:szCs w:val="24"/>
        </w:rPr>
      </w:pPr>
    </w:p>
    <w:p w14:paraId="2ABC5286" w14:textId="77777777" w:rsidR="004323C0" w:rsidRPr="004323C0" w:rsidRDefault="004323C0" w:rsidP="004323C0">
      <w:pPr>
        <w:pStyle w:val="BodyText"/>
        <w:jc w:val="both"/>
        <w:rPr>
          <w:rFonts w:ascii="Times New Roman" w:hAnsi="Times New Roman" w:cs="Times New Roman"/>
          <w:b/>
          <w:noProof/>
          <w:sz w:val="24"/>
          <w:szCs w:val="24"/>
        </w:rPr>
      </w:pPr>
    </w:p>
    <w:p w14:paraId="15B69E42" w14:textId="77777777" w:rsidR="004323C0" w:rsidRPr="004323C0" w:rsidRDefault="004323C0" w:rsidP="004323C0">
      <w:pPr>
        <w:pStyle w:val="BodyText"/>
        <w:jc w:val="both"/>
        <w:rPr>
          <w:rFonts w:ascii="Times New Roman" w:hAnsi="Times New Roman" w:cs="Times New Roman"/>
          <w:b/>
          <w:noProof/>
          <w:sz w:val="24"/>
          <w:szCs w:val="24"/>
        </w:rPr>
      </w:pPr>
    </w:p>
    <w:p w14:paraId="19E21552" w14:textId="77777777" w:rsidR="004323C0" w:rsidRPr="004323C0" w:rsidRDefault="004323C0" w:rsidP="004323C0">
      <w:pPr>
        <w:pStyle w:val="BodyText"/>
        <w:jc w:val="both"/>
        <w:rPr>
          <w:rFonts w:ascii="Times New Roman" w:hAnsi="Times New Roman" w:cs="Times New Roman"/>
          <w:b/>
          <w:noProof/>
          <w:sz w:val="24"/>
          <w:szCs w:val="24"/>
        </w:rPr>
      </w:pPr>
    </w:p>
    <w:p w14:paraId="1158A3A0" w14:textId="77777777" w:rsidR="004323C0" w:rsidRPr="004323C0" w:rsidRDefault="004323C0" w:rsidP="004323C0">
      <w:pPr>
        <w:pStyle w:val="BodyText"/>
        <w:jc w:val="both"/>
        <w:rPr>
          <w:rFonts w:ascii="Times New Roman" w:hAnsi="Times New Roman" w:cs="Times New Roman"/>
          <w:b/>
          <w:noProof/>
          <w:sz w:val="24"/>
          <w:szCs w:val="24"/>
        </w:rPr>
      </w:pPr>
    </w:p>
    <w:p w14:paraId="1089EF22" w14:textId="77777777" w:rsidR="004323C0" w:rsidRPr="004323C0" w:rsidRDefault="004323C0" w:rsidP="004323C0">
      <w:pPr>
        <w:pStyle w:val="BodyText"/>
        <w:jc w:val="both"/>
        <w:rPr>
          <w:rFonts w:ascii="Times New Roman" w:hAnsi="Times New Roman" w:cs="Times New Roman"/>
          <w:b/>
          <w:noProof/>
          <w:sz w:val="24"/>
          <w:szCs w:val="24"/>
        </w:rPr>
      </w:pPr>
    </w:p>
    <w:p w14:paraId="16A79773" w14:textId="77777777" w:rsidR="004323C0" w:rsidRPr="004323C0" w:rsidRDefault="004323C0" w:rsidP="004323C0">
      <w:pPr>
        <w:pStyle w:val="BodyText"/>
        <w:jc w:val="both"/>
        <w:rPr>
          <w:rFonts w:ascii="Times New Roman" w:hAnsi="Times New Roman" w:cs="Times New Roman"/>
          <w:b/>
          <w:noProof/>
          <w:sz w:val="24"/>
          <w:szCs w:val="24"/>
        </w:rPr>
      </w:pPr>
    </w:p>
    <w:p w14:paraId="3669D96D" w14:textId="77777777" w:rsidR="004323C0" w:rsidRPr="004323C0" w:rsidRDefault="004323C0" w:rsidP="004323C0">
      <w:pPr>
        <w:pStyle w:val="BodyText"/>
        <w:jc w:val="both"/>
        <w:rPr>
          <w:rFonts w:ascii="Times New Roman" w:hAnsi="Times New Roman" w:cs="Times New Roman"/>
          <w:b/>
          <w:noProof/>
          <w:sz w:val="24"/>
          <w:szCs w:val="24"/>
        </w:rPr>
      </w:pPr>
    </w:p>
    <w:p w14:paraId="15C70719" w14:textId="77777777" w:rsidR="004323C0" w:rsidRPr="004323C0" w:rsidRDefault="004323C0" w:rsidP="004323C0">
      <w:pPr>
        <w:pStyle w:val="BodyText"/>
        <w:jc w:val="both"/>
        <w:rPr>
          <w:rFonts w:ascii="Times New Roman" w:hAnsi="Times New Roman" w:cs="Times New Roman"/>
          <w:b/>
          <w:noProof/>
          <w:sz w:val="24"/>
          <w:szCs w:val="24"/>
        </w:rPr>
      </w:pPr>
    </w:p>
    <w:p w14:paraId="0F6819CF" w14:textId="77777777" w:rsidR="004323C0" w:rsidRPr="004323C0" w:rsidRDefault="004323C0" w:rsidP="004323C0">
      <w:pPr>
        <w:pStyle w:val="BodyText"/>
        <w:jc w:val="both"/>
        <w:rPr>
          <w:rFonts w:ascii="Times New Roman" w:hAnsi="Times New Roman" w:cs="Times New Roman"/>
          <w:b/>
          <w:noProof/>
          <w:sz w:val="24"/>
          <w:szCs w:val="24"/>
        </w:rPr>
      </w:pPr>
    </w:p>
    <w:p w14:paraId="27B2D7D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Manuskripts pabeigts 2023. gada novembrī</w:t>
      </w:r>
    </w:p>
    <w:p w14:paraId="131025EF" w14:textId="77777777" w:rsidR="004323C0" w:rsidRPr="004323C0" w:rsidRDefault="004323C0" w:rsidP="004323C0">
      <w:pPr>
        <w:pStyle w:val="BodyText"/>
        <w:jc w:val="both"/>
        <w:rPr>
          <w:rFonts w:ascii="Times New Roman" w:hAnsi="Times New Roman" w:cs="Times New Roman"/>
          <w:noProof/>
          <w:sz w:val="24"/>
          <w:szCs w:val="24"/>
        </w:rPr>
      </w:pPr>
    </w:p>
    <w:p w14:paraId="6D8C03D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Komisija neatbild par sekām, kas izriet saistībā ar šīs publikācijas atkalizmantošanu.</w:t>
      </w:r>
    </w:p>
    <w:p w14:paraId="2F7C038E" w14:textId="77777777" w:rsidR="004323C0" w:rsidRPr="004323C0" w:rsidRDefault="004323C0" w:rsidP="004323C0">
      <w:pPr>
        <w:pStyle w:val="BodyText"/>
        <w:jc w:val="both"/>
        <w:rPr>
          <w:rFonts w:ascii="Times New Roman" w:hAnsi="Times New Roman" w:cs="Times New Roman"/>
          <w:noProof/>
          <w:sz w:val="24"/>
          <w:szCs w:val="24"/>
        </w:rPr>
      </w:pPr>
    </w:p>
    <w:p w14:paraId="43A13E1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Luksemburga: Eiropas Savienības Publikāciju birojs, 2023. gads</w:t>
      </w:r>
    </w:p>
    <w:p w14:paraId="1BD8F571" w14:textId="77777777" w:rsidR="004323C0" w:rsidRPr="004323C0" w:rsidRDefault="004323C0" w:rsidP="004323C0">
      <w:pPr>
        <w:pStyle w:val="BodyText"/>
        <w:jc w:val="both"/>
        <w:rPr>
          <w:rFonts w:ascii="Times New Roman" w:hAnsi="Times New Roman" w:cs="Times New Roman"/>
          <w:noProof/>
          <w:sz w:val="24"/>
          <w:szCs w:val="24"/>
        </w:rPr>
      </w:pPr>
    </w:p>
    <w:p w14:paraId="6D4CC32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Eiropas Savienība, 2023. gads</w:t>
      </w:r>
    </w:p>
    <w:p w14:paraId="34E74D24" w14:textId="77777777" w:rsidR="004323C0" w:rsidRPr="004323C0" w:rsidRDefault="004323C0" w:rsidP="004323C0">
      <w:pPr>
        <w:pStyle w:val="BodyText"/>
        <w:jc w:val="both"/>
        <w:rPr>
          <w:rFonts w:ascii="Times New Roman" w:hAnsi="Times New Roman" w:cs="Times New Roman"/>
          <w:noProof/>
          <w:sz w:val="24"/>
          <w:szCs w:val="24"/>
        </w:rPr>
      </w:pPr>
    </w:p>
    <w:p w14:paraId="28872AB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noProof/>
          <w:sz w:val="24"/>
        </w:rPr>
        <w:drawing>
          <wp:inline distT="0" distB="0" distL="0" distR="0" wp14:anchorId="41213A41" wp14:editId="3049C054">
            <wp:extent cx="1126027" cy="478885"/>
            <wp:effectExtent l="0" t="0" r="0" b="0"/>
            <wp:docPr id="161632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24605" name=""/>
                    <pic:cNvPicPr/>
                  </pic:nvPicPr>
                  <pic:blipFill>
                    <a:blip r:embed="rId12"/>
                    <a:stretch>
                      <a:fillRect/>
                    </a:stretch>
                  </pic:blipFill>
                  <pic:spPr>
                    <a:xfrm>
                      <a:off x="0" y="0"/>
                      <a:ext cx="1129668" cy="480433"/>
                    </a:xfrm>
                    <a:prstGeom prst="rect">
                      <a:avLst/>
                    </a:prstGeom>
                  </pic:spPr>
                </pic:pic>
              </a:graphicData>
            </a:graphic>
          </wp:inline>
        </w:drawing>
      </w:r>
    </w:p>
    <w:p w14:paraId="647F1ACD"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Eiropas Komisijas dokumentu atkalizmantošanas politika tiek īstenota, pamatojoties uz Komisijas 2011. gada 12. decembra Lēmumu 2011/833/ES par Komisijas dokumentu atkalizmantošanu (OV L 330, 14.12.2011., 39. lpp.). Ja nav norādīts citādi, šā dokumenta atkalizmantošana ir atļauta saskaņā ar </w:t>
      </w:r>
      <w:r>
        <w:rPr>
          <w:rFonts w:ascii="Times New Roman" w:hAnsi="Times New Roman"/>
          <w:i/>
          <w:iCs/>
          <w:sz w:val="24"/>
        </w:rPr>
        <w:t>Creative Commons Attribution 4.0 International</w:t>
      </w:r>
      <w:r>
        <w:rPr>
          <w:rFonts w:ascii="Times New Roman" w:hAnsi="Times New Roman"/>
          <w:sz w:val="24"/>
        </w:rPr>
        <w:t xml:space="preserve"> (CC-BY 4.0) licenci (https://creativecommons.org/licenses/by/4.0/). Tas nozīmē, ka atkārtota izmantošana ir atļauta, ja tiek sniegtas atbilstošas atsauces un norādītas visas izmaiņas.</w:t>
      </w:r>
    </w:p>
    <w:p w14:paraId="7B3426A0" w14:textId="77777777" w:rsidR="004323C0" w:rsidRPr="004323C0" w:rsidRDefault="004323C0" w:rsidP="004323C0">
      <w:pPr>
        <w:pStyle w:val="BodyText"/>
        <w:jc w:val="both"/>
        <w:rPr>
          <w:rFonts w:ascii="Times New Roman" w:hAnsi="Times New Roman" w:cs="Times New Roman"/>
          <w:noProof/>
          <w:sz w:val="24"/>
          <w:szCs w:val="24"/>
        </w:rPr>
      </w:pPr>
    </w:p>
    <w:p w14:paraId="1ABAC78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Lai izmantotu vai reproducētu elementus, kas nepieder Eiropas Savienībai, var būt nepieciešams saņemt atļauju tieši no attiecīgo tiesību turētājiem. Eiropas Savienībai nepieder autortiesības attiecībā uz turpmāk minētajiem elementiem.</w:t>
      </w:r>
    </w:p>
    <w:p w14:paraId="0A84719D" w14:textId="77777777" w:rsidR="004323C0" w:rsidRPr="004323C0" w:rsidRDefault="004323C0" w:rsidP="004323C0">
      <w:pPr>
        <w:pStyle w:val="BodyText"/>
        <w:jc w:val="both"/>
        <w:rPr>
          <w:rFonts w:ascii="Times New Roman" w:hAnsi="Times New Roman" w:cs="Times New Roman"/>
          <w:noProof/>
          <w:sz w:val="24"/>
          <w:szCs w:val="24"/>
        </w:rPr>
      </w:pPr>
    </w:p>
    <w:p w14:paraId="16074E0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Fotoattēlu autortiesības: vāka attēls © </w:t>
      </w:r>
      <w:r>
        <w:rPr>
          <w:rFonts w:ascii="Times New Roman" w:hAnsi="Times New Roman"/>
          <w:i/>
          <w:iCs/>
          <w:sz w:val="24"/>
        </w:rPr>
        <w:t>Adobestock</w:t>
      </w:r>
    </w:p>
    <w:p w14:paraId="31495303" w14:textId="77777777" w:rsidR="004323C0" w:rsidRPr="004323C0" w:rsidRDefault="004323C0" w:rsidP="004323C0">
      <w:pPr>
        <w:pStyle w:val="BodyText"/>
        <w:jc w:val="both"/>
        <w:rPr>
          <w:rFonts w:ascii="Times New Roman" w:hAnsi="Times New Roman" w:cs="Times New Roman"/>
          <w:noProof/>
          <w:sz w:val="24"/>
          <w:szCs w:val="24"/>
        </w:rPr>
      </w:pPr>
    </w:p>
    <w:p w14:paraId="6502663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Temats: starptautiskā tirdzniecība</w:t>
      </w:r>
    </w:p>
    <w:p w14:paraId="28183ACD"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Krājums: rokasgrāmatas un vadlīnijas</w:t>
      </w:r>
    </w:p>
    <w:p w14:paraId="449496C0" w14:textId="77777777" w:rsidR="004323C0" w:rsidRPr="004323C0" w:rsidRDefault="004323C0" w:rsidP="004323C0">
      <w:pPr>
        <w:pStyle w:val="BodyText"/>
        <w:jc w:val="both"/>
        <w:rPr>
          <w:rFonts w:ascii="Times New Roman" w:hAnsi="Times New Roman" w:cs="Times New Roman"/>
          <w:noProof/>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9"/>
        <w:gridCol w:w="2569"/>
        <w:gridCol w:w="1693"/>
        <w:gridCol w:w="2076"/>
        <w:gridCol w:w="2224"/>
      </w:tblGrid>
      <w:tr w:rsidR="004323C0" w:rsidRPr="004323C0" w14:paraId="3BBC382D" w14:textId="77777777">
        <w:trPr>
          <w:jc w:val="center"/>
        </w:trPr>
        <w:tc>
          <w:tcPr>
            <w:tcW w:w="311" w:type="pct"/>
          </w:tcPr>
          <w:p w14:paraId="13681A25" w14:textId="77777777" w:rsidR="004323C0" w:rsidRPr="004323C0" w:rsidRDefault="004323C0">
            <w:pPr>
              <w:pStyle w:val="BodyText"/>
              <w:jc w:val="center"/>
              <w:rPr>
                <w:rFonts w:ascii="Times New Roman" w:hAnsi="Times New Roman" w:cs="Times New Roman"/>
                <w:noProof/>
                <w:sz w:val="20"/>
                <w:szCs w:val="20"/>
              </w:rPr>
            </w:pPr>
            <w:r>
              <w:rPr>
                <w:rFonts w:ascii="Times New Roman" w:hAnsi="Times New Roman"/>
                <w:sz w:val="20"/>
              </w:rPr>
              <w:t>PDF:</w:t>
            </w:r>
          </w:p>
        </w:tc>
        <w:tc>
          <w:tcPr>
            <w:tcW w:w="1406" w:type="pct"/>
          </w:tcPr>
          <w:p w14:paraId="1BBFC17B" w14:textId="77777777" w:rsidR="004323C0" w:rsidRPr="004323C0" w:rsidRDefault="004323C0">
            <w:pPr>
              <w:pStyle w:val="BodyText"/>
              <w:jc w:val="center"/>
              <w:rPr>
                <w:rFonts w:ascii="Times New Roman" w:hAnsi="Times New Roman" w:cs="Times New Roman"/>
                <w:noProof/>
                <w:sz w:val="20"/>
                <w:szCs w:val="20"/>
              </w:rPr>
            </w:pPr>
            <w:r>
              <w:rPr>
                <w:rFonts w:ascii="Times New Roman" w:hAnsi="Times New Roman"/>
                <w:sz w:val="20"/>
              </w:rPr>
              <w:t>ISBN 978-92-68-09552-2</w:t>
            </w:r>
          </w:p>
        </w:tc>
        <w:tc>
          <w:tcPr>
            <w:tcW w:w="927" w:type="pct"/>
          </w:tcPr>
          <w:p w14:paraId="266E3C77" w14:textId="77777777" w:rsidR="004323C0" w:rsidRPr="004323C0" w:rsidRDefault="004323C0">
            <w:pPr>
              <w:pStyle w:val="BodyText"/>
              <w:jc w:val="center"/>
              <w:rPr>
                <w:rFonts w:ascii="Times New Roman" w:hAnsi="Times New Roman" w:cs="Times New Roman"/>
                <w:noProof/>
                <w:sz w:val="20"/>
                <w:szCs w:val="20"/>
              </w:rPr>
            </w:pPr>
            <w:r>
              <w:rPr>
                <w:rFonts w:ascii="Times New Roman" w:hAnsi="Times New Roman"/>
                <w:sz w:val="20"/>
              </w:rPr>
              <w:t>ISSN 2315-0815</w:t>
            </w:r>
          </w:p>
        </w:tc>
        <w:tc>
          <w:tcPr>
            <w:tcW w:w="1137" w:type="pct"/>
          </w:tcPr>
          <w:p w14:paraId="6E125E38" w14:textId="77777777" w:rsidR="004323C0" w:rsidRPr="004323C0" w:rsidRDefault="004323C0">
            <w:pPr>
              <w:pStyle w:val="BodyText"/>
              <w:jc w:val="center"/>
              <w:rPr>
                <w:rFonts w:ascii="Times New Roman" w:hAnsi="Times New Roman" w:cs="Times New Roman"/>
                <w:noProof/>
                <w:sz w:val="20"/>
                <w:szCs w:val="20"/>
              </w:rPr>
            </w:pPr>
            <w:r>
              <w:rPr>
                <w:rFonts w:ascii="Times New Roman" w:hAnsi="Times New Roman"/>
                <w:i/>
                <w:iCs/>
                <w:sz w:val="20"/>
              </w:rPr>
              <w:t>DOI</w:t>
            </w:r>
            <w:r>
              <w:rPr>
                <w:rFonts w:ascii="Times New Roman" w:hAnsi="Times New Roman"/>
                <w:sz w:val="20"/>
              </w:rPr>
              <w:t>: 10.2785/656152</w:t>
            </w:r>
          </w:p>
        </w:tc>
        <w:tc>
          <w:tcPr>
            <w:tcW w:w="1218" w:type="pct"/>
          </w:tcPr>
          <w:p w14:paraId="51B58500" w14:textId="77777777" w:rsidR="004323C0" w:rsidRPr="004323C0" w:rsidRDefault="004323C0">
            <w:pPr>
              <w:pStyle w:val="BodyText"/>
              <w:jc w:val="center"/>
              <w:rPr>
                <w:rFonts w:ascii="Times New Roman" w:hAnsi="Times New Roman" w:cs="Times New Roman"/>
                <w:noProof/>
                <w:sz w:val="20"/>
                <w:szCs w:val="20"/>
              </w:rPr>
            </w:pPr>
            <w:r>
              <w:rPr>
                <w:rFonts w:ascii="Times New Roman" w:hAnsi="Times New Roman"/>
                <w:sz w:val="20"/>
              </w:rPr>
              <w:t>KS-GQ-23-017-EN-N</w:t>
            </w:r>
          </w:p>
        </w:tc>
      </w:tr>
    </w:tbl>
    <w:p w14:paraId="3096CDE5" w14:textId="77777777" w:rsidR="004323C0" w:rsidRPr="004323C0" w:rsidRDefault="004323C0" w:rsidP="004323C0">
      <w:pPr>
        <w:pStyle w:val="Heading1"/>
        <w:spacing w:line="240" w:lineRule="auto"/>
        <w:jc w:val="both"/>
        <w:rPr>
          <w:rFonts w:ascii="Times New Roman" w:hAnsi="Times New Roman" w:cs="Times New Roman"/>
          <w:noProof/>
          <w:color w:val="466DB4"/>
          <w:sz w:val="28"/>
          <w:szCs w:val="28"/>
        </w:rPr>
      </w:pPr>
      <w:bookmarkStart w:id="1" w:name="_TOC_250028"/>
      <w:bookmarkEnd w:id="1"/>
      <w:r>
        <w:rPr>
          <w:rFonts w:ascii="Times New Roman" w:hAnsi="Times New Roman"/>
          <w:color w:val="466DB4"/>
          <w:sz w:val="28"/>
        </w:rPr>
        <w:t>Priekšvārds</w:t>
      </w:r>
    </w:p>
    <w:p w14:paraId="2465890F" w14:textId="77777777" w:rsidR="004323C0" w:rsidRPr="004323C0" w:rsidRDefault="004323C0" w:rsidP="004323C0">
      <w:pPr>
        <w:pStyle w:val="BodyText"/>
        <w:jc w:val="both"/>
        <w:rPr>
          <w:rFonts w:ascii="Times New Roman" w:hAnsi="Times New Roman" w:cs="Times New Roman"/>
          <w:b/>
          <w:noProof/>
          <w:sz w:val="24"/>
          <w:szCs w:val="24"/>
        </w:rPr>
      </w:pPr>
    </w:p>
    <w:p w14:paraId="6647C72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Pieaugošā vērtību ķēžu organizēšana un sadrumstalotība pasaules mērogā ir viens no būtiskākajiem un grūtāk novērtējamajiem izaicinājumiem ekonomikas, uzņēmējdarbības un tirdzniecības statistikas jomā. Vērtību ķēdes ģeogrāfiskā un organizatoriskā nošķiršana notiek visās galvenajās preču un pakalpojumu ražošanas darbībās, tostarp tādos atbalsta pakalpojumos kā, piemēram, informācijas un komunikāciju tehnoloģijās (IKT), atbalsta biroja funkcijās, kā arī pētniecībā un attīstībā.</w:t>
      </w:r>
    </w:p>
    <w:p w14:paraId="6AAF568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Valstu statistikas institūtiem ir jāapstrādā arvien specializētākas un sarežģītākas uzņēmējdarbības saiknes ģeogrāfiski izkliedētās vērtību ķēdēs, kas var būt valsts, reģiona vai pasaules mērogā. Izpratne par globālo vērtību ķēžu (GVĶ) lomu ir ļoti noderīga, analizējot dažādus ražošanas procesa posmus, kas var būt izvietoti dažādās valstīs. Līdz ar to centieni novērtēt preču un pakalpojumu plūsmas šajās ķēdēs un aprēķināt pievienoto vērtību, kas jāpiešķir galaproduktam, ir daži no svarīgākajiem izaicinājumiem visām statistikas iestādēm.</w:t>
      </w:r>
    </w:p>
    <w:p w14:paraId="6396E6C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Šīs rokasgrāmatas mērķis ir palīdzēt statistikas ekspertiem apkopot GVĶ datus. Tajā ir sniegts pārskats par GVĶ statistiku saskaņā ar Regulu par Eiropas uzņēmējdarbības statistiku (“EUS regula”), definīcijām un datu nosūtīšanu, statistikas vienību izmantošanu, dažiem validācijas noteikumiem, datu izplatīšanu un pamatinformāciju par metadatiem un kvalitātes ziņojumu sniegšanu.</w:t>
      </w:r>
    </w:p>
    <w:p w14:paraId="2F1F946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Šo rokasgrāmatu ir izstrādājuši vairāki Eiropas Savienības Statistikas biroja (</w:t>
      </w:r>
      <w:r>
        <w:rPr>
          <w:rFonts w:ascii="Times New Roman" w:hAnsi="Times New Roman"/>
          <w:i/>
          <w:iCs/>
          <w:sz w:val="24"/>
        </w:rPr>
        <w:t>Eurostat</w:t>
      </w:r>
      <w:r>
        <w:rPr>
          <w:rFonts w:ascii="Times New Roman" w:hAnsi="Times New Roman"/>
          <w:sz w:val="24"/>
        </w:rPr>
        <w:t xml:space="preserve">) eksperti saziņā ar valstu ekspertiem. </w:t>
      </w:r>
      <w:r>
        <w:rPr>
          <w:rFonts w:ascii="Times New Roman" w:hAnsi="Times New Roman"/>
          <w:i/>
          <w:iCs/>
          <w:sz w:val="24"/>
        </w:rPr>
        <w:t>Eurostat</w:t>
      </w:r>
      <w:r>
        <w:rPr>
          <w:rFonts w:ascii="Times New Roman" w:hAnsi="Times New Roman"/>
          <w:sz w:val="24"/>
        </w:rPr>
        <w:t xml:space="preserve"> pateicas visiem dalībniekiem par sniegto ieguldījumu.</w:t>
      </w:r>
    </w:p>
    <w:p w14:paraId="698C9A17" w14:textId="77777777" w:rsidR="004323C0" w:rsidRPr="004323C0" w:rsidRDefault="004323C0" w:rsidP="004323C0">
      <w:pPr>
        <w:pStyle w:val="BodyText"/>
        <w:jc w:val="both"/>
        <w:rPr>
          <w:rFonts w:ascii="Times New Roman" w:hAnsi="Times New Roman" w:cs="Times New Roman"/>
          <w:noProof/>
          <w:sz w:val="24"/>
          <w:szCs w:val="24"/>
        </w:rPr>
      </w:pPr>
    </w:p>
    <w:p w14:paraId="5200556C" w14:textId="77777777" w:rsidR="004323C0" w:rsidRPr="004323C0" w:rsidRDefault="004323C0" w:rsidP="004323C0">
      <w:pPr>
        <w:pStyle w:val="BodyText"/>
        <w:jc w:val="both"/>
        <w:rPr>
          <w:rFonts w:ascii="Times New Roman" w:hAnsi="Times New Roman" w:cs="Times New Roman"/>
          <w:noProof/>
          <w:sz w:val="24"/>
          <w:szCs w:val="24"/>
        </w:rPr>
      </w:pPr>
    </w:p>
    <w:p w14:paraId="028724A9" w14:textId="76AB3B61" w:rsidR="008128E0" w:rsidRPr="00F77211" w:rsidRDefault="004323C0" w:rsidP="004323C0">
      <w:pPr>
        <w:pStyle w:val="BodyText"/>
        <w:jc w:val="both"/>
        <w:rPr>
          <w:rFonts w:ascii="Times New Roman" w:hAnsi="Times New Roman"/>
          <w:sz w:val="24"/>
        </w:rPr>
      </w:pPr>
      <w:r>
        <w:rPr>
          <w:rFonts w:ascii="Times New Roman" w:hAnsi="Times New Roman"/>
          <w:sz w:val="24"/>
        </w:rPr>
        <w:t>Irēne Madsena [</w:t>
      </w:r>
      <w:r>
        <w:rPr>
          <w:rFonts w:ascii="Times New Roman" w:hAnsi="Times New Roman"/>
          <w:i/>
          <w:iCs/>
          <w:sz w:val="24"/>
        </w:rPr>
        <w:t>Irene Madsen</w:t>
      </w:r>
      <w:r>
        <w:rPr>
          <w:rFonts w:ascii="Times New Roman" w:hAnsi="Times New Roman"/>
          <w:sz w:val="24"/>
        </w:rPr>
        <w:t>]</w:t>
      </w:r>
    </w:p>
    <w:p w14:paraId="5082863D"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G6 nodaļas vadītāja, pakalpojumu tirdzniecība; globalizācija</w:t>
      </w:r>
    </w:p>
    <w:p w14:paraId="3A64A18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i/>
          <w:iCs/>
          <w:sz w:val="24"/>
        </w:rPr>
        <w:t>Eurostat</w:t>
      </w:r>
    </w:p>
    <w:p w14:paraId="4194DFC7" w14:textId="77777777" w:rsidR="004323C0" w:rsidRPr="004323C0" w:rsidRDefault="004323C0" w:rsidP="004323C0">
      <w:pPr>
        <w:rPr>
          <w:rFonts w:ascii="Times New Roman" w:hAnsi="Times New Roman" w:cs="Times New Roman"/>
          <w:noProof/>
          <w:sz w:val="24"/>
          <w:szCs w:val="24"/>
        </w:rPr>
      </w:pPr>
      <w:r>
        <w:br w:type="page"/>
      </w:r>
    </w:p>
    <w:p w14:paraId="16C8BB37" w14:textId="77777777" w:rsidR="004323C0" w:rsidRDefault="004323C0" w:rsidP="004323C0">
      <w:pPr>
        <w:pStyle w:val="Heading1"/>
        <w:spacing w:line="240" w:lineRule="auto"/>
        <w:jc w:val="both"/>
        <w:rPr>
          <w:rFonts w:ascii="Times New Roman" w:hAnsi="Times New Roman"/>
          <w:color w:val="466DB4"/>
          <w:sz w:val="28"/>
        </w:rPr>
      </w:pPr>
      <w:bookmarkStart w:id="2" w:name="_TOC_250027"/>
      <w:r>
        <w:rPr>
          <w:rFonts w:ascii="Times New Roman" w:hAnsi="Times New Roman"/>
          <w:color w:val="466DB4"/>
          <w:sz w:val="28"/>
        </w:rPr>
        <w:t>Satura</w:t>
      </w:r>
      <w:bookmarkEnd w:id="2"/>
      <w:r>
        <w:rPr>
          <w:rFonts w:ascii="Times New Roman" w:hAnsi="Times New Roman"/>
          <w:color w:val="466DB4"/>
          <w:sz w:val="28"/>
        </w:rPr>
        <w:t xml:space="preserve"> rādītājs</w:t>
      </w:r>
    </w:p>
    <w:p w14:paraId="6A4D8A5A" w14:textId="77777777" w:rsidR="0035217B" w:rsidRPr="004323C0" w:rsidRDefault="0035217B" w:rsidP="004323C0">
      <w:pPr>
        <w:pStyle w:val="Heading1"/>
        <w:spacing w:line="240" w:lineRule="auto"/>
        <w:jc w:val="both"/>
        <w:rPr>
          <w:rFonts w:ascii="Times New Roman" w:hAnsi="Times New Roman" w:cs="Times New Roman"/>
          <w:noProof/>
          <w:color w:val="466DB4"/>
          <w:sz w:val="28"/>
          <w:szCs w:val="28"/>
        </w:rPr>
      </w:pPr>
    </w:p>
    <w:p w14:paraId="68FDF808" w14:textId="134E4A6C" w:rsidR="0035217B" w:rsidRPr="00A159C0" w:rsidRDefault="0035217B" w:rsidP="0035217B">
      <w:pPr>
        <w:pStyle w:val="Heading1"/>
        <w:tabs>
          <w:tab w:val="left" w:leader="dot" w:pos="8789"/>
        </w:tabs>
        <w:spacing w:line="240" w:lineRule="auto"/>
        <w:jc w:val="both"/>
        <w:rPr>
          <w:rFonts w:ascii="Times New Roman" w:hAnsi="Times New Roman" w:cs="Times New Roman"/>
          <w:noProof/>
          <w:sz w:val="24"/>
          <w:szCs w:val="24"/>
        </w:rPr>
      </w:pPr>
      <w:r w:rsidRPr="00A159C0">
        <w:rPr>
          <w:rFonts w:ascii="Times New Roman" w:hAnsi="Times New Roman" w:cs="Times New Roman"/>
          <w:sz w:val="24"/>
          <w:szCs w:val="24"/>
        </w:rPr>
        <w:t>Priekšvārds</w:t>
      </w:r>
      <w:r>
        <w:rPr>
          <w:rFonts w:ascii="Times New Roman" w:hAnsi="Times New Roman" w:cs="Times New Roman"/>
          <w:sz w:val="24"/>
          <w:szCs w:val="24"/>
        </w:rPr>
        <w:tab/>
      </w:r>
      <w:r w:rsidR="00DA1D6D">
        <w:rPr>
          <w:rFonts w:ascii="Times New Roman" w:hAnsi="Times New Roman" w:cs="Times New Roman"/>
          <w:sz w:val="24"/>
          <w:szCs w:val="24"/>
        </w:rPr>
        <w:t>4</w:t>
      </w:r>
    </w:p>
    <w:p w14:paraId="722131EE" w14:textId="6A8B5D6E" w:rsidR="0035217B" w:rsidRPr="00A159C0" w:rsidRDefault="0035217B" w:rsidP="0035217B">
      <w:pPr>
        <w:pStyle w:val="Heading1"/>
        <w:tabs>
          <w:tab w:val="left" w:leader="dot" w:pos="8789"/>
        </w:tabs>
        <w:spacing w:line="240" w:lineRule="auto"/>
        <w:jc w:val="both"/>
        <w:rPr>
          <w:rFonts w:ascii="Times New Roman" w:hAnsi="Times New Roman" w:cs="Times New Roman"/>
          <w:noProof/>
          <w:sz w:val="24"/>
          <w:szCs w:val="24"/>
        </w:rPr>
      </w:pPr>
      <w:r w:rsidRPr="00A159C0">
        <w:rPr>
          <w:rFonts w:ascii="Times New Roman" w:hAnsi="Times New Roman" w:cs="Times New Roman"/>
          <w:sz w:val="24"/>
          <w:szCs w:val="24"/>
        </w:rPr>
        <w:t>Satura rādītājs</w:t>
      </w:r>
      <w:r>
        <w:rPr>
          <w:rFonts w:ascii="Times New Roman" w:hAnsi="Times New Roman" w:cs="Times New Roman"/>
          <w:sz w:val="24"/>
          <w:szCs w:val="24"/>
        </w:rPr>
        <w:tab/>
      </w:r>
      <w:r w:rsidR="00DA1D6D">
        <w:rPr>
          <w:rFonts w:ascii="Times New Roman" w:hAnsi="Times New Roman" w:cs="Times New Roman"/>
          <w:sz w:val="24"/>
          <w:szCs w:val="24"/>
        </w:rPr>
        <w:t>5</w:t>
      </w:r>
    </w:p>
    <w:p w14:paraId="7E856E4B" w14:textId="77777777" w:rsidR="0035217B" w:rsidRPr="00433208" w:rsidRDefault="0035217B" w:rsidP="0035217B">
      <w:pPr>
        <w:pStyle w:val="Heading1"/>
        <w:spacing w:line="240" w:lineRule="auto"/>
        <w:jc w:val="both"/>
        <w:rPr>
          <w:rFonts w:ascii="Times New Roman" w:hAnsi="Times New Roman" w:cs="Times New Roman"/>
          <w:b w:val="0"/>
          <w:bCs w:val="0"/>
          <w:noProof/>
          <w:sz w:val="24"/>
          <w:szCs w:val="24"/>
        </w:rPr>
      </w:pPr>
    </w:p>
    <w:p w14:paraId="5FE536BE" w14:textId="77777777" w:rsidR="0035217B" w:rsidRPr="00036DD9" w:rsidRDefault="0035217B" w:rsidP="0035217B">
      <w:pPr>
        <w:pStyle w:val="Heading1"/>
        <w:tabs>
          <w:tab w:val="left" w:leader="dot" w:pos="8789"/>
        </w:tabs>
        <w:spacing w:line="240" w:lineRule="auto"/>
        <w:jc w:val="both"/>
        <w:rPr>
          <w:rFonts w:ascii="Times New Roman" w:hAnsi="Times New Roman" w:cs="Times New Roman"/>
          <w:noProof/>
          <w:sz w:val="24"/>
          <w:szCs w:val="24"/>
        </w:rPr>
      </w:pPr>
      <w:r w:rsidRPr="00036DD9">
        <w:rPr>
          <w:rFonts w:ascii="Times New Roman" w:hAnsi="Times New Roman" w:cs="Times New Roman"/>
          <w:sz w:val="24"/>
          <w:szCs w:val="24"/>
        </w:rPr>
        <w:t>1. Ievads</w:t>
      </w:r>
      <w:r w:rsidRPr="00036DD9">
        <w:rPr>
          <w:rFonts w:ascii="Times New Roman" w:hAnsi="Times New Roman" w:cs="Times New Roman"/>
          <w:sz w:val="24"/>
          <w:szCs w:val="24"/>
        </w:rPr>
        <w:tab/>
      </w:r>
      <w:r>
        <w:rPr>
          <w:rFonts w:ascii="Times New Roman" w:hAnsi="Times New Roman" w:cs="Times New Roman"/>
          <w:sz w:val="24"/>
          <w:szCs w:val="24"/>
        </w:rPr>
        <w:t>6</w:t>
      </w:r>
    </w:p>
    <w:p w14:paraId="77720ED5"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Ievads</w:t>
      </w:r>
      <w:r>
        <w:rPr>
          <w:rFonts w:ascii="Times New Roman" w:hAnsi="Times New Roman" w:cs="Times New Roman"/>
          <w:sz w:val="24"/>
          <w:szCs w:val="24"/>
        </w:rPr>
        <w:tab/>
        <w:t>6</w:t>
      </w:r>
    </w:p>
    <w:p w14:paraId="6DAFEC39"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Globālo vērtību ķēžu statistika Eiropā</w:t>
      </w:r>
      <w:r>
        <w:rPr>
          <w:rFonts w:ascii="Times New Roman" w:hAnsi="Times New Roman" w:cs="Times New Roman"/>
          <w:sz w:val="24"/>
          <w:szCs w:val="24"/>
        </w:rPr>
        <w:tab/>
        <w:t>6</w:t>
      </w:r>
    </w:p>
    <w:p w14:paraId="110647D0" w14:textId="77777777" w:rsidR="0035217B"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Saites</w:t>
      </w:r>
      <w:r>
        <w:rPr>
          <w:rFonts w:ascii="Times New Roman" w:hAnsi="Times New Roman" w:cs="Times New Roman"/>
          <w:sz w:val="24"/>
          <w:szCs w:val="24"/>
        </w:rPr>
        <w:tab/>
        <w:t>8</w:t>
      </w:r>
    </w:p>
    <w:p w14:paraId="38FDA8D7" w14:textId="77777777" w:rsidR="0035217B" w:rsidRPr="00433208" w:rsidRDefault="0035217B" w:rsidP="0035217B">
      <w:pPr>
        <w:rPr>
          <w:rFonts w:ascii="Times New Roman" w:hAnsi="Times New Roman" w:cs="Times New Roman"/>
          <w:sz w:val="24"/>
          <w:szCs w:val="24"/>
        </w:rPr>
      </w:pPr>
    </w:p>
    <w:p w14:paraId="7643155F" w14:textId="77777777" w:rsidR="0035217B" w:rsidRPr="008B0B86" w:rsidRDefault="0035217B" w:rsidP="0035217B">
      <w:pPr>
        <w:tabs>
          <w:tab w:val="left" w:leader="dot" w:pos="8789"/>
        </w:tabs>
        <w:rPr>
          <w:rFonts w:ascii="Times New Roman" w:hAnsi="Times New Roman" w:cs="Times New Roman"/>
          <w:sz w:val="24"/>
          <w:szCs w:val="24"/>
        </w:rPr>
      </w:pPr>
      <w:r w:rsidRPr="00A159C0">
        <w:rPr>
          <w:rFonts w:ascii="Times New Roman" w:hAnsi="Times New Roman" w:cs="Times New Roman"/>
          <w:b/>
          <w:bCs/>
          <w:sz w:val="24"/>
          <w:szCs w:val="24"/>
        </w:rPr>
        <w:t>2. Definīcijas</w:t>
      </w:r>
      <w:r w:rsidRPr="008B0B86">
        <w:rPr>
          <w:rFonts w:ascii="Times New Roman" w:hAnsi="Times New Roman" w:cs="Times New Roman"/>
          <w:b/>
          <w:bCs/>
          <w:sz w:val="24"/>
          <w:szCs w:val="24"/>
        </w:rPr>
        <w:tab/>
      </w:r>
      <w:r>
        <w:rPr>
          <w:rFonts w:ascii="Times New Roman" w:hAnsi="Times New Roman" w:cs="Times New Roman"/>
          <w:b/>
          <w:bCs/>
          <w:sz w:val="24"/>
          <w:szCs w:val="24"/>
        </w:rPr>
        <w:t>9</w:t>
      </w:r>
    </w:p>
    <w:p w14:paraId="0697D27B"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Ievads</w:t>
      </w:r>
      <w:r>
        <w:rPr>
          <w:rFonts w:ascii="Times New Roman" w:hAnsi="Times New Roman" w:cs="Times New Roman"/>
          <w:sz w:val="24"/>
          <w:szCs w:val="24"/>
        </w:rPr>
        <w:tab/>
        <w:t>9</w:t>
      </w:r>
    </w:p>
    <w:p w14:paraId="09725AA1"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Konceptu un mainīgo lielumu definīcijas</w:t>
      </w:r>
      <w:r>
        <w:rPr>
          <w:rFonts w:ascii="Times New Roman" w:hAnsi="Times New Roman" w:cs="Times New Roman"/>
          <w:sz w:val="24"/>
          <w:szCs w:val="24"/>
        </w:rPr>
        <w:tab/>
        <w:t>9</w:t>
      </w:r>
    </w:p>
    <w:p w14:paraId="030B90D5"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Galvenās datu kategorijas</w:t>
      </w:r>
      <w:r>
        <w:rPr>
          <w:rFonts w:ascii="Times New Roman" w:hAnsi="Times New Roman" w:cs="Times New Roman"/>
          <w:sz w:val="24"/>
          <w:szCs w:val="24"/>
        </w:rPr>
        <w:tab/>
        <w:t>29</w:t>
      </w:r>
    </w:p>
    <w:p w14:paraId="6DBFF3A6"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Pārskata posms</w:t>
      </w:r>
      <w:r>
        <w:rPr>
          <w:rFonts w:ascii="Times New Roman" w:hAnsi="Times New Roman" w:cs="Times New Roman"/>
          <w:sz w:val="24"/>
          <w:szCs w:val="24"/>
        </w:rPr>
        <w:tab/>
        <w:t>30</w:t>
      </w:r>
    </w:p>
    <w:p w14:paraId="77F310F4" w14:textId="4B9CA42D" w:rsidR="0035217B"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Saites</w:t>
      </w:r>
      <w:r>
        <w:rPr>
          <w:rFonts w:ascii="Times New Roman" w:hAnsi="Times New Roman" w:cs="Times New Roman"/>
          <w:sz w:val="24"/>
          <w:szCs w:val="24"/>
        </w:rPr>
        <w:tab/>
        <w:t>3</w:t>
      </w:r>
      <w:r w:rsidR="00C97970">
        <w:rPr>
          <w:rFonts w:ascii="Times New Roman" w:hAnsi="Times New Roman" w:cs="Times New Roman"/>
          <w:sz w:val="24"/>
          <w:szCs w:val="24"/>
        </w:rPr>
        <w:t>0</w:t>
      </w:r>
    </w:p>
    <w:p w14:paraId="42DE55E7" w14:textId="77777777" w:rsidR="0035217B" w:rsidRPr="00433208" w:rsidRDefault="0035217B" w:rsidP="0035217B">
      <w:pPr>
        <w:rPr>
          <w:rFonts w:ascii="Times New Roman" w:hAnsi="Times New Roman" w:cs="Times New Roman"/>
          <w:sz w:val="24"/>
          <w:szCs w:val="24"/>
        </w:rPr>
      </w:pPr>
    </w:p>
    <w:p w14:paraId="66926318" w14:textId="77777777" w:rsidR="0035217B" w:rsidRPr="00F27483" w:rsidRDefault="0035217B" w:rsidP="0035217B">
      <w:pPr>
        <w:tabs>
          <w:tab w:val="left" w:leader="dot" w:pos="8789"/>
        </w:tabs>
        <w:rPr>
          <w:rFonts w:ascii="Times New Roman" w:hAnsi="Times New Roman" w:cs="Times New Roman"/>
          <w:sz w:val="24"/>
          <w:szCs w:val="24"/>
        </w:rPr>
      </w:pPr>
      <w:r w:rsidRPr="00A159C0">
        <w:rPr>
          <w:rFonts w:ascii="Times New Roman" w:hAnsi="Times New Roman" w:cs="Times New Roman"/>
          <w:b/>
          <w:bCs/>
          <w:sz w:val="24"/>
          <w:szCs w:val="24"/>
        </w:rPr>
        <w:t>3. Statistikas vienību izmantošana</w:t>
      </w:r>
      <w:r w:rsidRPr="00F27483">
        <w:rPr>
          <w:rFonts w:ascii="Times New Roman" w:hAnsi="Times New Roman" w:cs="Times New Roman"/>
          <w:b/>
          <w:bCs/>
          <w:sz w:val="24"/>
          <w:szCs w:val="24"/>
        </w:rPr>
        <w:tab/>
      </w:r>
      <w:r>
        <w:rPr>
          <w:rFonts w:ascii="Times New Roman" w:hAnsi="Times New Roman" w:cs="Times New Roman"/>
          <w:b/>
          <w:bCs/>
          <w:sz w:val="24"/>
          <w:szCs w:val="24"/>
        </w:rPr>
        <w:t>32</w:t>
      </w:r>
    </w:p>
    <w:p w14:paraId="18F08A4E"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Ievads</w:t>
      </w:r>
      <w:r>
        <w:rPr>
          <w:rFonts w:ascii="Times New Roman" w:hAnsi="Times New Roman" w:cs="Times New Roman"/>
          <w:sz w:val="24"/>
          <w:szCs w:val="24"/>
        </w:rPr>
        <w:tab/>
        <w:t>32</w:t>
      </w:r>
    </w:p>
    <w:p w14:paraId="5EF68C1B"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Tās juridiskās vienības izvēle, kas sniegs datus</w:t>
      </w:r>
      <w:r>
        <w:rPr>
          <w:rFonts w:ascii="Times New Roman" w:hAnsi="Times New Roman" w:cs="Times New Roman"/>
          <w:sz w:val="24"/>
          <w:szCs w:val="24"/>
        </w:rPr>
        <w:tab/>
        <w:t>32</w:t>
      </w:r>
    </w:p>
    <w:p w14:paraId="3369C35F" w14:textId="7777777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Pieeja statistikas vienības uzņēmuma īstenošanai</w:t>
      </w:r>
      <w:r>
        <w:rPr>
          <w:rFonts w:ascii="Times New Roman" w:hAnsi="Times New Roman" w:cs="Times New Roman"/>
          <w:sz w:val="24"/>
          <w:szCs w:val="24"/>
        </w:rPr>
        <w:tab/>
        <w:t>33</w:t>
      </w:r>
    </w:p>
    <w:p w14:paraId="7B78EC00" w14:textId="5FC5A3EC"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Ieteikums</w:t>
      </w:r>
      <w:r>
        <w:rPr>
          <w:rFonts w:ascii="Times New Roman" w:hAnsi="Times New Roman" w:cs="Times New Roman"/>
          <w:sz w:val="24"/>
          <w:szCs w:val="24"/>
        </w:rPr>
        <w:tab/>
        <w:t>3</w:t>
      </w:r>
      <w:r w:rsidR="00A43BA1">
        <w:rPr>
          <w:rFonts w:ascii="Times New Roman" w:hAnsi="Times New Roman" w:cs="Times New Roman"/>
          <w:sz w:val="24"/>
          <w:szCs w:val="24"/>
        </w:rPr>
        <w:t>4</w:t>
      </w:r>
    </w:p>
    <w:p w14:paraId="6902A9B1" w14:textId="60068486" w:rsidR="0035217B"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Saites</w:t>
      </w:r>
      <w:r>
        <w:rPr>
          <w:rFonts w:ascii="Times New Roman" w:hAnsi="Times New Roman" w:cs="Times New Roman"/>
          <w:sz w:val="24"/>
          <w:szCs w:val="24"/>
        </w:rPr>
        <w:tab/>
        <w:t>3</w:t>
      </w:r>
      <w:r w:rsidR="00A43BA1">
        <w:rPr>
          <w:rFonts w:ascii="Times New Roman" w:hAnsi="Times New Roman" w:cs="Times New Roman"/>
          <w:sz w:val="24"/>
          <w:szCs w:val="24"/>
        </w:rPr>
        <w:t>7</w:t>
      </w:r>
    </w:p>
    <w:p w14:paraId="2634E882" w14:textId="77777777" w:rsidR="0035217B" w:rsidRPr="00433208" w:rsidRDefault="0035217B" w:rsidP="0035217B">
      <w:pPr>
        <w:rPr>
          <w:rFonts w:ascii="Times New Roman" w:hAnsi="Times New Roman" w:cs="Times New Roman"/>
          <w:sz w:val="24"/>
          <w:szCs w:val="24"/>
        </w:rPr>
      </w:pPr>
    </w:p>
    <w:p w14:paraId="56C88AB5" w14:textId="10BF0D95" w:rsidR="0035217B" w:rsidRPr="00125C23" w:rsidRDefault="0035217B" w:rsidP="0035217B">
      <w:pPr>
        <w:tabs>
          <w:tab w:val="left" w:leader="dot" w:pos="8789"/>
        </w:tabs>
        <w:rPr>
          <w:rFonts w:ascii="Times New Roman" w:hAnsi="Times New Roman" w:cs="Times New Roman"/>
          <w:sz w:val="24"/>
          <w:szCs w:val="24"/>
        </w:rPr>
      </w:pPr>
      <w:r w:rsidRPr="00A159C0">
        <w:rPr>
          <w:rFonts w:ascii="Times New Roman" w:hAnsi="Times New Roman" w:cs="Times New Roman"/>
          <w:b/>
          <w:bCs/>
          <w:sz w:val="24"/>
          <w:szCs w:val="24"/>
        </w:rPr>
        <w:t>4. Datu nosūtīšana un validācija</w:t>
      </w:r>
      <w:r w:rsidRPr="00125C23">
        <w:rPr>
          <w:rFonts w:ascii="Times New Roman" w:hAnsi="Times New Roman" w:cs="Times New Roman"/>
          <w:b/>
          <w:bCs/>
          <w:sz w:val="24"/>
          <w:szCs w:val="24"/>
        </w:rPr>
        <w:tab/>
      </w:r>
      <w:r w:rsidR="0007768E">
        <w:rPr>
          <w:rFonts w:ascii="Times New Roman" w:hAnsi="Times New Roman" w:cs="Times New Roman"/>
          <w:b/>
          <w:bCs/>
          <w:sz w:val="24"/>
          <w:szCs w:val="24"/>
        </w:rPr>
        <w:t>39</w:t>
      </w:r>
    </w:p>
    <w:p w14:paraId="667E2688" w14:textId="03F8A054"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Ievads</w:t>
      </w:r>
      <w:r>
        <w:rPr>
          <w:rFonts w:ascii="Times New Roman" w:hAnsi="Times New Roman" w:cs="Times New Roman"/>
          <w:sz w:val="24"/>
          <w:szCs w:val="24"/>
        </w:rPr>
        <w:tab/>
      </w:r>
      <w:r w:rsidR="0007768E">
        <w:rPr>
          <w:rFonts w:ascii="Times New Roman" w:hAnsi="Times New Roman" w:cs="Times New Roman"/>
          <w:sz w:val="24"/>
          <w:szCs w:val="24"/>
        </w:rPr>
        <w:t>39</w:t>
      </w:r>
    </w:p>
    <w:p w14:paraId="10991503" w14:textId="030B8195"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Funkcijas un pienākumi</w:t>
      </w:r>
      <w:r>
        <w:rPr>
          <w:rFonts w:ascii="Times New Roman" w:hAnsi="Times New Roman" w:cs="Times New Roman"/>
          <w:sz w:val="24"/>
          <w:szCs w:val="24"/>
        </w:rPr>
        <w:tab/>
      </w:r>
      <w:r w:rsidR="0007768E">
        <w:rPr>
          <w:rFonts w:ascii="Times New Roman" w:hAnsi="Times New Roman" w:cs="Times New Roman"/>
          <w:sz w:val="24"/>
          <w:szCs w:val="24"/>
        </w:rPr>
        <w:t>39</w:t>
      </w:r>
    </w:p>
    <w:p w14:paraId="5BC7D341" w14:textId="6BFE2A8B"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Datu nosūtīšana</w:t>
      </w:r>
      <w:r>
        <w:rPr>
          <w:rFonts w:ascii="Times New Roman" w:hAnsi="Times New Roman" w:cs="Times New Roman"/>
          <w:sz w:val="24"/>
          <w:szCs w:val="24"/>
        </w:rPr>
        <w:tab/>
      </w:r>
      <w:r w:rsidR="0007768E">
        <w:rPr>
          <w:rFonts w:ascii="Times New Roman" w:hAnsi="Times New Roman" w:cs="Times New Roman"/>
          <w:sz w:val="24"/>
          <w:szCs w:val="24"/>
        </w:rPr>
        <w:t>39</w:t>
      </w:r>
    </w:p>
    <w:p w14:paraId="1C00432D" w14:textId="3FEB14AD" w:rsidR="0035217B"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Datu datņu validācija</w:t>
      </w:r>
      <w:r>
        <w:rPr>
          <w:rFonts w:ascii="Times New Roman" w:hAnsi="Times New Roman" w:cs="Times New Roman"/>
          <w:sz w:val="24"/>
          <w:szCs w:val="24"/>
        </w:rPr>
        <w:tab/>
        <w:t>4</w:t>
      </w:r>
      <w:r w:rsidR="0007768E">
        <w:rPr>
          <w:rFonts w:ascii="Times New Roman" w:hAnsi="Times New Roman" w:cs="Times New Roman"/>
          <w:sz w:val="24"/>
          <w:szCs w:val="24"/>
        </w:rPr>
        <w:t>0</w:t>
      </w:r>
    </w:p>
    <w:p w14:paraId="511DD1AA" w14:textId="77777777" w:rsidR="0035217B" w:rsidRPr="00433208" w:rsidRDefault="0035217B" w:rsidP="0035217B">
      <w:pPr>
        <w:rPr>
          <w:rFonts w:ascii="Times New Roman" w:hAnsi="Times New Roman" w:cs="Times New Roman"/>
          <w:sz w:val="24"/>
          <w:szCs w:val="24"/>
        </w:rPr>
      </w:pPr>
    </w:p>
    <w:p w14:paraId="00014911" w14:textId="6281F8E9" w:rsidR="0035217B" w:rsidRPr="00125C23" w:rsidRDefault="0035217B" w:rsidP="0035217B">
      <w:pPr>
        <w:tabs>
          <w:tab w:val="left" w:leader="dot" w:pos="8789"/>
        </w:tabs>
        <w:rPr>
          <w:rFonts w:ascii="Times New Roman" w:hAnsi="Times New Roman" w:cs="Times New Roman"/>
          <w:sz w:val="24"/>
          <w:szCs w:val="24"/>
        </w:rPr>
      </w:pPr>
      <w:r w:rsidRPr="00A159C0">
        <w:rPr>
          <w:rFonts w:ascii="Times New Roman" w:hAnsi="Times New Roman" w:cs="Times New Roman"/>
          <w:b/>
          <w:bCs/>
          <w:sz w:val="24"/>
          <w:szCs w:val="24"/>
        </w:rPr>
        <w:t>5. Izplatīšana</w:t>
      </w:r>
      <w:r w:rsidRPr="00125C23">
        <w:rPr>
          <w:rFonts w:ascii="Times New Roman" w:hAnsi="Times New Roman" w:cs="Times New Roman"/>
          <w:b/>
          <w:bCs/>
          <w:sz w:val="24"/>
          <w:szCs w:val="24"/>
        </w:rPr>
        <w:tab/>
      </w:r>
      <w:r>
        <w:rPr>
          <w:rFonts w:ascii="Times New Roman" w:hAnsi="Times New Roman" w:cs="Times New Roman"/>
          <w:b/>
          <w:bCs/>
          <w:sz w:val="24"/>
          <w:szCs w:val="24"/>
        </w:rPr>
        <w:t>4</w:t>
      </w:r>
      <w:r w:rsidR="0007768E">
        <w:rPr>
          <w:rFonts w:ascii="Times New Roman" w:hAnsi="Times New Roman" w:cs="Times New Roman"/>
          <w:b/>
          <w:bCs/>
          <w:sz w:val="24"/>
          <w:szCs w:val="24"/>
        </w:rPr>
        <w:t>2</w:t>
      </w:r>
    </w:p>
    <w:p w14:paraId="4C5CD0A4" w14:textId="68F718B9"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Ievads</w:t>
      </w:r>
      <w:r>
        <w:rPr>
          <w:rFonts w:ascii="Times New Roman" w:hAnsi="Times New Roman" w:cs="Times New Roman"/>
          <w:sz w:val="24"/>
          <w:szCs w:val="24"/>
        </w:rPr>
        <w:tab/>
        <w:t>4</w:t>
      </w:r>
      <w:r w:rsidR="0007768E">
        <w:rPr>
          <w:rFonts w:ascii="Times New Roman" w:hAnsi="Times New Roman" w:cs="Times New Roman"/>
          <w:sz w:val="24"/>
          <w:szCs w:val="24"/>
        </w:rPr>
        <w:t>2</w:t>
      </w:r>
    </w:p>
    <w:p w14:paraId="1FBCF7A7" w14:textId="3F9F62C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GVĶ datu izplatīšanas kanāli</w:t>
      </w:r>
      <w:r>
        <w:rPr>
          <w:rFonts w:ascii="Times New Roman" w:hAnsi="Times New Roman" w:cs="Times New Roman"/>
          <w:sz w:val="24"/>
          <w:szCs w:val="24"/>
        </w:rPr>
        <w:tab/>
        <w:t>4</w:t>
      </w:r>
      <w:r w:rsidR="0007768E">
        <w:rPr>
          <w:rFonts w:ascii="Times New Roman" w:hAnsi="Times New Roman" w:cs="Times New Roman"/>
          <w:sz w:val="24"/>
          <w:szCs w:val="24"/>
        </w:rPr>
        <w:t>2</w:t>
      </w:r>
    </w:p>
    <w:p w14:paraId="2F757B5D" w14:textId="0DA3AC00" w:rsidR="0035217B"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Saites</w:t>
      </w:r>
      <w:r>
        <w:rPr>
          <w:rFonts w:ascii="Times New Roman" w:hAnsi="Times New Roman" w:cs="Times New Roman"/>
          <w:sz w:val="24"/>
          <w:szCs w:val="24"/>
        </w:rPr>
        <w:tab/>
        <w:t>4</w:t>
      </w:r>
      <w:r w:rsidR="0007768E">
        <w:rPr>
          <w:rFonts w:ascii="Times New Roman" w:hAnsi="Times New Roman" w:cs="Times New Roman"/>
          <w:sz w:val="24"/>
          <w:szCs w:val="24"/>
        </w:rPr>
        <w:t>3</w:t>
      </w:r>
    </w:p>
    <w:p w14:paraId="490A7361" w14:textId="77777777" w:rsidR="0035217B" w:rsidRPr="00433208" w:rsidRDefault="0035217B" w:rsidP="0035217B">
      <w:pPr>
        <w:rPr>
          <w:rFonts w:ascii="Times New Roman" w:hAnsi="Times New Roman" w:cs="Times New Roman"/>
          <w:sz w:val="24"/>
          <w:szCs w:val="24"/>
        </w:rPr>
      </w:pPr>
    </w:p>
    <w:p w14:paraId="30F92CDA" w14:textId="30C94D1F" w:rsidR="0035217B" w:rsidRPr="00125C23" w:rsidRDefault="0035217B" w:rsidP="0035217B">
      <w:pPr>
        <w:tabs>
          <w:tab w:val="left" w:leader="dot" w:pos="8789"/>
        </w:tabs>
        <w:rPr>
          <w:rFonts w:ascii="Times New Roman" w:hAnsi="Times New Roman" w:cs="Times New Roman"/>
          <w:sz w:val="24"/>
          <w:szCs w:val="24"/>
        </w:rPr>
      </w:pPr>
      <w:r w:rsidRPr="00A159C0">
        <w:rPr>
          <w:rFonts w:ascii="Times New Roman" w:hAnsi="Times New Roman" w:cs="Times New Roman"/>
          <w:b/>
          <w:bCs/>
          <w:sz w:val="24"/>
          <w:szCs w:val="24"/>
        </w:rPr>
        <w:t>6. Metadatu un kvalitātes ziņojuma nosūtīšana</w:t>
      </w:r>
      <w:r w:rsidRPr="00125C23">
        <w:rPr>
          <w:rFonts w:ascii="Times New Roman" w:hAnsi="Times New Roman" w:cs="Times New Roman"/>
          <w:b/>
          <w:bCs/>
          <w:sz w:val="24"/>
          <w:szCs w:val="24"/>
        </w:rPr>
        <w:tab/>
      </w:r>
      <w:r>
        <w:rPr>
          <w:rFonts w:ascii="Times New Roman" w:hAnsi="Times New Roman" w:cs="Times New Roman"/>
          <w:b/>
          <w:bCs/>
          <w:sz w:val="24"/>
          <w:szCs w:val="24"/>
        </w:rPr>
        <w:t>4</w:t>
      </w:r>
      <w:r w:rsidR="0007768E">
        <w:rPr>
          <w:rFonts w:ascii="Times New Roman" w:hAnsi="Times New Roman" w:cs="Times New Roman"/>
          <w:b/>
          <w:bCs/>
          <w:sz w:val="24"/>
          <w:szCs w:val="24"/>
        </w:rPr>
        <w:t>4</w:t>
      </w:r>
    </w:p>
    <w:p w14:paraId="623A6E27" w14:textId="68B928C7"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Ievads</w:t>
      </w:r>
      <w:r>
        <w:rPr>
          <w:rFonts w:ascii="Times New Roman" w:hAnsi="Times New Roman" w:cs="Times New Roman"/>
          <w:sz w:val="24"/>
          <w:szCs w:val="24"/>
        </w:rPr>
        <w:tab/>
        <w:t>4</w:t>
      </w:r>
      <w:r w:rsidR="0007768E">
        <w:rPr>
          <w:rFonts w:ascii="Times New Roman" w:hAnsi="Times New Roman" w:cs="Times New Roman"/>
          <w:sz w:val="24"/>
          <w:szCs w:val="24"/>
        </w:rPr>
        <w:t>4</w:t>
      </w:r>
    </w:p>
    <w:p w14:paraId="76A0A887" w14:textId="172D3E0C"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Valstu metadati GVĶ statistikai</w:t>
      </w:r>
      <w:r>
        <w:rPr>
          <w:rFonts w:ascii="Times New Roman" w:hAnsi="Times New Roman" w:cs="Times New Roman"/>
          <w:sz w:val="24"/>
          <w:szCs w:val="24"/>
        </w:rPr>
        <w:tab/>
        <w:t>4</w:t>
      </w:r>
      <w:r w:rsidR="0007768E">
        <w:rPr>
          <w:rFonts w:ascii="Times New Roman" w:hAnsi="Times New Roman" w:cs="Times New Roman"/>
          <w:sz w:val="24"/>
          <w:szCs w:val="24"/>
        </w:rPr>
        <w:t>4</w:t>
      </w:r>
    </w:p>
    <w:p w14:paraId="0C6E457F" w14:textId="725D0B7D"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Eurostat metadatu datne</w:t>
      </w:r>
      <w:r>
        <w:rPr>
          <w:rFonts w:ascii="Times New Roman" w:hAnsi="Times New Roman" w:cs="Times New Roman"/>
          <w:sz w:val="24"/>
          <w:szCs w:val="24"/>
        </w:rPr>
        <w:tab/>
        <w:t>4</w:t>
      </w:r>
      <w:r w:rsidR="0007768E">
        <w:rPr>
          <w:rFonts w:ascii="Times New Roman" w:hAnsi="Times New Roman" w:cs="Times New Roman"/>
          <w:sz w:val="24"/>
          <w:szCs w:val="24"/>
        </w:rPr>
        <w:t>4</w:t>
      </w:r>
    </w:p>
    <w:p w14:paraId="7D6CD5C0" w14:textId="5A2A26EB"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Kvalitātes ziņojuma nosūtīšana</w:t>
      </w:r>
      <w:r>
        <w:rPr>
          <w:rFonts w:ascii="Times New Roman" w:hAnsi="Times New Roman" w:cs="Times New Roman"/>
          <w:sz w:val="24"/>
          <w:szCs w:val="24"/>
        </w:rPr>
        <w:tab/>
        <w:t>4</w:t>
      </w:r>
      <w:r w:rsidR="0007768E">
        <w:rPr>
          <w:rFonts w:ascii="Times New Roman" w:hAnsi="Times New Roman" w:cs="Times New Roman"/>
          <w:sz w:val="24"/>
          <w:szCs w:val="24"/>
        </w:rPr>
        <w:t>4</w:t>
      </w:r>
    </w:p>
    <w:p w14:paraId="535124EE" w14:textId="65084051" w:rsidR="0035217B" w:rsidRPr="00433208" w:rsidRDefault="0035217B" w:rsidP="0035217B">
      <w:pPr>
        <w:tabs>
          <w:tab w:val="left" w:leader="dot" w:pos="8789"/>
        </w:tabs>
        <w:rPr>
          <w:rFonts w:ascii="Times New Roman" w:hAnsi="Times New Roman" w:cs="Times New Roman"/>
          <w:sz w:val="24"/>
          <w:szCs w:val="24"/>
        </w:rPr>
      </w:pPr>
      <w:r w:rsidRPr="00433208">
        <w:rPr>
          <w:rFonts w:ascii="Times New Roman" w:hAnsi="Times New Roman" w:cs="Times New Roman"/>
          <w:sz w:val="24"/>
          <w:szCs w:val="24"/>
        </w:rPr>
        <w:t>Saites</w:t>
      </w:r>
      <w:r>
        <w:rPr>
          <w:rFonts w:ascii="Times New Roman" w:hAnsi="Times New Roman" w:cs="Times New Roman"/>
          <w:sz w:val="24"/>
          <w:szCs w:val="24"/>
        </w:rPr>
        <w:tab/>
        <w:t>4</w:t>
      </w:r>
      <w:r w:rsidR="0007768E">
        <w:rPr>
          <w:rFonts w:ascii="Times New Roman" w:hAnsi="Times New Roman" w:cs="Times New Roman"/>
          <w:sz w:val="24"/>
          <w:szCs w:val="24"/>
        </w:rPr>
        <w:t>4</w:t>
      </w:r>
    </w:p>
    <w:p w14:paraId="2DC2F30A" w14:textId="77777777" w:rsidR="004323C0" w:rsidRPr="004323C0" w:rsidRDefault="004323C0" w:rsidP="004323C0">
      <w:pPr>
        <w:jc w:val="both"/>
        <w:rPr>
          <w:rFonts w:ascii="Times New Roman" w:hAnsi="Times New Roman" w:cs="Times New Roman"/>
          <w:noProof/>
          <w:sz w:val="24"/>
          <w:szCs w:val="24"/>
        </w:rPr>
      </w:pPr>
    </w:p>
    <w:p w14:paraId="2AF29A1B" w14:textId="77777777" w:rsidR="004323C0" w:rsidRPr="004323C0" w:rsidRDefault="004323C0" w:rsidP="004323C0">
      <w:pPr>
        <w:rPr>
          <w:rFonts w:ascii="Times New Roman" w:hAnsi="Times New Roman" w:cs="Times New Roman"/>
          <w:noProof/>
          <w:sz w:val="24"/>
          <w:szCs w:val="24"/>
        </w:rPr>
      </w:pPr>
      <w:r>
        <w:br w:type="page"/>
      </w:r>
    </w:p>
    <w:p w14:paraId="28B3B82C" w14:textId="77777777" w:rsidR="004323C0" w:rsidRPr="004323C0" w:rsidRDefault="004323C0" w:rsidP="004323C0">
      <w:pPr>
        <w:pStyle w:val="Heading2"/>
        <w:jc w:val="center"/>
      </w:pPr>
      <w:bookmarkStart w:id="3" w:name="_TOC_250026"/>
      <w:bookmarkEnd w:id="3"/>
      <w:r>
        <w:t>1. Ievads</w:t>
      </w:r>
    </w:p>
    <w:p w14:paraId="11AD44BB" w14:textId="77777777" w:rsidR="004323C0" w:rsidRPr="004323C0" w:rsidRDefault="004323C0" w:rsidP="004323C0">
      <w:pPr>
        <w:pStyle w:val="Heading2"/>
      </w:pPr>
    </w:p>
    <w:p w14:paraId="3F327E1E" w14:textId="77777777" w:rsidR="004323C0" w:rsidRPr="004323C0" w:rsidRDefault="004323C0" w:rsidP="004323C0">
      <w:pPr>
        <w:pStyle w:val="Heading2"/>
        <w:rPr>
          <w:color w:val="auto"/>
        </w:rPr>
      </w:pPr>
      <w:r>
        <w:rPr>
          <w:color w:val="auto"/>
        </w:rPr>
        <w:t>Ievads</w:t>
      </w:r>
    </w:p>
    <w:p w14:paraId="0F1D29FB" w14:textId="77777777" w:rsidR="004323C0" w:rsidRPr="004323C0" w:rsidRDefault="004323C0" w:rsidP="004323C0">
      <w:pPr>
        <w:pStyle w:val="BodyText"/>
        <w:jc w:val="both"/>
        <w:rPr>
          <w:rFonts w:ascii="Times New Roman" w:hAnsi="Times New Roman" w:cs="Times New Roman"/>
          <w:noProof/>
          <w:sz w:val="24"/>
          <w:szCs w:val="24"/>
        </w:rPr>
      </w:pPr>
    </w:p>
    <w:p w14:paraId="6CE036E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Šī rokasgrāmata ir praktisks atsauces dokuments visām tām valstu statistikas iestādēm (VSI), kas apkopo statistiku par globālajām vērtību ķēdēm (GVĶ). Tajā ir sniegtas nepieciešamās definīcijas, praktiski norādījumi, konsekvences pārbaudes metodes un izplatīšanas kanāli GVĶ datu sagatavošanai un nosūtīšanai </w:t>
      </w:r>
      <w:r>
        <w:rPr>
          <w:rFonts w:ascii="Times New Roman" w:hAnsi="Times New Roman"/>
          <w:i/>
          <w:iCs/>
          <w:sz w:val="24"/>
        </w:rPr>
        <w:t>Eurostat</w:t>
      </w:r>
      <w:r>
        <w:rPr>
          <w:rFonts w:ascii="Times New Roman" w:hAnsi="Times New Roman"/>
          <w:sz w:val="24"/>
        </w:rPr>
        <w:t>.</w:t>
      </w:r>
    </w:p>
    <w:p w14:paraId="70A843DD" w14:textId="77777777" w:rsidR="004323C0" w:rsidRPr="004323C0" w:rsidRDefault="004323C0" w:rsidP="004323C0">
      <w:pPr>
        <w:pStyle w:val="BodyText"/>
        <w:jc w:val="both"/>
        <w:rPr>
          <w:rFonts w:ascii="Times New Roman" w:hAnsi="Times New Roman" w:cs="Times New Roman"/>
          <w:noProof/>
          <w:sz w:val="24"/>
          <w:szCs w:val="24"/>
        </w:rPr>
      </w:pPr>
    </w:p>
    <w:p w14:paraId="02407BC9" w14:textId="77777777" w:rsidR="004323C0" w:rsidRPr="004323C0" w:rsidRDefault="004323C0" w:rsidP="004323C0">
      <w:pPr>
        <w:pStyle w:val="Heading2"/>
        <w:rPr>
          <w:color w:val="auto"/>
        </w:rPr>
      </w:pPr>
      <w:bookmarkStart w:id="4" w:name="_TOC_250025"/>
      <w:r>
        <w:rPr>
          <w:color w:val="auto"/>
        </w:rPr>
        <w:t>Globālo vērtību ķēžu statistika</w:t>
      </w:r>
      <w:bookmarkEnd w:id="4"/>
      <w:r>
        <w:rPr>
          <w:color w:val="auto"/>
        </w:rPr>
        <w:t xml:space="preserve"> Eiropā</w:t>
      </w:r>
    </w:p>
    <w:p w14:paraId="7ED9834A"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5" w:name="WHAT_HAS_EUROSTAT_DONE_SO_FAR_TO_ESTIMAT"/>
      <w:bookmarkEnd w:id="5"/>
    </w:p>
    <w:p w14:paraId="798EB3B4"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 xml:space="preserve">KO </w:t>
      </w:r>
      <w:r>
        <w:rPr>
          <w:rFonts w:ascii="Times New Roman" w:hAnsi="Times New Roman"/>
          <w:b/>
          <w:i/>
          <w:iCs/>
          <w:color w:val="466DB4"/>
          <w:sz w:val="24"/>
        </w:rPr>
        <w:t>EUROSTAT</w:t>
      </w:r>
      <w:r>
        <w:rPr>
          <w:rFonts w:ascii="Times New Roman" w:hAnsi="Times New Roman"/>
          <w:b/>
          <w:color w:val="466DB4"/>
          <w:sz w:val="24"/>
        </w:rPr>
        <w:t xml:space="preserve"> LĪDZ ŠIM IR PAVEICIS, LAI NOVĒRTĒTU GVĶ STATISTIKU?</w:t>
      </w:r>
    </w:p>
    <w:p w14:paraId="7291010A" w14:textId="77777777" w:rsidR="004323C0" w:rsidRPr="004323C0" w:rsidRDefault="004323C0" w:rsidP="004323C0">
      <w:pPr>
        <w:pStyle w:val="BodyText"/>
        <w:jc w:val="both"/>
        <w:rPr>
          <w:rFonts w:ascii="Times New Roman" w:hAnsi="Times New Roman" w:cs="Times New Roman"/>
          <w:noProof/>
          <w:sz w:val="24"/>
          <w:szCs w:val="24"/>
        </w:rPr>
      </w:pPr>
    </w:p>
    <w:p w14:paraId="3FE1D83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GVĶ ietver visu to pārrobežu darbību klāstu no koncepcijas līdz dažādiem ražošanas un piegādes posmiem, kas nepieciešamas, lai produkts vai pakalpojums nonāktu līdz galapatērētājiem. </w:t>
      </w:r>
      <w:r>
        <w:rPr>
          <w:rFonts w:ascii="Times New Roman" w:hAnsi="Times New Roman"/>
          <w:i/>
          <w:iCs/>
          <w:sz w:val="24"/>
        </w:rPr>
        <w:t>Eurostat</w:t>
      </w:r>
      <w:r>
        <w:rPr>
          <w:rFonts w:ascii="Times New Roman" w:hAnsi="Times New Roman"/>
          <w:sz w:val="24"/>
        </w:rPr>
        <w:t xml:space="preserve"> ir ieguldījis ievērojamas pūles, lai izprastu un novērtētu dažādus GVĶ komponentus, tostarp preču un pakalpojumu ražošanu, starptautisko preču un pakalpojumu tirdzniecību (</w:t>
      </w:r>
      <w:r>
        <w:rPr>
          <w:rFonts w:ascii="Times New Roman" w:hAnsi="Times New Roman"/>
          <w:i/>
          <w:iCs/>
          <w:color w:val="0066FF"/>
          <w:sz w:val="24"/>
        </w:rPr>
        <w:t>ITGS</w:t>
      </w:r>
      <w:r>
        <w:rPr>
          <w:rFonts w:ascii="Times New Roman" w:hAnsi="Times New Roman"/>
          <w:sz w:val="24"/>
        </w:rPr>
        <w:t xml:space="preserve"> un </w:t>
      </w:r>
      <w:r>
        <w:rPr>
          <w:rFonts w:ascii="Times New Roman" w:hAnsi="Times New Roman"/>
          <w:i/>
          <w:iCs/>
          <w:color w:val="0066FF"/>
          <w:sz w:val="24"/>
        </w:rPr>
        <w:t>ITSS</w:t>
      </w:r>
      <w:r>
        <w:rPr>
          <w:rFonts w:ascii="Times New Roman" w:hAnsi="Times New Roman"/>
          <w:sz w:val="24"/>
        </w:rPr>
        <w:t>), globālās ievades un izlaides tabulas (</w:t>
      </w:r>
      <w:r>
        <w:rPr>
          <w:rFonts w:ascii="Times New Roman" w:hAnsi="Times New Roman"/>
          <w:i/>
          <w:iCs/>
          <w:color w:val="0066FF"/>
          <w:sz w:val="24"/>
        </w:rPr>
        <w:t>FIGARO</w:t>
      </w:r>
      <w:r>
        <w:rPr>
          <w:rFonts w:ascii="Times New Roman" w:hAnsi="Times New Roman"/>
          <w:sz w:val="24"/>
        </w:rPr>
        <w:t xml:space="preserve"> projekts), nacionālos kontus/maksājumu bilanci (</w:t>
      </w:r>
      <w:r>
        <w:rPr>
          <w:rFonts w:ascii="Times New Roman" w:hAnsi="Times New Roman"/>
          <w:i/>
          <w:iCs/>
          <w:sz w:val="24"/>
        </w:rPr>
        <w:t xml:space="preserve">Eurostat </w:t>
      </w:r>
      <w:r>
        <w:rPr>
          <w:rFonts w:ascii="Times New Roman" w:hAnsi="Times New Roman"/>
          <w:i/>
          <w:iCs/>
          <w:color w:val="0066FF"/>
          <w:sz w:val="24"/>
        </w:rPr>
        <w:t>IGA</w:t>
      </w:r>
      <w:r>
        <w:rPr>
          <w:rFonts w:ascii="Times New Roman" w:hAnsi="Times New Roman"/>
          <w:sz w:val="24"/>
        </w:rPr>
        <w:t xml:space="preserve"> projekts), </w:t>
      </w:r>
      <w:r>
        <w:rPr>
          <w:rFonts w:ascii="Times New Roman" w:hAnsi="Times New Roman"/>
          <w:color w:val="0066FF"/>
          <w:sz w:val="24"/>
        </w:rPr>
        <w:t>statistiku par starptautisko sagādi un globālajām vērtību ķēdēm</w:t>
      </w:r>
      <w:r>
        <w:rPr>
          <w:rFonts w:ascii="Times New Roman" w:hAnsi="Times New Roman"/>
          <w:sz w:val="24"/>
        </w:rPr>
        <w:t xml:space="preserve"> un statistiku par ārvalstu saistītu uzņēmumu struktūru un darbību(</w:t>
      </w:r>
      <w:r>
        <w:rPr>
          <w:rFonts w:ascii="Times New Roman" w:hAnsi="Times New Roman"/>
          <w:i/>
          <w:iCs/>
          <w:color w:val="0066FF"/>
          <w:sz w:val="24"/>
        </w:rPr>
        <w:t>FATS</w:t>
      </w:r>
      <w:r>
        <w:rPr>
          <w:rFonts w:ascii="Times New Roman" w:hAnsi="Times New Roman"/>
          <w:sz w:val="24"/>
        </w:rPr>
        <w:t xml:space="preserve">). Starptautiskās organizācijas ir sagatavojušas rokasgrāmatas par globālo ražošanu un globālo uzskaiti. Nesens piemērs ir </w:t>
      </w:r>
      <w:r>
        <w:rPr>
          <w:rFonts w:ascii="Times New Roman" w:hAnsi="Times New Roman"/>
          <w:color w:val="0066FF"/>
          <w:sz w:val="24"/>
        </w:rPr>
        <w:t>Rokasgrāmata globālo vērtību ķēžu uzskaitei (2019)</w:t>
      </w:r>
      <w:r>
        <w:rPr>
          <w:rFonts w:ascii="Times New Roman" w:hAnsi="Times New Roman"/>
          <w:sz w:val="24"/>
        </w:rPr>
        <w:t>, ko izdevusi Apvienoto Nāciju Organizācijas Statistikas nodaļa (</w:t>
      </w:r>
      <w:r>
        <w:rPr>
          <w:rFonts w:ascii="Times New Roman" w:hAnsi="Times New Roman"/>
          <w:i/>
          <w:iCs/>
          <w:sz w:val="24"/>
        </w:rPr>
        <w:t>UNSD</w:t>
      </w:r>
      <w:r>
        <w:rPr>
          <w:rFonts w:ascii="Times New Roman" w:hAnsi="Times New Roman"/>
          <w:sz w:val="24"/>
        </w:rPr>
        <w:t>).</w:t>
      </w:r>
    </w:p>
    <w:p w14:paraId="562F978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i/>
          <w:iCs/>
          <w:sz w:val="24"/>
        </w:rPr>
        <w:t>Eurostat</w:t>
      </w:r>
      <w:r>
        <w:rPr>
          <w:rFonts w:ascii="Times New Roman" w:hAnsi="Times New Roman"/>
          <w:sz w:val="24"/>
        </w:rPr>
        <w:t xml:space="preserve"> uzņēmējdarbības statistikā lielākā daļa darba saistībā ar GVĶ statistiku ir veikta starptautiskās sagādes apsekojuma veidā. Viens no pirmajiem centieniem novērtēt GVĶ parādību Eiropā bija </w:t>
      </w:r>
      <w:r>
        <w:rPr>
          <w:rFonts w:ascii="Times New Roman" w:hAnsi="Times New Roman"/>
          <w:i/>
          <w:iCs/>
          <w:sz w:val="24"/>
        </w:rPr>
        <w:t>Eurostat</w:t>
      </w:r>
      <w:r>
        <w:rPr>
          <w:rFonts w:ascii="Times New Roman" w:hAnsi="Times New Roman"/>
          <w:sz w:val="24"/>
        </w:rPr>
        <w:t xml:space="preserve"> eksperimentālais starptautiskās sagādes apsekojums 2007. gadā. Kopš tā laika </w:t>
      </w:r>
      <w:r>
        <w:rPr>
          <w:rFonts w:ascii="Times New Roman" w:hAnsi="Times New Roman"/>
          <w:i/>
          <w:iCs/>
          <w:sz w:val="24"/>
        </w:rPr>
        <w:t>Eurostat</w:t>
      </w:r>
      <w:r>
        <w:rPr>
          <w:rFonts w:ascii="Times New Roman" w:hAnsi="Times New Roman"/>
          <w:sz w:val="24"/>
        </w:rPr>
        <w:t xml:space="preserve"> ir atbalstījis un aktīvi veicinājis starptautiskās sagādes apsekojumu (ko dēvē arī par GVĶ apsekojumiem vai SS GVĶ apsekojumiem) izstrādi un izveidi. Šie eksperimentālie apsekojumi tika veikti 2012., 2018. un 2021. gadā.</w:t>
      </w:r>
    </w:p>
    <w:p w14:paraId="7AD4298B" w14:textId="77777777" w:rsidR="004323C0" w:rsidRPr="004323C0" w:rsidRDefault="004323C0" w:rsidP="004323C0">
      <w:pPr>
        <w:pStyle w:val="BodyText"/>
        <w:jc w:val="both"/>
        <w:rPr>
          <w:rFonts w:ascii="Times New Roman" w:hAnsi="Times New Roman" w:cs="Times New Roman"/>
          <w:noProof/>
          <w:sz w:val="24"/>
          <w:szCs w:val="24"/>
        </w:rPr>
      </w:pPr>
    </w:p>
    <w:p w14:paraId="384AB91A"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6" w:name="WHAT_IS_THE_CURRENT_STATE_OF_GVC_STATIST"/>
      <w:bookmarkEnd w:id="6"/>
      <w:r>
        <w:rPr>
          <w:rFonts w:ascii="Times New Roman" w:hAnsi="Times New Roman"/>
          <w:b/>
          <w:color w:val="466DB4"/>
          <w:sz w:val="24"/>
        </w:rPr>
        <w:t>KĀDA IR PAŠREIZĒJĀ SITUĀCIJA GVĶ STATISTIKAS JOMĀ EIROPĀ?</w:t>
      </w:r>
    </w:p>
    <w:p w14:paraId="25ABDAD0" w14:textId="77777777" w:rsidR="004323C0" w:rsidRPr="004323C0" w:rsidRDefault="004323C0" w:rsidP="004323C0">
      <w:pPr>
        <w:pStyle w:val="BodyText"/>
        <w:jc w:val="both"/>
        <w:rPr>
          <w:rFonts w:ascii="Times New Roman" w:hAnsi="Times New Roman" w:cs="Times New Roman"/>
          <w:noProof/>
          <w:sz w:val="24"/>
          <w:szCs w:val="24"/>
        </w:rPr>
      </w:pPr>
    </w:p>
    <w:p w14:paraId="4CF6122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Šie centieni vainagojās ar to, ka starptautiskās sagādes statistika (tagad dēvēta par GVĶ statistiku) kā oficiāla statistika tika iekļauta </w:t>
      </w:r>
      <w:r>
        <w:rPr>
          <w:rFonts w:ascii="Times New Roman" w:hAnsi="Times New Roman"/>
          <w:color w:val="0066FF"/>
          <w:sz w:val="24"/>
        </w:rPr>
        <w:t>Regulā (ES) 2019/2152</w:t>
      </w:r>
      <w:r>
        <w:rPr>
          <w:rFonts w:ascii="Times New Roman" w:hAnsi="Times New Roman"/>
          <w:sz w:val="24"/>
        </w:rPr>
        <w:t xml:space="preserve"> par Eiropas uzņēmējdarbības statistiku (“EUS regula”). Saskaņā ar EUS regulu un atbilstoši sīki izstrādātajiem noteikumiem 2022. gada 13. jūnijā pieņemtajā </w:t>
      </w:r>
      <w:r>
        <w:rPr>
          <w:rFonts w:ascii="Times New Roman" w:hAnsi="Times New Roman"/>
          <w:color w:val="0066FF"/>
          <w:sz w:val="24"/>
        </w:rPr>
        <w:t>Regulā (ES) 2022/918</w:t>
      </w:r>
      <w:r>
        <w:rPr>
          <w:rFonts w:ascii="Times New Roman" w:hAnsi="Times New Roman"/>
          <w:sz w:val="24"/>
        </w:rPr>
        <w:t xml:space="preserve"> (“GVĶ īstenošanas regula”) GVĶ apsekojuma joma ir paplašināta, lai aptvertu GVĶ kārtību un to, kādi notikumi dalībvalstīs ietekmē šo kārtību. Šis apsekojums tiks veikts ik pēc 3 gadiem, un secīgu apsekojumu mērķa temati var mainīties, lai labāk atspoguļotu globalizācijas tendences un politikas prasības. Pirmais pārskata posms ir 2021.–2023. gads.</w:t>
      </w:r>
    </w:p>
    <w:p w14:paraId="17239C5E" w14:textId="77777777" w:rsidR="004323C0" w:rsidRPr="004323C0" w:rsidRDefault="004323C0" w:rsidP="004323C0">
      <w:pPr>
        <w:pStyle w:val="BodyText"/>
        <w:jc w:val="both"/>
        <w:rPr>
          <w:rFonts w:ascii="Times New Roman" w:hAnsi="Times New Roman" w:cs="Times New Roman"/>
          <w:noProof/>
          <w:sz w:val="24"/>
          <w:szCs w:val="24"/>
        </w:rPr>
      </w:pPr>
    </w:p>
    <w:p w14:paraId="4C328416"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 w:name="WHAT_IS_THE_LEGAL_BASIS_FOR_THE_COLLECTI"/>
      <w:bookmarkEnd w:id="7"/>
      <w:r>
        <w:rPr>
          <w:rFonts w:ascii="Times New Roman" w:hAnsi="Times New Roman"/>
          <w:b/>
          <w:color w:val="466DB4"/>
          <w:sz w:val="24"/>
        </w:rPr>
        <w:t>KĀDS IR JURIDISKAIS PAMATS GVĶ STATISTIKAS VĀKŠANAI?</w:t>
      </w:r>
    </w:p>
    <w:p w14:paraId="490213D6" w14:textId="77777777" w:rsidR="004323C0" w:rsidRPr="004323C0" w:rsidRDefault="004323C0" w:rsidP="004323C0">
      <w:pPr>
        <w:pStyle w:val="BodyText"/>
        <w:jc w:val="both"/>
        <w:rPr>
          <w:rFonts w:ascii="Times New Roman" w:hAnsi="Times New Roman" w:cs="Times New Roman"/>
          <w:noProof/>
          <w:sz w:val="24"/>
          <w:szCs w:val="24"/>
        </w:rPr>
      </w:pPr>
    </w:p>
    <w:p w14:paraId="6FBFDC6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Kā minēts iepriekš, pašreizējais juridiskais pamats GVĶ datu nosūtīšanai ir EUS regula. Tā ir spēkā no 2021. gada 1. janvāra.</w:t>
      </w:r>
    </w:p>
    <w:p w14:paraId="2E76FEDC"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Turklāt GVĶ jomas īstenošana ir sīkāk aprakstīta GVĶ īstenošanas regulā, kurā ir noteiktas datu prasību tehniskās specifikācijas GVĶ tematam saskaņā ar EUS regulu.</w:t>
      </w:r>
    </w:p>
    <w:p w14:paraId="261C149E" w14:textId="77777777" w:rsidR="004323C0" w:rsidRPr="004323C0" w:rsidRDefault="004323C0" w:rsidP="004323C0">
      <w:pPr>
        <w:pStyle w:val="BodyText"/>
        <w:jc w:val="both"/>
        <w:rPr>
          <w:rFonts w:ascii="Times New Roman" w:hAnsi="Times New Roman" w:cs="Times New Roman"/>
          <w:noProof/>
          <w:sz w:val="24"/>
          <w:szCs w:val="24"/>
        </w:rPr>
      </w:pPr>
    </w:p>
    <w:p w14:paraId="1E4FAAF2" w14:textId="77777777" w:rsidR="004323C0" w:rsidRPr="004323C0" w:rsidRDefault="004323C0" w:rsidP="00321C6F">
      <w:pPr>
        <w:pStyle w:val="BodyText"/>
        <w:keepNext/>
        <w:keepLines/>
        <w:jc w:val="both"/>
        <w:rPr>
          <w:rFonts w:ascii="Times New Roman" w:hAnsi="Times New Roman" w:cs="Times New Roman"/>
          <w:b/>
          <w:bCs/>
          <w:noProof/>
          <w:color w:val="466DB4"/>
          <w:sz w:val="24"/>
          <w:szCs w:val="24"/>
        </w:rPr>
      </w:pPr>
      <w:bookmarkStart w:id="8" w:name="WHAT_DATA_ARE_COLLECTED_UNDER_THE_GVC_ST"/>
      <w:bookmarkEnd w:id="8"/>
      <w:r>
        <w:rPr>
          <w:rFonts w:ascii="Times New Roman" w:hAnsi="Times New Roman"/>
          <w:b/>
          <w:color w:val="466DB4"/>
          <w:sz w:val="24"/>
        </w:rPr>
        <w:t>KĀDI DATI TIEK VĀKTI GVĶ STATISTIKAS IETVAROS?</w:t>
      </w:r>
    </w:p>
    <w:p w14:paraId="715DCC92" w14:textId="77777777" w:rsidR="004323C0" w:rsidRPr="004323C0" w:rsidRDefault="004323C0" w:rsidP="00321C6F">
      <w:pPr>
        <w:pStyle w:val="BodyText"/>
        <w:keepNext/>
        <w:keepLines/>
        <w:jc w:val="both"/>
        <w:rPr>
          <w:rFonts w:ascii="Times New Roman" w:hAnsi="Times New Roman" w:cs="Times New Roman"/>
          <w:noProof/>
          <w:sz w:val="24"/>
          <w:szCs w:val="24"/>
        </w:rPr>
      </w:pPr>
    </w:p>
    <w:p w14:paraId="367DE1E5" w14:textId="77777777" w:rsidR="004323C0" w:rsidRPr="004323C0" w:rsidRDefault="004323C0" w:rsidP="00321C6F">
      <w:pPr>
        <w:pStyle w:val="BodyText"/>
        <w:keepNext/>
        <w:keepLines/>
        <w:jc w:val="both"/>
        <w:rPr>
          <w:rFonts w:ascii="Times New Roman" w:hAnsi="Times New Roman" w:cs="Times New Roman"/>
          <w:noProof/>
          <w:sz w:val="24"/>
          <w:szCs w:val="24"/>
        </w:rPr>
      </w:pPr>
      <w:r>
        <w:rPr>
          <w:rFonts w:ascii="Times New Roman" w:hAnsi="Times New Roman"/>
          <w:sz w:val="24"/>
        </w:rPr>
        <w:t xml:space="preserve">GVĶ īstenošanas regula nosaka, ka ir jāizveido turpmāk minētie </w:t>
      </w:r>
      <w:r>
        <w:rPr>
          <w:rFonts w:ascii="Times New Roman" w:hAnsi="Times New Roman"/>
          <w:b/>
          <w:sz w:val="24"/>
        </w:rPr>
        <w:t>10 GVĶ mainīgie lielumi</w:t>
      </w:r>
      <w:r>
        <w:rPr>
          <w:rFonts w:ascii="Times New Roman" w:hAnsi="Times New Roman"/>
          <w:sz w:val="24"/>
        </w:rPr>
        <w:t>.</w:t>
      </w:r>
    </w:p>
    <w:p w14:paraId="164FD48D" w14:textId="77777777" w:rsidR="004323C0" w:rsidRPr="004323C0" w:rsidRDefault="004323C0" w:rsidP="00321C6F">
      <w:pPr>
        <w:pStyle w:val="BodyText"/>
        <w:keepNext/>
        <w:keepLines/>
        <w:jc w:val="both"/>
        <w:rPr>
          <w:rFonts w:ascii="Times New Roman" w:hAnsi="Times New Roman" w:cs="Times New Roman"/>
          <w:noProof/>
          <w:sz w:val="24"/>
          <w:szCs w:val="24"/>
        </w:rPr>
      </w:pPr>
    </w:p>
    <w:p w14:paraId="0F99EE35" w14:textId="77777777" w:rsidR="004323C0" w:rsidRPr="004323C0" w:rsidRDefault="004323C0" w:rsidP="00321C6F">
      <w:pPr>
        <w:keepNext/>
        <w:keepLines/>
        <w:jc w:val="both"/>
        <w:rPr>
          <w:rFonts w:ascii="Times New Roman" w:hAnsi="Times New Roman" w:cs="Times New Roman"/>
          <w:b/>
          <w:noProof/>
          <w:sz w:val="24"/>
          <w:szCs w:val="24"/>
        </w:rPr>
      </w:pPr>
      <w:r>
        <w:rPr>
          <w:rFonts w:ascii="Times New Roman" w:hAnsi="Times New Roman"/>
          <w:b/>
          <w:sz w:val="24"/>
        </w:rPr>
        <w:t>1. tabula. Mainīgie lielumi saskaņā ar GVĶ īstenošanas regulu</w:t>
      </w:r>
    </w:p>
    <w:p w14:paraId="1F541796" w14:textId="77777777" w:rsidR="004323C0" w:rsidRPr="004323C0" w:rsidRDefault="004323C0" w:rsidP="004323C0">
      <w:pPr>
        <w:pStyle w:val="BodyText"/>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988"/>
        <w:gridCol w:w="6143"/>
      </w:tblGrid>
      <w:tr w:rsidR="004323C0" w:rsidRPr="004323C0" w14:paraId="694FB0CF" w14:textId="77777777" w:rsidTr="00321C6F">
        <w:tc>
          <w:tcPr>
            <w:tcW w:w="1636" w:type="pct"/>
            <w:tcBorders>
              <w:top w:val="single" w:sz="4" w:space="0" w:color="466DB4"/>
              <w:bottom w:val="single" w:sz="4" w:space="0" w:color="466DB4"/>
            </w:tcBorders>
            <w:shd w:val="clear" w:color="auto" w:fill="CDDCEF"/>
          </w:tcPr>
          <w:p w14:paraId="78198F09"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Piemērošanas joma (sīkāka informācija par GVĶ tematu)</w:t>
            </w:r>
          </w:p>
        </w:tc>
        <w:tc>
          <w:tcPr>
            <w:tcW w:w="3364" w:type="pct"/>
            <w:tcBorders>
              <w:top w:val="single" w:sz="4" w:space="0" w:color="466DB4"/>
              <w:bottom w:val="single" w:sz="4" w:space="0" w:color="466DB4"/>
            </w:tcBorders>
            <w:shd w:val="clear" w:color="auto" w:fill="CDDCEF"/>
          </w:tcPr>
          <w:p w14:paraId="0791394B"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Mainīgais lielums</w:t>
            </w:r>
          </w:p>
        </w:tc>
      </w:tr>
      <w:tr w:rsidR="004323C0" w:rsidRPr="004323C0" w14:paraId="49CD5E39" w14:textId="77777777" w:rsidTr="00321C6F">
        <w:tc>
          <w:tcPr>
            <w:tcW w:w="1636" w:type="pct"/>
            <w:tcBorders>
              <w:top w:val="single" w:sz="4" w:space="0" w:color="466DB4"/>
              <w:bottom w:val="single" w:sz="4" w:space="0" w:color="CDDCEF"/>
            </w:tcBorders>
          </w:tcPr>
          <w:p w14:paraId="313EE8BD"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 Uzņēmējdarbības funkcijas</w:t>
            </w:r>
          </w:p>
        </w:tc>
        <w:tc>
          <w:tcPr>
            <w:tcW w:w="3364" w:type="pct"/>
            <w:tcBorders>
              <w:top w:val="single" w:sz="4" w:space="0" w:color="466DB4"/>
              <w:bottom w:val="single" w:sz="4" w:space="0" w:color="CDDCEF"/>
            </w:tcBorders>
          </w:tcPr>
          <w:p w14:paraId="557377F2"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1) Darbinieku un pašnodarbināto personu skaits</w:t>
            </w:r>
          </w:p>
        </w:tc>
      </w:tr>
      <w:tr w:rsidR="004323C0" w:rsidRPr="004323C0" w14:paraId="585C9E2C" w14:textId="77777777" w:rsidTr="00321C6F">
        <w:tc>
          <w:tcPr>
            <w:tcW w:w="1636" w:type="pct"/>
            <w:tcBorders>
              <w:top w:val="single" w:sz="4" w:space="0" w:color="CDDCEF"/>
            </w:tcBorders>
          </w:tcPr>
          <w:p w14:paraId="66A48C58"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ii) Globālās vērtību ķēdes</w:t>
            </w:r>
          </w:p>
        </w:tc>
        <w:tc>
          <w:tcPr>
            <w:tcW w:w="3364" w:type="pct"/>
            <w:tcBorders>
              <w:top w:val="single" w:sz="4" w:space="0" w:color="CDDCEF"/>
              <w:bottom w:val="single" w:sz="4" w:space="0" w:color="CDDCEF"/>
            </w:tcBorders>
          </w:tcPr>
          <w:p w14:paraId="51A8EB6D"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2) To uzņēmumu skaits, kas iegādājas preces no ārvalstīm</w:t>
            </w:r>
          </w:p>
        </w:tc>
      </w:tr>
      <w:tr w:rsidR="004323C0" w:rsidRPr="004323C0" w14:paraId="3A2D4E72" w14:textId="77777777" w:rsidTr="00321C6F">
        <w:tc>
          <w:tcPr>
            <w:tcW w:w="1636" w:type="pct"/>
          </w:tcPr>
          <w:p w14:paraId="742CD533" w14:textId="77777777" w:rsidR="004323C0" w:rsidRPr="004323C0" w:rsidRDefault="004323C0">
            <w:pPr>
              <w:pStyle w:val="TableParagraph"/>
              <w:spacing w:before="0"/>
              <w:jc w:val="both"/>
              <w:rPr>
                <w:rFonts w:ascii="Times New Roman" w:hAnsi="Times New Roman" w:cs="Times New Roman"/>
                <w:noProof/>
                <w:sz w:val="24"/>
                <w:szCs w:val="24"/>
              </w:rPr>
            </w:pPr>
          </w:p>
        </w:tc>
        <w:tc>
          <w:tcPr>
            <w:tcW w:w="3364" w:type="pct"/>
            <w:tcBorders>
              <w:top w:val="single" w:sz="4" w:space="0" w:color="CDDCEF"/>
              <w:bottom w:val="single" w:sz="4" w:space="0" w:color="CDEBF9"/>
            </w:tcBorders>
          </w:tcPr>
          <w:p w14:paraId="76FBEFD9"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3) To uzņēmumu skaits, kas piegādā preces ārvalstīs</w:t>
            </w:r>
          </w:p>
        </w:tc>
      </w:tr>
      <w:tr w:rsidR="004323C0" w:rsidRPr="004323C0" w14:paraId="29604BDD" w14:textId="77777777" w:rsidTr="00321C6F">
        <w:tc>
          <w:tcPr>
            <w:tcW w:w="1636" w:type="pct"/>
          </w:tcPr>
          <w:p w14:paraId="77273391" w14:textId="77777777" w:rsidR="004323C0" w:rsidRPr="004323C0" w:rsidRDefault="004323C0">
            <w:pPr>
              <w:pStyle w:val="TableParagraph"/>
              <w:spacing w:before="0"/>
              <w:jc w:val="both"/>
              <w:rPr>
                <w:rFonts w:ascii="Times New Roman" w:hAnsi="Times New Roman" w:cs="Times New Roman"/>
                <w:noProof/>
                <w:sz w:val="24"/>
                <w:szCs w:val="24"/>
              </w:rPr>
            </w:pPr>
          </w:p>
        </w:tc>
        <w:tc>
          <w:tcPr>
            <w:tcW w:w="3364" w:type="pct"/>
            <w:tcBorders>
              <w:top w:val="single" w:sz="4" w:space="0" w:color="CDEBF9"/>
              <w:bottom w:val="single" w:sz="4" w:space="0" w:color="CDEBF9"/>
            </w:tcBorders>
          </w:tcPr>
          <w:p w14:paraId="35F23ECF"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4) To uzņēmumu skaits, kas iegādājas pakalpojumus no ārvalstīm</w:t>
            </w:r>
          </w:p>
        </w:tc>
      </w:tr>
      <w:tr w:rsidR="004323C0" w:rsidRPr="004323C0" w14:paraId="5F13C0BD" w14:textId="77777777" w:rsidTr="00321C6F">
        <w:tc>
          <w:tcPr>
            <w:tcW w:w="1636" w:type="pct"/>
            <w:tcBorders>
              <w:bottom w:val="single" w:sz="4" w:space="0" w:color="CDEBF9"/>
            </w:tcBorders>
          </w:tcPr>
          <w:p w14:paraId="6E4B2DC1" w14:textId="77777777" w:rsidR="004323C0" w:rsidRPr="004323C0" w:rsidRDefault="004323C0">
            <w:pPr>
              <w:pStyle w:val="TableParagraph"/>
              <w:spacing w:before="0"/>
              <w:jc w:val="both"/>
              <w:rPr>
                <w:rFonts w:ascii="Times New Roman" w:hAnsi="Times New Roman" w:cs="Times New Roman"/>
                <w:noProof/>
                <w:sz w:val="24"/>
                <w:szCs w:val="24"/>
              </w:rPr>
            </w:pPr>
          </w:p>
        </w:tc>
        <w:tc>
          <w:tcPr>
            <w:tcW w:w="3364" w:type="pct"/>
            <w:tcBorders>
              <w:top w:val="single" w:sz="4" w:space="0" w:color="CDEBF9"/>
              <w:bottom w:val="single" w:sz="4" w:space="0" w:color="CDEBF9"/>
            </w:tcBorders>
          </w:tcPr>
          <w:p w14:paraId="55274876"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5) To uzņēmumu skaits, kas sniedz pakalpojumus ārvalstīs</w:t>
            </w:r>
          </w:p>
        </w:tc>
      </w:tr>
      <w:tr w:rsidR="004323C0" w:rsidRPr="004323C0" w14:paraId="76972286" w14:textId="77777777" w:rsidTr="00321C6F">
        <w:tc>
          <w:tcPr>
            <w:tcW w:w="1636" w:type="pct"/>
            <w:tcBorders>
              <w:top w:val="single" w:sz="4" w:space="0" w:color="CDEBF9"/>
            </w:tcBorders>
          </w:tcPr>
          <w:p w14:paraId="13D605C1"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iii) Starptautiskā sagāde</w:t>
            </w:r>
          </w:p>
        </w:tc>
        <w:tc>
          <w:tcPr>
            <w:tcW w:w="3364" w:type="pct"/>
            <w:tcBorders>
              <w:top w:val="single" w:sz="4" w:space="0" w:color="CDEBF9"/>
              <w:bottom w:val="single" w:sz="4" w:space="0" w:color="CDDCEF"/>
            </w:tcBorders>
          </w:tcPr>
          <w:p w14:paraId="14A77098"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6) To uzņēmumu skaits, kas veic starptautisku sagādi</w:t>
            </w:r>
          </w:p>
        </w:tc>
      </w:tr>
      <w:tr w:rsidR="004323C0" w:rsidRPr="004323C0" w14:paraId="61B6DAD8" w14:textId="77777777" w:rsidTr="00321C6F">
        <w:tc>
          <w:tcPr>
            <w:tcW w:w="1636" w:type="pct"/>
          </w:tcPr>
          <w:p w14:paraId="1F146E6F" w14:textId="77777777" w:rsidR="004323C0" w:rsidRPr="004323C0" w:rsidRDefault="004323C0">
            <w:pPr>
              <w:pStyle w:val="TableParagraph"/>
              <w:spacing w:before="0"/>
              <w:jc w:val="both"/>
              <w:rPr>
                <w:rFonts w:ascii="Times New Roman" w:hAnsi="Times New Roman" w:cs="Times New Roman"/>
                <w:noProof/>
                <w:sz w:val="24"/>
                <w:szCs w:val="24"/>
              </w:rPr>
            </w:pPr>
          </w:p>
        </w:tc>
        <w:tc>
          <w:tcPr>
            <w:tcW w:w="3364" w:type="pct"/>
            <w:tcBorders>
              <w:top w:val="single" w:sz="4" w:space="0" w:color="CDDCEF"/>
              <w:bottom w:val="single" w:sz="4" w:space="0" w:color="CDEBF9"/>
            </w:tcBorders>
          </w:tcPr>
          <w:p w14:paraId="6DDD669F"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7) To darbavietu skaits, kas uzņēmumā radītas starptautiskas sagādes rezultātā</w:t>
            </w:r>
          </w:p>
        </w:tc>
      </w:tr>
      <w:tr w:rsidR="004323C0" w:rsidRPr="004323C0" w14:paraId="388BDA2A" w14:textId="77777777" w:rsidTr="00321C6F">
        <w:tc>
          <w:tcPr>
            <w:tcW w:w="1636" w:type="pct"/>
          </w:tcPr>
          <w:p w14:paraId="3EF67EB0" w14:textId="77777777" w:rsidR="004323C0" w:rsidRPr="004323C0" w:rsidRDefault="004323C0">
            <w:pPr>
              <w:pStyle w:val="TableParagraph"/>
              <w:spacing w:before="0"/>
              <w:jc w:val="both"/>
              <w:rPr>
                <w:rFonts w:ascii="Times New Roman" w:hAnsi="Times New Roman" w:cs="Times New Roman"/>
                <w:noProof/>
                <w:sz w:val="24"/>
                <w:szCs w:val="24"/>
              </w:rPr>
            </w:pPr>
          </w:p>
        </w:tc>
        <w:tc>
          <w:tcPr>
            <w:tcW w:w="3364" w:type="pct"/>
            <w:tcBorders>
              <w:top w:val="single" w:sz="4" w:space="0" w:color="CDEBF9"/>
              <w:bottom w:val="single" w:sz="4" w:space="0" w:color="CDEBF9"/>
            </w:tcBorders>
          </w:tcPr>
          <w:p w14:paraId="11670733"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8) To darbavietu skaits, kas starptautiskas sagādes rezultātā zaudētas vai pārceltas uz ārvalstīm</w:t>
            </w:r>
          </w:p>
        </w:tc>
      </w:tr>
      <w:tr w:rsidR="004323C0" w:rsidRPr="004323C0" w14:paraId="5AE77AB1" w14:textId="77777777" w:rsidTr="00321C6F">
        <w:tc>
          <w:tcPr>
            <w:tcW w:w="1636" w:type="pct"/>
            <w:tcBorders>
              <w:bottom w:val="single" w:sz="4" w:space="0" w:color="CDEBF9"/>
            </w:tcBorders>
          </w:tcPr>
          <w:p w14:paraId="683D3E4B" w14:textId="77777777" w:rsidR="004323C0" w:rsidRPr="004323C0" w:rsidRDefault="004323C0">
            <w:pPr>
              <w:pStyle w:val="TableParagraph"/>
              <w:spacing w:before="0"/>
              <w:jc w:val="both"/>
              <w:rPr>
                <w:rFonts w:ascii="Times New Roman" w:hAnsi="Times New Roman" w:cs="Times New Roman"/>
                <w:noProof/>
                <w:sz w:val="24"/>
                <w:szCs w:val="24"/>
              </w:rPr>
            </w:pPr>
          </w:p>
        </w:tc>
        <w:tc>
          <w:tcPr>
            <w:tcW w:w="3364" w:type="pct"/>
            <w:tcBorders>
              <w:top w:val="single" w:sz="4" w:space="0" w:color="CDEBF9"/>
              <w:bottom w:val="single" w:sz="4" w:space="0" w:color="CDEBF9"/>
            </w:tcBorders>
          </w:tcPr>
          <w:p w14:paraId="108BB690"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9) To uzņēmumu skaits, kas veikuši vai apsver iespēju veikt starptautisku sagādi</w:t>
            </w:r>
          </w:p>
        </w:tc>
      </w:tr>
      <w:tr w:rsidR="004323C0" w:rsidRPr="004323C0" w14:paraId="59E1711E" w14:textId="77777777" w:rsidTr="00321C6F">
        <w:tc>
          <w:tcPr>
            <w:tcW w:w="1636" w:type="pct"/>
            <w:tcBorders>
              <w:top w:val="single" w:sz="4" w:space="0" w:color="CDEBF9"/>
              <w:bottom w:val="single" w:sz="4" w:space="0" w:color="466DB4"/>
            </w:tcBorders>
          </w:tcPr>
          <w:p w14:paraId="7D5AC3F8"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iv) Notikumi, kas ietekmē globālo vērtību ķēžu kārtību</w:t>
            </w:r>
          </w:p>
        </w:tc>
        <w:tc>
          <w:tcPr>
            <w:tcW w:w="3364" w:type="pct"/>
            <w:tcBorders>
              <w:top w:val="single" w:sz="4" w:space="0" w:color="CDEBF9"/>
              <w:bottom w:val="single" w:sz="4" w:space="0" w:color="466DB4"/>
            </w:tcBorders>
          </w:tcPr>
          <w:p w14:paraId="1E1D01F9"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10) Aktīvo uzņēmumu skaits</w:t>
            </w:r>
          </w:p>
        </w:tc>
      </w:tr>
    </w:tbl>
    <w:p w14:paraId="38BD6690" w14:textId="77777777" w:rsidR="004323C0" w:rsidRPr="004323C0" w:rsidRDefault="004323C0" w:rsidP="004323C0">
      <w:pPr>
        <w:pStyle w:val="BodyText"/>
        <w:jc w:val="both"/>
        <w:rPr>
          <w:rFonts w:ascii="Times New Roman" w:hAnsi="Times New Roman" w:cs="Times New Roman"/>
          <w:b/>
          <w:noProof/>
          <w:sz w:val="24"/>
          <w:szCs w:val="24"/>
        </w:rPr>
      </w:pPr>
    </w:p>
    <w:p w14:paraId="551473E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Precīzs sadalījums un katra mainīgā tehniskā specifikācija ir noteikta tehniskās specifikācijas dokumentā, kas VSI ir pieejams </w:t>
      </w:r>
      <w:r>
        <w:rPr>
          <w:rFonts w:ascii="Times New Roman" w:hAnsi="Times New Roman"/>
          <w:i/>
          <w:iCs/>
          <w:color w:val="0066FF"/>
          <w:sz w:val="24"/>
        </w:rPr>
        <w:t>CIRCABC</w:t>
      </w:r>
      <w:r>
        <w:rPr>
          <w:rFonts w:ascii="Times New Roman" w:hAnsi="Times New Roman"/>
          <w:sz w:val="24"/>
        </w:rPr>
        <w:t xml:space="preserve"> rīkā (</w:t>
      </w:r>
      <w:r>
        <w:rPr>
          <w:rFonts w:ascii="Times New Roman" w:hAnsi="Times New Roman"/>
          <w:sz w:val="24"/>
        </w:rPr>
        <w:sym w:font="Wingdings" w:char="F0E0"/>
      </w:r>
      <w:r>
        <w:rPr>
          <w:rFonts w:ascii="Times New Roman" w:hAnsi="Times New Roman"/>
          <w:i/>
          <w:iCs/>
          <w:sz w:val="24"/>
        </w:rPr>
        <w:t>Global Value Chains group</w:t>
      </w:r>
      <w:r>
        <w:rPr>
          <w:rFonts w:ascii="Times New Roman" w:hAnsi="Times New Roman"/>
          <w:sz w:val="24"/>
        </w:rPr>
        <w:t xml:space="preserve"> 2024. gada GVĶ apsekojuma</w:t>
      </w:r>
      <w:r>
        <w:rPr>
          <w:rFonts w:ascii="Times New Roman" w:hAnsi="Times New Roman"/>
          <w:sz w:val="24"/>
        </w:rPr>
        <w:sym w:font="Wingdings" w:char="F0E0"/>
      </w:r>
      <w:r>
        <w:rPr>
          <w:rFonts w:ascii="Times New Roman" w:hAnsi="Times New Roman"/>
          <w:sz w:val="24"/>
        </w:rPr>
        <w:t xml:space="preserve"> metodiskie dokumenti).</w:t>
      </w:r>
    </w:p>
    <w:p w14:paraId="0CAF8412" w14:textId="77777777" w:rsidR="004323C0" w:rsidRPr="004323C0" w:rsidRDefault="004323C0" w:rsidP="004323C0">
      <w:pPr>
        <w:pStyle w:val="BodyText"/>
        <w:jc w:val="both"/>
        <w:rPr>
          <w:rFonts w:ascii="Times New Roman" w:hAnsi="Times New Roman" w:cs="Times New Roman"/>
          <w:noProof/>
          <w:sz w:val="24"/>
          <w:szCs w:val="24"/>
        </w:rPr>
      </w:pPr>
    </w:p>
    <w:p w14:paraId="446A528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Lai samazinātu iespējamo pārklāšanos ar citu statistiku un uzlabotu datu vākšanas kvalitāti, ir ieteicams pienācīgi informēt par GVĶ statistikas apkopošanu dažādās valsts statistikas iestādes (VSI) nodaļās. Tas nozīmē, ka citas attiecīgās nodaļas (piemēram, starptautiskās tirdzniecības nodaļas, lielo vienību nodaļas un struktūrvienības, kas nodarbojas ar uzņēmējdarbības strukturālo statistiku (USS), pētniecības un attīstības statistiku un Kopienas inovāciju apsekojumu) ir jāinformē par ikvienu GVĶ statistikas vākšanas kārtu.</w:t>
      </w:r>
    </w:p>
    <w:p w14:paraId="3DECAA0F" w14:textId="77777777" w:rsidR="004323C0" w:rsidRPr="004323C0" w:rsidRDefault="004323C0" w:rsidP="004323C0">
      <w:pPr>
        <w:pStyle w:val="BodyText"/>
        <w:jc w:val="both"/>
        <w:rPr>
          <w:rFonts w:ascii="Times New Roman" w:hAnsi="Times New Roman" w:cs="Times New Roman"/>
          <w:noProof/>
          <w:sz w:val="24"/>
          <w:szCs w:val="24"/>
        </w:rPr>
      </w:pPr>
    </w:p>
    <w:p w14:paraId="3B44D0F3"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9" w:name="HOW_ARE_THE_DATA_COLLECTED?"/>
      <w:bookmarkEnd w:id="9"/>
      <w:r>
        <w:rPr>
          <w:rFonts w:ascii="Times New Roman" w:hAnsi="Times New Roman"/>
          <w:b/>
          <w:color w:val="466DB4"/>
          <w:sz w:val="24"/>
        </w:rPr>
        <w:t>KĀ TIEK VĀKTI DATI?</w:t>
      </w:r>
    </w:p>
    <w:p w14:paraId="5A10C966" w14:textId="77777777" w:rsidR="004323C0" w:rsidRPr="004323C0" w:rsidRDefault="004323C0" w:rsidP="004323C0">
      <w:pPr>
        <w:pStyle w:val="BodyText"/>
        <w:jc w:val="both"/>
        <w:rPr>
          <w:rFonts w:ascii="Times New Roman" w:hAnsi="Times New Roman" w:cs="Times New Roman"/>
          <w:noProof/>
          <w:sz w:val="24"/>
          <w:szCs w:val="24"/>
        </w:rPr>
      </w:pPr>
    </w:p>
    <w:p w14:paraId="510B471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Lielāko daļu datu vāc, </w:t>
      </w:r>
      <w:r>
        <w:rPr>
          <w:rFonts w:ascii="Times New Roman" w:hAnsi="Times New Roman"/>
          <w:b/>
          <w:sz w:val="24"/>
        </w:rPr>
        <w:t>veicot apsekojumus</w:t>
      </w:r>
      <w:r>
        <w:rPr>
          <w:rFonts w:ascii="Times New Roman" w:hAnsi="Times New Roman"/>
          <w:sz w:val="24"/>
        </w:rPr>
        <w:t>, ko katras ES valsts uzņēmumiem izsūta to VSI. No reģistriem vai citiem statistikas vai administratīvo datu avotiem var vākt vai iegūt šādus datus:</w:t>
      </w:r>
    </w:p>
    <w:p w14:paraId="38B21811" w14:textId="77777777" w:rsidR="004323C0" w:rsidRPr="004323C0" w:rsidRDefault="004323C0" w:rsidP="004323C0">
      <w:pPr>
        <w:pStyle w:val="ListParagraph"/>
        <w:numPr>
          <w:ilvl w:val="0"/>
          <w:numId w:val="25"/>
        </w:numPr>
        <w:tabs>
          <w:tab w:val="left" w:pos="851"/>
          <w:tab w:val="left" w:pos="2270"/>
        </w:tabs>
        <w:spacing w:before="0"/>
        <w:ind w:left="284" w:firstLine="0"/>
        <w:rPr>
          <w:rFonts w:ascii="Times New Roman" w:hAnsi="Times New Roman" w:cs="Times New Roman"/>
          <w:noProof/>
          <w:sz w:val="24"/>
          <w:szCs w:val="24"/>
        </w:rPr>
      </w:pPr>
      <w:r>
        <w:rPr>
          <w:rFonts w:ascii="Times New Roman" w:hAnsi="Times New Roman"/>
          <w:sz w:val="24"/>
        </w:rPr>
        <w:t>uzņēmuma saimnieciskās pamatdarbības veids pārskata posma pēdējā gada beigās, T gads;</w:t>
      </w:r>
    </w:p>
    <w:p w14:paraId="23520331" w14:textId="77777777" w:rsidR="004323C0" w:rsidRPr="004323C0" w:rsidRDefault="004323C0" w:rsidP="004323C0">
      <w:pPr>
        <w:pStyle w:val="ListParagraph"/>
        <w:numPr>
          <w:ilvl w:val="0"/>
          <w:numId w:val="25"/>
        </w:numPr>
        <w:tabs>
          <w:tab w:val="left" w:pos="851"/>
          <w:tab w:val="left" w:pos="2270"/>
        </w:tabs>
        <w:spacing w:before="0"/>
        <w:ind w:left="284" w:firstLine="0"/>
        <w:rPr>
          <w:rFonts w:ascii="Times New Roman" w:hAnsi="Times New Roman" w:cs="Times New Roman"/>
          <w:noProof/>
          <w:sz w:val="24"/>
          <w:szCs w:val="24"/>
        </w:rPr>
      </w:pPr>
      <w:r>
        <w:rPr>
          <w:rFonts w:ascii="Times New Roman" w:hAnsi="Times New Roman"/>
          <w:sz w:val="24"/>
        </w:rPr>
        <w:t>nodarbināto un pašnodarbināto personu skaits pārskata posma pēdējā gadā, T gads;</w:t>
      </w:r>
    </w:p>
    <w:p w14:paraId="1C513F6D" w14:textId="77777777" w:rsidR="004323C0" w:rsidRPr="004323C0" w:rsidRDefault="004323C0" w:rsidP="004323C0">
      <w:pPr>
        <w:pStyle w:val="ListParagraph"/>
        <w:numPr>
          <w:ilvl w:val="0"/>
          <w:numId w:val="25"/>
        </w:numPr>
        <w:tabs>
          <w:tab w:val="left" w:pos="851"/>
          <w:tab w:val="left" w:pos="2269"/>
        </w:tabs>
        <w:spacing w:before="0"/>
        <w:ind w:left="284" w:firstLine="0"/>
        <w:rPr>
          <w:rFonts w:ascii="Times New Roman" w:hAnsi="Times New Roman" w:cs="Times New Roman"/>
          <w:noProof/>
          <w:sz w:val="24"/>
          <w:szCs w:val="24"/>
        </w:rPr>
      </w:pPr>
      <w:r>
        <w:rPr>
          <w:rFonts w:ascii="Times New Roman" w:hAnsi="Times New Roman"/>
          <w:sz w:val="24"/>
        </w:rPr>
        <w:t>informācija par dalību uzņēmumu grupā.</w:t>
      </w:r>
    </w:p>
    <w:p w14:paraId="73FAFD2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Citus datus (piemēram, par uzņēmuma saimnieciskās darbības pamatfunkciju) var vākt vai iegūt no reģistriem vai citiem statistikas vai administratīvajiem datu avotiem, nevis no apsekojuma.</w:t>
      </w:r>
    </w:p>
    <w:p w14:paraId="42EB3E95" w14:textId="77777777" w:rsidR="00916D8B" w:rsidRDefault="00916D8B" w:rsidP="00321C6F">
      <w:pPr>
        <w:pStyle w:val="BodyText"/>
        <w:keepNext/>
        <w:keepLines/>
        <w:jc w:val="both"/>
        <w:rPr>
          <w:rFonts w:ascii="Times New Roman" w:hAnsi="Times New Roman"/>
          <w:b/>
          <w:color w:val="466DB4"/>
          <w:sz w:val="24"/>
        </w:rPr>
      </w:pPr>
      <w:bookmarkStart w:id="10" w:name="WHAT_IS_THE_ENTERPRISE_POPULATION_OF_THE"/>
      <w:bookmarkEnd w:id="10"/>
    </w:p>
    <w:p w14:paraId="5E053E03" w14:textId="296FD92C" w:rsidR="004323C0" w:rsidRPr="004323C0" w:rsidRDefault="004323C0" w:rsidP="00321C6F">
      <w:pPr>
        <w:pStyle w:val="BodyText"/>
        <w:keepNext/>
        <w:keepLines/>
        <w:jc w:val="both"/>
        <w:rPr>
          <w:rFonts w:ascii="Times New Roman" w:hAnsi="Times New Roman" w:cs="Times New Roman"/>
          <w:b/>
          <w:bCs/>
          <w:noProof/>
          <w:color w:val="466DB4"/>
          <w:sz w:val="24"/>
          <w:szCs w:val="24"/>
        </w:rPr>
      </w:pPr>
      <w:r>
        <w:rPr>
          <w:rFonts w:ascii="Times New Roman" w:hAnsi="Times New Roman"/>
          <w:b/>
          <w:color w:val="466DB4"/>
          <w:sz w:val="24"/>
        </w:rPr>
        <w:t>KURA IR DATU VĀKŠANAI IZMANTOTĀ UZŅĒMUMU POPULĀCIJA?</w:t>
      </w:r>
    </w:p>
    <w:p w14:paraId="0A28DE06" w14:textId="77777777" w:rsidR="004323C0" w:rsidRPr="004323C0" w:rsidRDefault="004323C0" w:rsidP="00321C6F">
      <w:pPr>
        <w:pStyle w:val="BodyText"/>
        <w:keepNext/>
        <w:keepLines/>
        <w:jc w:val="both"/>
        <w:rPr>
          <w:rFonts w:ascii="Times New Roman" w:hAnsi="Times New Roman" w:cs="Times New Roman"/>
          <w:noProof/>
          <w:sz w:val="24"/>
          <w:szCs w:val="24"/>
        </w:rPr>
      </w:pPr>
    </w:p>
    <w:p w14:paraId="5CDA32FE" w14:textId="77777777" w:rsidR="004323C0" w:rsidRPr="004323C0" w:rsidRDefault="004323C0" w:rsidP="00321C6F">
      <w:pPr>
        <w:pStyle w:val="BodyText"/>
        <w:keepNext/>
        <w:keepLines/>
        <w:jc w:val="both"/>
        <w:rPr>
          <w:rFonts w:ascii="Times New Roman" w:hAnsi="Times New Roman" w:cs="Times New Roman"/>
          <w:noProof/>
          <w:sz w:val="24"/>
          <w:szCs w:val="24"/>
        </w:rPr>
      </w:pPr>
      <w:r>
        <w:rPr>
          <w:rFonts w:ascii="Times New Roman" w:hAnsi="Times New Roman"/>
          <w:sz w:val="24"/>
        </w:rPr>
        <w:t>Attiecībā uz visiem mainīgajiem lielumiem termins “uzņēmumu populācija” attiecas uz Saimniecisko darbību statistiskās klasifikācijas (</w:t>
      </w:r>
      <w:r>
        <w:rPr>
          <w:rFonts w:ascii="Times New Roman" w:hAnsi="Times New Roman"/>
          <w:i/>
          <w:iCs/>
          <w:sz w:val="24"/>
        </w:rPr>
        <w:t>NACE</w:t>
      </w:r>
      <w:r>
        <w:rPr>
          <w:rFonts w:ascii="Times New Roman" w:hAnsi="Times New Roman"/>
          <w:sz w:val="24"/>
        </w:rPr>
        <w:t>) B–N sadaļā klasificētajiem tirgus ražotājiem</w:t>
      </w:r>
      <w:r w:rsidRPr="004323C0">
        <w:rPr>
          <w:rFonts w:ascii="Times New Roman" w:hAnsi="Times New Roman" w:cs="Times New Roman"/>
          <w:noProof/>
          <w:sz w:val="24"/>
          <w:szCs w:val="24"/>
          <w:vertAlign w:val="superscript"/>
        </w:rPr>
        <w:footnoteReference w:id="2"/>
      </w:r>
      <w:r>
        <w:rPr>
          <w:rFonts w:ascii="Times New Roman" w:hAnsi="Times New Roman"/>
          <w:sz w:val="24"/>
        </w:rPr>
        <w:t>, kuriem pārskata posma pēdējā gadā ir bijuši 50 vai vairāk darbinieki un pašnodarbinātās personas.</w:t>
      </w:r>
    </w:p>
    <w:p w14:paraId="39E3178F" w14:textId="77777777" w:rsidR="004323C0" w:rsidRPr="004323C0" w:rsidRDefault="004323C0" w:rsidP="004323C0">
      <w:pPr>
        <w:pStyle w:val="BodyText"/>
        <w:jc w:val="both"/>
        <w:rPr>
          <w:rFonts w:ascii="Times New Roman" w:hAnsi="Times New Roman" w:cs="Times New Roman"/>
          <w:noProof/>
          <w:sz w:val="24"/>
          <w:szCs w:val="24"/>
        </w:rPr>
      </w:pPr>
    </w:p>
    <w:p w14:paraId="580BA842"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KURA STATISTIKAS VIENĪBA TIEK IZMANTOTA DATU IZPLATĪŠANAI?</w:t>
      </w:r>
      <w:bookmarkStart w:id="11" w:name="WHICH_STATISTICAL_UNIT_IS_USED_FOR_DATA_"/>
      <w:bookmarkEnd w:id="11"/>
    </w:p>
    <w:p w14:paraId="5242C79D" w14:textId="77777777" w:rsidR="004323C0" w:rsidRPr="004323C0" w:rsidRDefault="004323C0" w:rsidP="004323C0">
      <w:pPr>
        <w:pStyle w:val="BodyText"/>
        <w:jc w:val="both"/>
        <w:rPr>
          <w:rFonts w:ascii="Times New Roman" w:hAnsi="Times New Roman" w:cs="Times New Roman"/>
          <w:noProof/>
          <w:sz w:val="24"/>
          <w:szCs w:val="24"/>
        </w:rPr>
      </w:pPr>
    </w:p>
    <w:p w14:paraId="66F0B17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EUS regulā statistikas vienība GVĶ jomai ir definēta kā “uzņēmums” (šā dokumenta pārējā tekstā vārds “uzņēmums” attiecas uz “statistikas vienību uzņēmumu”).</w:t>
      </w:r>
    </w:p>
    <w:p w14:paraId="3AD6185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color w:val="0066FF"/>
          <w:sz w:val="24"/>
        </w:rPr>
        <w:t xml:space="preserve">Padomes </w:t>
      </w:r>
      <w:r>
        <w:rPr>
          <w:rFonts w:ascii="Times New Roman" w:hAnsi="Times New Roman"/>
          <w:sz w:val="24"/>
        </w:rPr>
        <w:t>1993. gada 15. marta</w:t>
      </w:r>
      <w:r>
        <w:rPr>
          <w:rFonts w:ascii="Times New Roman" w:hAnsi="Times New Roman"/>
          <w:color w:val="0066FF"/>
          <w:sz w:val="24"/>
        </w:rPr>
        <w:t xml:space="preserve"> Regulas (EEK) Nr. 696/93</w:t>
      </w:r>
      <w:r>
        <w:rPr>
          <w:rFonts w:ascii="Times New Roman" w:hAnsi="Times New Roman"/>
          <w:sz w:val="24"/>
        </w:rPr>
        <w:t xml:space="preserve"> par statistikas vienībām ražošanas sistēmas novērošanai un analīzei Kopienā lietotā “uzņēmuma” definīcija ir sniegta ierāmējumā turpmāk tekstā.</w:t>
      </w:r>
    </w:p>
    <w:p w14:paraId="4270E58C" w14:textId="77777777" w:rsidR="004323C0" w:rsidRPr="004323C0" w:rsidRDefault="004323C0" w:rsidP="004323C0">
      <w:pPr>
        <w:pStyle w:val="BodyText"/>
        <w:tabs>
          <w:tab w:val="left" w:leader="dot" w:pos="9072"/>
        </w:tabs>
        <w:jc w:val="both"/>
        <w:rPr>
          <w:rFonts w:ascii="Times New Roman" w:hAnsi="Times New Roman" w:cs="Times New Roman"/>
          <w:b/>
          <w:bCs/>
          <w:noProof/>
          <w:color w:val="4F81BD" w:themeColor="accent1"/>
          <w:sz w:val="24"/>
          <w:szCs w:val="24"/>
        </w:rPr>
      </w:pPr>
      <w:r>
        <w:rPr>
          <w:rFonts w:ascii="Times New Roman" w:hAnsi="Times New Roman"/>
          <w:b/>
          <w:color w:val="4F81BD" w:themeColor="accent1"/>
          <w:sz w:val="24"/>
        </w:rPr>
        <w:tab/>
      </w:r>
    </w:p>
    <w:p w14:paraId="00231630"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Uzņēmuma definīcija</w:t>
      </w:r>
    </w:p>
    <w:p w14:paraId="5D16D93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“Uzņēmums ir vismazākais juridisko vienību apkopojums, kas ir organizatoriska vienība, kura ražo preces vai pakalpojumus un kurai ir noteikta autonomijas pakāpe lēmumu pieņemšanā, jo īpaši attiecībā uz tās pašreizējo līdzekļu piešķiršanu. Uzņēmums veic vienu vai vairākas darbības vienā vai vairākās vietās. Uzņēmums var būt viena juridiskā vienība.”</w:t>
      </w:r>
    </w:p>
    <w:p w14:paraId="50992D5D" w14:textId="77777777" w:rsidR="004323C0" w:rsidRPr="004323C0" w:rsidRDefault="004323C0" w:rsidP="004323C0">
      <w:pPr>
        <w:pStyle w:val="BodyText"/>
        <w:tabs>
          <w:tab w:val="left" w:leader="dot" w:pos="9072"/>
        </w:tabs>
        <w:jc w:val="both"/>
        <w:rPr>
          <w:rFonts w:ascii="Times New Roman" w:hAnsi="Times New Roman" w:cs="Times New Roman"/>
          <w:b/>
          <w:bCs/>
          <w:noProof/>
          <w:color w:val="4F81BD" w:themeColor="accent1"/>
          <w:sz w:val="24"/>
          <w:szCs w:val="24"/>
        </w:rPr>
      </w:pPr>
      <w:r>
        <w:rPr>
          <w:rFonts w:ascii="Times New Roman" w:hAnsi="Times New Roman"/>
          <w:b/>
          <w:color w:val="4F81BD" w:themeColor="accent1"/>
          <w:sz w:val="24"/>
        </w:rPr>
        <w:tab/>
      </w:r>
    </w:p>
    <w:p w14:paraId="1F6E2B18"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12" w:name="WHEN_ARE_THE_DATA_COLLECTED_AND_FOR_WHAT"/>
      <w:bookmarkEnd w:id="12"/>
    </w:p>
    <w:p w14:paraId="6077F72E"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KAD TIEK VĀKTI DATI UN PAR KĀDU PĀRSKATA POSMU?</w:t>
      </w:r>
    </w:p>
    <w:p w14:paraId="75529A24" w14:textId="77777777" w:rsidR="004323C0" w:rsidRPr="004323C0" w:rsidRDefault="004323C0" w:rsidP="004323C0">
      <w:pPr>
        <w:pStyle w:val="BodyText"/>
        <w:jc w:val="both"/>
        <w:rPr>
          <w:rFonts w:ascii="Times New Roman" w:hAnsi="Times New Roman" w:cs="Times New Roman"/>
          <w:noProof/>
          <w:sz w:val="24"/>
          <w:szCs w:val="24"/>
        </w:rPr>
      </w:pPr>
    </w:p>
    <w:p w14:paraId="7CF04FA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Dati tiek vākti par 3 gadu pārskata posmu ik pēc 3 gadiem (vienu reizi trīs gados). Pirmais pārskata posms ir 2021.–2023. gads. Pārskata posms var būt vai nu pilns 3 gadu posms, vai arī pārskata posma pēdējais gads.</w:t>
      </w:r>
    </w:p>
    <w:p w14:paraId="2A2C0419" w14:textId="77777777" w:rsidR="004323C0" w:rsidRPr="004323C0" w:rsidRDefault="004323C0" w:rsidP="004323C0">
      <w:pPr>
        <w:pStyle w:val="BodyText"/>
        <w:jc w:val="both"/>
        <w:rPr>
          <w:rFonts w:ascii="Times New Roman" w:hAnsi="Times New Roman" w:cs="Times New Roman"/>
          <w:noProof/>
          <w:sz w:val="24"/>
          <w:szCs w:val="24"/>
        </w:rPr>
      </w:pPr>
    </w:p>
    <w:p w14:paraId="75A5EB80"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13" w:name="WHEN_ARE_THE_DATA_TRANSMITTED?"/>
      <w:bookmarkEnd w:id="13"/>
      <w:r>
        <w:rPr>
          <w:rFonts w:ascii="Times New Roman" w:hAnsi="Times New Roman"/>
          <w:b/>
          <w:color w:val="466DB4"/>
          <w:sz w:val="24"/>
        </w:rPr>
        <w:t>KAD DATI TIEK NOSŪTĪTI?</w:t>
      </w:r>
    </w:p>
    <w:p w14:paraId="79488515" w14:textId="77777777" w:rsidR="004323C0" w:rsidRPr="004323C0" w:rsidRDefault="004323C0" w:rsidP="004323C0">
      <w:pPr>
        <w:pStyle w:val="BodyText"/>
        <w:jc w:val="both"/>
        <w:rPr>
          <w:rFonts w:ascii="Times New Roman" w:hAnsi="Times New Roman" w:cs="Times New Roman"/>
          <w:noProof/>
          <w:sz w:val="24"/>
          <w:szCs w:val="24"/>
        </w:rPr>
      </w:pPr>
    </w:p>
    <w:p w14:paraId="6E2672E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Dati tiek nosūtīti 21 mēnesi pēc pārskata posma beigām (T+21 mēnesis). 2021.–2023. gada pārskata posmā tas būtu 2025. gada 30. septembris.</w:t>
      </w:r>
    </w:p>
    <w:p w14:paraId="541421DA" w14:textId="77777777" w:rsidR="004323C0" w:rsidRPr="004323C0" w:rsidRDefault="004323C0" w:rsidP="004323C0">
      <w:pPr>
        <w:pStyle w:val="BodyText"/>
        <w:jc w:val="both"/>
        <w:rPr>
          <w:rFonts w:ascii="Times New Roman" w:hAnsi="Times New Roman" w:cs="Times New Roman"/>
          <w:noProof/>
          <w:sz w:val="24"/>
          <w:szCs w:val="24"/>
        </w:rPr>
      </w:pPr>
    </w:p>
    <w:p w14:paraId="236378BF" w14:textId="77777777" w:rsidR="004323C0" w:rsidRPr="004323C0" w:rsidRDefault="004323C0" w:rsidP="004323C0">
      <w:pPr>
        <w:pStyle w:val="Heading2"/>
        <w:rPr>
          <w:color w:val="auto"/>
        </w:rPr>
      </w:pPr>
      <w:bookmarkStart w:id="14" w:name="_TOC_250024"/>
      <w:bookmarkEnd w:id="14"/>
      <w:r>
        <w:rPr>
          <w:color w:val="auto"/>
        </w:rPr>
        <w:t>Saites</w:t>
      </w:r>
    </w:p>
    <w:p w14:paraId="3A1BF4FA" w14:textId="77777777" w:rsidR="004323C0" w:rsidRPr="004323C0" w:rsidRDefault="004323C0" w:rsidP="004323C0">
      <w:pPr>
        <w:pStyle w:val="ListParagraph"/>
        <w:tabs>
          <w:tab w:val="left" w:pos="2419"/>
          <w:tab w:val="left" w:pos="2421"/>
        </w:tabs>
        <w:spacing w:before="0"/>
        <w:ind w:left="0" w:firstLine="0"/>
        <w:rPr>
          <w:rFonts w:ascii="Times New Roman" w:hAnsi="Times New Roman" w:cs="Times New Roman"/>
          <w:b/>
          <w:noProof/>
          <w:sz w:val="24"/>
          <w:szCs w:val="24"/>
        </w:rPr>
      </w:pPr>
    </w:p>
    <w:p w14:paraId="5D92007F"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b/>
          <w:noProof/>
          <w:sz w:val="24"/>
          <w:szCs w:val="24"/>
        </w:rPr>
      </w:pPr>
      <w:r>
        <w:rPr>
          <w:rFonts w:ascii="Times New Roman" w:hAnsi="Times New Roman"/>
          <w:sz w:val="24"/>
        </w:rPr>
        <w:t xml:space="preserve">Eiropas Parlamenta un Padomes 2019. gada 27. novembra </w:t>
      </w:r>
      <w:r>
        <w:rPr>
          <w:rFonts w:ascii="Times New Roman" w:hAnsi="Times New Roman"/>
          <w:color w:val="0066FF"/>
          <w:sz w:val="24"/>
        </w:rPr>
        <w:t>Regula (ES) 2019/2152</w:t>
      </w:r>
      <w:r>
        <w:rPr>
          <w:rFonts w:ascii="Times New Roman" w:hAnsi="Times New Roman"/>
          <w:sz w:val="24"/>
        </w:rPr>
        <w:t xml:space="preserve"> par </w:t>
      </w:r>
      <w:r>
        <w:rPr>
          <w:rFonts w:ascii="Times New Roman" w:hAnsi="Times New Roman"/>
          <w:b/>
          <w:bCs/>
          <w:sz w:val="24"/>
        </w:rPr>
        <w:t>Eiropas uzņēmējdarbības statistiku</w:t>
      </w:r>
    </w:p>
    <w:p w14:paraId="4529F4A2"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color w:val="0066FF"/>
          <w:sz w:val="24"/>
        </w:rPr>
        <w:t>Komisijas</w:t>
      </w:r>
      <w:r>
        <w:rPr>
          <w:rFonts w:ascii="Times New Roman" w:hAnsi="Times New Roman"/>
          <w:sz w:val="24"/>
        </w:rPr>
        <w:t xml:space="preserve"> 2022. gada 13. jūnija </w:t>
      </w:r>
      <w:r>
        <w:rPr>
          <w:rFonts w:ascii="Times New Roman" w:hAnsi="Times New Roman"/>
          <w:color w:val="0066FF"/>
          <w:sz w:val="24"/>
        </w:rPr>
        <w:t>Īstenošanas regula (ES) 2022/918</w:t>
      </w:r>
      <w:r>
        <w:rPr>
          <w:rFonts w:ascii="Times New Roman" w:hAnsi="Times New Roman"/>
          <w:sz w:val="24"/>
        </w:rPr>
        <w:t xml:space="preserve">, ar ko nosaka datu prasību tehniskās specifikācijas tematam </w:t>
      </w:r>
      <w:r>
        <w:rPr>
          <w:rFonts w:ascii="Times New Roman" w:hAnsi="Times New Roman"/>
          <w:b/>
          <w:sz w:val="24"/>
        </w:rPr>
        <w:t>“Globālās vērtību ķēdes”</w:t>
      </w:r>
      <w:r>
        <w:rPr>
          <w:rFonts w:ascii="Times New Roman" w:hAnsi="Times New Roman"/>
          <w:sz w:val="24"/>
        </w:rPr>
        <w:t xml:space="preserve"> saskaņā ar Regulu (ES) 2019/2152</w:t>
      </w:r>
    </w:p>
    <w:p w14:paraId="759AC549" w14:textId="77777777" w:rsidR="004323C0" w:rsidRPr="004323C0" w:rsidRDefault="004323C0" w:rsidP="004323C0">
      <w:pPr>
        <w:pStyle w:val="ListParagraph"/>
        <w:numPr>
          <w:ilvl w:val="0"/>
          <w:numId w:val="25"/>
        </w:numPr>
        <w:tabs>
          <w:tab w:val="left" w:pos="851"/>
          <w:tab w:val="left" w:pos="2420"/>
        </w:tabs>
        <w:spacing w:before="0"/>
        <w:ind w:left="284" w:firstLine="0"/>
        <w:rPr>
          <w:rFonts w:ascii="Times New Roman" w:hAnsi="Times New Roman" w:cs="Times New Roman"/>
          <w:noProof/>
          <w:sz w:val="24"/>
          <w:szCs w:val="24"/>
        </w:rPr>
      </w:pPr>
      <w:r>
        <w:rPr>
          <w:rFonts w:ascii="Times New Roman" w:hAnsi="Times New Roman"/>
          <w:color w:val="0066FF"/>
          <w:sz w:val="24"/>
        </w:rPr>
        <w:t>Eiropas uzņēmējdarbības statistikas rokasgrāmata</w:t>
      </w:r>
    </w:p>
    <w:p w14:paraId="4D8F8AF0" w14:textId="77777777" w:rsidR="004323C0" w:rsidRPr="004323C0" w:rsidRDefault="004323C0" w:rsidP="004323C0">
      <w:pPr>
        <w:pStyle w:val="ListParagraph"/>
        <w:numPr>
          <w:ilvl w:val="0"/>
          <w:numId w:val="25"/>
        </w:numPr>
        <w:tabs>
          <w:tab w:val="left" w:pos="851"/>
          <w:tab w:val="left" w:pos="2420"/>
        </w:tabs>
        <w:spacing w:before="0"/>
        <w:ind w:left="284" w:firstLine="0"/>
        <w:rPr>
          <w:rFonts w:ascii="Times New Roman" w:hAnsi="Times New Roman" w:cs="Times New Roman"/>
          <w:noProof/>
          <w:sz w:val="24"/>
          <w:szCs w:val="24"/>
        </w:rPr>
      </w:pPr>
      <w:r>
        <w:rPr>
          <w:rFonts w:ascii="Times New Roman" w:hAnsi="Times New Roman"/>
          <w:i/>
          <w:iCs/>
          <w:sz w:val="24"/>
        </w:rPr>
        <w:t>Eurostat</w:t>
      </w:r>
      <w:r>
        <w:rPr>
          <w:rFonts w:ascii="Times New Roman" w:hAnsi="Times New Roman"/>
          <w:sz w:val="24"/>
        </w:rPr>
        <w:t xml:space="preserve"> </w:t>
      </w:r>
      <w:r>
        <w:rPr>
          <w:rFonts w:ascii="Times New Roman" w:hAnsi="Times New Roman"/>
          <w:color w:val="0066FF"/>
          <w:sz w:val="24"/>
        </w:rPr>
        <w:t>nodaļa, kas veltīta globālajām vērtību ķēdēm</w:t>
      </w:r>
    </w:p>
    <w:p w14:paraId="16D1F820"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Platformā </w:t>
      </w:r>
      <w:r>
        <w:rPr>
          <w:rFonts w:ascii="Times New Roman" w:hAnsi="Times New Roman"/>
          <w:i/>
          <w:iCs/>
          <w:sz w:val="24"/>
        </w:rPr>
        <w:t>Statistics Explained</w:t>
      </w:r>
      <w:r>
        <w:rPr>
          <w:rFonts w:ascii="Times New Roman" w:hAnsi="Times New Roman"/>
          <w:sz w:val="24"/>
        </w:rPr>
        <w:t xml:space="preserve"> publicētais raksts par </w:t>
      </w:r>
      <w:r>
        <w:rPr>
          <w:rFonts w:ascii="Times New Roman" w:hAnsi="Times New Roman"/>
          <w:color w:val="0066FF"/>
          <w:sz w:val="24"/>
        </w:rPr>
        <w:t>starptautisko sagādi, uzņēmējdarbības funkcijām un globālajām vērtību ķēdēm</w:t>
      </w:r>
    </w:p>
    <w:p w14:paraId="10289C6D"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Platformā </w:t>
      </w:r>
      <w:r>
        <w:rPr>
          <w:rFonts w:ascii="Times New Roman" w:hAnsi="Times New Roman"/>
          <w:i/>
          <w:iCs/>
          <w:sz w:val="24"/>
        </w:rPr>
        <w:t>Statistics Explained</w:t>
      </w:r>
      <w:r>
        <w:rPr>
          <w:rFonts w:ascii="Times New Roman" w:hAnsi="Times New Roman"/>
          <w:sz w:val="24"/>
        </w:rPr>
        <w:t xml:space="preserve"> publicētais raksts par </w:t>
      </w:r>
      <w:r>
        <w:rPr>
          <w:rFonts w:ascii="Times New Roman" w:hAnsi="Times New Roman"/>
          <w:color w:val="0066FF"/>
          <w:sz w:val="24"/>
        </w:rPr>
        <w:t>statistikas par starptautisko sagādi sasaisti ar citu uzņēmējdarbības statistiku</w:t>
      </w:r>
    </w:p>
    <w:p w14:paraId="0105A8F0" w14:textId="77777777" w:rsidR="004323C0" w:rsidRPr="004323C0" w:rsidRDefault="004323C0" w:rsidP="004323C0">
      <w:pPr>
        <w:rPr>
          <w:rFonts w:ascii="Times New Roman" w:hAnsi="Times New Roman" w:cs="Times New Roman"/>
          <w:noProof/>
          <w:sz w:val="24"/>
          <w:szCs w:val="24"/>
        </w:rPr>
      </w:pPr>
      <w:r>
        <w:br w:type="page"/>
      </w:r>
    </w:p>
    <w:p w14:paraId="099CBD82" w14:textId="5DEF641F" w:rsidR="004323C0" w:rsidRPr="004323C0" w:rsidRDefault="004323C0" w:rsidP="004323C0">
      <w:pPr>
        <w:pStyle w:val="Heading2"/>
        <w:jc w:val="center"/>
      </w:pPr>
      <w:bookmarkStart w:id="15" w:name="_TOC_250023"/>
      <w:bookmarkEnd w:id="15"/>
      <w:r>
        <w:t>2. Definīcijas</w:t>
      </w:r>
    </w:p>
    <w:p w14:paraId="5D1EE796" w14:textId="77777777" w:rsidR="004323C0" w:rsidRPr="004323C0" w:rsidRDefault="004323C0" w:rsidP="004323C0">
      <w:pPr>
        <w:pStyle w:val="BodyText"/>
        <w:jc w:val="both"/>
        <w:rPr>
          <w:rFonts w:ascii="Times New Roman" w:hAnsi="Times New Roman" w:cs="Times New Roman"/>
          <w:noProof/>
          <w:sz w:val="24"/>
          <w:szCs w:val="24"/>
        </w:rPr>
      </w:pPr>
    </w:p>
    <w:p w14:paraId="05A74AA6" w14:textId="77777777" w:rsidR="004323C0" w:rsidRPr="004323C0" w:rsidRDefault="004323C0" w:rsidP="004323C0">
      <w:pPr>
        <w:pStyle w:val="Heading2"/>
        <w:rPr>
          <w:color w:val="auto"/>
        </w:rPr>
      </w:pPr>
      <w:r>
        <w:rPr>
          <w:color w:val="auto"/>
        </w:rPr>
        <w:t>Ievads</w:t>
      </w:r>
    </w:p>
    <w:p w14:paraId="7DE77E05" w14:textId="77777777" w:rsidR="004323C0" w:rsidRPr="004323C0" w:rsidRDefault="004323C0" w:rsidP="004323C0">
      <w:pPr>
        <w:pStyle w:val="BodyText"/>
        <w:jc w:val="both"/>
        <w:rPr>
          <w:rFonts w:ascii="Times New Roman" w:hAnsi="Times New Roman" w:cs="Times New Roman"/>
          <w:noProof/>
          <w:sz w:val="24"/>
          <w:szCs w:val="24"/>
        </w:rPr>
      </w:pPr>
    </w:p>
    <w:p w14:paraId="34DA7D1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Šajā nodaļā ir sniegtas definīcijas dažādiem elementiem, kas tiek izmantoti, vācot GVĶ statistiku.</w:t>
      </w:r>
    </w:p>
    <w:p w14:paraId="3CFE2EE1" w14:textId="77777777" w:rsidR="004323C0" w:rsidRPr="004323C0" w:rsidRDefault="004323C0" w:rsidP="004323C0">
      <w:pPr>
        <w:pStyle w:val="ListParagraph"/>
        <w:numPr>
          <w:ilvl w:val="0"/>
          <w:numId w:val="25"/>
        </w:numPr>
        <w:tabs>
          <w:tab w:val="left" w:pos="851"/>
          <w:tab w:val="left" w:pos="2420"/>
        </w:tabs>
        <w:spacing w:before="0"/>
        <w:ind w:left="284" w:firstLine="0"/>
        <w:rPr>
          <w:rFonts w:ascii="Times New Roman" w:hAnsi="Times New Roman" w:cs="Times New Roman"/>
          <w:noProof/>
          <w:sz w:val="24"/>
          <w:szCs w:val="24"/>
        </w:rPr>
      </w:pPr>
      <w:r>
        <w:rPr>
          <w:rFonts w:ascii="Times New Roman" w:hAnsi="Times New Roman"/>
          <w:sz w:val="24"/>
        </w:rPr>
        <w:t>Apsekojuma pirmais jautājums ir par uzņēmējdarbības funkciju sadalījumu uzņēmumā.</w:t>
      </w:r>
    </w:p>
    <w:p w14:paraId="7E593ECF"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sz w:val="24"/>
        </w:rPr>
        <w:t>Tam seko jautājumi par GVĶ darbībām un uzņēmējdarbības funkciju starptautisko sagādi (tostarp jautājumi par starptautiskās sagādes veicinošiem un kavējošiem faktoriem).</w:t>
      </w:r>
    </w:p>
    <w:p w14:paraId="40CB7992"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sz w:val="24"/>
        </w:rPr>
        <w:t>Visbeidzot, tajā ir virkne jautājumu, kas palīdz novērtēt nesenu notikumu ietekmi uz starptautisko sagādi un GVĶ darbībām.</w:t>
      </w:r>
    </w:p>
    <w:p w14:paraId="59039EF1" w14:textId="77777777" w:rsidR="004323C0" w:rsidRPr="004323C0" w:rsidRDefault="004323C0" w:rsidP="004323C0">
      <w:pPr>
        <w:pStyle w:val="BodyText"/>
        <w:jc w:val="both"/>
        <w:rPr>
          <w:rFonts w:ascii="Times New Roman" w:hAnsi="Times New Roman" w:cs="Times New Roman"/>
          <w:noProof/>
          <w:sz w:val="24"/>
          <w:szCs w:val="24"/>
        </w:rPr>
      </w:pPr>
    </w:p>
    <w:p w14:paraId="7AF579A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Apsekojumā ir iekļauti šādi moduļi (šie moduļi ir atbilstoši jāpielāgo valsts apsekojumiem):</w:t>
      </w:r>
    </w:p>
    <w:p w14:paraId="3648463F"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1. modulis “Uzņēmējdarbības funkcija”</w:t>
      </w:r>
      <w:r>
        <w:rPr>
          <w:rFonts w:ascii="Times New Roman" w:hAnsi="Times New Roman"/>
          <w:sz w:val="24"/>
        </w:rPr>
        <w:t xml:space="preserve"> ietver jautājumus par darbinieku un pašnodarbināto personu sadalījumu katras uzņēmējdarbības funkcijas veikšanai uzņēmuma struktūrā;</w:t>
      </w:r>
    </w:p>
    <w:p w14:paraId="0DBBA53F"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2. modulī “GVĶ kārtība”</w:t>
      </w:r>
      <w:r>
        <w:rPr>
          <w:rFonts w:ascii="Times New Roman" w:hAnsi="Times New Roman"/>
          <w:sz w:val="24"/>
        </w:rPr>
        <w:t xml:space="preserve"> galvenā uzmanība ir pievērsta starptautiskās preču un pakalpojumu tirdzniecības iegādes un piegādes aspektiem un ir mēģināts novērtēt GVĶ tirdzniecību un dažus tās raksturlielumus;</w:t>
      </w:r>
    </w:p>
    <w:p w14:paraId="72BF2ADD"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3. modulis “Starptautiska sagāde”</w:t>
      </w:r>
      <w:r>
        <w:rPr>
          <w:rFonts w:ascii="Times New Roman" w:hAnsi="Times New Roman"/>
          <w:sz w:val="24"/>
        </w:rPr>
        <w:t xml:space="preserve"> ietver jautājumus, kas palīdz novērtēt starptautisko sagādi gan uzņēmumu grupā, gan ārpus tās, uzņēmējdarbības funkcijas, kas tiek iegūtas starptautiskās sagādes ceļā, un starptautiskās sagādes vietas un darbavietas, kas pārceltas uz ārvalstīm vai radītas starptautiskās sagādes darbības rezultātā atbilstoši katrai uzņēmējdarbības funkcijai;</w:t>
      </w:r>
    </w:p>
    <w:p w14:paraId="2ADC5D58"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4. modulī “Starptautiskās sagādes veicinošie un kavējošie faktori”</w:t>
      </w:r>
      <w:r>
        <w:rPr>
          <w:rFonts w:ascii="Times New Roman" w:hAnsi="Times New Roman"/>
          <w:sz w:val="24"/>
        </w:rPr>
        <w:t xml:space="preserve"> galvenā uzmanība vērsta uz šādiem diviem pamatjautājumiem: 1) kas veicina uzņēmumu starptautisku sagādi un 2) kādi kavējoši faktori tos attur no starptautiskas sagādes vai apgrūtina to;</w:t>
      </w:r>
    </w:p>
    <w:p w14:paraId="62F5B296" w14:textId="77777777" w:rsidR="004323C0" w:rsidRPr="004323C0" w:rsidRDefault="004323C0" w:rsidP="004323C0">
      <w:pPr>
        <w:pStyle w:val="ListParagraph"/>
        <w:numPr>
          <w:ilvl w:val="0"/>
          <w:numId w:val="25"/>
        </w:numPr>
        <w:tabs>
          <w:tab w:val="left" w:pos="851"/>
          <w:tab w:val="left" w:pos="2420"/>
          <w:tab w:val="left" w:pos="2422"/>
        </w:tabs>
        <w:spacing w:before="0"/>
        <w:ind w:left="284" w:firstLine="0"/>
        <w:rPr>
          <w:rFonts w:ascii="Times New Roman" w:hAnsi="Times New Roman" w:cs="Times New Roman"/>
          <w:noProof/>
          <w:sz w:val="24"/>
          <w:szCs w:val="24"/>
        </w:rPr>
      </w:pPr>
      <w:r>
        <w:rPr>
          <w:rFonts w:ascii="Times New Roman" w:hAnsi="Times New Roman"/>
          <w:b/>
          <w:sz w:val="24"/>
        </w:rPr>
        <w:t>5. modulis “Neseno notikumu ietekme uz ekonomikas globalizāciju”</w:t>
      </w:r>
      <w:r>
        <w:rPr>
          <w:rFonts w:ascii="Times New Roman" w:hAnsi="Times New Roman"/>
          <w:sz w:val="24"/>
        </w:rPr>
        <w:t xml:space="preserve"> ir jauns modulis, kas pārbauda GVĶ noturību pret neseniem pasaules mēroga notikumiem.</w:t>
      </w:r>
    </w:p>
    <w:p w14:paraId="06D1187C" w14:textId="77777777" w:rsidR="004323C0" w:rsidRPr="004323C0" w:rsidRDefault="004323C0" w:rsidP="004323C0">
      <w:pPr>
        <w:pStyle w:val="BodyText"/>
        <w:jc w:val="both"/>
        <w:rPr>
          <w:rFonts w:ascii="Times New Roman" w:hAnsi="Times New Roman" w:cs="Times New Roman"/>
          <w:noProof/>
          <w:sz w:val="24"/>
          <w:szCs w:val="24"/>
        </w:rPr>
      </w:pPr>
    </w:p>
    <w:p w14:paraId="1EA5076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Visos moduļos var būt neobligāti jautājumi vai jautājumi ar vairākām atbilžu iespējām. Moduļu nosaukumus var pielāgot, lai tie atbilstu to saturam.</w:t>
      </w:r>
    </w:p>
    <w:p w14:paraId="3C1A5A74" w14:textId="77777777" w:rsidR="004323C0" w:rsidRPr="004323C0" w:rsidRDefault="004323C0" w:rsidP="004323C0">
      <w:pPr>
        <w:pStyle w:val="BodyText"/>
        <w:jc w:val="both"/>
        <w:rPr>
          <w:rFonts w:ascii="Times New Roman" w:hAnsi="Times New Roman" w:cs="Times New Roman"/>
          <w:noProof/>
          <w:sz w:val="24"/>
          <w:szCs w:val="24"/>
        </w:rPr>
      </w:pPr>
    </w:p>
    <w:p w14:paraId="5A0CF206" w14:textId="77777777" w:rsidR="004323C0" w:rsidRPr="004323C0" w:rsidRDefault="004323C0" w:rsidP="004323C0">
      <w:pPr>
        <w:pStyle w:val="Heading2"/>
        <w:rPr>
          <w:color w:val="auto"/>
        </w:rPr>
      </w:pPr>
      <w:bookmarkStart w:id="16" w:name="_TOC_250022"/>
      <w:r>
        <w:rPr>
          <w:color w:val="auto"/>
        </w:rPr>
        <w:t>Konceptu</w:t>
      </w:r>
      <w:bookmarkEnd w:id="16"/>
      <w:r>
        <w:rPr>
          <w:color w:val="auto"/>
        </w:rPr>
        <w:t xml:space="preserve"> un mainīgo lielumu definīcijas</w:t>
      </w:r>
    </w:p>
    <w:p w14:paraId="3DADC0DF"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17" w:name="GENERAL_CONCEPTS"/>
      <w:bookmarkEnd w:id="17"/>
    </w:p>
    <w:p w14:paraId="4DCD0C0B"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VISPĀRĒJI JĒDZIENI</w:t>
      </w:r>
    </w:p>
    <w:p w14:paraId="4E53E474" w14:textId="77777777" w:rsidR="004323C0" w:rsidRPr="004323C0" w:rsidRDefault="004323C0" w:rsidP="004323C0">
      <w:pPr>
        <w:pStyle w:val="BodyText"/>
        <w:jc w:val="both"/>
        <w:rPr>
          <w:rFonts w:ascii="Times New Roman" w:hAnsi="Times New Roman" w:cs="Times New Roman"/>
          <w:b/>
          <w:bCs/>
          <w:noProof/>
          <w:color w:val="466DB4"/>
          <w:sz w:val="24"/>
          <w:szCs w:val="24"/>
        </w:rPr>
      </w:pPr>
    </w:p>
    <w:p w14:paraId="0370038C" w14:textId="77777777" w:rsidR="004323C0" w:rsidRPr="004323C0" w:rsidRDefault="004323C0" w:rsidP="004323C0">
      <w:pPr>
        <w:pStyle w:val="ListParagraph"/>
        <w:numPr>
          <w:ilvl w:val="0"/>
          <w:numId w:val="25"/>
        </w:numPr>
        <w:tabs>
          <w:tab w:val="left" w:pos="851"/>
          <w:tab w:val="left" w:pos="2420"/>
        </w:tabs>
        <w:spacing w:before="0"/>
        <w:ind w:left="284" w:firstLine="0"/>
        <w:rPr>
          <w:rFonts w:ascii="Times New Roman" w:hAnsi="Times New Roman" w:cs="Times New Roman"/>
          <w:noProof/>
          <w:sz w:val="24"/>
          <w:szCs w:val="24"/>
        </w:rPr>
      </w:pPr>
      <w:r>
        <w:rPr>
          <w:rFonts w:ascii="Times New Roman" w:hAnsi="Times New Roman"/>
          <w:b/>
          <w:sz w:val="24"/>
        </w:rPr>
        <w:t>Preces un materiāli</w:t>
      </w:r>
      <w:r>
        <w:rPr>
          <w:rFonts w:ascii="Times New Roman" w:hAnsi="Times New Roman"/>
          <w:sz w:val="24"/>
        </w:rPr>
        <w:t xml:space="preserve"> attiecas uz jebkuru kustamu īpašumu.</w:t>
      </w:r>
    </w:p>
    <w:p w14:paraId="7B44B752"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Pakalpojumi</w:t>
      </w:r>
      <w:r>
        <w:rPr>
          <w:rFonts w:ascii="Times New Roman" w:hAnsi="Times New Roman"/>
          <w:sz w:val="24"/>
        </w:rPr>
        <w:t xml:space="preserve"> ir tādas ražošanas rezultāts, kurā tiek izmainīti patērējošo vienību apstākļi (pārveidošanas pakalpojumi) vai veicināta produktu vai finanšu līdzekļu apmaiņa (pakalpojumi ar lielu peļņas normu). Pakalpojumus bieži ir grūti nošķirt no precēm, ar kurām tie var būt dažādā mērā saistīti. Tipiski pakalpojumu piemēri ir IKT pakalpojumi, administratīvie</w:t>
      </w:r>
      <w:bookmarkStart w:id="18" w:name="_bookmark1"/>
      <w:bookmarkEnd w:id="18"/>
      <w:r>
        <w:rPr>
          <w:rFonts w:ascii="Times New Roman" w:hAnsi="Times New Roman"/>
          <w:sz w:val="24"/>
        </w:rPr>
        <w:t xml:space="preserve"> pakalpojumi, tirgvedība, pārdošana, pakalpojumi tūrismā, ēdināšanas pakalpojumi un pētniecības un attīstības pakalpojumi.</w:t>
      </w:r>
    </w:p>
    <w:p w14:paraId="1639BE1A" w14:textId="77777777" w:rsidR="004323C0" w:rsidRPr="004323C0" w:rsidRDefault="004323C0" w:rsidP="004323C0">
      <w:pPr>
        <w:pStyle w:val="ListParagraph"/>
        <w:numPr>
          <w:ilvl w:val="0"/>
          <w:numId w:val="25"/>
        </w:numPr>
        <w:tabs>
          <w:tab w:val="left" w:pos="851"/>
          <w:tab w:val="left" w:pos="2421"/>
        </w:tabs>
        <w:spacing w:before="0"/>
        <w:ind w:left="284" w:firstLine="0"/>
        <w:rPr>
          <w:rFonts w:ascii="Times New Roman" w:hAnsi="Times New Roman" w:cs="Times New Roman"/>
          <w:noProof/>
          <w:sz w:val="24"/>
          <w:szCs w:val="24"/>
        </w:rPr>
      </w:pPr>
      <w:r>
        <w:rPr>
          <w:rFonts w:ascii="Times New Roman" w:hAnsi="Times New Roman"/>
          <w:b/>
          <w:sz w:val="24"/>
        </w:rPr>
        <w:t>Globālās vērtību ķēdes (GVĶ)</w:t>
      </w:r>
      <w:r>
        <w:rPr>
          <w:rFonts w:ascii="Times New Roman" w:hAnsi="Times New Roman"/>
          <w:sz w:val="24"/>
        </w:rPr>
        <w:t xml:space="preserve"> ietver visu to pārrobežu darbību klāstu dažādos ražošanas un piegādes posmos, kas nepieciešamas, lai produkts vai pakalpojums nonāktu līdz galapatērētājiem.</w:t>
      </w:r>
    </w:p>
    <w:p w14:paraId="403EA1EB" w14:textId="77777777" w:rsidR="004323C0" w:rsidRPr="004323C0" w:rsidRDefault="004323C0" w:rsidP="00CB2B1D">
      <w:pPr>
        <w:pStyle w:val="ListParagraph"/>
        <w:keepNext/>
        <w:keepLines/>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GVĶ tirdzniecība</w:t>
      </w:r>
      <w:r>
        <w:rPr>
          <w:rFonts w:ascii="Times New Roman" w:hAnsi="Times New Roman"/>
          <w:sz w:val="24"/>
        </w:rPr>
        <w:t xml:space="preserve"> attiecas uz jebkādu starptautisko tirdzniecību, kas notiek GVĶ ietvaros. Tā visbiežāk ietver starppatēriņa preču un pakalpojumu tirdzniecību.</w:t>
      </w:r>
    </w:p>
    <w:p w14:paraId="3DD6903C"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Tirdzniecība, kas nav GVĶ tirdzniecība</w:t>
      </w:r>
      <w:r>
        <w:rPr>
          <w:rFonts w:ascii="Times New Roman" w:hAnsi="Times New Roman"/>
          <w:sz w:val="24"/>
        </w:rPr>
        <w:t>, attiecas uz tādu starptautisko tirdzniecību, kas nenotiek GVĶ ietvaros. Visbiežāk tas attiecas uz preču un pakalpojumu iegādi gala izlietojumam.</w:t>
      </w:r>
    </w:p>
    <w:p w14:paraId="6B681BCB" w14:textId="77777777" w:rsidR="004323C0" w:rsidRPr="004323C0" w:rsidRDefault="004323C0" w:rsidP="004323C0">
      <w:pPr>
        <w:pStyle w:val="ListParagraph"/>
        <w:numPr>
          <w:ilvl w:val="0"/>
          <w:numId w:val="25"/>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b/>
          <w:sz w:val="24"/>
        </w:rPr>
        <w:t>Termins “ārvalstīs”</w:t>
      </w:r>
      <w:r>
        <w:rPr>
          <w:rFonts w:ascii="Times New Roman" w:hAnsi="Times New Roman"/>
          <w:sz w:val="24"/>
        </w:rPr>
        <w:t xml:space="preserve"> norāda vai nu preču vai pakalpojumu sniedzēju atrašanās vietu (saistībā ar jautājumiem par GVĶ kārtību), vai sagādes partnera atrašanās vietu. Tas nenorāda tirgoto preču vai pakalpojumu faktisko atrašanās vietu.</w:t>
      </w:r>
    </w:p>
    <w:p w14:paraId="13FF3E53" w14:textId="77777777" w:rsidR="004323C0" w:rsidRPr="004323C0" w:rsidRDefault="004323C0" w:rsidP="004323C0">
      <w:pPr>
        <w:pStyle w:val="BodyText"/>
        <w:jc w:val="both"/>
        <w:rPr>
          <w:rFonts w:ascii="Times New Roman" w:hAnsi="Times New Roman" w:cs="Times New Roman"/>
          <w:noProof/>
          <w:sz w:val="24"/>
          <w:szCs w:val="24"/>
        </w:rPr>
      </w:pPr>
    </w:p>
    <w:p w14:paraId="4206A82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Šajā terminā nav ņemta vērā galīgās kontrolējošās institucionālās vienības (GKIV) atrašanās vieta. Piemēram, ja Slovākijas uzņēmuma sagādes partneris atrodas Francijā, bet sagādes partnera GKIV atrodas ASV, sagādes valsts ir Francija. Attiecībā uz atrašanās vietu, ja preces vai pakalpojumi tiek iepirkti tieši no partnera Francijā, tad šo preču/pakalpojumu atrašanās vieta ir Francija, nevis ASV.</w:t>
      </w:r>
    </w:p>
    <w:p w14:paraId="146CD9C0" w14:textId="77777777" w:rsidR="004323C0" w:rsidRPr="004323C0" w:rsidRDefault="004323C0" w:rsidP="004323C0">
      <w:pPr>
        <w:pStyle w:val="BodyText"/>
        <w:jc w:val="both"/>
        <w:rPr>
          <w:rFonts w:ascii="Times New Roman" w:hAnsi="Times New Roman" w:cs="Times New Roman"/>
          <w:noProof/>
          <w:sz w:val="24"/>
          <w:szCs w:val="24"/>
        </w:rPr>
      </w:pPr>
    </w:p>
    <w:p w14:paraId="2EEA5379"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19" w:name="BUSINESS_FUNCTIONS"/>
      <w:bookmarkEnd w:id="19"/>
      <w:r>
        <w:rPr>
          <w:rFonts w:ascii="Times New Roman" w:hAnsi="Times New Roman"/>
          <w:b/>
          <w:color w:val="466DB4"/>
          <w:sz w:val="24"/>
        </w:rPr>
        <w:t>UZŅĒMĒJDARBĪBAS FUNKCIJAS</w:t>
      </w:r>
    </w:p>
    <w:p w14:paraId="6E910FB0" w14:textId="77777777" w:rsidR="004323C0" w:rsidRPr="004323C0" w:rsidRDefault="004323C0" w:rsidP="004323C0">
      <w:pPr>
        <w:pStyle w:val="BodyText"/>
        <w:jc w:val="both"/>
        <w:rPr>
          <w:rFonts w:ascii="Times New Roman" w:hAnsi="Times New Roman" w:cs="Times New Roman"/>
          <w:noProof/>
          <w:sz w:val="24"/>
          <w:szCs w:val="24"/>
        </w:rPr>
      </w:pPr>
    </w:p>
    <w:p w14:paraId="4E13BEC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Uzņēmējdarbības funkcijas tiek definētas kā kopīgu uzdevumu grupas, kas uzņēmumiem regulāri jāveic iekšēji vai ārēji, lai tirgū laistu preces vai pakalpojumus (piemēram, administrācija un pārvaldība, pētniecība un attīstība, tirgvedība un pārdošana). Uzņēmējdarbības </w:t>
      </w:r>
      <w:r>
        <w:rPr>
          <w:rFonts w:ascii="Times New Roman" w:hAnsi="Times New Roman"/>
          <w:b/>
          <w:sz w:val="24"/>
        </w:rPr>
        <w:t>funkcijas</w:t>
      </w:r>
      <w:r>
        <w:rPr>
          <w:rFonts w:ascii="Times New Roman" w:hAnsi="Times New Roman"/>
          <w:sz w:val="24"/>
        </w:rPr>
        <w:t xml:space="preserve"> parasti nošķir no uzņēmējdarbības </w:t>
      </w:r>
      <w:r>
        <w:rPr>
          <w:rFonts w:ascii="Times New Roman" w:hAnsi="Times New Roman"/>
          <w:b/>
          <w:sz w:val="24"/>
        </w:rPr>
        <w:t>procesiem</w:t>
      </w:r>
      <w:r>
        <w:rPr>
          <w:rFonts w:ascii="Times New Roman" w:hAnsi="Times New Roman"/>
          <w:sz w:val="24"/>
        </w:rPr>
        <w:t xml:space="preserve">, kuri attiecas uz darbu, kas tiek organizēts uz laiku, lai sasniegtu kādu konkrētu mērķi. Līdz ar to uzņēmējdarbības funkcijas organizācijā ir samērā stabilas, savukārt uzņēmējdarbības procesi ilgst tikai līdz mērķa sasniegšanai (atbilstoši </w:t>
      </w:r>
      <w:r>
        <w:rPr>
          <w:rFonts w:ascii="Times New Roman" w:hAnsi="Times New Roman"/>
          <w:color w:val="0066FF"/>
          <w:sz w:val="24"/>
        </w:rPr>
        <w:t>Uzņēmējdarbības funkciju klasifikācijas rokasgrāmatai</w:t>
      </w:r>
      <w:r>
        <w:rPr>
          <w:rFonts w:ascii="Times New Roman" w:hAnsi="Times New Roman"/>
          <w:sz w:val="24"/>
        </w:rPr>
        <w:t>).</w:t>
      </w:r>
    </w:p>
    <w:p w14:paraId="668A010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Pastāv divi galvenie uzņēmējdarbības funkciju veidi: uzņēmējdarbības pamatfunkcijas un uzņēmējdarbības atbalsta funkcijas. Apsekojumā ir izmantoti astoņi uzņēmējdarbības funkciju veidi. Sīku informāciju par uzņēmējdarbības funkcijām, to izmantošanas un identifikācijas iespējām var atrast </w:t>
      </w:r>
      <w:r>
        <w:rPr>
          <w:rFonts w:ascii="Times New Roman" w:hAnsi="Times New Roman"/>
          <w:color w:val="0066FF"/>
          <w:sz w:val="24"/>
        </w:rPr>
        <w:t>Uzņēmējdarbības funkciju klasifikācijas rokasgrāmatā</w:t>
      </w:r>
      <w:r>
        <w:rPr>
          <w:rFonts w:ascii="Times New Roman" w:hAnsi="Times New Roman"/>
          <w:sz w:val="24"/>
        </w:rPr>
        <w:t xml:space="preserve">, kur aprakstīta </w:t>
      </w:r>
      <w:r>
        <w:rPr>
          <w:rFonts w:ascii="Times New Roman" w:hAnsi="Times New Roman"/>
          <w:color w:val="0066FF"/>
          <w:sz w:val="24"/>
        </w:rPr>
        <w:t>uzņēmējdarbības funkciju klasifikācija (UFK)</w:t>
      </w:r>
      <w:r>
        <w:rPr>
          <w:rFonts w:ascii="Times New Roman" w:hAnsi="Times New Roman"/>
          <w:sz w:val="24"/>
        </w:rPr>
        <w:t>. ES GVĶ statistikā tiek izmantota UFK.</w:t>
      </w:r>
    </w:p>
    <w:p w14:paraId="575545C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GVĶ apsekojumā izmantojamās uzņēmējdarbības funkcijas ir norādītas 2. tabulā. Šajā uzskaitījumā ir piemēri arī tam, kas ir iekļauts katrā uzņēmējdarbības funkcijā.</w:t>
      </w:r>
    </w:p>
    <w:p w14:paraId="7D61AE0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Lai respondentiem paskaidrotu frāzi “</w:t>
      </w:r>
      <w:r>
        <w:rPr>
          <w:rFonts w:ascii="Times New Roman" w:hAnsi="Times New Roman"/>
          <w:b/>
          <w:sz w:val="24"/>
        </w:rPr>
        <w:t>citi pakalpojumi</w:t>
      </w:r>
      <w:r>
        <w:rPr>
          <w:rFonts w:ascii="Times New Roman" w:hAnsi="Times New Roman"/>
          <w:sz w:val="24"/>
        </w:rPr>
        <w:t xml:space="preserve">”, jautājumam par uzņēmējdarbības funkciju sadali ir ieteicams pievienot tipiskākos citu pakalpojumu piemērus. Dažas VSI ir atklājušas, ka, izmantojot trešā līmeņa sadalījumu (saskaņā ar </w:t>
      </w:r>
      <w:r>
        <w:rPr>
          <w:rFonts w:ascii="Times New Roman" w:hAnsi="Times New Roman"/>
          <w:color w:val="0066FF"/>
          <w:sz w:val="24"/>
        </w:rPr>
        <w:t>UFK</w:t>
      </w:r>
      <w:r>
        <w:rPr>
          <w:rFonts w:ascii="Times New Roman" w:hAnsi="Times New Roman"/>
          <w:sz w:val="24"/>
        </w:rPr>
        <w:t>), tās var savākt precīzākas atbildes:</w:t>
      </w:r>
    </w:p>
    <w:p w14:paraId="275EA6ED" w14:textId="77777777" w:rsidR="004323C0" w:rsidRPr="004323C0" w:rsidRDefault="004323C0" w:rsidP="004323C0">
      <w:pPr>
        <w:pStyle w:val="ListParagraph"/>
        <w:tabs>
          <w:tab w:val="left" w:pos="2420"/>
          <w:tab w:val="left" w:pos="2422"/>
        </w:tabs>
        <w:spacing w:before="0"/>
        <w:ind w:left="284" w:firstLine="0"/>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objektu apsaimniekošana</w:t>
      </w:r>
      <w:r>
        <w:rPr>
          <w:rFonts w:ascii="Times New Roman" w:hAnsi="Times New Roman"/>
          <w:sz w:val="24"/>
        </w:rPr>
        <w:t xml:space="preserve"> (izmitināšana, ēdināšanas un dzērienu nodrošināšanas pakalpojumi, uzkopšanas pakalpojumi, ainavu pakalpojumi, nekustamā īpašuma nomas pakalpojumi, bibliotēku darbība, muzeju darbība un sporta centru darbība);</w:t>
      </w:r>
    </w:p>
    <w:p w14:paraId="75369E26" w14:textId="77777777" w:rsidR="004323C0" w:rsidRPr="004323C0" w:rsidRDefault="004323C0" w:rsidP="004323C0">
      <w:pPr>
        <w:pStyle w:val="ListParagraph"/>
        <w:tabs>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apkopes un remonta pakalpojumi</w:t>
      </w:r>
      <w:r>
        <w:rPr>
          <w:rFonts w:ascii="Times New Roman" w:hAnsi="Times New Roman"/>
          <w:sz w:val="24"/>
        </w:rPr>
        <w:t xml:space="preserve"> (ar IKT nesaistītu elektronisko iekārtu, transportlīdzekļu un personīgo un mājsaimniecības preču apkope un remonts);</w:t>
      </w:r>
    </w:p>
    <w:p w14:paraId="4B5DFFA8" w14:textId="77777777" w:rsidR="004323C0" w:rsidRPr="004323C0" w:rsidRDefault="004323C0" w:rsidP="004323C0">
      <w:pPr>
        <w:pStyle w:val="ListParagraph"/>
        <w:tabs>
          <w:tab w:val="left" w:pos="2420"/>
          <w:tab w:val="left" w:pos="2422"/>
        </w:tabs>
        <w:spacing w:before="0"/>
        <w:ind w:left="284" w:firstLine="0"/>
        <w:rPr>
          <w:rFonts w:ascii="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citi pakalpojumi, kas nav iekļauti citur</w:t>
      </w:r>
      <w:r>
        <w:rPr>
          <w:rFonts w:ascii="Times New Roman" w:hAnsi="Times New Roman"/>
          <w:sz w:val="24"/>
        </w:rPr>
        <w:t xml:space="preserve"> (ūdensapgāde, atkritumu savākšana un kanalizācija, attīrīšanas pakalpojumi, profesionālie pakalpojumi (piemēram, fotografēšana un tulkošana), grāmatu un periodisko izdevumu izdošana, ceļojumu aģentūru darbība, noma un operatīvā izpirkumnoma, apsardzes pakalpojumi, izglītība, cilvēku veselības aprūpe un ģimenes tipa aprūpe, sociālie pakalpojumi, azartspēles un derības, sporta pasākumi, izņemot objektu apsaimniekošanu, kā arī organizāciju darbība un mājsaimniecību darbības).</w:t>
      </w:r>
    </w:p>
    <w:p w14:paraId="7025A094" w14:textId="77777777" w:rsidR="004323C0" w:rsidRPr="004323C0" w:rsidRDefault="004323C0" w:rsidP="004323C0">
      <w:pPr>
        <w:jc w:val="both"/>
        <w:rPr>
          <w:rFonts w:ascii="Times New Roman" w:hAnsi="Times New Roman" w:cs="Times New Roman"/>
          <w:noProof/>
          <w:sz w:val="24"/>
          <w:szCs w:val="24"/>
        </w:rPr>
      </w:pPr>
    </w:p>
    <w:p w14:paraId="6E8E31B8" w14:textId="77777777" w:rsidR="004323C0" w:rsidRPr="004323C0" w:rsidRDefault="004323C0" w:rsidP="00321C6F">
      <w:pPr>
        <w:keepNext/>
        <w:keepLines/>
        <w:jc w:val="both"/>
        <w:rPr>
          <w:rFonts w:ascii="Times New Roman" w:hAnsi="Times New Roman" w:cs="Times New Roman"/>
          <w:b/>
          <w:noProof/>
          <w:sz w:val="24"/>
          <w:szCs w:val="24"/>
        </w:rPr>
      </w:pPr>
      <w:r>
        <w:rPr>
          <w:rFonts w:ascii="Times New Roman" w:hAnsi="Times New Roman"/>
          <w:b/>
          <w:sz w:val="24"/>
        </w:rPr>
        <w:t>2. tabula. Uzņēmējdarbības funkciju uzskaitījums</w:t>
      </w:r>
    </w:p>
    <w:p w14:paraId="601645AB" w14:textId="77777777" w:rsidR="004323C0" w:rsidRPr="004323C0" w:rsidRDefault="004323C0" w:rsidP="00321C6F">
      <w:pPr>
        <w:pStyle w:val="BodyText"/>
        <w:keepNext/>
        <w:keepLines/>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10"/>
        <w:gridCol w:w="614"/>
        <w:gridCol w:w="8107"/>
      </w:tblGrid>
      <w:tr w:rsidR="004323C0" w:rsidRPr="004323C0" w14:paraId="20E1BAD0" w14:textId="77777777">
        <w:tc>
          <w:tcPr>
            <w:tcW w:w="225" w:type="pct"/>
            <w:tcBorders>
              <w:top w:val="single" w:sz="4" w:space="0" w:color="466DB4"/>
              <w:bottom w:val="single" w:sz="4" w:space="0" w:color="466DB4"/>
            </w:tcBorders>
            <w:shd w:val="clear" w:color="auto" w:fill="CDDCEF"/>
          </w:tcPr>
          <w:p w14:paraId="517BABA1" w14:textId="77777777" w:rsidR="004323C0" w:rsidRPr="004323C0" w:rsidRDefault="004323C0" w:rsidP="00321C6F">
            <w:pPr>
              <w:pStyle w:val="TableParagraph"/>
              <w:keepNext/>
              <w:keepLines/>
              <w:spacing w:before="0"/>
              <w:jc w:val="center"/>
              <w:rPr>
                <w:rFonts w:ascii="Times New Roman" w:hAnsi="Times New Roman" w:cs="Times New Roman"/>
                <w:b/>
                <w:noProof/>
                <w:sz w:val="24"/>
                <w:szCs w:val="24"/>
              </w:rPr>
            </w:pPr>
            <w:r>
              <w:rPr>
                <w:rFonts w:ascii="Times New Roman" w:hAnsi="Times New Roman"/>
                <w:b/>
                <w:sz w:val="24"/>
              </w:rPr>
              <w:t>Nr.</w:t>
            </w:r>
          </w:p>
        </w:tc>
        <w:tc>
          <w:tcPr>
            <w:tcW w:w="336" w:type="pct"/>
            <w:tcBorders>
              <w:top w:val="single" w:sz="4" w:space="0" w:color="466DB4"/>
              <w:bottom w:val="single" w:sz="4" w:space="0" w:color="466DB4"/>
            </w:tcBorders>
            <w:shd w:val="clear" w:color="auto" w:fill="CDDCEF"/>
          </w:tcPr>
          <w:p w14:paraId="107418A8" w14:textId="77777777" w:rsidR="004323C0" w:rsidRPr="004323C0" w:rsidRDefault="004323C0" w:rsidP="00321C6F">
            <w:pPr>
              <w:pStyle w:val="TableParagraph"/>
              <w:keepNext/>
              <w:keepLines/>
              <w:spacing w:before="0"/>
              <w:jc w:val="center"/>
              <w:rPr>
                <w:rFonts w:ascii="Times New Roman" w:hAnsi="Times New Roman" w:cs="Times New Roman"/>
                <w:b/>
                <w:noProof/>
                <w:sz w:val="24"/>
                <w:szCs w:val="24"/>
              </w:rPr>
            </w:pPr>
            <w:r>
              <w:rPr>
                <w:rFonts w:ascii="Times New Roman" w:hAnsi="Times New Roman"/>
                <w:b/>
                <w:sz w:val="24"/>
              </w:rPr>
              <w:t>UFK Nr.</w:t>
            </w:r>
          </w:p>
        </w:tc>
        <w:tc>
          <w:tcPr>
            <w:tcW w:w="4440" w:type="pct"/>
            <w:tcBorders>
              <w:top w:val="single" w:sz="4" w:space="0" w:color="466DB4"/>
              <w:bottom w:val="single" w:sz="4" w:space="0" w:color="466DB4"/>
            </w:tcBorders>
            <w:shd w:val="clear" w:color="auto" w:fill="CDDCEF"/>
          </w:tcPr>
          <w:p w14:paraId="50E29E5A" w14:textId="77777777" w:rsidR="004323C0" w:rsidRPr="004323C0" w:rsidRDefault="004323C0" w:rsidP="00321C6F">
            <w:pPr>
              <w:pStyle w:val="TableParagraph"/>
              <w:keepNext/>
              <w:keepLines/>
              <w:spacing w:before="0"/>
              <w:jc w:val="both"/>
              <w:rPr>
                <w:rFonts w:ascii="Times New Roman" w:hAnsi="Times New Roman" w:cs="Times New Roman"/>
                <w:b/>
                <w:noProof/>
                <w:sz w:val="24"/>
                <w:szCs w:val="24"/>
              </w:rPr>
            </w:pPr>
            <w:r>
              <w:rPr>
                <w:rFonts w:ascii="Times New Roman" w:hAnsi="Times New Roman"/>
                <w:b/>
                <w:sz w:val="24"/>
              </w:rPr>
              <w:t>Preču ražošana</w:t>
            </w:r>
          </w:p>
        </w:tc>
      </w:tr>
      <w:tr w:rsidR="004323C0" w:rsidRPr="004323C0" w14:paraId="60A7000F" w14:textId="77777777">
        <w:tc>
          <w:tcPr>
            <w:tcW w:w="225" w:type="pct"/>
            <w:tcBorders>
              <w:top w:val="single" w:sz="4" w:space="0" w:color="466DB4"/>
              <w:bottom w:val="single" w:sz="4" w:space="0" w:color="466DB4"/>
            </w:tcBorders>
            <w:shd w:val="clear" w:color="auto" w:fill="CDDCEF"/>
          </w:tcPr>
          <w:p w14:paraId="0EC8886B" w14:textId="77777777" w:rsidR="004323C0" w:rsidRPr="004323C0" w:rsidRDefault="004323C0" w:rsidP="00321C6F">
            <w:pPr>
              <w:pStyle w:val="TableParagraph"/>
              <w:keepNext/>
              <w:keepLines/>
              <w:spacing w:before="0"/>
              <w:jc w:val="center"/>
              <w:rPr>
                <w:rFonts w:ascii="Times New Roman" w:hAnsi="Times New Roman" w:cs="Times New Roman"/>
                <w:b/>
                <w:noProof/>
                <w:sz w:val="24"/>
                <w:szCs w:val="24"/>
              </w:rPr>
            </w:pPr>
            <w:r>
              <w:rPr>
                <w:rFonts w:ascii="Times New Roman" w:hAnsi="Times New Roman"/>
                <w:b/>
                <w:sz w:val="24"/>
              </w:rPr>
              <w:t>1.</w:t>
            </w:r>
          </w:p>
        </w:tc>
        <w:tc>
          <w:tcPr>
            <w:tcW w:w="336" w:type="pct"/>
            <w:tcBorders>
              <w:top w:val="single" w:sz="4" w:space="0" w:color="466DB4"/>
              <w:bottom w:val="single" w:sz="4" w:space="0" w:color="466DB4"/>
            </w:tcBorders>
          </w:tcPr>
          <w:p w14:paraId="3E2635F5" w14:textId="77777777" w:rsidR="004323C0" w:rsidRPr="004323C0" w:rsidRDefault="004323C0" w:rsidP="00321C6F">
            <w:pPr>
              <w:pStyle w:val="TableParagraph"/>
              <w:keepNext/>
              <w:keepLines/>
              <w:spacing w:before="0"/>
              <w:jc w:val="center"/>
              <w:rPr>
                <w:rFonts w:ascii="Times New Roman" w:hAnsi="Times New Roman" w:cs="Times New Roman"/>
                <w:b/>
                <w:noProof/>
                <w:sz w:val="24"/>
                <w:szCs w:val="24"/>
              </w:rPr>
            </w:pPr>
            <w:r>
              <w:rPr>
                <w:rFonts w:ascii="Times New Roman" w:hAnsi="Times New Roman"/>
                <w:b/>
                <w:sz w:val="24"/>
              </w:rPr>
              <w:t>1.</w:t>
            </w:r>
          </w:p>
        </w:tc>
        <w:tc>
          <w:tcPr>
            <w:tcW w:w="4440" w:type="pct"/>
            <w:tcBorders>
              <w:top w:val="single" w:sz="4" w:space="0" w:color="466DB4"/>
              <w:bottom w:val="single" w:sz="4" w:space="0" w:color="466DB4"/>
            </w:tcBorders>
          </w:tcPr>
          <w:p w14:paraId="5AF0BD9C" w14:textId="77777777" w:rsidR="004323C0" w:rsidRPr="004323C0" w:rsidRDefault="004323C0" w:rsidP="00321C6F">
            <w:pPr>
              <w:pStyle w:val="TableParagraph"/>
              <w:keepNext/>
              <w:keepLines/>
              <w:spacing w:before="0"/>
              <w:jc w:val="both"/>
              <w:rPr>
                <w:rFonts w:ascii="Times New Roman" w:hAnsi="Times New Roman" w:cs="Times New Roman"/>
                <w:b/>
                <w:noProof/>
                <w:sz w:val="24"/>
                <w:szCs w:val="24"/>
              </w:rPr>
            </w:pPr>
            <w:r>
              <w:rPr>
                <w:rFonts w:ascii="Times New Roman" w:hAnsi="Times New Roman"/>
                <w:b/>
                <w:sz w:val="24"/>
              </w:rPr>
              <w:t>Preču ražošana</w:t>
            </w:r>
          </w:p>
        </w:tc>
      </w:tr>
      <w:tr w:rsidR="004323C0" w:rsidRPr="004323C0" w14:paraId="109ED4F0" w14:textId="77777777">
        <w:tc>
          <w:tcPr>
            <w:tcW w:w="225" w:type="pct"/>
            <w:tcBorders>
              <w:top w:val="single" w:sz="4" w:space="0" w:color="466DB4"/>
              <w:bottom w:val="single" w:sz="4" w:space="0" w:color="466DB4"/>
            </w:tcBorders>
          </w:tcPr>
          <w:p w14:paraId="01BA18FE" w14:textId="77777777" w:rsidR="004323C0" w:rsidRPr="004323C0" w:rsidRDefault="004323C0" w:rsidP="00321C6F">
            <w:pPr>
              <w:pStyle w:val="TableParagraph"/>
              <w:keepNext/>
              <w:keepLines/>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5B5D7E12" w14:textId="77777777" w:rsidR="004323C0" w:rsidRPr="004323C0" w:rsidRDefault="004323C0" w:rsidP="00321C6F">
            <w:pPr>
              <w:pStyle w:val="TableParagraph"/>
              <w:keepNext/>
              <w:keepLines/>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2CBA626B" w14:textId="77777777" w:rsidR="004323C0" w:rsidRPr="004323C0" w:rsidRDefault="004323C0" w:rsidP="00321C6F">
            <w:pPr>
              <w:pStyle w:val="TableParagraph"/>
              <w:keepNext/>
              <w:keepLines/>
              <w:spacing w:before="0"/>
              <w:jc w:val="both"/>
              <w:rPr>
                <w:rFonts w:ascii="Times New Roman" w:hAnsi="Times New Roman" w:cs="Times New Roman"/>
                <w:noProof/>
                <w:sz w:val="24"/>
                <w:szCs w:val="24"/>
              </w:rPr>
            </w:pPr>
            <w:r>
              <w:rPr>
                <w:rFonts w:ascii="Times New Roman" w:hAnsi="Times New Roman"/>
                <w:sz w:val="24"/>
              </w:rPr>
              <w:t>Ražošana, apstrāde, montāža, attīrīšana, iespiešana un iesiešana, metālu liešana, kuģu būve, ieguves rūpniecība, gāzes un naftas ieguve, akmeņu ieguve, elektroenerģijas izstrāde (izņemot elektroenerģijas tirdzniecību), būvprojektu izstrāde, inženiertehniskā būvniecība, specializētie būvniecības uzdevumi (tostarp nojaukšana), augu audzēšana,</w:t>
            </w:r>
          </w:p>
          <w:p w14:paraId="055E603E" w14:textId="77777777" w:rsidR="004323C0" w:rsidRPr="004323C0" w:rsidRDefault="004323C0" w:rsidP="00321C6F">
            <w:pPr>
              <w:pStyle w:val="TableParagraph"/>
              <w:keepNext/>
              <w:keepLines/>
              <w:spacing w:before="0"/>
              <w:jc w:val="both"/>
              <w:rPr>
                <w:rFonts w:ascii="Times New Roman" w:hAnsi="Times New Roman" w:cs="Times New Roman"/>
                <w:noProof/>
                <w:sz w:val="24"/>
                <w:szCs w:val="24"/>
              </w:rPr>
            </w:pPr>
            <w:r>
              <w:rPr>
                <w:rFonts w:ascii="Times New Roman" w:hAnsi="Times New Roman"/>
                <w:sz w:val="24"/>
              </w:rPr>
              <w:t>dzīvnieku audzēšana, medības, mežsaimniecība, mežizstrāde un makšķerēšana.</w:t>
            </w:r>
          </w:p>
        </w:tc>
      </w:tr>
      <w:tr w:rsidR="004323C0" w:rsidRPr="004323C0" w14:paraId="3B53C10D" w14:textId="77777777">
        <w:tc>
          <w:tcPr>
            <w:tcW w:w="225" w:type="pct"/>
            <w:tcBorders>
              <w:top w:val="single" w:sz="4" w:space="0" w:color="466DB4"/>
              <w:bottom w:val="single" w:sz="4" w:space="0" w:color="466DB4"/>
            </w:tcBorders>
          </w:tcPr>
          <w:p w14:paraId="385BA752"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2F2ECE1B"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31A5A911" w14:textId="77777777" w:rsidR="004323C0" w:rsidRPr="004323C0" w:rsidRDefault="004323C0">
            <w:pPr>
              <w:pStyle w:val="TableParagraph"/>
              <w:spacing w:before="0"/>
              <w:jc w:val="both"/>
              <w:rPr>
                <w:rFonts w:ascii="Times New Roman" w:hAnsi="Times New Roman" w:cs="Times New Roman"/>
                <w:noProof/>
                <w:sz w:val="24"/>
                <w:szCs w:val="24"/>
              </w:rPr>
            </w:pPr>
          </w:p>
        </w:tc>
      </w:tr>
      <w:tr w:rsidR="004323C0" w:rsidRPr="004323C0" w14:paraId="175BC4E4" w14:textId="77777777">
        <w:tc>
          <w:tcPr>
            <w:tcW w:w="225" w:type="pct"/>
            <w:tcBorders>
              <w:top w:val="single" w:sz="4" w:space="0" w:color="466DB4"/>
              <w:bottom w:val="single" w:sz="4" w:space="0" w:color="466DB4"/>
            </w:tcBorders>
            <w:shd w:val="clear" w:color="auto" w:fill="CDDCEF"/>
          </w:tcPr>
          <w:p w14:paraId="1721DB54"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shd w:val="clear" w:color="auto" w:fill="CDDCEF"/>
          </w:tcPr>
          <w:p w14:paraId="08E7E38F"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shd w:val="clear" w:color="auto" w:fill="CDDCEF"/>
          </w:tcPr>
          <w:p w14:paraId="4311A7B6"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Pakalpojumu sniegšana</w:t>
            </w:r>
          </w:p>
        </w:tc>
      </w:tr>
      <w:tr w:rsidR="004323C0" w:rsidRPr="004323C0" w14:paraId="59296ED4" w14:textId="77777777">
        <w:tc>
          <w:tcPr>
            <w:tcW w:w="225" w:type="pct"/>
            <w:tcBorders>
              <w:top w:val="single" w:sz="4" w:space="0" w:color="466DB4"/>
              <w:bottom w:val="single" w:sz="4" w:space="0" w:color="466DB4"/>
            </w:tcBorders>
            <w:shd w:val="clear" w:color="auto" w:fill="CDDCEF"/>
          </w:tcPr>
          <w:p w14:paraId="369D1527"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w:t>
            </w:r>
          </w:p>
        </w:tc>
        <w:tc>
          <w:tcPr>
            <w:tcW w:w="336" w:type="pct"/>
            <w:tcBorders>
              <w:top w:val="single" w:sz="4" w:space="0" w:color="466DB4"/>
              <w:bottom w:val="single" w:sz="4" w:space="0" w:color="466DB4"/>
            </w:tcBorders>
          </w:tcPr>
          <w:p w14:paraId="43414718"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2.1.</w:t>
            </w:r>
          </w:p>
        </w:tc>
        <w:tc>
          <w:tcPr>
            <w:tcW w:w="4440" w:type="pct"/>
            <w:tcBorders>
              <w:top w:val="single" w:sz="4" w:space="0" w:color="466DB4"/>
              <w:bottom w:val="single" w:sz="4" w:space="0" w:color="466DB4"/>
            </w:tcBorders>
          </w:tcPr>
          <w:p w14:paraId="3A5139F6"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Pārvaldība un administrācija</w:t>
            </w:r>
          </w:p>
        </w:tc>
      </w:tr>
      <w:tr w:rsidR="004323C0" w:rsidRPr="004323C0" w14:paraId="16CC6AE3" w14:textId="77777777">
        <w:tc>
          <w:tcPr>
            <w:tcW w:w="225" w:type="pct"/>
            <w:tcBorders>
              <w:top w:val="single" w:sz="4" w:space="0" w:color="466DB4"/>
              <w:bottom w:val="single" w:sz="4" w:space="0" w:color="466DB4"/>
            </w:tcBorders>
          </w:tcPr>
          <w:p w14:paraId="258D9A67"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44691DA9"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0FA3B7BC"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Finanšu pakalpojumi (piemēram, banku darbība, apdrošināšana, finanšu noma un fondu pārvaldība), galveno biroju darbība, cilvēkresursu vadība, finanšu tirgu pārvaldība, juridiskie uzdevumi, grāmatvedība, uzskaite un revīzija, biroja pārvaldība, uzņēmējdarbības atbalsta pakalpojumi un valsts pārvaldes pakalpojumi.</w:t>
            </w:r>
          </w:p>
        </w:tc>
      </w:tr>
      <w:tr w:rsidR="004323C0" w:rsidRPr="004323C0" w14:paraId="5284F4AE" w14:textId="77777777">
        <w:tc>
          <w:tcPr>
            <w:tcW w:w="225" w:type="pct"/>
            <w:tcBorders>
              <w:top w:val="single" w:sz="4" w:space="0" w:color="466DB4"/>
              <w:bottom w:val="single" w:sz="4" w:space="0" w:color="466DB4"/>
            </w:tcBorders>
          </w:tcPr>
          <w:p w14:paraId="3B2D33CC"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5028EED4"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2.2.</w:t>
            </w:r>
          </w:p>
        </w:tc>
        <w:tc>
          <w:tcPr>
            <w:tcW w:w="4440" w:type="pct"/>
            <w:tcBorders>
              <w:top w:val="single" w:sz="4" w:space="0" w:color="466DB4"/>
              <w:bottom w:val="single" w:sz="4" w:space="0" w:color="466DB4"/>
            </w:tcBorders>
          </w:tcPr>
          <w:p w14:paraId="4D5F0D10"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Inženiertehniskie darbi, pētniecība un attīstība</w:t>
            </w:r>
          </w:p>
        </w:tc>
      </w:tr>
      <w:tr w:rsidR="004323C0" w:rsidRPr="004323C0" w14:paraId="3001E97B" w14:textId="77777777">
        <w:tc>
          <w:tcPr>
            <w:tcW w:w="225" w:type="pct"/>
            <w:tcBorders>
              <w:top w:val="single" w:sz="4" w:space="0" w:color="466DB4"/>
              <w:bottom w:val="single" w:sz="4" w:space="0" w:color="466DB4"/>
            </w:tcBorders>
            <w:shd w:val="clear" w:color="auto" w:fill="CDDCEF"/>
          </w:tcPr>
          <w:p w14:paraId="51AB9731"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3.</w:t>
            </w:r>
          </w:p>
        </w:tc>
        <w:tc>
          <w:tcPr>
            <w:tcW w:w="336" w:type="pct"/>
            <w:tcBorders>
              <w:top w:val="single" w:sz="4" w:space="0" w:color="466DB4"/>
              <w:bottom w:val="single" w:sz="4" w:space="0" w:color="466DB4"/>
            </w:tcBorders>
          </w:tcPr>
          <w:p w14:paraId="3ED426CA"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2.2.1.</w:t>
            </w:r>
          </w:p>
        </w:tc>
        <w:tc>
          <w:tcPr>
            <w:tcW w:w="4440" w:type="pct"/>
            <w:tcBorders>
              <w:top w:val="single" w:sz="4" w:space="0" w:color="466DB4"/>
              <w:bottom w:val="single" w:sz="4" w:space="0" w:color="466DB4"/>
            </w:tcBorders>
          </w:tcPr>
          <w:p w14:paraId="6BE0F41D"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Inženiertehniskie darbi un saistīti tehniskie pakalpojumi</w:t>
            </w:r>
          </w:p>
        </w:tc>
      </w:tr>
      <w:tr w:rsidR="004323C0" w:rsidRPr="004323C0" w14:paraId="2BE41A93" w14:textId="77777777">
        <w:tc>
          <w:tcPr>
            <w:tcW w:w="225" w:type="pct"/>
            <w:tcBorders>
              <w:top w:val="single" w:sz="4" w:space="0" w:color="466DB4"/>
              <w:bottom w:val="single" w:sz="4" w:space="0" w:color="466DB4"/>
            </w:tcBorders>
          </w:tcPr>
          <w:p w14:paraId="5466F1B8"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0C53F81D"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0C6222F7"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Atbalsta uzdevumi izejvielu ieguvei, skaņu ierakstīšana un video satura veidošana, arhitektūras un inženiertehniskie uzdevumi un tehniskā analīze.</w:t>
            </w:r>
          </w:p>
        </w:tc>
      </w:tr>
      <w:tr w:rsidR="004323C0" w:rsidRPr="004323C0" w14:paraId="2E1BD718" w14:textId="77777777">
        <w:tc>
          <w:tcPr>
            <w:tcW w:w="225" w:type="pct"/>
            <w:tcBorders>
              <w:top w:val="single" w:sz="4" w:space="0" w:color="466DB4"/>
              <w:bottom w:val="single" w:sz="4" w:space="0" w:color="466DB4"/>
            </w:tcBorders>
            <w:shd w:val="clear" w:color="auto" w:fill="CDDCEF"/>
          </w:tcPr>
          <w:p w14:paraId="68DC3FC2"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4.</w:t>
            </w:r>
          </w:p>
        </w:tc>
        <w:tc>
          <w:tcPr>
            <w:tcW w:w="336" w:type="pct"/>
            <w:tcBorders>
              <w:top w:val="single" w:sz="4" w:space="0" w:color="466DB4"/>
              <w:bottom w:val="single" w:sz="4" w:space="0" w:color="466DB4"/>
            </w:tcBorders>
          </w:tcPr>
          <w:p w14:paraId="6486E4D1"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2.2.2.</w:t>
            </w:r>
          </w:p>
        </w:tc>
        <w:tc>
          <w:tcPr>
            <w:tcW w:w="4440" w:type="pct"/>
            <w:tcBorders>
              <w:top w:val="single" w:sz="4" w:space="0" w:color="466DB4"/>
              <w:bottom w:val="single" w:sz="4" w:space="0" w:color="466DB4"/>
            </w:tcBorders>
          </w:tcPr>
          <w:p w14:paraId="260522FC"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Pētniecība un attīstība</w:t>
            </w:r>
          </w:p>
        </w:tc>
      </w:tr>
      <w:tr w:rsidR="004323C0" w:rsidRPr="004323C0" w14:paraId="42CD433A" w14:textId="77777777">
        <w:tc>
          <w:tcPr>
            <w:tcW w:w="225" w:type="pct"/>
            <w:tcBorders>
              <w:top w:val="single" w:sz="4" w:space="0" w:color="466DB4"/>
              <w:bottom w:val="single" w:sz="4" w:space="0" w:color="466DB4"/>
            </w:tcBorders>
          </w:tcPr>
          <w:p w14:paraId="7D177A5F"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08BE99BB"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131C614B"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Pētniecība un eksperimentālā izstrāde dabaszinātņu un inženierzinātņu, kā arī sociālo un humanitāro zinātņu jomā.</w:t>
            </w:r>
          </w:p>
        </w:tc>
      </w:tr>
      <w:tr w:rsidR="004323C0" w:rsidRPr="004323C0" w14:paraId="112D84A3" w14:textId="77777777">
        <w:tc>
          <w:tcPr>
            <w:tcW w:w="225" w:type="pct"/>
            <w:tcBorders>
              <w:top w:val="single" w:sz="4" w:space="0" w:color="466DB4"/>
              <w:bottom w:val="single" w:sz="4" w:space="0" w:color="466DB4"/>
            </w:tcBorders>
            <w:shd w:val="clear" w:color="auto" w:fill="CDDCEF"/>
          </w:tcPr>
          <w:p w14:paraId="5798DEC3"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5.</w:t>
            </w:r>
          </w:p>
        </w:tc>
        <w:tc>
          <w:tcPr>
            <w:tcW w:w="336" w:type="pct"/>
            <w:tcBorders>
              <w:top w:val="single" w:sz="4" w:space="0" w:color="466DB4"/>
              <w:bottom w:val="single" w:sz="4" w:space="0" w:color="466DB4"/>
            </w:tcBorders>
          </w:tcPr>
          <w:p w14:paraId="1EA6BEC0"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2.3.</w:t>
            </w:r>
          </w:p>
        </w:tc>
        <w:tc>
          <w:tcPr>
            <w:tcW w:w="4440" w:type="pct"/>
            <w:tcBorders>
              <w:top w:val="single" w:sz="4" w:space="0" w:color="466DB4"/>
              <w:bottom w:val="single" w:sz="4" w:space="0" w:color="466DB4"/>
            </w:tcBorders>
          </w:tcPr>
          <w:p w14:paraId="7DF09267"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Informācijas un komunikācijas tehnoloģijas (IKT)</w:t>
            </w:r>
          </w:p>
        </w:tc>
      </w:tr>
      <w:tr w:rsidR="004323C0" w:rsidRPr="004323C0" w14:paraId="32B7DE28" w14:textId="77777777">
        <w:tc>
          <w:tcPr>
            <w:tcW w:w="225" w:type="pct"/>
            <w:tcBorders>
              <w:top w:val="single" w:sz="4" w:space="0" w:color="466DB4"/>
              <w:bottom w:val="single" w:sz="4" w:space="0" w:color="466DB4"/>
            </w:tcBorders>
          </w:tcPr>
          <w:p w14:paraId="1A462793"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1068FB63"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2680B54C"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Programmatūras tiražēšana un ar datoriem saistītu konsultāciju pakalpojumi, programmēšanas un apraides uzdevumi, telekomunikāciju uzdevumi, datu apstrāde un mitināšana, tīmekļa portālu darbība un saistītie informācijas pakalpojumi, serveru uzstādīšana, datoru un sakaru sistēmu apkope un remonts, datorprogrammēšana un saistītie uzdevumi.</w:t>
            </w:r>
          </w:p>
        </w:tc>
      </w:tr>
      <w:tr w:rsidR="004323C0" w:rsidRPr="004323C0" w14:paraId="3700B7A0" w14:textId="77777777">
        <w:tc>
          <w:tcPr>
            <w:tcW w:w="225" w:type="pct"/>
            <w:tcBorders>
              <w:top w:val="single" w:sz="4" w:space="0" w:color="466DB4"/>
              <w:bottom w:val="single" w:sz="4" w:space="0" w:color="466DB4"/>
            </w:tcBorders>
            <w:shd w:val="clear" w:color="auto" w:fill="CDDCEF"/>
          </w:tcPr>
          <w:p w14:paraId="52D26B30"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6.</w:t>
            </w:r>
          </w:p>
        </w:tc>
        <w:tc>
          <w:tcPr>
            <w:tcW w:w="336" w:type="pct"/>
            <w:tcBorders>
              <w:top w:val="single" w:sz="4" w:space="0" w:color="466DB4"/>
              <w:bottom w:val="single" w:sz="4" w:space="0" w:color="466DB4"/>
            </w:tcBorders>
          </w:tcPr>
          <w:p w14:paraId="6D66F54A"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2.4.</w:t>
            </w:r>
          </w:p>
        </w:tc>
        <w:tc>
          <w:tcPr>
            <w:tcW w:w="4440" w:type="pct"/>
            <w:tcBorders>
              <w:top w:val="single" w:sz="4" w:space="0" w:color="466DB4"/>
              <w:bottom w:val="single" w:sz="4" w:space="0" w:color="466DB4"/>
            </w:tcBorders>
          </w:tcPr>
          <w:p w14:paraId="21DD0475"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Tirgvedība, pārdošana un klientu apkalpošana</w:t>
            </w:r>
          </w:p>
        </w:tc>
      </w:tr>
      <w:tr w:rsidR="004323C0" w:rsidRPr="004323C0" w14:paraId="77A7C740" w14:textId="77777777">
        <w:tc>
          <w:tcPr>
            <w:tcW w:w="225" w:type="pct"/>
            <w:tcBorders>
              <w:top w:val="single" w:sz="4" w:space="0" w:color="466DB4"/>
              <w:bottom w:val="single" w:sz="4" w:space="0" w:color="466DB4"/>
            </w:tcBorders>
          </w:tcPr>
          <w:p w14:paraId="319134AA"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2A9E38CC"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12F5B830"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Reklāma un pārstāvība plašsaziņas līdzekļos, tirgus izpēte un sabiedriskās domas izpēte, zvanu centru darbība, mazumtirdzniecība un vairumtirdzniecība, gāzes un elektroenerģijas tirdzniecība, tirdzniecības pārstāvju darbība un nekustamo īpašumu tirdzniecība.</w:t>
            </w:r>
          </w:p>
        </w:tc>
      </w:tr>
      <w:tr w:rsidR="004323C0" w:rsidRPr="004323C0" w14:paraId="623EA887" w14:textId="77777777">
        <w:tc>
          <w:tcPr>
            <w:tcW w:w="225" w:type="pct"/>
            <w:tcBorders>
              <w:top w:val="single" w:sz="4" w:space="0" w:color="466DB4"/>
              <w:bottom w:val="single" w:sz="4" w:space="0" w:color="466DB4"/>
            </w:tcBorders>
            <w:shd w:val="clear" w:color="auto" w:fill="CDDCEF"/>
          </w:tcPr>
          <w:p w14:paraId="7A93DCD4"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7.</w:t>
            </w:r>
          </w:p>
        </w:tc>
        <w:tc>
          <w:tcPr>
            <w:tcW w:w="336" w:type="pct"/>
            <w:tcBorders>
              <w:top w:val="single" w:sz="4" w:space="0" w:color="466DB4"/>
              <w:bottom w:val="single" w:sz="4" w:space="0" w:color="466DB4"/>
            </w:tcBorders>
          </w:tcPr>
          <w:p w14:paraId="158BB784"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2.5.</w:t>
            </w:r>
          </w:p>
        </w:tc>
        <w:tc>
          <w:tcPr>
            <w:tcW w:w="4440" w:type="pct"/>
            <w:tcBorders>
              <w:top w:val="single" w:sz="4" w:space="0" w:color="466DB4"/>
              <w:bottom w:val="single" w:sz="4" w:space="0" w:color="466DB4"/>
            </w:tcBorders>
          </w:tcPr>
          <w:p w14:paraId="2C0BF83B"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Transports, loģistika un uzglabāšana</w:t>
            </w:r>
          </w:p>
        </w:tc>
      </w:tr>
      <w:tr w:rsidR="004323C0" w:rsidRPr="004323C0" w14:paraId="23C22699" w14:textId="77777777">
        <w:tc>
          <w:tcPr>
            <w:tcW w:w="225" w:type="pct"/>
            <w:tcBorders>
              <w:top w:val="single" w:sz="4" w:space="0" w:color="466DB4"/>
              <w:bottom w:val="single" w:sz="4" w:space="0" w:color="466DB4"/>
            </w:tcBorders>
          </w:tcPr>
          <w:p w14:paraId="18D42C9F"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1EC0809E"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5A12F15B"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Sauszemes, ūdens, dzelzceļa un gaisa transports, pasažieru un kravu pārvadājumi, pasta pakalpojumi, noliktavu darbība, uzglabāšana un iepakošana.</w:t>
            </w:r>
          </w:p>
        </w:tc>
      </w:tr>
      <w:tr w:rsidR="004323C0" w:rsidRPr="004323C0" w14:paraId="0E1C23CD" w14:textId="77777777">
        <w:tc>
          <w:tcPr>
            <w:tcW w:w="225" w:type="pct"/>
            <w:tcBorders>
              <w:top w:val="single" w:sz="4" w:space="0" w:color="466DB4"/>
              <w:bottom w:val="single" w:sz="4" w:space="0" w:color="466DB4"/>
            </w:tcBorders>
            <w:shd w:val="clear" w:color="auto" w:fill="CDDCEF"/>
          </w:tcPr>
          <w:p w14:paraId="6A4F7CB1"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8.</w:t>
            </w:r>
          </w:p>
        </w:tc>
        <w:tc>
          <w:tcPr>
            <w:tcW w:w="336" w:type="pct"/>
            <w:tcBorders>
              <w:top w:val="single" w:sz="4" w:space="0" w:color="466DB4"/>
              <w:bottom w:val="single" w:sz="4" w:space="0" w:color="466DB4"/>
            </w:tcBorders>
          </w:tcPr>
          <w:p w14:paraId="066F8C96"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2.6.</w:t>
            </w:r>
          </w:p>
        </w:tc>
        <w:tc>
          <w:tcPr>
            <w:tcW w:w="4440" w:type="pct"/>
            <w:tcBorders>
              <w:top w:val="single" w:sz="4" w:space="0" w:color="466DB4"/>
              <w:bottom w:val="single" w:sz="4" w:space="0" w:color="466DB4"/>
            </w:tcBorders>
          </w:tcPr>
          <w:p w14:paraId="00711AC2"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Citi pakalpojumi</w:t>
            </w:r>
          </w:p>
        </w:tc>
      </w:tr>
      <w:tr w:rsidR="004323C0" w:rsidRPr="004323C0" w14:paraId="0095E8ED" w14:textId="77777777">
        <w:tc>
          <w:tcPr>
            <w:tcW w:w="225" w:type="pct"/>
            <w:tcBorders>
              <w:top w:val="single" w:sz="4" w:space="0" w:color="466DB4"/>
              <w:bottom w:val="single" w:sz="4" w:space="0" w:color="466DB4"/>
            </w:tcBorders>
          </w:tcPr>
          <w:p w14:paraId="6896201A"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336" w:type="pct"/>
            <w:tcBorders>
              <w:top w:val="single" w:sz="4" w:space="0" w:color="466DB4"/>
              <w:bottom w:val="single" w:sz="4" w:space="0" w:color="466DB4"/>
            </w:tcBorders>
          </w:tcPr>
          <w:p w14:paraId="625A665D" w14:textId="77777777" w:rsidR="004323C0" w:rsidRPr="004323C0" w:rsidRDefault="004323C0">
            <w:pPr>
              <w:pStyle w:val="TableParagraph"/>
              <w:spacing w:before="0"/>
              <w:jc w:val="center"/>
              <w:rPr>
                <w:rFonts w:ascii="Times New Roman" w:hAnsi="Times New Roman" w:cs="Times New Roman"/>
                <w:noProof/>
                <w:sz w:val="24"/>
                <w:szCs w:val="24"/>
              </w:rPr>
            </w:pPr>
          </w:p>
        </w:tc>
        <w:tc>
          <w:tcPr>
            <w:tcW w:w="4440" w:type="pct"/>
            <w:tcBorders>
              <w:top w:val="single" w:sz="4" w:space="0" w:color="466DB4"/>
              <w:bottom w:val="single" w:sz="4" w:space="0" w:color="466DB4"/>
            </w:tcBorders>
          </w:tcPr>
          <w:p w14:paraId="4115E8EF"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Izmitināšana (piemēram, viesnīcās un nometnēs), ēdināšanas un dzērienu nodrošināšanas pakalpojumi (piemēram, kafejnīcu un restorānu darbība), uzkopšanas pakalpojumi, ainavu pakalpojumi, nekustamā īpašuma nomas pakalpojumi, bibliotēku, muzeju un sporta centru darbība, ar IKT nesaistītu elektronisko iekārtu, transportlīdzekļu, kā arī individuālās lietošanas un mājsaimniecības preču apkope un remonts, ūdens apgāde, atkritumu savākšana un kanalizācija, sanācijas pakalpojumi, profesionāli pakalpojumi (piemēram, fotografēšana un tulkošana), grāmatu un periodisko izdevumu izdošana, ceļojumu aģentūru darbība, noma un operatīvā izpirkumnoma, apsardzes pakalpojumi, izglītība, cilvēku veselības aprūpe un ģimenes tipa aprūpe, sociālie pakalpojumi, azartspēles un derības, sporta pasākumi (izņemot objektu apsaimniekošanu), organizāciju darbība un mājsaimniecību darbības.</w:t>
            </w:r>
          </w:p>
        </w:tc>
      </w:tr>
    </w:tbl>
    <w:p w14:paraId="1215863F" w14:textId="77777777" w:rsidR="004323C0" w:rsidRPr="004323C0" w:rsidRDefault="004323C0" w:rsidP="004323C0">
      <w:pPr>
        <w:pStyle w:val="BodyText"/>
        <w:jc w:val="both"/>
        <w:rPr>
          <w:rFonts w:ascii="Times New Roman" w:hAnsi="Times New Roman" w:cs="Times New Roman"/>
          <w:b/>
          <w:noProof/>
          <w:sz w:val="24"/>
          <w:szCs w:val="24"/>
        </w:rPr>
      </w:pPr>
    </w:p>
    <w:p w14:paraId="5ECBD09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Galvenais uzņēmējdarbības funkciju iedalījums ir </w:t>
      </w:r>
      <w:r>
        <w:rPr>
          <w:rFonts w:ascii="Times New Roman" w:hAnsi="Times New Roman"/>
          <w:b/>
          <w:sz w:val="24"/>
        </w:rPr>
        <w:t>pamatfunkcijās</w:t>
      </w:r>
      <w:r>
        <w:rPr>
          <w:rFonts w:ascii="Times New Roman" w:hAnsi="Times New Roman"/>
          <w:sz w:val="24"/>
        </w:rPr>
        <w:t xml:space="preserve"> un </w:t>
      </w:r>
      <w:r>
        <w:rPr>
          <w:rFonts w:ascii="Times New Roman" w:hAnsi="Times New Roman"/>
          <w:b/>
          <w:sz w:val="24"/>
        </w:rPr>
        <w:t>atbalsta funkcijās</w:t>
      </w:r>
      <w:r>
        <w:rPr>
          <w:rFonts w:ascii="Times New Roman" w:hAnsi="Times New Roman"/>
          <w:sz w:val="24"/>
        </w:rPr>
        <w:t>. Jebkura no iepriekš minētajām kategorijām var būt vai nu pamatfunkcija, vai atbalsta funkcija atkarībā no uzņēmuma darbības.</w:t>
      </w:r>
    </w:p>
    <w:p w14:paraId="4C0D1A10" w14:textId="77777777" w:rsidR="004323C0" w:rsidRPr="004323C0" w:rsidRDefault="004323C0" w:rsidP="004323C0">
      <w:pPr>
        <w:jc w:val="both"/>
        <w:rPr>
          <w:rFonts w:ascii="Times New Roman" w:hAnsi="Times New Roman" w:cs="Times New Roman"/>
          <w:noProof/>
          <w:sz w:val="24"/>
          <w:szCs w:val="24"/>
        </w:rPr>
      </w:pPr>
      <w:r>
        <w:rPr>
          <w:rFonts w:ascii="Times New Roman" w:hAnsi="Times New Roman"/>
          <w:b/>
          <w:sz w:val="24"/>
        </w:rPr>
        <w:t>Uzņēmējdarbības pamatfunkcija</w:t>
      </w:r>
      <w:r>
        <w:rPr>
          <w:rFonts w:ascii="Times New Roman" w:hAnsi="Times New Roman"/>
          <w:sz w:val="24"/>
        </w:rPr>
        <w:t xml:space="preserve"> ir uzņēmuma darbība, kas rada ieņēmumus, un parasti tā ir uzņēmuma pamatdarbība, kas klasificēta atbilstoši uzņēmumu reģistrā ierakstītajam pamatdarbības kodam. Uzņēmējdarbības pamatfunkcija ir tādu uzdevumu kopums, kuru rezultātā tiek saražotas tirgum paredzētas preces vai izveidoti tirgum paredzēti pakalpojumi. Tas var aptvert vairākas darbības un ietvert saistītas vertikālas darbības (piemēram, izejvielu ražošanu). Veicot pamatdarbības funkcijas, uzņēmumiem rodas izmaksas, taču šo funkciju rezultātus var arī tieši saistīt ar apgrozījumu. Uzņēmumam var būt viena vai vairākas pamatdarbības funkcijas.</w:t>
      </w:r>
    </w:p>
    <w:p w14:paraId="2DADAFA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Parasti uzņēmumiem, kuriem ir vairākas ieņēmumu plūsmas, ir grūti noteikt vienu pamatfunkciju. Faktiski viens no uzņēmējdarbības funkciju apsekojumu ieguvumiem ir tas, ka tādā veidā ir vieglāk identificēt situācijas, kad uzņēmumiem ir vairākas ieņēmumu plūsmas, tādējādi identificēt vairākas uzņēmējdarbības pamatfunkcijas.</w:t>
      </w:r>
    </w:p>
    <w:p w14:paraId="7B3788D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b/>
          <w:sz w:val="24"/>
        </w:rPr>
        <w:t>Uzņēmējdarbības atbalsta funkcijas</w:t>
      </w:r>
      <w:r>
        <w:rPr>
          <w:rFonts w:ascii="Times New Roman" w:hAnsi="Times New Roman"/>
          <w:sz w:val="24"/>
        </w:rPr>
        <w:t xml:space="preserve"> rada iespēju ražot preces vai radīt pakalpojumus vai to veicina. Tās rada izmaksas, bet ne apgrozījumu. Tomēr atbalsta funkciju (jo īpaši pārvaldības, tirgvedības, loģistikas, pētniecības un attīstības, un citu ar jauninājumiem saistītu darbību) izmaksas, efektivitāte un kvalitāte var būtiski palielināt uzņēmumu konkurētspēju (jebkura no šīm funkcijām var būt arī uzņēmējdarbības pamatfunkcija). Uzņēmējdarbības atbalsta funkcijas neatbilst uzņēmuma galvenajai vai sekundārajai darbībai (pamatdarbības funkcijas atbilst sekundārajām darbībām), bet parasti tās atbilst palīgdarbībām.</w:t>
      </w:r>
    </w:p>
    <w:p w14:paraId="1C8928F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Piemēram, uzņēmumam, kas ražo tādas preces kā apavus un apģērbu, </w:t>
      </w:r>
      <w:r>
        <w:rPr>
          <w:rFonts w:ascii="Times New Roman" w:hAnsi="Times New Roman"/>
          <w:sz w:val="24"/>
          <w:u w:val="single"/>
        </w:rPr>
        <w:t>pamat</w:t>
      </w:r>
      <w:r>
        <w:rPr>
          <w:rFonts w:ascii="Times New Roman" w:hAnsi="Times New Roman"/>
          <w:sz w:val="24"/>
        </w:rPr>
        <w:t xml:space="preserve">funkcija, visticamāk, būs “preču ražošana”, bet “preču ražošana” dažkārt var būt arī </w:t>
      </w:r>
      <w:r>
        <w:rPr>
          <w:rFonts w:ascii="Times New Roman" w:hAnsi="Times New Roman"/>
          <w:sz w:val="24"/>
          <w:u w:val="single"/>
        </w:rPr>
        <w:t>atbalsta</w:t>
      </w:r>
      <w:r>
        <w:rPr>
          <w:rFonts w:ascii="Times New Roman" w:hAnsi="Times New Roman"/>
          <w:sz w:val="24"/>
        </w:rPr>
        <w:t xml:space="preserve"> funkcija. Piemēram, ja uzņēmums rada īpašas iekārtas vai produktus, ko tas izmantos tikai iekšējām vajadzībām, tas var dažus darbus norādīt kā atbalsta funkciju “preču ražošana”.</w:t>
      </w:r>
      <w:r>
        <w:rPr>
          <w:rFonts w:ascii="Times New Roman" w:hAnsi="Times New Roman"/>
          <w:i/>
          <w:sz w:val="24"/>
        </w:rPr>
        <w:t xml:space="preserve"> </w:t>
      </w:r>
      <w:r>
        <w:rPr>
          <w:rFonts w:ascii="Times New Roman" w:hAnsi="Times New Roman"/>
          <w:sz w:val="24"/>
        </w:rPr>
        <w:t>Šajā gadījumā galvenā atšķirība ir tāda, ka saražotās iekārtas vai produkti netiks laisti tirgū (t. i., tie tiks patērēti pašā uzņēmumā, lai atbalstītu kādu citu uzņēmējdarbības funkciju).</w:t>
      </w:r>
    </w:p>
    <w:p w14:paraId="54F4B68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Pakalpojumi var būt gan uzņēmējdarbības pamatfunkcijas, gan atbalsta funkcijas. Piemēram, liels grāmatvedības un revīzijas uzņēmums, visticamāk, “pārvaldību un administrāciju” norādīs kā uzņēmējdarbības </w:t>
      </w:r>
      <w:r>
        <w:rPr>
          <w:rFonts w:ascii="Times New Roman" w:hAnsi="Times New Roman"/>
          <w:sz w:val="24"/>
          <w:u w:val="single"/>
        </w:rPr>
        <w:t>pamat</w:t>
      </w:r>
      <w:r>
        <w:rPr>
          <w:rFonts w:ascii="Times New Roman" w:hAnsi="Times New Roman"/>
          <w:sz w:val="24"/>
        </w:rPr>
        <w:t xml:space="preserve">funkciju. Tomēr liels tirgvedības uzņēmums, kam ir grāmatvedības nodaļa, ziņos par darbavietām, kas ietilpst uzņēmējdarbības </w:t>
      </w:r>
      <w:r>
        <w:rPr>
          <w:rFonts w:ascii="Times New Roman" w:hAnsi="Times New Roman"/>
          <w:sz w:val="24"/>
          <w:u w:val="single"/>
        </w:rPr>
        <w:t>atbalsta</w:t>
      </w:r>
      <w:r>
        <w:rPr>
          <w:rFonts w:ascii="Times New Roman" w:hAnsi="Times New Roman"/>
          <w:sz w:val="24"/>
        </w:rPr>
        <w:t xml:space="preserve"> funkcijā “pārvaldība un administrācija”. </w:t>
      </w:r>
    </w:p>
    <w:p w14:paraId="4B0B91D1" w14:textId="77777777" w:rsidR="004323C0" w:rsidRPr="004323C0" w:rsidRDefault="004323C0" w:rsidP="004323C0">
      <w:pPr>
        <w:pStyle w:val="BodyText"/>
        <w:jc w:val="both"/>
        <w:rPr>
          <w:rFonts w:ascii="Times New Roman" w:hAnsi="Times New Roman" w:cs="Times New Roman"/>
          <w:noProof/>
          <w:sz w:val="24"/>
          <w:szCs w:val="24"/>
        </w:rPr>
      </w:pPr>
    </w:p>
    <w:p w14:paraId="15E5D5EC" w14:textId="77777777" w:rsidR="004323C0" w:rsidRPr="004323C0" w:rsidRDefault="004323C0" w:rsidP="004323C0">
      <w:pPr>
        <w:jc w:val="both"/>
        <w:rPr>
          <w:rFonts w:ascii="Times New Roman" w:hAnsi="Times New Roman" w:cs="Times New Roman"/>
          <w:b/>
          <w:noProof/>
          <w:sz w:val="24"/>
          <w:szCs w:val="24"/>
        </w:rPr>
      </w:pPr>
      <w:bookmarkStart w:id="20" w:name="Core_business_function_identification"/>
      <w:bookmarkEnd w:id="20"/>
      <w:r>
        <w:rPr>
          <w:rFonts w:ascii="Times New Roman" w:hAnsi="Times New Roman"/>
          <w:b/>
          <w:sz w:val="24"/>
        </w:rPr>
        <w:t>Uzņēmējdarbības pamatfunkciju identificēšana</w:t>
      </w:r>
    </w:p>
    <w:p w14:paraId="2D4C6DCA" w14:textId="77777777" w:rsidR="004323C0" w:rsidRPr="004323C0" w:rsidRDefault="004323C0" w:rsidP="008534BB">
      <w:pPr>
        <w:pStyle w:val="BodyText"/>
        <w:widowControl/>
        <w:jc w:val="both"/>
        <w:rPr>
          <w:rFonts w:ascii="Times New Roman" w:hAnsi="Times New Roman" w:cs="Times New Roman"/>
          <w:noProof/>
          <w:sz w:val="24"/>
          <w:szCs w:val="24"/>
        </w:rPr>
      </w:pPr>
    </w:p>
    <w:p w14:paraId="681CBAEB" w14:textId="77777777" w:rsidR="004323C0" w:rsidRPr="004323C0" w:rsidRDefault="004323C0" w:rsidP="008534BB">
      <w:pPr>
        <w:pStyle w:val="BodyText"/>
        <w:widowControl/>
        <w:jc w:val="both"/>
        <w:rPr>
          <w:rFonts w:ascii="Times New Roman" w:hAnsi="Times New Roman" w:cs="Times New Roman"/>
          <w:noProof/>
          <w:sz w:val="24"/>
          <w:szCs w:val="24"/>
        </w:rPr>
      </w:pPr>
      <w:r>
        <w:rPr>
          <w:rFonts w:ascii="Times New Roman" w:hAnsi="Times New Roman"/>
          <w:sz w:val="24"/>
        </w:rPr>
        <w:t>Pastāv divas pieejas uzņēmējdarbības pamatfunkcijas identificēšanai apsekojumā. Abas šīs pieejas var izmantot arī vienlaikus, lai uzlabotu datu precizitāti.</w:t>
      </w:r>
    </w:p>
    <w:p w14:paraId="313BAFB9" w14:textId="77777777" w:rsidR="004323C0" w:rsidRPr="004323C0" w:rsidRDefault="004323C0" w:rsidP="008534BB">
      <w:pPr>
        <w:pStyle w:val="BodyText"/>
        <w:widowControl/>
        <w:jc w:val="both"/>
        <w:rPr>
          <w:rFonts w:ascii="Times New Roman" w:hAnsi="Times New Roman" w:cs="Times New Roman"/>
          <w:noProof/>
          <w:sz w:val="24"/>
          <w:szCs w:val="24"/>
        </w:rPr>
      </w:pPr>
    </w:p>
    <w:p w14:paraId="59D12AB1" w14:textId="77777777" w:rsidR="004323C0" w:rsidRPr="004323C0" w:rsidRDefault="004323C0" w:rsidP="008534BB">
      <w:pPr>
        <w:keepNext/>
        <w:keepLines/>
        <w:jc w:val="both"/>
        <w:rPr>
          <w:rFonts w:ascii="Times New Roman" w:hAnsi="Times New Roman" w:cs="Times New Roman"/>
          <w:b/>
          <w:noProof/>
          <w:color w:val="466DB4"/>
          <w:sz w:val="24"/>
          <w:szCs w:val="24"/>
        </w:rPr>
      </w:pPr>
      <w:bookmarkStart w:id="21" w:name="The_first_approach_–_asking_the_survey_r"/>
      <w:bookmarkEnd w:id="21"/>
      <w:r>
        <w:rPr>
          <w:rFonts w:ascii="Times New Roman" w:hAnsi="Times New Roman"/>
          <w:b/>
          <w:color w:val="466DB4"/>
          <w:sz w:val="24"/>
        </w:rPr>
        <w:t>Pirmā pieeja – jautāt apsekojuma respondentiem</w:t>
      </w:r>
    </w:p>
    <w:p w14:paraId="485FA403" w14:textId="77777777" w:rsidR="004323C0" w:rsidRPr="004323C0" w:rsidRDefault="004323C0" w:rsidP="008534BB">
      <w:pPr>
        <w:pStyle w:val="BodyText"/>
        <w:keepNext/>
        <w:keepLines/>
        <w:jc w:val="both"/>
        <w:rPr>
          <w:rFonts w:ascii="Times New Roman" w:hAnsi="Times New Roman" w:cs="Times New Roman"/>
          <w:noProof/>
          <w:sz w:val="24"/>
          <w:szCs w:val="24"/>
        </w:rPr>
      </w:pPr>
    </w:p>
    <w:p w14:paraId="1823ED85" w14:textId="77777777" w:rsidR="004323C0" w:rsidRPr="004323C0" w:rsidRDefault="004323C0" w:rsidP="008534BB">
      <w:pPr>
        <w:pStyle w:val="BodyText"/>
        <w:keepNext/>
        <w:keepLines/>
        <w:jc w:val="both"/>
        <w:rPr>
          <w:rFonts w:ascii="Times New Roman" w:hAnsi="Times New Roman" w:cs="Times New Roman"/>
          <w:noProof/>
          <w:sz w:val="24"/>
          <w:szCs w:val="24"/>
        </w:rPr>
      </w:pPr>
      <w:r>
        <w:rPr>
          <w:rFonts w:ascii="Times New Roman" w:hAnsi="Times New Roman"/>
          <w:b/>
          <w:sz w:val="24"/>
        </w:rPr>
        <w:t>Pirmā pieeja</w:t>
      </w:r>
      <w:r>
        <w:rPr>
          <w:rFonts w:ascii="Times New Roman" w:hAnsi="Times New Roman"/>
          <w:sz w:val="24"/>
        </w:rPr>
        <w:t xml:space="preserve"> paredz tiešā veidā lūgt respondentiem izvēlēties savu pamatdarbības funkciju. Piemēram, apsekojuma 1. modulī, kurā ir norādīts darbinieku un pašnodarbināto personu skaits, blakus uzņēmējdarbības funkciju uzskaitījumam varētu pievienot papildu ierāmējumu, kurā respondenti varētu tiešā veidā izvēlēties uzņēmējdarbības pamatfunkciju (3. tabula). Par uzņēmējdarbības pamatfunkciju var izvēlēties vairāk nekā vienu uzņēmējdarbības funkciju.</w:t>
      </w:r>
    </w:p>
    <w:p w14:paraId="355BC668" w14:textId="77777777" w:rsidR="004323C0" w:rsidRPr="004323C0" w:rsidRDefault="004323C0" w:rsidP="008534BB">
      <w:pPr>
        <w:pStyle w:val="BodyText"/>
        <w:keepNext/>
        <w:keepLines/>
        <w:jc w:val="both"/>
        <w:rPr>
          <w:rFonts w:ascii="Times New Roman" w:hAnsi="Times New Roman" w:cs="Times New Roman"/>
          <w:noProof/>
          <w:sz w:val="24"/>
          <w:szCs w:val="24"/>
        </w:rPr>
      </w:pPr>
    </w:p>
    <w:p w14:paraId="1CD75B60" w14:textId="77777777" w:rsidR="004323C0" w:rsidRPr="004323C0" w:rsidRDefault="004323C0" w:rsidP="004323C0">
      <w:pPr>
        <w:jc w:val="both"/>
        <w:rPr>
          <w:rFonts w:ascii="Times New Roman" w:hAnsi="Times New Roman" w:cs="Times New Roman"/>
          <w:b/>
          <w:noProof/>
          <w:sz w:val="24"/>
          <w:szCs w:val="24"/>
        </w:rPr>
      </w:pPr>
      <w:bookmarkStart w:id="22" w:name="_bookmark2"/>
      <w:bookmarkEnd w:id="22"/>
      <w:r>
        <w:rPr>
          <w:rFonts w:ascii="Times New Roman" w:hAnsi="Times New Roman"/>
          <w:b/>
          <w:sz w:val="24"/>
        </w:rPr>
        <w:t>3. tabula. Piemērs apsekojuma jautājumam, ko izmanto, lai noteiktu uzņēmējdarbības pamatfunkciju</w:t>
      </w:r>
    </w:p>
    <w:p w14:paraId="0CD93251" w14:textId="77777777" w:rsidR="004323C0" w:rsidRPr="004323C0" w:rsidRDefault="004323C0" w:rsidP="004323C0">
      <w:pPr>
        <w:pStyle w:val="BodyText"/>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489"/>
        <w:gridCol w:w="2493"/>
        <w:gridCol w:w="1558"/>
        <w:gridCol w:w="1591"/>
      </w:tblGrid>
      <w:tr w:rsidR="004323C0" w:rsidRPr="004323C0" w14:paraId="7759796F" w14:textId="77777777">
        <w:tc>
          <w:tcPr>
            <w:tcW w:w="3276" w:type="pct"/>
            <w:gridSpan w:val="2"/>
            <w:tcBorders>
              <w:top w:val="single" w:sz="4" w:space="0" w:color="466DB4"/>
              <w:bottom w:val="single" w:sz="4" w:space="0" w:color="466DB4"/>
            </w:tcBorders>
            <w:shd w:val="clear" w:color="auto" w:fill="CDDCEF"/>
          </w:tcPr>
          <w:p w14:paraId="036C08FF" w14:textId="77777777" w:rsidR="004323C0" w:rsidRPr="004323C0" w:rsidRDefault="004323C0">
            <w:pPr>
              <w:pStyle w:val="TableParagraph"/>
              <w:spacing w:before="0"/>
              <w:jc w:val="right"/>
              <w:rPr>
                <w:rFonts w:ascii="Times New Roman" w:hAnsi="Times New Roman" w:cs="Times New Roman"/>
                <w:b/>
                <w:noProof/>
                <w:sz w:val="24"/>
                <w:szCs w:val="24"/>
              </w:rPr>
            </w:pPr>
            <w:r>
              <w:rPr>
                <w:rFonts w:ascii="Times New Roman" w:hAnsi="Times New Roman"/>
                <w:b/>
                <w:sz w:val="24"/>
              </w:rPr>
              <w:t>Darbinieki</w:t>
            </w:r>
          </w:p>
        </w:tc>
        <w:tc>
          <w:tcPr>
            <w:tcW w:w="1724" w:type="pct"/>
            <w:gridSpan w:val="2"/>
            <w:tcBorders>
              <w:top w:val="single" w:sz="4" w:space="0" w:color="466DB4"/>
              <w:bottom w:val="single" w:sz="4" w:space="0" w:color="466DB4"/>
            </w:tcBorders>
            <w:shd w:val="clear" w:color="auto" w:fill="CDDCEF"/>
          </w:tcPr>
          <w:p w14:paraId="62A1E19F" w14:textId="77777777" w:rsidR="004323C0" w:rsidRPr="004323C0" w:rsidRDefault="004323C0">
            <w:pPr>
              <w:pStyle w:val="TableParagraph"/>
              <w:spacing w:before="0"/>
              <w:jc w:val="center"/>
              <w:rPr>
                <w:rFonts w:ascii="Times New Roman" w:hAnsi="Times New Roman" w:cs="Times New Roman"/>
                <w:b/>
                <w:noProof/>
                <w:sz w:val="24"/>
                <w:szCs w:val="24"/>
              </w:rPr>
            </w:pPr>
            <w:r>
              <w:rPr>
                <w:rFonts w:ascii="Times New Roman" w:hAnsi="Times New Roman"/>
                <w:b/>
                <w:sz w:val="24"/>
              </w:rPr>
              <w:t xml:space="preserve">Lūdzu, atzīmējiet to, kuru jūs uzskatāt par savu </w:t>
            </w:r>
            <w:r>
              <w:rPr>
                <w:rFonts w:ascii="Times New Roman" w:hAnsi="Times New Roman"/>
                <w:b/>
                <w:sz w:val="24"/>
                <w:u w:val="single"/>
              </w:rPr>
              <w:t>uzņēmējdarbības pamatfunkciju</w:t>
            </w:r>
          </w:p>
        </w:tc>
      </w:tr>
      <w:tr w:rsidR="004323C0" w:rsidRPr="004323C0" w14:paraId="13307D0E" w14:textId="77777777">
        <w:tc>
          <w:tcPr>
            <w:tcW w:w="0" w:type="auto"/>
            <w:tcBorders>
              <w:top w:val="single" w:sz="4" w:space="0" w:color="466DB4"/>
              <w:bottom w:val="single" w:sz="4" w:space="0" w:color="CDDCEF"/>
            </w:tcBorders>
          </w:tcPr>
          <w:p w14:paraId="3E948E03"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Preču ražošana</w:t>
            </w:r>
          </w:p>
        </w:tc>
        <w:tc>
          <w:tcPr>
            <w:tcW w:w="1365" w:type="pct"/>
            <w:tcBorders>
              <w:top w:val="single" w:sz="4" w:space="0" w:color="466DB4"/>
              <w:bottom w:val="single" w:sz="4" w:space="0" w:color="CDDCEF"/>
            </w:tcBorders>
          </w:tcPr>
          <w:p w14:paraId="6418D823"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0</w:t>
            </w:r>
          </w:p>
        </w:tc>
        <w:tc>
          <w:tcPr>
            <w:tcW w:w="853" w:type="pct"/>
            <w:tcBorders>
              <w:top w:val="single" w:sz="4" w:space="0" w:color="466DB4"/>
              <w:bottom w:val="single" w:sz="4" w:space="0" w:color="CDDCEF"/>
            </w:tcBorders>
          </w:tcPr>
          <w:p w14:paraId="2828A8C2"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w:t>
            </w:r>
          </w:p>
        </w:tc>
        <w:tc>
          <w:tcPr>
            <w:tcW w:w="871" w:type="pct"/>
            <w:tcBorders>
              <w:top w:val="single" w:sz="4" w:space="0" w:color="466DB4"/>
              <w:bottom w:val="single" w:sz="4" w:space="0" w:color="CDDCEF"/>
            </w:tcBorders>
          </w:tcPr>
          <w:p w14:paraId="3ADEDF7C"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w:t>
            </w:r>
          </w:p>
        </w:tc>
      </w:tr>
      <w:tr w:rsidR="004323C0" w:rsidRPr="004323C0" w14:paraId="63A70937" w14:textId="77777777">
        <w:tc>
          <w:tcPr>
            <w:tcW w:w="0" w:type="auto"/>
            <w:tcBorders>
              <w:top w:val="single" w:sz="4" w:space="0" w:color="CDDCEF"/>
              <w:bottom w:val="single" w:sz="4" w:space="0" w:color="CDDCEF"/>
            </w:tcBorders>
          </w:tcPr>
          <w:p w14:paraId="463A2FDE"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Pārvaldība un administrācija</w:t>
            </w:r>
          </w:p>
        </w:tc>
        <w:tc>
          <w:tcPr>
            <w:tcW w:w="1365" w:type="pct"/>
            <w:tcBorders>
              <w:top w:val="single" w:sz="4" w:space="0" w:color="CDDCEF"/>
              <w:bottom w:val="single" w:sz="4" w:space="0" w:color="CDDCEF"/>
            </w:tcBorders>
          </w:tcPr>
          <w:p w14:paraId="414B30D0"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5</w:t>
            </w:r>
          </w:p>
        </w:tc>
        <w:tc>
          <w:tcPr>
            <w:tcW w:w="853" w:type="pct"/>
            <w:tcBorders>
              <w:top w:val="single" w:sz="4" w:space="0" w:color="CDDCEF"/>
              <w:bottom w:val="single" w:sz="4" w:space="0" w:color="CDDCEF"/>
            </w:tcBorders>
          </w:tcPr>
          <w:p w14:paraId="7C9C7B3E"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w:t>
            </w:r>
          </w:p>
        </w:tc>
        <w:tc>
          <w:tcPr>
            <w:tcW w:w="871" w:type="pct"/>
            <w:tcBorders>
              <w:top w:val="single" w:sz="4" w:space="0" w:color="CDDCEF"/>
              <w:bottom w:val="single" w:sz="4" w:space="0" w:color="CDDCEF"/>
            </w:tcBorders>
          </w:tcPr>
          <w:p w14:paraId="1A30F801"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w:t>
            </w:r>
          </w:p>
        </w:tc>
      </w:tr>
      <w:tr w:rsidR="004323C0" w:rsidRPr="004323C0" w14:paraId="6C4747DB" w14:textId="77777777">
        <w:tc>
          <w:tcPr>
            <w:tcW w:w="0" w:type="auto"/>
            <w:tcBorders>
              <w:top w:val="single" w:sz="4" w:space="0" w:color="CDDCEF"/>
              <w:bottom w:val="single" w:sz="4" w:space="0" w:color="CDDCEF"/>
            </w:tcBorders>
          </w:tcPr>
          <w:p w14:paraId="1A196E6E"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Inženiertehniskie darbi un saistīti tehniskie pakalpojumi</w:t>
            </w:r>
          </w:p>
        </w:tc>
        <w:tc>
          <w:tcPr>
            <w:tcW w:w="1365" w:type="pct"/>
            <w:tcBorders>
              <w:top w:val="single" w:sz="4" w:space="0" w:color="CDDCEF"/>
              <w:bottom w:val="single" w:sz="4" w:space="0" w:color="CDDCEF"/>
            </w:tcBorders>
          </w:tcPr>
          <w:p w14:paraId="5CAE3791"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10</w:t>
            </w:r>
          </w:p>
        </w:tc>
        <w:tc>
          <w:tcPr>
            <w:tcW w:w="853" w:type="pct"/>
            <w:tcBorders>
              <w:top w:val="single" w:sz="4" w:space="0" w:color="CDDCEF"/>
              <w:bottom w:val="single" w:sz="4" w:space="0" w:color="CDDCEF"/>
            </w:tcBorders>
          </w:tcPr>
          <w:p w14:paraId="2296AC11"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w:t>
            </w:r>
          </w:p>
        </w:tc>
        <w:tc>
          <w:tcPr>
            <w:tcW w:w="871" w:type="pct"/>
            <w:tcBorders>
              <w:top w:val="single" w:sz="4" w:space="0" w:color="CDDCEF"/>
              <w:bottom w:val="single" w:sz="4" w:space="0" w:color="CDDCEF"/>
            </w:tcBorders>
          </w:tcPr>
          <w:p w14:paraId="0953BB5B"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w:t>
            </w:r>
          </w:p>
        </w:tc>
      </w:tr>
      <w:tr w:rsidR="004323C0" w:rsidRPr="004323C0" w14:paraId="3CDEB0E0" w14:textId="77777777">
        <w:tc>
          <w:tcPr>
            <w:tcW w:w="0" w:type="auto"/>
            <w:tcBorders>
              <w:top w:val="single" w:sz="4" w:space="0" w:color="CDDCEF"/>
              <w:bottom w:val="single" w:sz="4" w:space="0" w:color="CDDCEF"/>
            </w:tcBorders>
          </w:tcPr>
          <w:p w14:paraId="059C8670"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Pētniecība un attīstība</w:t>
            </w:r>
          </w:p>
        </w:tc>
        <w:tc>
          <w:tcPr>
            <w:tcW w:w="1365" w:type="pct"/>
            <w:tcBorders>
              <w:top w:val="single" w:sz="4" w:space="0" w:color="CDDCEF"/>
              <w:bottom w:val="single" w:sz="4" w:space="0" w:color="CDDCEF"/>
            </w:tcBorders>
          </w:tcPr>
          <w:p w14:paraId="60DE1D20"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100</w:t>
            </w:r>
          </w:p>
        </w:tc>
        <w:tc>
          <w:tcPr>
            <w:tcW w:w="1724" w:type="pct"/>
            <w:gridSpan w:val="2"/>
            <w:tcBorders>
              <w:top w:val="single" w:sz="4" w:space="0" w:color="CDDCEF"/>
              <w:bottom w:val="single" w:sz="4" w:space="0" w:color="CDDCEF"/>
            </w:tcBorders>
          </w:tcPr>
          <w:p w14:paraId="4410356F" w14:textId="77777777" w:rsidR="004323C0" w:rsidRPr="004323C0" w:rsidRDefault="004323C0">
            <w:pPr>
              <w:pStyle w:val="TableParagraph"/>
              <w:spacing w:before="0"/>
              <w:jc w:val="center"/>
              <w:rPr>
                <w:rFonts w:ascii="Times New Roman" w:hAnsi="Times New Roman" w:cs="Times New Roman"/>
                <w:noProof/>
                <w:sz w:val="24"/>
                <w:szCs w:val="24"/>
              </w:rPr>
            </w:pPr>
            <w:r>
              <w:rPr>
                <w:rFonts w:ascii="Times New Roman" w:hAnsi="Times New Roman"/>
                <w:sz w:val="24"/>
              </w:rPr>
              <w:t>[X]</w:t>
            </w:r>
          </w:p>
        </w:tc>
      </w:tr>
      <w:tr w:rsidR="004323C0" w:rsidRPr="004323C0" w14:paraId="2585103C" w14:textId="77777777">
        <w:tc>
          <w:tcPr>
            <w:tcW w:w="0" w:type="auto"/>
            <w:tcBorders>
              <w:top w:val="single" w:sz="4" w:space="0" w:color="CDDCEF"/>
              <w:bottom w:val="single" w:sz="4" w:space="0" w:color="CDDCEF"/>
            </w:tcBorders>
          </w:tcPr>
          <w:p w14:paraId="46345B24"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Informācijas un komunikācijas tehnoloģijas</w:t>
            </w:r>
          </w:p>
        </w:tc>
        <w:tc>
          <w:tcPr>
            <w:tcW w:w="1365" w:type="pct"/>
            <w:tcBorders>
              <w:top w:val="single" w:sz="4" w:space="0" w:color="CDDCEF"/>
              <w:bottom w:val="single" w:sz="4" w:space="0" w:color="CDDCEF"/>
            </w:tcBorders>
          </w:tcPr>
          <w:p w14:paraId="61993EC8"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20</w:t>
            </w:r>
          </w:p>
        </w:tc>
        <w:tc>
          <w:tcPr>
            <w:tcW w:w="853" w:type="pct"/>
            <w:tcBorders>
              <w:top w:val="single" w:sz="4" w:space="0" w:color="CDDCEF"/>
              <w:bottom w:val="single" w:sz="4" w:space="0" w:color="CDDCEF"/>
            </w:tcBorders>
          </w:tcPr>
          <w:p w14:paraId="4F0A5C2B"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w:t>
            </w:r>
          </w:p>
        </w:tc>
        <w:tc>
          <w:tcPr>
            <w:tcW w:w="871" w:type="pct"/>
            <w:tcBorders>
              <w:top w:val="single" w:sz="4" w:space="0" w:color="CDDCEF"/>
              <w:bottom w:val="single" w:sz="4" w:space="0" w:color="CDDCEF"/>
            </w:tcBorders>
          </w:tcPr>
          <w:p w14:paraId="5B7EAB78"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w:t>
            </w:r>
          </w:p>
        </w:tc>
      </w:tr>
      <w:tr w:rsidR="004323C0" w:rsidRPr="004323C0" w14:paraId="7B98BA0D" w14:textId="77777777">
        <w:tc>
          <w:tcPr>
            <w:tcW w:w="0" w:type="auto"/>
            <w:tcBorders>
              <w:top w:val="single" w:sz="4" w:space="0" w:color="CDDCEF"/>
              <w:bottom w:val="single" w:sz="4" w:space="0" w:color="CDDCEF"/>
            </w:tcBorders>
          </w:tcPr>
          <w:p w14:paraId="7CCC8803"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Tirgvedība, pārdošana un klientu apkalpošana</w:t>
            </w:r>
          </w:p>
        </w:tc>
        <w:tc>
          <w:tcPr>
            <w:tcW w:w="1365" w:type="pct"/>
            <w:tcBorders>
              <w:top w:val="single" w:sz="4" w:space="0" w:color="CDDCEF"/>
              <w:bottom w:val="single" w:sz="4" w:space="0" w:color="CDDCEF"/>
            </w:tcBorders>
          </w:tcPr>
          <w:p w14:paraId="4D8AE076"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0</w:t>
            </w:r>
          </w:p>
        </w:tc>
        <w:tc>
          <w:tcPr>
            <w:tcW w:w="853" w:type="pct"/>
            <w:tcBorders>
              <w:top w:val="single" w:sz="4" w:space="0" w:color="CDDCEF"/>
              <w:bottom w:val="single" w:sz="4" w:space="0" w:color="CDDCEF"/>
            </w:tcBorders>
          </w:tcPr>
          <w:p w14:paraId="63D1F4FE"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w:t>
            </w:r>
          </w:p>
        </w:tc>
        <w:tc>
          <w:tcPr>
            <w:tcW w:w="871" w:type="pct"/>
            <w:tcBorders>
              <w:top w:val="single" w:sz="4" w:space="0" w:color="CDDCEF"/>
              <w:bottom w:val="single" w:sz="4" w:space="0" w:color="CDDCEF"/>
            </w:tcBorders>
          </w:tcPr>
          <w:p w14:paraId="08B0A438"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w:t>
            </w:r>
          </w:p>
        </w:tc>
      </w:tr>
      <w:tr w:rsidR="004323C0" w:rsidRPr="004323C0" w14:paraId="3E82E6B8" w14:textId="77777777">
        <w:tc>
          <w:tcPr>
            <w:tcW w:w="0" w:type="auto"/>
            <w:tcBorders>
              <w:top w:val="single" w:sz="4" w:space="0" w:color="CDDCEF"/>
              <w:bottom w:val="single" w:sz="4" w:space="0" w:color="CDDCEF"/>
            </w:tcBorders>
          </w:tcPr>
          <w:p w14:paraId="2D269064"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Transports, loģistika un uzglabāšana</w:t>
            </w:r>
          </w:p>
        </w:tc>
        <w:tc>
          <w:tcPr>
            <w:tcW w:w="1365" w:type="pct"/>
            <w:tcBorders>
              <w:top w:val="single" w:sz="4" w:space="0" w:color="CDDCEF"/>
              <w:bottom w:val="single" w:sz="4" w:space="0" w:color="CDDCEF"/>
            </w:tcBorders>
          </w:tcPr>
          <w:p w14:paraId="3B7E15FC"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0</w:t>
            </w:r>
          </w:p>
        </w:tc>
        <w:tc>
          <w:tcPr>
            <w:tcW w:w="853" w:type="pct"/>
            <w:tcBorders>
              <w:top w:val="single" w:sz="4" w:space="0" w:color="CDDCEF"/>
              <w:bottom w:val="single" w:sz="4" w:space="0" w:color="CDDCEF"/>
            </w:tcBorders>
          </w:tcPr>
          <w:p w14:paraId="6F1E2D3A"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w:t>
            </w:r>
          </w:p>
        </w:tc>
        <w:tc>
          <w:tcPr>
            <w:tcW w:w="871" w:type="pct"/>
            <w:tcBorders>
              <w:top w:val="single" w:sz="4" w:space="0" w:color="CDDCEF"/>
              <w:bottom w:val="single" w:sz="4" w:space="0" w:color="CDDCEF"/>
            </w:tcBorders>
          </w:tcPr>
          <w:p w14:paraId="73B9EB40"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w:t>
            </w:r>
          </w:p>
        </w:tc>
      </w:tr>
      <w:tr w:rsidR="004323C0" w:rsidRPr="004323C0" w14:paraId="5643D41D" w14:textId="77777777">
        <w:tc>
          <w:tcPr>
            <w:tcW w:w="0" w:type="auto"/>
            <w:tcBorders>
              <w:top w:val="single" w:sz="4" w:space="0" w:color="466DB4"/>
              <w:bottom w:val="single" w:sz="4" w:space="0" w:color="466DB4"/>
            </w:tcBorders>
          </w:tcPr>
          <w:p w14:paraId="3ED9ED0C" w14:textId="77777777" w:rsidR="004323C0" w:rsidRPr="004323C0" w:rsidRDefault="004323C0" w:rsidP="00F7611C">
            <w:pPr>
              <w:pStyle w:val="TableParagraph"/>
              <w:spacing w:before="0"/>
              <w:rPr>
                <w:rFonts w:ascii="Times New Roman" w:hAnsi="Times New Roman" w:cs="Times New Roman"/>
                <w:noProof/>
                <w:sz w:val="24"/>
                <w:szCs w:val="24"/>
              </w:rPr>
            </w:pPr>
            <w:r>
              <w:rPr>
                <w:rFonts w:ascii="Times New Roman" w:hAnsi="Times New Roman"/>
                <w:sz w:val="24"/>
              </w:rPr>
              <w:t>Citi pakalpojumi</w:t>
            </w:r>
          </w:p>
        </w:tc>
        <w:tc>
          <w:tcPr>
            <w:tcW w:w="1365" w:type="pct"/>
            <w:tcBorders>
              <w:top w:val="single" w:sz="4" w:space="0" w:color="466DB4"/>
              <w:bottom w:val="single" w:sz="4" w:space="0" w:color="466DB4"/>
            </w:tcBorders>
          </w:tcPr>
          <w:p w14:paraId="4967B4C8" w14:textId="77777777" w:rsidR="004323C0" w:rsidRPr="004323C0" w:rsidRDefault="004323C0">
            <w:pPr>
              <w:pStyle w:val="TableParagraph"/>
              <w:spacing w:before="0"/>
              <w:jc w:val="right"/>
              <w:rPr>
                <w:rFonts w:ascii="Times New Roman" w:hAnsi="Times New Roman" w:cs="Times New Roman"/>
                <w:noProof/>
                <w:sz w:val="24"/>
                <w:szCs w:val="24"/>
              </w:rPr>
            </w:pPr>
            <w:r>
              <w:rPr>
                <w:rFonts w:ascii="Times New Roman" w:hAnsi="Times New Roman"/>
                <w:sz w:val="24"/>
              </w:rPr>
              <w:t>5</w:t>
            </w:r>
          </w:p>
        </w:tc>
        <w:tc>
          <w:tcPr>
            <w:tcW w:w="1724" w:type="pct"/>
            <w:gridSpan w:val="2"/>
            <w:tcBorders>
              <w:top w:val="single" w:sz="4" w:space="0" w:color="466DB4"/>
              <w:bottom w:val="single" w:sz="4" w:space="0" w:color="466DB4"/>
            </w:tcBorders>
          </w:tcPr>
          <w:p w14:paraId="2A8F4B2D" w14:textId="77777777" w:rsidR="004323C0" w:rsidRPr="004323C0" w:rsidRDefault="004323C0">
            <w:pPr>
              <w:pStyle w:val="TableParagraph"/>
              <w:spacing w:before="0"/>
              <w:jc w:val="center"/>
              <w:rPr>
                <w:rFonts w:ascii="Times New Roman" w:hAnsi="Times New Roman" w:cs="Times New Roman"/>
                <w:noProof/>
                <w:sz w:val="24"/>
                <w:szCs w:val="24"/>
              </w:rPr>
            </w:pPr>
            <w:r>
              <w:rPr>
                <w:rFonts w:ascii="Times New Roman" w:hAnsi="Times New Roman"/>
                <w:sz w:val="24"/>
              </w:rPr>
              <w:t>[ ]</w:t>
            </w:r>
          </w:p>
        </w:tc>
      </w:tr>
      <w:tr w:rsidR="004323C0" w:rsidRPr="004323C0" w14:paraId="4788E5C2" w14:textId="77777777">
        <w:tc>
          <w:tcPr>
            <w:tcW w:w="0" w:type="auto"/>
            <w:tcBorders>
              <w:top w:val="single" w:sz="4" w:space="0" w:color="466DB4"/>
              <w:bottom w:val="single" w:sz="4" w:space="0" w:color="466DB4"/>
            </w:tcBorders>
          </w:tcPr>
          <w:p w14:paraId="032D436A"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KOPĀ (automātiska rinda)</w:t>
            </w:r>
          </w:p>
        </w:tc>
        <w:tc>
          <w:tcPr>
            <w:tcW w:w="1365" w:type="pct"/>
            <w:tcBorders>
              <w:top w:val="single" w:sz="4" w:space="0" w:color="466DB4"/>
              <w:bottom w:val="single" w:sz="4" w:space="0" w:color="466DB4"/>
            </w:tcBorders>
          </w:tcPr>
          <w:p w14:paraId="7A7FFC0A" w14:textId="77777777" w:rsidR="004323C0" w:rsidRPr="004323C0" w:rsidRDefault="004323C0">
            <w:pPr>
              <w:pStyle w:val="TableParagraph"/>
              <w:spacing w:before="0"/>
              <w:jc w:val="right"/>
              <w:rPr>
                <w:rFonts w:ascii="Times New Roman" w:hAnsi="Times New Roman" w:cs="Times New Roman"/>
                <w:b/>
                <w:noProof/>
                <w:sz w:val="24"/>
                <w:szCs w:val="24"/>
              </w:rPr>
            </w:pPr>
            <w:r>
              <w:rPr>
                <w:rFonts w:ascii="Times New Roman" w:hAnsi="Times New Roman"/>
                <w:b/>
                <w:sz w:val="24"/>
              </w:rPr>
              <w:t>140</w:t>
            </w:r>
          </w:p>
        </w:tc>
        <w:tc>
          <w:tcPr>
            <w:tcW w:w="1724" w:type="pct"/>
            <w:gridSpan w:val="2"/>
            <w:tcBorders>
              <w:top w:val="single" w:sz="4" w:space="0" w:color="466DB4"/>
              <w:bottom w:val="single" w:sz="4" w:space="0" w:color="466DB4"/>
            </w:tcBorders>
          </w:tcPr>
          <w:p w14:paraId="1AF5173B" w14:textId="77777777" w:rsidR="004323C0" w:rsidRPr="004323C0" w:rsidRDefault="004323C0">
            <w:pPr>
              <w:pStyle w:val="TableParagraph"/>
              <w:spacing w:before="0"/>
              <w:jc w:val="center"/>
              <w:rPr>
                <w:rFonts w:ascii="Times New Roman" w:hAnsi="Times New Roman" w:cs="Times New Roman"/>
                <w:noProof/>
                <w:sz w:val="24"/>
                <w:szCs w:val="24"/>
              </w:rPr>
            </w:pPr>
          </w:p>
        </w:tc>
      </w:tr>
    </w:tbl>
    <w:p w14:paraId="69E32D93" w14:textId="77777777" w:rsidR="004323C0" w:rsidRPr="004323C0" w:rsidRDefault="004323C0" w:rsidP="004323C0">
      <w:pPr>
        <w:pStyle w:val="BodyText"/>
        <w:jc w:val="both"/>
        <w:rPr>
          <w:rFonts w:ascii="Times New Roman" w:hAnsi="Times New Roman" w:cs="Times New Roman"/>
          <w:b/>
          <w:noProof/>
          <w:sz w:val="24"/>
          <w:szCs w:val="24"/>
        </w:rPr>
      </w:pPr>
    </w:p>
    <w:p w14:paraId="4B584209" w14:textId="77777777" w:rsidR="004323C0" w:rsidRPr="004323C0" w:rsidRDefault="004323C0" w:rsidP="004323C0">
      <w:pPr>
        <w:jc w:val="both"/>
        <w:rPr>
          <w:rFonts w:ascii="Times New Roman" w:hAnsi="Times New Roman" w:cs="Times New Roman"/>
          <w:b/>
          <w:noProof/>
          <w:color w:val="466DB4"/>
          <w:sz w:val="24"/>
          <w:szCs w:val="24"/>
        </w:rPr>
      </w:pPr>
      <w:bookmarkStart w:id="23" w:name="The_second_approach_–_a_decision_by_the_"/>
      <w:bookmarkEnd w:id="23"/>
      <w:r>
        <w:rPr>
          <w:rFonts w:ascii="Times New Roman" w:hAnsi="Times New Roman"/>
          <w:b/>
          <w:color w:val="466DB4"/>
          <w:sz w:val="24"/>
        </w:rPr>
        <w:t>Otrā pieeja – VSI lēmums</w:t>
      </w:r>
    </w:p>
    <w:p w14:paraId="13EA20C0" w14:textId="77777777" w:rsidR="004323C0" w:rsidRPr="004323C0" w:rsidRDefault="004323C0" w:rsidP="004323C0">
      <w:pPr>
        <w:pStyle w:val="BodyText"/>
        <w:jc w:val="both"/>
        <w:rPr>
          <w:rFonts w:ascii="Times New Roman" w:hAnsi="Times New Roman" w:cs="Times New Roman"/>
          <w:noProof/>
          <w:sz w:val="24"/>
          <w:szCs w:val="24"/>
        </w:rPr>
      </w:pPr>
    </w:p>
    <w:p w14:paraId="17F7122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b/>
          <w:sz w:val="24"/>
        </w:rPr>
        <w:t>Otrā pieeja</w:t>
      </w:r>
      <w:r>
        <w:rPr>
          <w:rFonts w:ascii="Times New Roman" w:hAnsi="Times New Roman"/>
          <w:sz w:val="24"/>
        </w:rPr>
        <w:t xml:space="preserve"> ir izstrādāta, pamatojoties uz pieredzi, kas gūta, veicot iepriekšējos starptautiskās sagādes un GVĶ apsekojumus, un </w:t>
      </w:r>
      <w:r>
        <w:rPr>
          <w:rFonts w:ascii="Times New Roman" w:hAnsi="Times New Roman"/>
          <w:color w:val="0066FF"/>
          <w:sz w:val="24"/>
        </w:rPr>
        <w:t>Statistikas rokasgrāmatā par uzņēmējdarbības funkciju klasifikāciju</w:t>
      </w:r>
      <w:r>
        <w:rPr>
          <w:rFonts w:ascii="Times New Roman" w:hAnsi="Times New Roman"/>
          <w:sz w:val="24"/>
        </w:rPr>
        <w:t xml:space="preserve"> sniegtajiem ieteikumiem. Saskaņā ar šo pieeju VSI izvēlas pamatdarbības funkciju, izmantojot turpinājumā aprakstīto metodi, bez nepieciešamības to tieši jautāt respondentiem.</w:t>
      </w:r>
    </w:p>
    <w:p w14:paraId="7C8163E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Pamatdarbības funkcijai jāatbilst uzņēmuma saimnieciskās darbības veidam. Uzņēmumiem, kas veic vairākas darbības, var būt nepieciešams atzīt vairāk nekā vienu pamatfunkciju. Ja uzņēmējdarbības funkcija neatbilst saimnieciskajai pamatdarbībai vai atbilst palīgdarbībai, tā jāreģistrē kā uzņēmējdarbības atbalsta funkcija. Sekundārās darbības pastāvēšana varētu liecināt par to, ka uzņēmumam ir vairāk nekā viena uzņēmējdarbības pamatfunkcija.</w:t>
      </w:r>
    </w:p>
    <w:p w14:paraId="0AE24BB2" w14:textId="77777777" w:rsidR="004323C0" w:rsidRPr="004323C0" w:rsidRDefault="004323C0" w:rsidP="004323C0">
      <w:pPr>
        <w:pStyle w:val="BodyText"/>
        <w:jc w:val="both"/>
        <w:rPr>
          <w:rFonts w:ascii="Times New Roman" w:hAnsi="Times New Roman" w:cs="Times New Roman"/>
          <w:noProof/>
          <w:sz w:val="24"/>
          <w:szCs w:val="24"/>
        </w:rPr>
      </w:pPr>
    </w:p>
    <w:p w14:paraId="267E96C0" w14:textId="6551A52A" w:rsidR="004323C0" w:rsidRPr="004323C0" w:rsidRDefault="001F1633" w:rsidP="004323C0">
      <w:pPr>
        <w:pStyle w:val="BodyText"/>
        <w:jc w:val="center"/>
        <w:rPr>
          <w:rFonts w:ascii="Times New Roman" w:hAnsi="Times New Roman" w:cs="Times New Roman"/>
          <w:noProof/>
          <w:sz w:val="24"/>
          <w:szCs w:val="24"/>
        </w:rPr>
      </w:pPr>
      <w:r w:rsidRPr="008B4A93">
        <w:rPr>
          <w:rFonts w:ascii="Times New Roman" w:hAnsi="Times New Roman" w:cs="Times New Roman"/>
          <w:noProof/>
          <w:sz w:val="24"/>
          <w:szCs w:val="24"/>
        </w:rPr>
        <w:drawing>
          <wp:inline distT="0" distB="0" distL="0" distR="0" wp14:anchorId="53D7CEF0" wp14:editId="192AB544">
            <wp:extent cx="2549570" cy="3111571"/>
            <wp:effectExtent l="0" t="0" r="3175" b="0"/>
            <wp:docPr id="183033077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30775" name="Picture 1" descr="A diagram of a flowchart&#10;&#10;Description automatically generated"/>
                    <pic:cNvPicPr/>
                  </pic:nvPicPr>
                  <pic:blipFill>
                    <a:blip r:embed="rId13"/>
                    <a:stretch>
                      <a:fillRect/>
                    </a:stretch>
                  </pic:blipFill>
                  <pic:spPr>
                    <a:xfrm>
                      <a:off x="0" y="0"/>
                      <a:ext cx="2555057" cy="3118267"/>
                    </a:xfrm>
                    <a:prstGeom prst="rect">
                      <a:avLst/>
                    </a:prstGeom>
                  </pic:spPr>
                </pic:pic>
              </a:graphicData>
            </a:graphic>
          </wp:inline>
        </w:drawing>
      </w:r>
    </w:p>
    <w:p w14:paraId="58B14BAC" w14:textId="77777777" w:rsidR="004323C0" w:rsidRPr="004323C0" w:rsidRDefault="004323C0" w:rsidP="004323C0">
      <w:pPr>
        <w:pStyle w:val="BodyText"/>
        <w:jc w:val="center"/>
        <w:rPr>
          <w:rFonts w:ascii="Times New Roman" w:hAnsi="Times New Roman" w:cs="Times New Roman"/>
          <w:noProof/>
          <w:sz w:val="24"/>
          <w:szCs w:val="24"/>
        </w:rPr>
      </w:pPr>
    </w:p>
    <w:p w14:paraId="24B0E6F8" w14:textId="77777777" w:rsidR="004323C0" w:rsidRPr="004323C0" w:rsidRDefault="004323C0" w:rsidP="004323C0">
      <w:pPr>
        <w:jc w:val="both"/>
        <w:rPr>
          <w:rFonts w:ascii="Times New Roman" w:hAnsi="Times New Roman" w:cs="Times New Roman"/>
          <w:b/>
          <w:noProof/>
          <w:sz w:val="24"/>
          <w:szCs w:val="24"/>
        </w:rPr>
      </w:pPr>
      <w:r>
        <w:rPr>
          <w:rFonts w:ascii="Times New Roman" w:hAnsi="Times New Roman"/>
          <w:b/>
          <w:sz w:val="24"/>
        </w:rPr>
        <w:t>1. attēls. Automātiska uzņēmējdarbības pamatfunkcijas izvēle – darbplūsma</w:t>
      </w:r>
    </w:p>
    <w:p w14:paraId="319977A2" w14:textId="77777777" w:rsidR="004323C0" w:rsidRPr="004323C0" w:rsidRDefault="004323C0" w:rsidP="004323C0">
      <w:pPr>
        <w:pStyle w:val="BodyText"/>
        <w:jc w:val="both"/>
        <w:rPr>
          <w:rFonts w:ascii="Times New Roman" w:hAnsi="Times New Roman" w:cs="Times New Roman"/>
          <w:noProof/>
          <w:sz w:val="24"/>
          <w:szCs w:val="24"/>
        </w:rPr>
      </w:pPr>
    </w:p>
    <w:p w14:paraId="678F5CE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Abas pieejas ir derīgas, un tās var izmantot vai nu neatkarīgi vienu no otras, vai saskaņoti. Piemēram, apsekotajiem uzņēmumiem var lūgt norādīt savu pamatfunkciju, un VSI pēc tam pārbauda atbildi, izmantojot otro iepriekš aprakstīto pieeju. Ja abas pieejas tiek izmantotas saskaņoti, lai uzlabotu precizitāti, tad neatbilstības var pārbaudīt, vai nu atkārtoti sazinoties ar respondentiem uzņēmumiem, vai izmantojot VSI vispārīgās vai konkrētās zināšanas par uzņēmumu. Tādā gadījumā apsekojumus, kas ietver uzņēmējdarbības funkcijas, varētu izmantot arī tam, lai uzlabotu darbības klasifikācijas precizitāti un tātad arī valstu uzņēmumu reģistru vispārējo kvalitāti.</w:t>
      </w:r>
    </w:p>
    <w:p w14:paraId="01EB64E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Atbilstības tabulas starp </w:t>
      </w:r>
      <w:r>
        <w:rPr>
          <w:rFonts w:ascii="Times New Roman" w:hAnsi="Times New Roman"/>
          <w:i/>
          <w:iCs/>
          <w:sz w:val="24"/>
        </w:rPr>
        <w:t>NACE</w:t>
      </w:r>
      <w:r>
        <w:rPr>
          <w:rFonts w:ascii="Times New Roman" w:hAnsi="Times New Roman"/>
          <w:sz w:val="24"/>
        </w:rPr>
        <w:t xml:space="preserve"> un UFK ir pieejamas </w:t>
      </w:r>
      <w:r>
        <w:rPr>
          <w:rFonts w:ascii="Times New Roman" w:hAnsi="Times New Roman"/>
          <w:i/>
          <w:iCs/>
          <w:color w:val="0066FF"/>
          <w:sz w:val="24"/>
        </w:rPr>
        <w:t>Showvoc</w:t>
      </w:r>
      <w:r>
        <w:rPr>
          <w:rFonts w:ascii="Times New Roman" w:hAnsi="Times New Roman"/>
          <w:color w:val="0066FF"/>
          <w:sz w:val="24"/>
        </w:rPr>
        <w:t xml:space="preserve"> lietojumprogrammā</w:t>
      </w:r>
      <w:r>
        <w:rPr>
          <w:rFonts w:ascii="Times New Roman" w:hAnsi="Times New Roman"/>
          <w:sz w:val="24"/>
        </w:rPr>
        <w:t xml:space="preserve"> un </w:t>
      </w:r>
      <w:r>
        <w:rPr>
          <w:rFonts w:ascii="Times New Roman" w:hAnsi="Times New Roman"/>
          <w:i/>
          <w:iCs/>
          <w:color w:val="0066FF"/>
          <w:sz w:val="24"/>
        </w:rPr>
        <w:t>Excel</w:t>
      </w:r>
      <w:r>
        <w:rPr>
          <w:rFonts w:ascii="Times New Roman" w:hAnsi="Times New Roman"/>
          <w:color w:val="0066FF"/>
          <w:sz w:val="24"/>
        </w:rPr>
        <w:t xml:space="preserve"> formātā </w:t>
      </w:r>
      <w:r>
        <w:rPr>
          <w:rFonts w:ascii="Times New Roman" w:hAnsi="Times New Roman"/>
          <w:i/>
          <w:iCs/>
          <w:color w:val="0066FF"/>
          <w:sz w:val="24"/>
        </w:rPr>
        <w:t>CIRCABC</w:t>
      </w:r>
      <w:r>
        <w:rPr>
          <w:rFonts w:ascii="Times New Roman" w:hAnsi="Times New Roman"/>
          <w:sz w:val="24"/>
        </w:rPr>
        <w:t xml:space="preserve"> rīkā.</w:t>
      </w:r>
    </w:p>
    <w:p w14:paraId="3E8AD61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Pirmo pieeju parasti ir ieteicams izmantot, ja ir mazs valstī darbojošos uzņēmumu skaits un augsta izpratne par jēdzienu “uzņēmējdarbības pamatfunkcija” (piemēram, ja VSI iepriekš ir veikusi SS GVĶ apsekojumu).</w:t>
      </w:r>
    </w:p>
    <w:p w14:paraId="6F44514D" w14:textId="77777777" w:rsidR="004323C0" w:rsidRPr="004323C0" w:rsidRDefault="004323C0" w:rsidP="004323C0">
      <w:pPr>
        <w:pStyle w:val="BodyText"/>
        <w:jc w:val="both"/>
        <w:rPr>
          <w:rFonts w:ascii="Times New Roman" w:hAnsi="Times New Roman" w:cs="Times New Roman"/>
          <w:noProof/>
          <w:sz w:val="24"/>
          <w:szCs w:val="24"/>
        </w:rPr>
      </w:pPr>
    </w:p>
    <w:p w14:paraId="2AEFEE1C"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24" w:name="SOURCING"/>
      <w:bookmarkEnd w:id="24"/>
      <w:r>
        <w:rPr>
          <w:rFonts w:ascii="Times New Roman" w:hAnsi="Times New Roman"/>
          <w:b/>
          <w:color w:val="466DB4"/>
          <w:sz w:val="24"/>
        </w:rPr>
        <w:t>SAGĀDE</w:t>
      </w:r>
    </w:p>
    <w:p w14:paraId="518E7AD1" w14:textId="77777777" w:rsidR="004323C0" w:rsidRPr="004323C0" w:rsidRDefault="004323C0" w:rsidP="004323C0">
      <w:pPr>
        <w:pStyle w:val="BodyText"/>
        <w:jc w:val="both"/>
        <w:rPr>
          <w:rFonts w:ascii="Times New Roman" w:hAnsi="Times New Roman" w:cs="Times New Roman"/>
          <w:noProof/>
          <w:sz w:val="24"/>
          <w:szCs w:val="24"/>
        </w:rPr>
      </w:pPr>
    </w:p>
    <w:p w14:paraId="620A8B2D"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Saistībā ar šo darbu sagāde attiecas uz </w:t>
      </w:r>
      <w:r>
        <w:rPr>
          <w:rFonts w:ascii="Times New Roman" w:hAnsi="Times New Roman"/>
          <w:b/>
          <w:sz w:val="24"/>
        </w:rPr>
        <w:t>pilnīgu vai daļēju uzņēmējdarbības funkciju nodošanu no viena uzņēmuma citam uzņēmumam</w:t>
      </w:r>
      <w:r>
        <w:rPr>
          <w:rFonts w:ascii="Times New Roman" w:hAnsi="Times New Roman"/>
          <w:sz w:val="24"/>
        </w:rPr>
        <w:t>. Šis termins attiecas gan uz ārpakalpojumiem (sagāde ārpus uzņēmumu grupas), gan uz iekšpakalpojumiem (sagāde uzņēmumu grupas ietvaros). Šīs uzņēmējdarbības funkcijas būs veiktas uzņēmumā pirms to sagādes pārskata posmā. Turpretim, ja uzņēmums vienmēr ir sagādājis kādu uzņēmējdarbības funkciju (piemēram, iegādājies pakalpojumu), šā darba vajadzībām sagāde nenotiek.</w:t>
      </w:r>
    </w:p>
    <w:p w14:paraId="498A22B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Izstrādājot apsekojumu, termins “sagāde” ir jāskaidro, izmantojot tuvāko līdzvērtīgo terminu attiecīgās valsts valodā(-s). Iespējams, šis vārds šajā valodā apzīmē “ārpakalpojumus”, jo tas parasti ir termins, ko izmanto, runājot par kādas uzņēmējdarbības funkcijas nodošanu citam uzņēmumam.</w:t>
      </w:r>
    </w:p>
    <w:p w14:paraId="53630A31" w14:textId="77777777" w:rsidR="004323C0" w:rsidRPr="004323C0" w:rsidRDefault="004323C0" w:rsidP="004323C0">
      <w:pPr>
        <w:pStyle w:val="BodyText"/>
        <w:jc w:val="both"/>
        <w:rPr>
          <w:rFonts w:ascii="Times New Roman" w:hAnsi="Times New Roman" w:cs="Times New Roman"/>
          <w:noProof/>
          <w:sz w:val="24"/>
          <w:szCs w:val="24"/>
        </w:rPr>
      </w:pPr>
    </w:p>
    <w:p w14:paraId="198AE4BA" w14:textId="77777777" w:rsidR="004323C0" w:rsidRPr="004323C0" w:rsidRDefault="004323C0" w:rsidP="008B10E6">
      <w:pPr>
        <w:keepNext/>
        <w:keepLines/>
        <w:jc w:val="both"/>
        <w:rPr>
          <w:rFonts w:ascii="Times New Roman" w:hAnsi="Times New Roman" w:cs="Times New Roman"/>
          <w:b/>
          <w:noProof/>
          <w:sz w:val="24"/>
          <w:szCs w:val="24"/>
        </w:rPr>
      </w:pPr>
      <w:bookmarkStart w:id="25" w:name="Four_sourcing_options"/>
      <w:bookmarkEnd w:id="25"/>
      <w:r>
        <w:rPr>
          <w:rFonts w:ascii="Times New Roman" w:hAnsi="Times New Roman"/>
          <w:b/>
          <w:sz w:val="24"/>
        </w:rPr>
        <w:t>Četras sagādes iespējas</w:t>
      </w:r>
    </w:p>
    <w:p w14:paraId="00756EC5" w14:textId="77777777" w:rsidR="004323C0" w:rsidRPr="004323C0" w:rsidRDefault="004323C0" w:rsidP="008B10E6">
      <w:pPr>
        <w:pStyle w:val="BodyText"/>
        <w:keepNext/>
        <w:keepLines/>
        <w:jc w:val="both"/>
        <w:rPr>
          <w:rFonts w:ascii="Times New Roman" w:hAnsi="Times New Roman" w:cs="Times New Roman"/>
          <w:noProof/>
          <w:sz w:val="24"/>
          <w:szCs w:val="24"/>
        </w:rPr>
      </w:pPr>
    </w:p>
    <w:p w14:paraId="34271BB6" w14:textId="77777777" w:rsidR="004323C0" w:rsidRPr="004323C0" w:rsidRDefault="004323C0" w:rsidP="008B10E6">
      <w:pPr>
        <w:pStyle w:val="BodyText"/>
        <w:keepNext/>
        <w:keepLines/>
        <w:jc w:val="both"/>
        <w:rPr>
          <w:rFonts w:ascii="Times New Roman" w:hAnsi="Times New Roman" w:cs="Times New Roman"/>
          <w:noProof/>
          <w:sz w:val="24"/>
          <w:szCs w:val="24"/>
        </w:rPr>
      </w:pPr>
      <w:r>
        <w:rPr>
          <w:rFonts w:ascii="Times New Roman" w:hAnsi="Times New Roman"/>
          <w:sz w:val="24"/>
        </w:rPr>
        <w:t>Pastāv šādas četras sagādes pamatiespējas (2. attēls):</w:t>
      </w:r>
    </w:p>
    <w:p w14:paraId="5B5EEC09" w14:textId="77777777" w:rsidR="004323C0" w:rsidRPr="004323C0" w:rsidRDefault="004323C0" w:rsidP="008B10E6">
      <w:pPr>
        <w:pStyle w:val="ListParagraph"/>
        <w:keepNext/>
        <w:keepLines/>
        <w:tabs>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1) iekšzemes iekšpakalpojumu izmantošana – uzņēmējdarbības funkcijas nodošana citai juridiskajai vienībai uzņēmuma vai uzņēmumu grupas </w:t>
      </w:r>
      <w:r>
        <w:rPr>
          <w:rFonts w:ascii="Times New Roman" w:hAnsi="Times New Roman"/>
          <w:sz w:val="24"/>
          <w:u w:val="single"/>
        </w:rPr>
        <w:t>ietvaros</w:t>
      </w:r>
      <w:r>
        <w:rPr>
          <w:rFonts w:ascii="Times New Roman" w:hAnsi="Times New Roman"/>
          <w:sz w:val="24"/>
        </w:rPr>
        <w:t xml:space="preserve"> tajā </w:t>
      </w:r>
      <w:r>
        <w:rPr>
          <w:rFonts w:ascii="Times New Roman" w:hAnsi="Times New Roman"/>
          <w:sz w:val="24"/>
          <w:u w:val="single"/>
        </w:rPr>
        <w:t>valstī</w:t>
      </w:r>
      <w:r>
        <w:rPr>
          <w:rFonts w:ascii="Times New Roman" w:hAnsi="Times New Roman"/>
          <w:sz w:val="24"/>
        </w:rPr>
        <w:t>, kas apkopo datus;</w:t>
      </w:r>
    </w:p>
    <w:p w14:paraId="6391EF38" w14:textId="77777777" w:rsidR="004323C0" w:rsidRPr="004323C0" w:rsidRDefault="004323C0" w:rsidP="004323C0">
      <w:pPr>
        <w:pStyle w:val="ListParagraph"/>
        <w:tabs>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2) iekšzemes ārpakalpojumu izmantošana – uzņēmējdarbības funkcijas nodošana citai juridiskajai vienībai </w:t>
      </w:r>
      <w:r>
        <w:rPr>
          <w:rFonts w:ascii="Times New Roman" w:hAnsi="Times New Roman"/>
          <w:sz w:val="24"/>
          <w:u w:val="single"/>
        </w:rPr>
        <w:t>ārpus</w:t>
      </w:r>
      <w:r>
        <w:rPr>
          <w:rFonts w:ascii="Times New Roman" w:hAnsi="Times New Roman"/>
          <w:sz w:val="24"/>
        </w:rPr>
        <w:t xml:space="preserve"> uzņēmuma vai uzņēmumu grupas tajā </w:t>
      </w:r>
      <w:r>
        <w:rPr>
          <w:rFonts w:ascii="Times New Roman" w:hAnsi="Times New Roman"/>
          <w:sz w:val="24"/>
          <w:u w:val="single"/>
        </w:rPr>
        <w:t>valstī</w:t>
      </w:r>
      <w:r>
        <w:rPr>
          <w:rFonts w:ascii="Times New Roman" w:hAnsi="Times New Roman"/>
          <w:sz w:val="24"/>
        </w:rPr>
        <w:t>, kas vāc datus;</w:t>
      </w:r>
    </w:p>
    <w:p w14:paraId="709326AF" w14:textId="77777777" w:rsidR="004323C0" w:rsidRPr="004323C0" w:rsidRDefault="004323C0" w:rsidP="004323C0">
      <w:pPr>
        <w:pStyle w:val="ListParagraph"/>
        <w:tabs>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3) starptautisko iekšpakalpojumu izmantošana – uzņēmējdarbības funkcijas nodošana citai juridiskajai vienībai uzņēmuma vai uzņēmumu grupas </w:t>
      </w:r>
      <w:r>
        <w:rPr>
          <w:rFonts w:ascii="Times New Roman" w:hAnsi="Times New Roman"/>
          <w:sz w:val="24"/>
          <w:u w:val="single"/>
        </w:rPr>
        <w:t>ietvaros</w:t>
      </w:r>
      <w:r>
        <w:rPr>
          <w:rFonts w:ascii="Times New Roman" w:hAnsi="Times New Roman"/>
          <w:sz w:val="24"/>
        </w:rPr>
        <w:t xml:space="preserve"> </w:t>
      </w:r>
      <w:r>
        <w:rPr>
          <w:rFonts w:ascii="Times New Roman" w:hAnsi="Times New Roman"/>
          <w:sz w:val="24"/>
          <w:u w:val="single"/>
        </w:rPr>
        <w:t>ārpus</w:t>
      </w:r>
      <w:r>
        <w:rPr>
          <w:rFonts w:ascii="Times New Roman" w:hAnsi="Times New Roman"/>
          <w:sz w:val="24"/>
        </w:rPr>
        <w:t xml:space="preserve"> valsts, kas vāc datus;</w:t>
      </w:r>
    </w:p>
    <w:p w14:paraId="584004A1" w14:textId="77777777" w:rsidR="004323C0" w:rsidRPr="004323C0" w:rsidRDefault="004323C0" w:rsidP="004323C0">
      <w:pPr>
        <w:pStyle w:val="ListParagraph"/>
        <w:tabs>
          <w:tab w:val="left" w:pos="2421"/>
        </w:tabs>
        <w:spacing w:before="0"/>
        <w:ind w:left="284" w:firstLine="0"/>
        <w:rPr>
          <w:rFonts w:ascii="Times New Roman" w:hAnsi="Times New Roman" w:cs="Times New Roman"/>
          <w:noProof/>
          <w:sz w:val="24"/>
          <w:szCs w:val="24"/>
        </w:rPr>
      </w:pPr>
      <w:r>
        <w:rPr>
          <w:rFonts w:ascii="Times New Roman" w:hAnsi="Times New Roman"/>
          <w:sz w:val="24"/>
        </w:rPr>
        <w:t xml:space="preserve">4) starptautisko ārpakalpojumu izmantošana – uzņēmējdarbības funkcijas nodošana citai juridiskajai vienībai </w:t>
      </w:r>
      <w:r>
        <w:rPr>
          <w:rFonts w:ascii="Times New Roman" w:hAnsi="Times New Roman"/>
          <w:sz w:val="24"/>
          <w:u w:val="single"/>
        </w:rPr>
        <w:t>ārpus</w:t>
      </w:r>
      <w:r>
        <w:rPr>
          <w:rFonts w:ascii="Times New Roman" w:hAnsi="Times New Roman"/>
          <w:sz w:val="24"/>
        </w:rPr>
        <w:t xml:space="preserve"> uzņēmuma vai uzņēmumu grupas </w:t>
      </w:r>
      <w:r>
        <w:rPr>
          <w:rFonts w:ascii="Times New Roman" w:hAnsi="Times New Roman"/>
          <w:sz w:val="24"/>
          <w:u w:val="single"/>
        </w:rPr>
        <w:t>ārpus</w:t>
      </w:r>
      <w:r>
        <w:rPr>
          <w:rFonts w:ascii="Times New Roman" w:hAnsi="Times New Roman"/>
          <w:sz w:val="24"/>
        </w:rPr>
        <w:t xml:space="preserve"> valsts, kas vāc datus.</w:t>
      </w:r>
    </w:p>
    <w:p w14:paraId="2AFE7479" w14:textId="77777777" w:rsidR="004323C0" w:rsidRPr="004323C0" w:rsidRDefault="004323C0" w:rsidP="004323C0">
      <w:pPr>
        <w:pStyle w:val="BodyText"/>
        <w:jc w:val="both"/>
        <w:rPr>
          <w:rFonts w:ascii="Times New Roman" w:hAnsi="Times New Roman" w:cs="Times New Roman"/>
          <w:noProof/>
          <w:sz w:val="24"/>
          <w:szCs w:val="24"/>
        </w:rPr>
      </w:pPr>
    </w:p>
    <w:p w14:paraId="7EC71394" w14:textId="77777777" w:rsidR="004323C0" w:rsidRPr="004323C0" w:rsidRDefault="004323C0" w:rsidP="004323C0">
      <w:pPr>
        <w:pStyle w:val="BodyText"/>
        <w:jc w:val="center"/>
        <w:rPr>
          <w:rFonts w:ascii="Times New Roman" w:hAnsi="Times New Roman" w:cs="Times New Roman"/>
          <w:noProof/>
          <w:sz w:val="24"/>
          <w:szCs w:val="24"/>
        </w:rPr>
      </w:pPr>
      <w:r>
        <w:rPr>
          <w:rFonts w:ascii="Times New Roman" w:hAnsi="Times New Roman"/>
          <w:noProof/>
          <w:sz w:val="24"/>
        </w:rPr>
        <w:drawing>
          <wp:inline distT="0" distB="0" distL="0" distR="0" wp14:anchorId="74DF59CB" wp14:editId="3784BB1B">
            <wp:extent cx="5049079" cy="4055398"/>
            <wp:effectExtent l="0" t="0" r="0" b="2540"/>
            <wp:docPr id="748378585" name="Picture 1" descr="A diagram of a company's insour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78585" name="Picture 1" descr="A diagram of a company's insourcing&#10;&#10;Description automatically generated"/>
                    <pic:cNvPicPr/>
                  </pic:nvPicPr>
                  <pic:blipFill>
                    <a:blip r:embed="rId14"/>
                    <a:stretch>
                      <a:fillRect/>
                    </a:stretch>
                  </pic:blipFill>
                  <pic:spPr>
                    <a:xfrm>
                      <a:off x="0" y="0"/>
                      <a:ext cx="5053634" cy="4059056"/>
                    </a:xfrm>
                    <a:prstGeom prst="rect">
                      <a:avLst/>
                    </a:prstGeom>
                  </pic:spPr>
                </pic:pic>
              </a:graphicData>
            </a:graphic>
          </wp:inline>
        </w:drawing>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478"/>
        <w:gridCol w:w="4653"/>
      </w:tblGrid>
      <w:tr w:rsidR="00223805" w:rsidRPr="004323C0" w14:paraId="30D9785C" w14:textId="77777777" w:rsidTr="004836E6">
        <w:tc>
          <w:tcPr>
            <w:tcW w:w="2452" w:type="pct"/>
          </w:tcPr>
          <w:p w14:paraId="61BB04B4" w14:textId="60AD1074" w:rsidR="00223805" w:rsidRPr="00223805" w:rsidRDefault="00223805" w:rsidP="00223805">
            <w:pPr>
              <w:pStyle w:val="BodyText"/>
              <w:jc w:val="center"/>
              <w:rPr>
                <w:rFonts w:ascii="Times New Roman" w:hAnsi="Times New Roman" w:cs="Times New Roman"/>
                <w:b/>
                <w:bCs/>
                <w:noProof/>
                <w:sz w:val="24"/>
                <w:szCs w:val="24"/>
              </w:rPr>
            </w:pPr>
            <w:r w:rsidRPr="00223805">
              <w:rPr>
                <w:rFonts w:ascii="Times New Roman" w:hAnsi="Times New Roman" w:cs="Times New Roman"/>
                <w:b/>
                <w:bCs/>
                <w:noProof/>
                <w:sz w:val="24"/>
                <w:szCs w:val="24"/>
              </w:rPr>
              <w:t>Angļu val.</w:t>
            </w:r>
          </w:p>
        </w:tc>
        <w:tc>
          <w:tcPr>
            <w:tcW w:w="2548" w:type="pct"/>
          </w:tcPr>
          <w:p w14:paraId="5EB069D8" w14:textId="4DCD36F8" w:rsidR="00223805" w:rsidRPr="00223805" w:rsidRDefault="00223805" w:rsidP="00223805">
            <w:pPr>
              <w:pStyle w:val="BodyText"/>
              <w:jc w:val="center"/>
              <w:rPr>
                <w:rFonts w:ascii="Times New Roman" w:hAnsi="Times New Roman"/>
                <w:b/>
                <w:bCs/>
                <w:sz w:val="24"/>
              </w:rPr>
            </w:pPr>
            <w:r w:rsidRPr="00223805">
              <w:rPr>
                <w:rFonts w:ascii="Times New Roman" w:hAnsi="Times New Roman"/>
                <w:b/>
                <w:bCs/>
                <w:sz w:val="24"/>
              </w:rPr>
              <w:t>Latviešu val.</w:t>
            </w:r>
          </w:p>
        </w:tc>
      </w:tr>
      <w:tr w:rsidR="00223805" w:rsidRPr="004323C0" w14:paraId="0C780968" w14:textId="77777777" w:rsidTr="004836E6">
        <w:tc>
          <w:tcPr>
            <w:tcW w:w="2452" w:type="pct"/>
          </w:tcPr>
          <w:p w14:paraId="36471BDD" w14:textId="7D2266EF"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ORGANISATION</w:t>
            </w:r>
          </w:p>
        </w:tc>
        <w:tc>
          <w:tcPr>
            <w:tcW w:w="2548" w:type="pct"/>
          </w:tcPr>
          <w:p w14:paraId="51504556" w14:textId="6C710FEA"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ORGANIZĀCIJA</w:t>
            </w:r>
          </w:p>
        </w:tc>
      </w:tr>
      <w:tr w:rsidR="00223805" w:rsidRPr="004323C0" w14:paraId="1481615D" w14:textId="77777777" w:rsidTr="004836E6">
        <w:tc>
          <w:tcPr>
            <w:tcW w:w="2452" w:type="pct"/>
          </w:tcPr>
          <w:p w14:paraId="740DA0FC" w14:textId="783A1738"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LOCATION</w:t>
            </w:r>
          </w:p>
        </w:tc>
        <w:tc>
          <w:tcPr>
            <w:tcW w:w="2548" w:type="pct"/>
          </w:tcPr>
          <w:p w14:paraId="71C0CF48" w14:textId="487C6E08"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ATRAŠANĀS VIETA</w:t>
            </w:r>
          </w:p>
        </w:tc>
      </w:tr>
      <w:tr w:rsidR="00223805" w:rsidRPr="004323C0" w14:paraId="691A76B7" w14:textId="77777777" w:rsidTr="004836E6">
        <w:tc>
          <w:tcPr>
            <w:tcW w:w="2452" w:type="pct"/>
          </w:tcPr>
          <w:p w14:paraId="4280E595" w14:textId="0D7EF067"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FOUR OPTIONS FOR THE SOURCING OF BUSINESS FUNCTIONS</w:t>
            </w:r>
          </w:p>
        </w:tc>
        <w:tc>
          <w:tcPr>
            <w:tcW w:w="2548" w:type="pct"/>
          </w:tcPr>
          <w:p w14:paraId="5B102A6D" w14:textId="689603A4"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ČETRAS UZŅĒMĒJDARBĪBAS FUNKCIJU SAGĀDES IESPĒJAS</w:t>
            </w:r>
          </w:p>
        </w:tc>
      </w:tr>
      <w:tr w:rsidR="00223805" w:rsidRPr="004323C0" w14:paraId="18435564" w14:textId="77777777" w:rsidTr="004836E6">
        <w:tc>
          <w:tcPr>
            <w:tcW w:w="2452" w:type="pct"/>
          </w:tcPr>
          <w:p w14:paraId="3749334E" w14:textId="0458E9D2" w:rsidR="00223805" w:rsidRPr="004323C0" w:rsidRDefault="00223805" w:rsidP="00223805">
            <w:pPr>
              <w:pStyle w:val="BodyText"/>
              <w:jc w:val="both"/>
              <w:rPr>
                <w:rFonts w:ascii="Times New Roman" w:hAnsi="Times New Roman" w:cs="Times New Roman"/>
                <w:b/>
                <w:bCs/>
                <w:noProof/>
                <w:sz w:val="24"/>
                <w:szCs w:val="24"/>
              </w:rPr>
            </w:pPr>
            <w:r w:rsidRPr="004323C0">
              <w:rPr>
                <w:rFonts w:ascii="Times New Roman" w:hAnsi="Times New Roman" w:cs="Times New Roman"/>
                <w:b/>
                <w:bCs/>
                <w:noProof/>
                <w:sz w:val="24"/>
                <w:szCs w:val="24"/>
              </w:rPr>
              <w:t>Domestic external suppliers</w:t>
            </w:r>
          </w:p>
        </w:tc>
        <w:tc>
          <w:tcPr>
            <w:tcW w:w="2548" w:type="pct"/>
          </w:tcPr>
          <w:p w14:paraId="4FE700E8" w14:textId="5E16A981"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b/>
                <w:sz w:val="24"/>
              </w:rPr>
              <w:t>Iekšzemes ārējie piegādātāji</w:t>
            </w:r>
          </w:p>
        </w:tc>
      </w:tr>
      <w:tr w:rsidR="00223805" w:rsidRPr="004323C0" w14:paraId="545F1235" w14:textId="77777777" w:rsidTr="004836E6">
        <w:tc>
          <w:tcPr>
            <w:tcW w:w="2452" w:type="pct"/>
          </w:tcPr>
          <w:p w14:paraId="6A2FA9C1" w14:textId="6CB6A905"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 xml:space="preserve">Transfer of a business function to another legal unit </w:t>
            </w:r>
            <w:r w:rsidRPr="004323C0">
              <w:rPr>
                <w:rFonts w:ascii="Times New Roman" w:hAnsi="Times New Roman" w:cs="Times New Roman"/>
                <w:noProof/>
                <w:sz w:val="24"/>
                <w:szCs w:val="24"/>
                <w:u w:val="single"/>
              </w:rPr>
              <w:t xml:space="preserve">outside </w:t>
            </w:r>
            <w:r w:rsidRPr="004323C0">
              <w:rPr>
                <w:rFonts w:ascii="Times New Roman" w:hAnsi="Times New Roman" w:cs="Times New Roman"/>
                <w:noProof/>
                <w:sz w:val="24"/>
                <w:szCs w:val="24"/>
              </w:rPr>
              <w:t xml:space="preserve">the enterprise or enterprise group </w:t>
            </w:r>
            <w:r w:rsidRPr="004323C0">
              <w:rPr>
                <w:rFonts w:ascii="Times New Roman" w:hAnsi="Times New Roman" w:cs="Times New Roman"/>
                <w:noProof/>
                <w:sz w:val="24"/>
                <w:szCs w:val="24"/>
                <w:u w:val="single"/>
              </w:rPr>
              <w:t xml:space="preserve">within </w:t>
            </w:r>
            <w:r w:rsidRPr="004323C0">
              <w:rPr>
                <w:rFonts w:ascii="Times New Roman" w:hAnsi="Times New Roman" w:cs="Times New Roman"/>
                <w:noProof/>
                <w:sz w:val="24"/>
                <w:szCs w:val="24"/>
              </w:rPr>
              <w:t>the compiling country</w:t>
            </w:r>
          </w:p>
        </w:tc>
        <w:tc>
          <w:tcPr>
            <w:tcW w:w="2548" w:type="pct"/>
          </w:tcPr>
          <w:p w14:paraId="2E9BBC75" w14:textId="2671AE87"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 xml:space="preserve">Uzņēmējdarbības funkcijas nodošana citai juridiskajai vienībai </w:t>
            </w:r>
            <w:r>
              <w:rPr>
                <w:rFonts w:ascii="Times New Roman" w:hAnsi="Times New Roman"/>
                <w:sz w:val="24"/>
                <w:u w:val="single"/>
              </w:rPr>
              <w:t>ārpus</w:t>
            </w:r>
            <w:r>
              <w:rPr>
                <w:rFonts w:ascii="Times New Roman" w:hAnsi="Times New Roman"/>
                <w:sz w:val="24"/>
              </w:rPr>
              <w:t xml:space="preserve"> uzņēmuma vai uzņēmumu grupas tajā </w:t>
            </w:r>
            <w:r>
              <w:rPr>
                <w:rFonts w:ascii="Times New Roman" w:hAnsi="Times New Roman"/>
                <w:sz w:val="24"/>
                <w:u w:val="single"/>
              </w:rPr>
              <w:t>valstī</w:t>
            </w:r>
            <w:r>
              <w:rPr>
                <w:rFonts w:ascii="Times New Roman" w:hAnsi="Times New Roman"/>
                <w:sz w:val="24"/>
              </w:rPr>
              <w:t>, kas apkopo datus</w:t>
            </w:r>
          </w:p>
        </w:tc>
      </w:tr>
      <w:tr w:rsidR="00223805" w:rsidRPr="004323C0" w14:paraId="00C55391" w14:textId="77777777" w:rsidTr="004836E6">
        <w:tc>
          <w:tcPr>
            <w:tcW w:w="2452" w:type="pct"/>
          </w:tcPr>
          <w:p w14:paraId="5E4A5325" w14:textId="4554B2CE"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DOMESTIC OUTSOURCING</w:t>
            </w:r>
          </w:p>
        </w:tc>
        <w:tc>
          <w:tcPr>
            <w:tcW w:w="2548" w:type="pct"/>
          </w:tcPr>
          <w:p w14:paraId="58ED8207" w14:textId="724143C3"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IEKŠZEMES ĀRPAKALPOJUMU IZMANTOŠANA</w:t>
            </w:r>
          </w:p>
        </w:tc>
      </w:tr>
      <w:tr w:rsidR="00223805" w:rsidRPr="004323C0" w14:paraId="52979C28" w14:textId="77777777" w:rsidTr="004836E6">
        <w:tc>
          <w:tcPr>
            <w:tcW w:w="2452" w:type="pct"/>
          </w:tcPr>
          <w:p w14:paraId="2D237FCC" w14:textId="3AFD8722" w:rsidR="00223805" w:rsidRPr="004323C0" w:rsidRDefault="00223805" w:rsidP="00223805">
            <w:pPr>
              <w:pStyle w:val="BodyText"/>
              <w:jc w:val="both"/>
              <w:rPr>
                <w:rFonts w:ascii="Times New Roman" w:hAnsi="Times New Roman" w:cs="Times New Roman"/>
                <w:b/>
                <w:bCs/>
                <w:noProof/>
                <w:sz w:val="24"/>
                <w:szCs w:val="24"/>
              </w:rPr>
            </w:pPr>
            <w:r w:rsidRPr="004323C0">
              <w:rPr>
                <w:rFonts w:ascii="Times New Roman" w:hAnsi="Times New Roman" w:cs="Times New Roman"/>
                <w:b/>
                <w:bCs/>
                <w:noProof/>
                <w:sz w:val="24"/>
                <w:szCs w:val="24"/>
              </w:rPr>
              <w:t>International external suppliers</w:t>
            </w:r>
          </w:p>
        </w:tc>
        <w:tc>
          <w:tcPr>
            <w:tcW w:w="2548" w:type="pct"/>
          </w:tcPr>
          <w:p w14:paraId="6739C1CA" w14:textId="4CD17E0F"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b/>
                <w:sz w:val="24"/>
              </w:rPr>
              <w:t>Starptautiskie ārējie piegādātāji</w:t>
            </w:r>
          </w:p>
        </w:tc>
      </w:tr>
      <w:tr w:rsidR="00223805" w:rsidRPr="004323C0" w14:paraId="799E13F3" w14:textId="77777777" w:rsidTr="004836E6">
        <w:tc>
          <w:tcPr>
            <w:tcW w:w="2452" w:type="pct"/>
          </w:tcPr>
          <w:p w14:paraId="1D4E8FB0" w14:textId="51F9EA11" w:rsidR="00223805" w:rsidRPr="004323C0" w:rsidRDefault="00223805" w:rsidP="00A03A35">
            <w:pPr>
              <w:pStyle w:val="BodyText"/>
              <w:widowControl/>
              <w:jc w:val="both"/>
              <w:rPr>
                <w:rFonts w:ascii="Times New Roman" w:hAnsi="Times New Roman" w:cs="Times New Roman"/>
                <w:noProof/>
                <w:sz w:val="24"/>
                <w:szCs w:val="24"/>
              </w:rPr>
            </w:pPr>
            <w:r w:rsidRPr="004323C0">
              <w:rPr>
                <w:rFonts w:ascii="Times New Roman" w:hAnsi="Times New Roman" w:cs="Times New Roman"/>
                <w:noProof/>
                <w:sz w:val="24"/>
                <w:szCs w:val="24"/>
              </w:rPr>
              <w:t xml:space="preserve">Transfer of a business function to another legal unit </w:t>
            </w:r>
            <w:r w:rsidRPr="004323C0">
              <w:rPr>
                <w:rFonts w:ascii="Times New Roman" w:hAnsi="Times New Roman" w:cs="Times New Roman"/>
                <w:noProof/>
                <w:sz w:val="24"/>
                <w:szCs w:val="24"/>
                <w:u w:val="single"/>
              </w:rPr>
              <w:t xml:space="preserve">outside </w:t>
            </w:r>
            <w:r w:rsidRPr="004323C0">
              <w:rPr>
                <w:rFonts w:ascii="Times New Roman" w:hAnsi="Times New Roman" w:cs="Times New Roman"/>
                <w:noProof/>
                <w:sz w:val="24"/>
                <w:szCs w:val="24"/>
              </w:rPr>
              <w:t xml:space="preserve">the enterprise or enterprise group </w:t>
            </w:r>
            <w:r w:rsidRPr="004323C0">
              <w:rPr>
                <w:rFonts w:ascii="Times New Roman" w:hAnsi="Times New Roman" w:cs="Times New Roman"/>
                <w:noProof/>
                <w:sz w:val="24"/>
                <w:szCs w:val="24"/>
                <w:u w:val="single"/>
              </w:rPr>
              <w:t xml:space="preserve">outside </w:t>
            </w:r>
            <w:r w:rsidRPr="004323C0">
              <w:rPr>
                <w:rFonts w:ascii="Times New Roman" w:hAnsi="Times New Roman" w:cs="Times New Roman"/>
                <w:noProof/>
                <w:sz w:val="24"/>
                <w:szCs w:val="24"/>
              </w:rPr>
              <w:t>the compiling country</w:t>
            </w:r>
          </w:p>
        </w:tc>
        <w:tc>
          <w:tcPr>
            <w:tcW w:w="2548" w:type="pct"/>
          </w:tcPr>
          <w:p w14:paraId="165A9FC2" w14:textId="1BDDE6C9" w:rsidR="00223805" w:rsidRPr="004323C0" w:rsidRDefault="00223805" w:rsidP="00A03A35">
            <w:pPr>
              <w:pStyle w:val="BodyText"/>
              <w:widowControl/>
              <w:jc w:val="both"/>
              <w:rPr>
                <w:rFonts w:ascii="Times New Roman" w:hAnsi="Times New Roman" w:cs="Times New Roman"/>
                <w:noProof/>
                <w:sz w:val="24"/>
                <w:szCs w:val="24"/>
              </w:rPr>
            </w:pPr>
            <w:r>
              <w:rPr>
                <w:rFonts w:ascii="Times New Roman" w:hAnsi="Times New Roman"/>
                <w:sz w:val="24"/>
              </w:rPr>
              <w:t xml:space="preserve">Uzņēmējdarbības funkcijas nodošana citai juridiskajai vienībai </w:t>
            </w:r>
            <w:r>
              <w:rPr>
                <w:rFonts w:ascii="Times New Roman" w:hAnsi="Times New Roman"/>
                <w:sz w:val="24"/>
                <w:u w:val="single"/>
              </w:rPr>
              <w:t>ārpus</w:t>
            </w:r>
            <w:r>
              <w:rPr>
                <w:rFonts w:ascii="Times New Roman" w:hAnsi="Times New Roman"/>
                <w:sz w:val="24"/>
              </w:rPr>
              <w:t xml:space="preserve"> uzņēmuma vai uzņēmumu grupas </w:t>
            </w:r>
            <w:r>
              <w:rPr>
                <w:rFonts w:ascii="Times New Roman" w:hAnsi="Times New Roman"/>
                <w:sz w:val="24"/>
                <w:u w:val="single"/>
              </w:rPr>
              <w:t>ārpus</w:t>
            </w:r>
            <w:r>
              <w:rPr>
                <w:rFonts w:ascii="Times New Roman" w:hAnsi="Times New Roman"/>
                <w:sz w:val="24"/>
              </w:rPr>
              <w:t xml:space="preserve"> valsts, kas apkopo datus</w:t>
            </w:r>
          </w:p>
        </w:tc>
      </w:tr>
      <w:tr w:rsidR="00223805" w:rsidRPr="004323C0" w14:paraId="74289BB2" w14:textId="77777777" w:rsidTr="004836E6">
        <w:tc>
          <w:tcPr>
            <w:tcW w:w="2452" w:type="pct"/>
          </w:tcPr>
          <w:p w14:paraId="40705813" w14:textId="2DCCD2BD"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INTERNATIONAL OUTSOURCING</w:t>
            </w:r>
          </w:p>
        </w:tc>
        <w:tc>
          <w:tcPr>
            <w:tcW w:w="2548" w:type="pct"/>
          </w:tcPr>
          <w:p w14:paraId="65FB6B3D" w14:textId="2AEB5EA0"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STARPTAUTISKO ĀRPAKALPOJUMU IZMANTOŠANA</w:t>
            </w:r>
          </w:p>
        </w:tc>
      </w:tr>
      <w:tr w:rsidR="00223805" w:rsidRPr="004323C0" w14:paraId="07926EE3" w14:textId="77777777" w:rsidTr="004836E6">
        <w:tc>
          <w:tcPr>
            <w:tcW w:w="2452" w:type="pct"/>
          </w:tcPr>
          <w:p w14:paraId="54E9E6BC" w14:textId="6E8F3428" w:rsidR="00223805" w:rsidRPr="004323C0" w:rsidRDefault="00223805" w:rsidP="00223805">
            <w:pPr>
              <w:pStyle w:val="BodyText"/>
              <w:jc w:val="both"/>
              <w:rPr>
                <w:rFonts w:ascii="Times New Roman" w:hAnsi="Times New Roman" w:cs="Times New Roman"/>
                <w:b/>
                <w:bCs/>
                <w:noProof/>
                <w:sz w:val="24"/>
                <w:szCs w:val="24"/>
              </w:rPr>
            </w:pPr>
            <w:r w:rsidRPr="004323C0">
              <w:rPr>
                <w:rFonts w:ascii="Times New Roman" w:hAnsi="Times New Roman" w:cs="Times New Roman"/>
                <w:b/>
                <w:bCs/>
                <w:noProof/>
                <w:sz w:val="24"/>
                <w:szCs w:val="24"/>
              </w:rPr>
              <w:t>Domestic or intra-group sources</w:t>
            </w:r>
          </w:p>
        </w:tc>
        <w:tc>
          <w:tcPr>
            <w:tcW w:w="2548" w:type="pct"/>
          </w:tcPr>
          <w:p w14:paraId="4127A3F0" w14:textId="2299DD0B"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b/>
                <w:sz w:val="24"/>
              </w:rPr>
              <w:t>Piegādātāji attiecīgajā valstī vai uzņēmumu grupā</w:t>
            </w:r>
          </w:p>
        </w:tc>
      </w:tr>
      <w:tr w:rsidR="00223805" w:rsidRPr="004323C0" w14:paraId="23D04D48" w14:textId="77777777" w:rsidTr="004836E6">
        <w:tc>
          <w:tcPr>
            <w:tcW w:w="2452" w:type="pct"/>
          </w:tcPr>
          <w:p w14:paraId="17B4A7A6" w14:textId="124749B5"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 xml:space="preserve">Transfer of a business function to another legal unit </w:t>
            </w:r>
            <w:r w:rsidRPr="004323C0">
              <w:rPr>
                <w:rFonts w:ascii="Times New Roman" w:hAnsi="Times New Roman" w:cs="Times New Roman"/>
                <w:noProof/>
                <w:sz w:val="24"/>
                <w:szCs w:val="24"/>
                <w:u w:val="single"/>
              </w:rPr>
              <w:t xml:space="preserve">within </w:t>
            </w:r>
            <w:r w:rsidRPr="004323C0">
              <w:rPr>
                <w:rFonts w:ascii="Times New Roman" w:hAnsi="Times New Roman" w:cs="Times New Roman"/>
                <w:noProof/>
                <w:sz w:val="24"/>
                <w:szCs w:val="24"/>
              </w:rPr>
              <w:t xml:space="preserve">the enterprise or enterprise group </w:t>
            </w:r>
            <w:r w:rsidRPr="004323C0">
              <w:rPr>
                <w:rFonts w:ascii="Times New Roman" w:hAnsi="Times New Roman" w:cs="Times New Roman"/>
                <w:noProof/>
                <w:sz w:val="24"/>
                <w:szCs w:val="24"/>
                <w:u w:val="single"/>
              </w:rPr>
              <w:t xml:space="preserve">within </w:t>
            </w:r>
            <w:r w:rsidRPr="004323C0">
              <w:rPr>
                <w:rFonts w:ascii="Times New Roman" w:hAnsi="Times New Roman" w:cs="Times New Roman"/>
                <w:noProof/>
                <w:sz w:val="24"/>
                <w:szCs w:val="24"/>
              </w:rPr>
              <w:t>the compiling country</w:t>
            </w:r>
          </w:p>
        </w:tc>
        <w:tc>
          <w:tcPr>
            <w:tcW w:w="2548" w:type="pct"/>
          </w:tcPr>
          <w:p w14:paraId="0FC6A301" w14:textId="03C1BC53"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 xml:space="preserve">Uzņēmējdarbības funkcijas nodošana citai juridiskajai vienībai uzņēmuma vai uzņēmumu grupas </w:t>
            </w:r>
            <w:r>
              <w:rPr>
                <w:rFonts w:ascii="Times New Roman" w:hAnsi="Times New Roman"/>
                <w:sz w:val="24"/>
                <w:u w:val="single"/>
              </w:rPr>
              <w:t>ietvaros</w:t>
            </w:r>
            <w:r>
              <w:rPr>
                <w:rFonts w:ascii="Times New Roman" w:hAnsi="Times New Roman"/>
                <w:sz w:val="24"/>
              </w:rPr>
              <w:t xml:space="preserve"> tajā </w:t>
            </w:r>
            <w:r>
              <w:rPr>
                <w:rFonts w:ascii="Times New Roman" w:hAnsi="Times New Roman"/>
                <w:sz w:val="24"/>
                <w:u w:val="single"/>
              </w:rPr>
              <w:t>valstī</w:t>
            </w:r>
            <w:r>
              <w:rPr>
                <w:rFonts w:ascii="Times New Roman" w:hAnsi="Times New Roman"/>
                <w:sz w:val="24"/>
              </w:rPr>
              <w:t>, kas apkopo datus</w:t>
            </w:r>
          </w:p>
        </w:tc>
      </w:tr>
      <w:tr w:rsidR="00223805" w:rsidRPr="004323C0" w14:paraId="289E04FB" w14:textId="77777777" w:rsidTr="004836E6">
        <w:tc>
          <w:tcPr>
            <w:tcW w:w="2452" w:type="pct"/>
          </w:tcPr>
          <w:p w14:paraId="09319847" w14:textId="5626A54D"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DOMESTIC INSOURCING</w:t>
            </w:r>
          </w:p>
        </w:tc>
        <w:tc>
          <w:tcPr>
            <w:tcW w:w="2548" w:type="pct"/>
          </w:tcPr>
          <w:p w14:paraId="18EF9670" w14:textId="3A628103"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IEKŠZEMES IEKŠPAKALPOJUMU IZMANTOŠANA</w:t>
            </w:r>
          </w:p>
        </w:tc>
      </w:tr>
      <w:tr w:rsidR="00223805" w:rsidRPr="004323C0" w14:paraId="72BD19F8" w14:textId="77777777" w:rsidTr="004836E6">
        <w:tc>
          <w:tcPr>
            <w:tcW w:w="2452" w:type="pct"/>
          </w:tcPr>
          <w:p w14:paraId="5131C7CE" w14:textId="58446859" w:rsidR="00223805" w:rsidRPr="004323C0" w:rsidRDefault="00223805" w:rsidP="00223805">
            <w:pPr>
              <w:pStyle w:val="BodyText"/>
              <w:jc w:val="both"/>
              <w:rPr>
                <w:rFonts w:ascii="Times New Roman" w:hAnsi="Times New Roman" w:cs="Times New Roman"/>
                <w:b/>
                <w:bCs/>
                <w:noProof/>
                <w:sz w:val="24"/>
                <w:szCs w:val="24"/>
              </w:rPr>
            </w:pPr>
            <w:r w:rsidRPr="004323C0">
              <w:rPr>
                <w:rFonts w:ascii="Times New Roman" w:hAnsi="Times New Roman" w:cs="Times New Roman"/>
                <w:b/>
                <w:bCs/>
                <w:noProof/>
                <w:sz w:val="24"/>
                <w:szCs w:val="24"/>
              </w:rPr>
              <w:t>International intra-group affiliates</w:t>
            </w:r>
          </w:p>
        </w:tc>
        <w:tc>
          <w:tcPr>
            <w:tcW w:w="2548" w:type="pct"/>
          </w:tcPr>
          <w:p w14:paraId="6388A806" w14:textId="6FFC2727"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b/>
                <w:sz w:val="24"/>
              </w:rPr>
              <w:t>Starptautiskie grupas meitasuzņēmumi</w:t>
            </w:r>
          </w:p>
        </w:tc>
      </w:tr>
      <w:tr w:rsidR="00223805" w:rsidRPr="004323C0" w14:paraId="77C9654A" w14:textId="77777777" w:rsidTr="004836E6">
        <w:tc>
          <w:tcPr>
            <w:tcW w:w="2452" w:type="pct"/>
          </w:tcPr>
          <w:p w14:paraId="5B9A437E" w14:textId="3C9C2883"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 xml:space="preserve">Transfer of a business function to another legal unit </w:t>
            </w:r>
            <w:r w:rsidRPr="004323C0">
              <w:rPr>
                <w:rFonts w:ascii="Times New Roman" w:hAnsi="Times New Roman" w:cs="Times New Roman"/>
                <w:noProof/>
                <w:sz w:val="24"/>
                <w:szCs w:val="24"/>
                <w:u w:val="single"/>
              </w:rPr>
              <w:t xml:space="preserve">within </w:t>
            </w:r>
            <w:r w:rsidRPr="004323C0">
              <w:rPr>
                <w:rFonts w:ascii="Times New Roman" w:hAnsi="Times New Roman" w:cs="Times New Roman"/>
                <w:noProof/>
                <w:sz w:val="24"/>
                <w:szCs w:val="24"/>
              </w:rPr>
              <w:t xml:space="preserve">the enterprise or enterprise group </w:t>
            </w:r>
            <w:r w:rsidRPr="004323C0">
              <w:rPr>
                <w:rFonts w:ascii="Times New Roman" w:hAnsi="Times New Roman" w:cs="Times New Roman"/>
                <w:noProof/>
                <w:sz w:val="24"/>
                <w:szCs w:val="24"/>
                <w:u w:val="single"/>
              </w:rPr>
              <w:t xml:space="preserve">outside </w:t>
            </w:r>
            <w:r w:rsidRPr="004323C0">
              <w:rPr>
                <w:rFonts w:ascii="Times New Roman" w:hAnsi="Times New Roman" w:cs="Times New Roman"/>
                <w:noProof/>
                <w:sz w:val="24"/>
                <w:szCs w:val="24"/>
              </w:rPr>
              <w:t>the compiling country</w:t>
            </w:r>
          </w:p>
        </w:tc>
        <w:tc>
          <w:tcPr>
            <w:tcW w:w="2548" w:type="pct"/>
          </w:tcPr>
          <w:p w14:paraId="6623DBF0" w14:textId="377705EB"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 xml:space="preserve">Uzņēmējdarbības funkcijas nodošana citai juridiskajai vienībai uzņēmuma vai uzņēmumu grupas </w:t>
            </w:r>
            <w:r>
              <w:rPr>
                <w:rFonts w:ascii="Times New Roman" w:hAnsi="Times New Roman"/>
                <w:sz w:val="24"/>
                <w:u w:val="single"/>
              </w:rPr>
              <w:t>ietvaros</w:t>
            </w:r>
            <w:r>
              <w:rPr>
                <w:rFonts w:ascii="Times New Roman" w:hAnsi="Times New Roman"/>
                <w:sz w:val="24"/>
              </w:rPr>
              <w:t xml:space="preserve"> </w:t>
            </w:r>
            <w:r>
              <w:rPr>
                <w:rFonts w:ascii="Times New Roman" w:hAnsi="Times New Roman"/>
                <w:sz w:val="24"/>
                <w:u w:val="single"/>
              </w:rPr>
              <w:t>ārpus</w:t>
            </w:r>
            <w:r>
              <w:rPr>
                <w:rFonts w:ascii="Times New Roman" w:hAnsi="Times New Roman"/>
                <w:sz w:val="24"/>
              </w:rPr>
              <w:t xml:space="preserve"> valsts, kas apkopo datus</w:t>
            </w:r>
          </w:p>
        </w:tc>
      </w:tr>
      <w:tr w:rsidR="00223805" w:rsidRPr="004323C0" w14:paraId="204EB85E" w14:textId="77777777" w:rsidTr="004836E6">
        <w:tc>
          <w:tcPr>
            <w:tcW w:w="2452" w:type="pct"/>
          </w:tcPr>
          <w:p w14:paraId="043FCD56" w14:textId="7E7AD9B6" w:rsidR="00223805" w:rsidRPr="004323C0" w:rsidRDefault="00223805" w:rsidP="00223805">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INTERNATIONAL INSOURCING</w:t>
            </w:r>
          </w:p>
        </w:tc>
        <w:tc>
          <w:tcPr>
            <w:tcW w:w="2548" w:type="pct"/>
          </w:tcPr>
          <w:p w14:paraId="0D408798" w14:textId="6C2AE0DC" w:rsidR="00223805" w:rsidRPr="004323C0" w:rsidRDefault="00223805" w:rsidP="00223805">
            <w:pPr>
              <w:pStyle w:val="BodyText"/>
              <w:jc w:val="both"/>
              <w:rPr>
                <w:rFonts w:ascii="Times New Roman" w:hAnsi="Times New Roman" w:cs="Times New Roman"/>
                <w:noProof/>
                <w:sz w:val="24"/>
                <w:szCs w:val="24"/>
              </w:rPr>
            </w:pPr>
            <w:r>
              <w:rPr>
                <w:rFonts w:ascii="Times New Roman" w:hAnsi="Times New Roman"/>
                <w:sz w:val="24"/>
              </w:rPr>
              <w:t>STARPTAUTISKO IEKŠPAKALPOJUMU IZMANTOŠANA</w:t>
            </w:r>
          </w:p>
        </w:tc>
      </w:tr>
    </w:tbl>
    <w:p w14:paraId="0703AC1E" w14:textId="77777777" w:rsidR="004323C0" w:rsidRPr="004323C0" w:rsidRDefault="004323C0" w:rsidP="004323C0">
      <w:pPr>
        <w:pStyle w:val="BodyText"/>
        <w:jc w:val="both"/>
        <w:rPr>
          <w:rFonts w:ascii="Times New Roman" w:hAnsi="Times New Roman" w:cs="Times New Roman"/>
          <w:noProof/>
          <w:sz w:val="24"/>
          <w:szCs w:val="24"/>
        </w:rPr>
      </w:pPr>
    </w:p>
    <w:p w14:paraId="32EEB6B1" w14:textId="77777777" w:rsidR="004323C0" w:rsidRPr="004323C0" w:rsidRDefault="004323C0" w:rsidP="004323C0">
      <w:pPr>
        <w:jc w:val="both"/>
        <w:rPr>
          <w:rFonts w:ascii="Times New Roman" w:hAnsi="Times New Roman" w:cs="Times New Roman"/>
          <w:b/>
          <w:noProof/>
          <w:sz w:val="24"/>
          <w:szCs w:val="24"/>
        </w:rPr>
      </w:pPr>
      <w:bookmarkStart w:id="26" w:name="_bookmark3"/>
      <w:bookmarkEnd w:id="26"/>
      <w:r>
        <w:rPr>
          <w:rFonts w:ascii="Times New Roman" w:hAnsi="Times New Roman"/>
          <w:b/>
          <w:sz w:val="24"/>
        </w:rPr>
        <w:t>2. attēls. Struktūra un atrašanās vieta – četras sagādes iespējas</w:t>
      </w:r>
    </w:p>
    <w:p w14:paraId="0AE37C32" w14:textId="77777777" w:rsidR="004323C0" w:rsidRPr="004323C0" w:rsidRDefault="004323C0" w:rsidP="004323C0">
      <w:pPr>
        <w:jc w:val="both"/>
        <w:rPr>
          <w:rFonts w:ascii="Times New Roman" w:hAnsi="Times New Roman" w:cs="Times New Roman"/>
          <w:noProof/>
          <w:sz w:val="24"/>
          <w:szCs w:val="24"/>
        </w:rPr>
      </w:pPr>
    </w:p>
    <w:p w14:paraId="5420401D" w14:textId="77777777" w:rsidR="004323C0" w:rsidRPr="004323C0" w:rsidRDefault="004323C0" w:rsidP="004323C0">
      <w:pPr>
        <w:jc w:val="both"/>
        <w:rPr>
          <w:rFonts w:ascii="Times New Roman" w:hAnsi="Times New Roman" w:cs="Times New Roman"/>
          <w:noProof/>
        </w:rPr>
      </w:pPr>
      <w:r>
        <w:rPr>
          <w:rFonts w:ascii="Times New Roman" w:hAnsi="Times New Roman"/>
        </w:rPr>
        <w:t xml:space="preserve">Avots: pielāgots no Nielsen, 2008 un </w:t>
      </w:r>
      <w:r>
        <w:rPr>
          <w:rFonts w:ascii="Times New Roman" w:hAnsi="Times New Roman"/>
          <w:i/>
          <w:iCs/>
        </w:rPr>
        <w:t>Eurostat</w:t>
      </w:r>
      <w:r>
        <w:rPr>
          <w:rFonts w:ascii="Times New Roman" w:hAnsi="Times New Roman"/>
        </w:rPr>
        <w:t xml:space="preserve"> metodoloģijas starptautiskās sagādes apsekojumiem.</w:t>
      </w:r>
    </w:p>
    <w:p w14:paraId="744869FB" w14:textId="77777777" w:rsidR="004323C0" w:rsidRPr="004323C0" w:rsidRDefault="004323C0" w:rsidP="004323C0">
      <w:pPr>
        <w:pStyle w:val="BodyText"/>
        <w:jc w:val="both"/>
        <w:rPr>
          <w:rFonts w:ascii="Times New Roman" w:hAnsi="Times New Roman" w:cs="Times New Roman"/>
          <w:noProof/>
          <w:sz w:val="24"/>
          <w:szCs w:val="24"/>
        </w:rPr>
      </w:pPr>
    </w:p>
    <w:p w14:paraId="1916AD0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Iekšzemes iekšpakalpojumu un ārpakalpojumu gadījumā uzņēmējdarbības funkcija nekad netiek nodota pāri valsts robežai. Attiecībā uz starptautisko iekšpakalpojumu un ārpakalpojumu uzņēmējdarbības funkcija tiek nodota no valsts, kas apkopo datus (vietējais tirgus), citai valstij (ārējais tirgus).</w:t>
      </w:r>
    </w:p>
    <w:p w14:paraId="15F8E6A6" w14:textId="77777777" w:rsidR="004323C0" w:rsidRPr="004323C0" w:rsidRDefault="004323C0" w:rsidP="004323C0">
      <w:pPr>
        <w:pStyle w:val="BodyText"/>
        <w:jc w:val="both"/>
        <w:rPr>
          <w:rFonts w:ascii="Times New Roman" w:hAnsi="Times New Roman" w:cs="Times New Roman"/>
          <w:noProof/>
          <w:sz w:val="24"/>
          <w:szCs w:val="24"/>
        </w:rPr>
      </w:pPr>
    </w:p>
    <w:p w14:paraId="08B5208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Teorētiski jebkurai uzņēmējdarbības funkcijai ir iespējams jebkurš no šiem četriem variantiem un uzņēmumi var sagādāt dažādas funkcijas, vienlaikus izmantojot vairāk nekā vienu variantu. Starptautiskā sagāde ietver gan starptautisko ārpakalpojumu izmantošanu, gan starptautisko iekšpakalpojumu izmantošanu. Iekšzemes sagāde ietver gan iekšzemes ārpakalpojumu izmantošanu, gan iekšzemes iekšpakalpojumu izmantošanu.</w:t>
      </w:r>
    </w:p>
    <w:p w14:paraId="27ACE987" w14:textId="77777777" w:rsidR="004323C0" w:rsidRPr="004323C0" w:rsidRDefault="004323C0" w:rsidP="004323C0">
      <w:pPr>
        <w:pStyle w:val="BodyText"/>
        <w:jc w:val="both"/>
        <w:rPr>
          <w:rFonts w:ascii="Times New Roman" w:hAnsi="Times New Roman" w:cs="Times New Roman"/>
          <w:noProof/>
          <w:sz w:val="24"/>
          <w:szCs w:val="24"/>
        </w:rPr>
      </w:pPr>
    </w:p>
    <w:p w14:paraId="2F87B2C4" w14:textId="77777777" w:rsidR="004323C0" w:rsidRPr="004323C0" w:rsidRDefault="004323C0" w:rsidP="004323C0">
      <w:pPr>
        <w:jc w:val="both"/>
        <w:rPr>
          <w:rFonts w:ascii="Times New Roman" w:hAnsi="Times New Roman" w:cs="Times New Roman"/>
          <w:b/>
          <w:noProof/>
          <w:sz w:val="24"/>
          <w:szCs w:val="24"/>
        </w:rPr>
      </w:pPr>
      <w:bookmarkStart w:id="27" w:name="Expansion_abroad,_subcontracting_and_GVC"/>
      <w:bookmarkEnd w:id="27"/>
      <w:r>
        <w:rPr>
          <w:rFonts w:ascii="Times New Roman" w:hAnsi="Times New Roman"/>
          <w:b/>
          <w:sz w:val="24"/>
        </w:rPr>
        <w:t>Paplašināšanās ārpus valsts, apakšuzņēmuma līgumi un GVĶ salīdzinājumā ar sagādi</w:t>
      </w:r>
    </w:p>
    <w:p w14:paraId="03E1D110" w14:textId="77777777" w:rsidR="004323C0" w:rsidRPr="004323C0" w:rsidRDefault="004323C0" w:rsidP="004323C0">
      <w:pPr>
        <w:pStyle w:val="BodyText"/>
        <w:jc w:val="both"/>
        <w:rPr>
          <w:rFonts w:ascii="Times New Roman" w:hAnsi="Times New Roman" w:cs="Times New Roman"/>
          <w:noProof/>
          <w:sz w:val="24"/>
          <w:szCs w:val="24"/>
        </w:rPr>
      </w:pPr>
    </w:p>
    <w:p w14:paraId="091E0DB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Paplašināšanās valsts mērogā vai ārpus valsts netiek uzskatīta par sagādi, jo uzņēmums vai nu nekad nav veicis konkrēto uzņēmējdarbības funkciju (piemēram, tiek izveidota jauna ražošanas līnija jaunam produktam), vai arī tas sāk iegādāties papildu pakalpojumus, ko tas jau veic uzņēmumā (piemēram, tirdzniecības birojs tiek veidots ārvalstīs, bet tiek saglabāts arī tirdzniecības birojs izcelsmes valstī). Tāpēc darbavietas netiek pārvietotas starp uzņēmējdarbības funkcijām. Tipisks paplašināšanās piemērs ir jauna ražošanas līnija, kas tiek izveidota, nenododot uzņēmējdarbības funkcijas un nesamazinot darbību vai darbavietu skaitu attiecīgajā uzņēmumā. Ja uzņēmums apsekojumā ziņo par starptautisku sagādi, bet neziņo, ka darbavietas ir pārceltas uz ārvalstīm, tas varētu liecināt par paplašināšanos, nevis par starptautisku sagādi.</w:t>
      </w:r>
    </w:p>
    <w:p w14:paraId="6100A9C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Saskaņā ar sagādes definīciju ir skaidrs, ka uzņēmumam (kas izmanto (ār)pakalpojumus) kādā brīdī pagātnē ir jābūt izmantojušam (ār)pakalpojumus attiecīgās uzņēmējdarbības funkcijas veikšanai. Tomēr līdzīgs termins, apakšuzņēmuma līgumi, attiecas uz produkta iegādi neatkarīgi no tā, vai iepriekš šis produkts ir vai nav ražots. Saistībā ar GVĶ apsekojumiem terminu “apakšuzņēmuma līgums” var saprast vai nu kā paplašināšanos, vai kā ārpakalpojumu izmantošanu.</w:t>
      </w:r>
    </w:p>
    <w:p w14:paraId="717D122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GVĶ apsekojuma galvenais mērķis ir aptvert gan uzņēmuma starptautiskās sagādes darbības, gan tā GVĶ darbību. Ja uzņēmums iesaistās starptautiskās sagādes darbībās, tas pēc definīcijas piedalās GVĶ. Tomēr GVĶ ir daudz plašāks jēdziens, kas ietver vairāk nekā tikai starptautisku sagādi (piemēram, tādu IT pakalpojumu iegādi no ārvalstīm, kas iepriekš nav sniegti uzņēmumā). Citiem vārdiem sakot, starptautiskā sagādes darbība ir “pietiekams” nosacījums GVĶ darbībai, bet nav “obligāts” nosacījums (t. i., uzņēmums var veikt GVĶ darbību, nekad neveicot sagādes darbību).</w:t>
      </w:r>
    </w:p>
    <w:p w14:paraId="662E2F1E" w14:textId="77777777" w:rsidR="004323C0" w:rsidRPr="004323C0" w:rsidRDefault="004323C0" w:rsidP="004323C0">
      <w:pPr>
        <w:pStyle w:val="BodyText"/>
        <w:jc w:val="both"/>
        <w:rPr>
          <w:rFonts w:ascii="Times New Roman" w:hAnsi="Times New Roman" w:cs="Times New Roman"/>
          <w:noProof/>
          <w:sz w:val="24"/>
          <w:szCs w:val="24"/>
        </w:rPr>
      </w:pPr>
    </w:p>
    <w:p w14:paraId="14D280B8" w14:textId="77777777" w:rsidR="004323C0" w:rsidRPr="004323C0" w:rsidRDefault="004323C0" w:rsidP="004323C0">
      <w:pPr>
        <w:jc w:val="both"/>
        <w:rPr>
          <w:rFonts w:ascii="Times New Roman" w:hAnsi="Times New Roman" w:cs="Times New Roman"/>
          <w:b/>
          <w:noProof/>
          <w:sz w:val="24"/>
          <w:szCs w:val="24"/>
        </w:rPr>
      </w:pPr>
      <w:bookmarkStart w:id="28" w:name="Recording_jobs_that_have_been_relocated_"/>
      <w:bookmarkEnd w:id="28"/>
      <w:r>
        <w:rPr>
          <w:rFonts w:ascii="Times New Roman" w:hAnsi="Times New Roman"/>
          <w:b/>
          <w:sz w:val="24"/>
        </w:rPr>
        <w:t>Darbavietu reģistrēšana, kas ir pārceltas uz ārvalstīm un/vai izveidotas uzņēmumā starptautiskas sagādes rezultātā</w:t>
      </w:r>
    </w:p>
    <w:p w14:paraId="6AA0DF1E" w14:textId="77777777" w:rsidR="004323C0" w:rsidRPr="004323C0" w:rsidRDefault="004323C0" w:rsidP="004323C0">
      <w:pPr>
        <w:jc w:val="both"/>
        <w:rPr>
          <w:rFonts w:ascii="Times New Roman" w:hAnsi="Times New Roman" w:cs="Times New Roman"/>
          <w:noProof/>
          <w:sz w:val="24"/>
          <w:szCs w:val="24"/>
        </w:rPr>
      </w:pPr>
    </w:p>
    <w:p w14:paraId="389C7EA8" w14:textId="77777777" w:rsidR="004323C0" w:rsidRPr="004323C0" w:rsidRDefault="004323C0" w:rsidP="004323C0">
      <w:pPr>
        <w:jc w:val="both"/>
        <w:rPr>
          <w:rFonts w:ascii="Times New Roman" w:hAnsi="Times New Roman" w:cs="Times New Roman"/>
          <w:noProof/>
          <w:sz w:val="24"/>
          <w:szCs w:val="24"/>
        </w:rPr>
      </w:pPr>
      <w:r>
        <w:rPr>
          <w:rFonts w:ascii="Times New Roman" w:hAnsi="Times New Roman"/>
          <w:sz w:val="24"/>
        </w:rPr>
        <w:t xml:space="preserve">Kad uzņēmumi apsekojumā atbild, ka tie veic starptautisku sagādi, tiem jānorāda vismaz </w:t>
      </w:r>
      <w:r>
        <w:rPr>
          <w:rFonts w:ascii="Times New Roman" w:hAnsi="Times New Roman"/>
          <w:b/>
          <w:sz w:val="24"/>
        </w:rPr>
        <w:t>uz ārvalstīm pārcelto darbavietu</w:t>
      </w:r>
      <w:r>
        <w:rPr>
          <w:rFonts w:ascii="Times New Roman" w:hAnsi="Times New Roman"/>
          <w:sz w:val="24"/>
        </w:rPr>
        <w:t xml:space="preserve"> mainīgais lielums un, ja atbilstīgi, arī </w:t>
      </w:r>
      <w:r>
        <w:rPr>
          <w:rFonts w:ascii="Times New Roman" w:hAnsi="Times New Roman"/>
          <w:b/>
          <w:sz w:val="24"/>
        </w:rPr>
        <w:t>šajā uzņēmumā izveidoto darbavietu</w:t>
      </w:r>
      <w:r>
        <w:rPr>
          <w:rFonts w:ascii="Times New Roman" w:hAnsi="Times New Roman"/>
          <w:sz w:val="24"/>
        </w:rPr>
        <w:t xml:space="preserve"> mainīgais lielums. Citiem vārdiem sakot, ja uzņēmums ziņo, ka tas veic sagādi ārvalstīs, tam arī jānorāda </w:t>
      </w:r>
      <w:r>
        <w:rPr>
          <w:rFonts w:ascii="Times New Roman" w:hAnsi="Times New Roman"/>
          <w:b/>
          <w:sz w:val="24"/>
        </w:rPr>
        <w:t>vismaz viena darbavieta, kas pārcelta uz ārvalstīm</w:t>
      </w:r>
      <w:r>
        <w:rPr>
          <w:rFonts w:ascii="Times New Roman" w:hAnsi="Times New Roman"/>
          <w:sz w:val="24"/>
        </w:rPr>
        <w:t>.</w:t>
      </w:r>
    </w:p>
    <w:p w14:paraId="66B3B71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Termins “darbavieta” neattiecas uz “personām”, bet gan uz “uzdevumiem” jeb “amatiem” uzņēmumā. Lai arī darbavietas var tikt pārceltas uz ārvalstīm (vai radītas uzņēmumā), tas automātiski nenozīmē, ka tādā pašā mērā palielinās vai samazinās darbinieku skaits uzņēmumā. Ja darbavieta tiek pārcelta ārpus valsts, persona, kas veic šo darbu, patiešām var tikt atlaista, bet tā vietā var arī tikt pārcelta uz citu darbavietu/amatu uzņēmumā, tādējādi darbavietas pārvietošana neietekmēs darbinieku skaitu.</w:t>
      </w:r>
    </w:p>
    <w:p w14:paraId="1782DE52" w14:textId="77777777" w:rsidR="004323C0" w:rsidRPr="004323C0" w:rsidRDefault="004323C0" w:rsidP="004323C0">
      <w:pPr>
        <w:pStyle w:val="ListParagraph"/>
        <w:numPr>
          <w:ilvl w:val="0"/>
          <w:numId w:val="22"/>
        </w:numPr>
        <w:tabs>
          <w:tab w:val="left" w:pos="851"/>
          <w:tab w:val="left" w:pos="2421"/>
        </w:tabs>
        <w:spacing w:before="0"/>
        <w:ind w:left="284" w:firstLine="0"/>
        <w:rPr>
          <w:rFonts w:ascii="Times New Roman" w:hAnsi="Times New Roman" w:cs="Times New Roman"/>
          <w:noProof/>
          <w:sz w:val="24"/>
          <w:szCs w:val="24"/>
        </w:rPr>
      </w:pPr>
      <w:r>
        <w:rPr>
          <w:rFonts w:ascii="Times New Roman" w:hAnsi="Times New Roman"/>
          <w:sz w:val="24"/>
          <w:u w:val="single"/>
        </w:rPr>
        <w:t>1. piemērs</w:t>
      </w:r>
      <w:r>
        <w:rPr>
          <w:rFonts w:ascii="Times New Roman" w:hAnsi="Times New Roman"/>
          <w:sz w:val="24"/>
        </w:rPr>
        <w:t>. Uzņēmums 4 iekšējās grāmatvedības amatu pienākumu pildīšanai izmanto cita uzņēmuma sniegtus ārpakalpojumus ārvalstīs. Uzņēmumā tiek likvidēti 4 attiecīgie amati un no darba tiek atlaisti grāmatveži, kas veic šo amatu pienākumus. Saistībā ar uzņēmējdarbības funkciju “pārvaldība un administrācija” jānorāda, ka 4 darbavietas ir pārceltas uz ārvalstīm.</w:t>
      </w:r>
    </w:p>
    <w:p w14:paraId="1297ACC9" w14:textId="77777777" w:rsidR="004323C0" w:rsidRPr="004323C0" w:rsidRDefault="004323C0" w:rsidP="004323C0">
      <w:pPr>
        <w:pStyle w:val="ListParagraph"/>
        <w:numPr>
          <w:ilvl w:val="0"/>
          <w:numId w:val="22"/>
        </w:numPr>
        <w:tabs>
          <w:tab w:val="left" w:pos="851"/>
          <w:tab w:val="left" w:pos="2419"/>
          <w:tab w:val="left" w:pos="2421"/>
        </w:tabs>
        <w:spacing w:before="0"/>
        <w:ind w:left="284" w:firstLine="0"/>
        <w:rPr>
          <w:rFonts w:ascii="Times New Roman" w:hAnsi="Times New Roman" w:cs="Times New Roman"/>
          <w:noProof/>
          <w:sz w:val="24"/>
          <w:szCs w:val="24"/>
        </w:rPr>
      </w:pPr>
      <w:r>
        <w:rPr>
          <w:rFonts w:ascii="Times New Roman" w:hAnsi="Times New Roman"/>
          <w:sz w:val="24"/>
          <w:u w:val="single"/>
        </w:rPr>
        <w:t>2. piemērs</w:t>
      </w:r>
      <w:r>
        <w:rPr>
          <w:rFonts w:ascii="Times New Roman" w:hAnsi="Times New Roman"/>
          <w:sz w:val="24"/>
        </w:rPr>
        <w:t>. Iekšējā reorganizācijā 2 inženieru un 3 tehnisko darbinieku amata pienākumu veikšanai tiek noslēgti ārpakalpojumu līgumi ar ārvalstīm, bet, koncentrējoties uz pamatdarbību, kas ir iemesls ārpakalpojumu izmantošanai, tiek izveidoti 2 tirgvedības speciālistu amati un 1 augsti kvalificēta tirgvedības speciālista amats. Par to ziņo šādā veidā:</w:t>
      </w:r>
    </w:p>
    <w:p w14:paraId="5FCC48F3" w14:textId="77777777" w:rsidR="004323C0" w:rsidRPr="004323C0" w:rsidRDefault="004323C0" w:rsidP="004323C0">
      <w:pPr>
        <w:pStyle w:val="ListParagraph"/>
        <w:numPr>
          <w:ilvl w:val="0"/>
          <w:numId w:val="21"/>
        </w:numPr>
        <w:tabs>
          <w:tab w:val="left" w:pos="1134"/>
          <w:tab w:val="left" w:pos="2419"/>
          <w:tab w:val="left" w:pos="2421"/>
        </w:tabs>
        <w:spacing w:before="0"/>
        <w:ind w:left="567" w:firstLine="0"/>
        <w:rPr>
          <w:rFonts w:ascii="Times New Roman" w:hAnsi="Times New Roman" w:cs="Times New Roman"/>
          <w:noProof/>
          <w:sz w:val="24"/>
          <w:szCs w:val="24"/>
        </w:rPr>
      </w:pPr>
      <w:r>
        <w:rPr>
          <w:rFonts w:ascii="Times New Roman" w:hAnsi="Times New Roman"/>
          <w:sz w:val="24"/>
        </w:rPr>
        <w:t>uz ārvalstīm ir pārceltas 5 darbavietas funkcijai “inženiertehniskie darbi un saistītais tehniskais atbalsts”, no kurām 2 ir augstas kvalifikācijas darbavietas; un</w:t>
      </w:r>
    </w:p>
    <w:p w14:paraId="3B177961" w14:textId="77777777" w:rsidR="004323C0" w:rsidRPr="004323C0" w:rsidRDefault="004323C0" w:rsidP="004323C0">
      <w:pPr>
        <w:pStyle w:val="ListParagraph"/>
        <w:numPr>
          <w:ilvl w:val="0"/>
          <w:numId w:val="21"/>
        </w:numPr>
        <w:tabs>
          <w:tab w:val="left" w:pos="1134"/>
          <w:tab w:val="left" w:pos="2419"/>
          <w:tab w:val="left" w:pos="2421"/>
        </w:tabs>
        <w:spacing w:before="0"/>
        <w:ind w:left="567" w:firstLine="0"/>
        <w:rPr>
          <w:rFonts w:ascii="Times New Roman" w:hAnsi="Times New Roman" w:cs="Times New Roman"/>
          <w:noProof/>
          <w:sz w:val="24"/>
          <w:szCs w:val="24"/>
        </w:rPr>
      </w:pPr>
      <w:r>
        <w:rPr>
          <w:rFonts w:ascii="Times New Roman" w:hAnsi="Times New Roman"/>
          <w:sz w:val="24"/>
        </w:rPr>
        <w:t>uzņēmumā izveidotas 3 darbavietas funkcijai “tirgvedība, pārdošana un pēcpārdošanas pakalpojumi”, no kurām 1 darbavieta ir augstas kvalifikācijas darbavieta.</w:t>
      </w:r>
    </w:p>
    <w:p w14:paraId="0E9855AF" w14:textId="77777777" w:rsidR="004323C0" w:rsidRPr="004323C0" w:rsidRDefault="004323C0" w:rsidP="004323C0">
      <w:pPr>
        <w:pStyle w:val="ListParagraph"/>
        <w:numPr>
          <w:ilvl w:val="0"/>
          <w:numId w:val="22"/>
        </w:numPr>
        <w:tabs>
          <w:tab w:val="left" w:pos="851"/>
          <w:tab w:val="left" w:pos="2421"/>
        </w:tabs>
        <w:spacing w:before="0"/>
        <w:ind w:left="284" w:firstLine="0"/>
        <w:rPr>
          <w:rFonts w:ascii="Times New Roman" w:hAnsi="Times New Roman" w:cs="Times New Roman"/>
          <w:noProof/>
          <w:sz w:val="24"/>
          <w:szCs w:val="24"/>
        </w:rPr>
      </w:pPr>
      <w:r>
        <w:rPr>
          <w:rFonts w:ascii="Times New Roman" w:hAnsi="Times New Roman"/>
          <w:sz w:val="24"/>
          <w:u w:val="single"/>
        </w:rPr>
        <w:t>3. piemērs</w:t>
      </w:r>
      <w:r>
        <w:rPr>
          <w:rFonts w:ascii="Times New Roman" w:hAnsi="Times New Roman"/>
          <w:sz w:val="24"/>
        </w:rPr>
        <w:t xml:space="preserve">. Uzņēmums 2 tirgvedības amatu pienākumu pildīšanai izmanto cita uzņēmuma sniegtus ārpakalpojumus ārvalstīs un ir likvidējis divus attiecīgos amatus uzņēmumā. Tomēr abas personas, kas ieņēma šos amatus, tika nevis atlaistas, bet gan pārceltas uz administratīvajiem amatiem citā šā uzņēmuma nodaļā, kas tika izveidoti, lai šīs personas nebūtu jāatlaiž. Uzņēmumam ir 1) jāziņo “uz ārvalstīm ir pārceltas 2 darbavietas”, kas attiecināmas uz uzņēmējdarbības funkciju “tirgvedība, pārdošana un pēcpārdošanas pakalpojumi”, </w:t>
      </w:r>
      <w:r>
        <w:rPr>
          <w:rFonts w:ascii="Times New Roman" w:hAnsi="Times New Roman"/>
          <w:b/>
          <w:bCs/>
          <w:sz w:val="24"/>
        </w:rPr>
        <w:t>un</w:t>
      </w:r>
      <w:r>
        <w:rPr>
          <w:rFonts w:ascii="Times New Roman" w:hAnsi="Times New Roman"/>
          <w:sz w:val="24"/>
        </w:rPr>
        <w:t xml:space="preserve"> 2) jāziņo “starptautiskās sagādes rezultātā ir izveidotas 2 darbavietas”, kas attiecināmas uz uzņēmējdarbības funkciju “pārvaldība un administrācija”.</w:t>
      </w:r>
    </w:p>
    <w:p w14:paraId="051BCD14" w14:textId="77777777" w:rsidR="004323C0" w:rsidRPr="004323C0" w:rsidRDefault="004323C0" w:rsidP="004323C0">
      <w:pPr>
        <w:pStyle w:val="ListParagraph"/>
        <w:numPr>
          <w:ilvl w:val="0"/>
          <w:numId w:val="22"/>
        </w:numPr>
        <w:tabs>
          <w:tab w:val="left" w:pos="851"/>
          <w:tab w:val="left" w:pos="2421"/>
        </w:tabs>
        <w:spacing w:before="0"/>
        <w:ind w:left="284" w:firstLine="0"/>
        <w:rPr>
          <w:rFonts w:ascii="Times New Roman" w:hAnsi="Times New Roman" w:cs="Times New Roman"/>
          <w:noProof/>
          <w:sz w:val="24"/>
          <w:szCs w:val="24"/>
        </w:rPr>
      </w:pPr>
      <w:r>
        <w:rPr>
          <w:rFonts w:ascii="Times New Roman" w:hAnsi="Times New Roman"/>
          <w:sz w:val="24"/>
          <w:u w:val="single"/>
        </w:rPr>
        <w:t>4. piemērs</w:t>
      </w:r>
      <w:r>
        <w:rPr>
          <w:rFonts w:ascii="Times New Roman" w:hAnsi="Times New Roman"/>
          <w:sz w:val="24"/>
        </w:rPr>
        <w:t xml:space="preserve">. Šajā piemērā ir tāds pats scenārijs kā 3. piemērā, un vienīgā atšķirība ir tāda, ka uzņēmums būtu izveidojis divus administratīvos amatus, </w:t>
      </w:r>
      <w:r>
        <w:rPr>
          <w:rFonts w:ascii="Times New Roman" w:hAnsi="Times New Roman"/>
          <w:sz w:val="24"/>
          <w:u w:val="single"/>
        </w:rPr>
        <w:t>pat ja tas nebūtu</w:t>
      </w:r>
      <w:r>
        <w:rPr>
          <w:rFonts w:ascii="Times New Roman" w:hAnsi="Times New Roman"/>
          <w:sz w:val="24"/>
        </w:rPr>
        <w:t xml:space="preserve"> pārcēlis abas tirgvedības amata vietas uz ārvalstīm. Uzņēmumam tik un tā būtu 1) jāziņo “uz ārvalstīm ir pārceltas 2 darbavietas”, kas attiecināmas uz uzņēmējdarbības funkciju “tirgvedība, pārdošana un pēcpārdošanas pakalpojumi”, </w:t>
      </w:r>
      <w:r>
        <w:rPr>
          <w:rFonts w:ascii="Times New Roman" w:hAnsi="Times New Roman"/>
          <w:b/>
          <w:sz w:val="24"/>
        </w:rPr>
        <w:t>bet</w:t>
      </w:r>
      <w:r>
        <w:rPr>
          <w:rFonts w:ascii="Times New Roman" w:hAnsi="Times New Roman"/>
          <w:sz w:val="24"/>
        </w:rPr>
        <w:t xml:space="preserve"> 2) </w:t>
      </w:r>
      <w:r>
        <w:rPr>
          <w:rFonts w:ascii="Times New Roman" w:hAnsi="Times New Roman"/>
          <w:sz w:val="24"/>
          <w:u w:val="single"/>
        </w:rPr>
        <w:t>nebūtu</w:t>
      </w:r>
      <w:r>
        <w:rPr>
          <w:rFonts w:ascii="Times New Roman" w:hAnsi="Times New Roman"/>
          <w:sz w:val="24"/>
        </w:rPr>
        <w:t xml:space="preserve"> jāziņo “starptautiskās sagādes rezultātā ir izveidotas 2 darbavietas”, kas attiecināmas uz uzņēmējdarbības funkciju “pārvaldība un administrācija”. Citiem vārdiem sakot, “darbavietām, kas izveidotas starptautiskās sagādes dēļ”, jābūt saistītām ar starptautisko sagādes darbību, piemēram, lai uzņēmums neizveidotu divus administratīvos amatus, ja tas, piemēram, neveic starptautisko sagādi un tam nav radies ietaupījums zemāku izmaksu rezultātā.</w:t>
      </w:r>
    </w:p>
    <w:p w14:paraId="16973C14" w14:textId="77777777" w:rsidR="004323C0" w:rsidRPr="004323C0" w:rsidRDefault="004323C0" w:rsidP="004323C0">
      <w:pPr>
        <w:pStyle w:val="BodyText"/>
        <w:jc w:val="both"/>
        <w:rPr>
          <w:rFonts w:ascii="Times New Roman" w:hAnsi="Times New Roman" w:cs="Times New Roman"/>
          <w:noProof/>
          <w:sz w:val="24"/>
          <w:szCs w:val="24"/>
        </w:rPr>
      </w:pPr>
      <w:bookmarkStart w:id="29" w:name="GEOGRAPHICAL_AREAS"/>
      <w:bookmarkEnd w:id="29"/>
    </w:p>
    <w:p w14:paraId="42E88D81"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ĢEOGRĀFISKIE APGABALI</w:t>
      </w:r>
    </w:p>
    <w:p w14:paraId="6E895737" w14:textId="77777777" w:rsidR="004323C0" w:rsidRPr="004323C0" w:rsidRDefault="004323C0" w:rsidP="004323C0">
      <w:pPr>
        <w:pStyle w:val="BodyText"/>
        <w:jc w:val="both"/>
        <w:rPr>
          <w:rFonts w:ascii="Times New Roman" w:hAnsi="Times New Roman" w:cs="Times New Roman"/>
          <w:noProof/>
          <w:sz w:val="24"/>
          <w:szCs w:val="24"/>
        </w:rPr>
      </w:pPr>
    </w:p>
    <w:p w14:paraId="25E3D28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Apsekojumā tiks izmantots šāds ģeogrāfiskais iedalījums:</w:t>
      </w:r>
    </w:p>
    <w:p w14:paraId="300FDD68"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ES dalībvalstis</w:t>
      </w:r>
    </w:p>
    <w:p w14:paraId="6BADB53F"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valstis ārpus ES (valstis, kas nav ES dalībvalstis)</w:t>
      </w:r>
    </w:p>
    <w:p w14:paraId="020F2342"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Apvienotā Karaliste</w:t>
      </w:r>
    </w:p>
    <w:p w14:paraId="19C847B6"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Eiropas valstis, kas nav ES dalībvalstis (tostarp Krievija un Turcija)</w:t>
      </w:r>
      <w:r w:rsidRPr="004323C0">
        <w:rPr>
          <w:rStyle w:val="FootnoteReference"/>
          <w:rFonts w:ascii="Times New Roman" w:hAnsi="Times New Roman" w:cs="Times New Roman"/>
          <w:noProof/>
          <w:sz w:val="24"/>
          <w:szCs w:val="24"/>
        </w:rPr>
        <w:footnoteReference w:id="3"/>
      </w:r>
    </w:p>
    <w:p w14:paraId="3373D575"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Ķīna</w:t>
      </w:r>
    </w:p>
    <w:p w14:paraId="7DD0A6CB"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Indija</w:t>
      </w:r>
    </w:p>
    <w:p w14:paraId="489BA9EA"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Kanāda un ASV</w:t>
      </w:r>
    </w:p>
    <w:p w14:paraId="16D24CB4"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Centrālā un Dienvidamerika (tostarp Meksika)</w:t>
      </w:r>
    </w:p>
    <w:p w14:paraId="1CD54EF0"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Citas Āzijas valstis un Okeānija (izņemot Krieviju un Turciju)</w:t>
      </w:r>
    </w:p>
    <w:p w14:paraId="3E4213D8"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Āfrika</w:t>
      </w:r>
    </w:p>
    <w:p w14:paraId="08002A53" w14:textId="77777777" w:rsidR="004323C0" w:rsidRPr="004323C0" w:rsidRDefault="004323C0" w:rsidP="004323C0">
      <w:pPr>
        <w:pStyle w:val="ListParagraph"/>
        <w:numPr>
          <w:ilvl w:val="0"/>
          <w:numId w:val="22"/>
        </w:numPr>
        <w:tabs>
          <w:tab w:val="left" w:pos="851"/>
        </w:tabs>
        <w:spacing w:before="0"/>
        <w:ind w:left="284" w:firstLine="0"/>
        <w:rPr>
          <w:rFonts w:ascii="Times New Roman" w:hAnsi="Times New Roman" w:cs="Times New Roman"/>
          <w:noProof/>
          <w:sz w:val="24"/>
          <w:szCs w:val="24"/>
        </w:rPr>
      </w:pPr>
      <w:r>
        <w:rPr>
          <w:rFonts w:ascii="Times New Roman" w:hAnsi="Times New Roman"/>
          <w:sz w:val="24"/>
        </w:rPr>
        <w:t>“Pārējā pasaule” (tostarp visi apgabali, kas nav norādīti citās jautājuma kategorijās)</w:t>
      </w:r>
    </w:p>
    <w:p w14:paraId="0964785D" w14:textId="77777777" w:rsidR="004323C0" w:rsidRPr="004323C0" w:rsidRDefault="004323C0" w:rsidP="004323C0">
      <w:pPr>
        <w:pStyle w:val="BodyText"/>
        <w:jc w:val="both"/>
        <w:rPr>
          <w:rFonts w:ascii="Times New Roman" w:hAnsi="Times New Roman" w:cs="Times New Roman"/>
          <w:noProof/>
          <w:sz w:val="24"/>
          <w:szCs w:val="24"/>
        </w:rPr>
      </w:pPr>
    </w:p>
    <w:p w14:paraId="6E6A42D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jautājumā ir ietverta kategorija “Pārējā pasaule (PP)”, tas nozīmē, ka PP ietver visus ģeogrāfiskos apgabalus, kas nav ietverti citās konkrētā jautājuma kategorijās (t. i., PP definīcija saistībā ar dažādiem jautājumiem var atšķirties).</w:t>
      </w:r>
    </w:p>
    <w:p w14:paraId="7D929DF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Datu piegādei ir nepieciešamas arī kategorijas “ārpus ES” un “kopā”. VSI tās var aprēķināt, izmantojot saņemtās atbildes.</w:t>
      </w:r>
    </w:p>
    <w:p w14:paraId="7CC2528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Piemēram, uzņēmums ziņo, ka ir veicis IKT pakalpojumu sagādi ārvalstīs trīs apgabalos – ES, Ķīnā un Indijā. Dati par apgabalu “ārpus ES” jāaprēķina kā viena atbilde, jo gan Ķīna, gan Indija ir jāuzskaita kopā kā kategorija “ārpus ES”. Aprēķinot datus par apgabalu “ārpus ES”, izmanto tādu pašu loģiku, kā aprēķinot datus par kategoriju “kopā”.</w:t>
      </w:r>
    </w:p>
    <w:p w14:paraId="45E4405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VSI var apsvērt arī papildu ģeogrāfisko iedalījumu, lai atsevišķi uzrādītu datus par EBTA valstīm, Krieviju, ASV vai jebkuru citu galamērķi. Lai neradītu nevajadzīgu administratīvo slogu apsekojuma respondentiem, VSI var arī pievienot konkrētus jautājumus ar sadalījumu atbilstoši valstīm un </w:t>
      </w:r>
      <w:r>
        <w:rPr>
          <w:rFonts w:ascii="Times New Roman" w:hAnsi="Times New Roman"/>
          <w:i/>
          <w:iCs/>
          <w:sz w:val="24"/>
        </w:rPr>
        <w:t>Eurostat</w:t>
      </w:r>
      <w:r>
        <w:rPr>
          <w:rFonts w:ascii="Times New Roman" w:hAnsi="Times New Roman"/>
          <w:sz w:val="24"/>
        </w:rPr>
        <w:t xml:space="preserve"> sniegt apkopotos datus.</w:t>
      </w:r>
    </w:p>
    <w:p w14:paraId="6084E780" w14:textId="77777777" w:rsidR="004323C0" w:rsidRPr="004323C0" w:rsidRDefault="004323C0" w:rsidP="004323C0">
      <w:pPr>
        <w:pStyle w:val="BodyText"/>
        <w:jc w:val="both"/>
        <w:rPr>
          <w:rFonts w:ascii="Times New Roman" w:hAnsi="Times New Roman" w:cs="Times New Roman"/>
          <w:noProof/>
          <w:sz w:val="24"/>
          <w:szCs w:val="24"/>
        </w:rPr>
      </w:pPr>
    </w:p>
    <w:p w14:paraId="65B2058B"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30" w:name="TYPE_OF_GOODS_TRADED"/>
      <w:bookmarkEnd w:id="30"/>
      <w:r>
        <w:rPr>
          <w:rFonts w:ascii="Times New Roman" w:hAnsi="Times New Roman"/>
          <w:b/>
          <w:color w:val="466DB4"/>
          <w:sz w:val="24"/>
        </w:rPr>
        <w:t>TIRGOTO PREČU VEIDS</w:t>
      </w:r>
    </w:p>
    <w:p w14:paraId="798BA2D9" w14:textId="77777777" w:rsidR="004323C0" w:rsidRPr="004323C0" w:rsidRDefault="004323C0" w:rsidP="004323C0">
      <w:pPr>
        <w:pStyle w:val="BodyText"/>
        <w:jc w:val="both"/>
        <w:rPr>
          <w:rFonts w:ascii="Times New Roman" w:hAnsi="Times New Roman" w:cs="Times New Roman"/>
          <w:noProof/>
          <w:sz w:val="24"/>
          <w:szCs w:val="24"/>
        </w:rPr>
      </w:pPr>
    </w:p>
    <w:p w14:paraId="7CF35A9C"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2. un 3. mainīgajā lielumā tiek apkopota informācija par tirgoto preču veidu. 2.</w:t>
      </w:r>
      <w:bookmarkStart w:id="31" w:name="_bookmark4"/>
      <w:bookmarkEnd w:id="31"/>
      <w:r>
        <w:rPr>
          <w:rFonts w:ascii="Times New Roman" w:hAnsi="Times New Roman"/>
          <w:sz w:val="24"/>
        </w:rPr>
        <w:t xml:space="preserve"> un 3. mainīgā lieluma mērķis ir aplēst, kuras </w:t>
      </w:r>
      <w:r>
        <w:rPr>
          <w:rFonts w:ascii="Times New Roman" w:hAnsi="Times New Roman"/>
          <w:b/>
          <w:sz w:val="24"/>
        </w:rPr>
        <w:t>preces</w:t>
      </w:r>
      <w:r>
        <w:rPr>
          <w:rFonts w:ascii="Times New Roman" w:hAnsi="Times New Roman"/>
          <w:sz w:val="24"/>
        </w:rPr>
        <w:t xml:space="preserve"> varētu tikt tirgotas </w:t>
      </w:r>
      <w:r>
        <w:rPr>
          <w:rFonts w:ascii="Times New Roman" w:hAnsi="Times New Roman"/>
          <w:b/>
          <w:sz w:val="24"/>
        </w:rPr>
        <w:t>globālajās vērtību ķēdēs</w:t>
      </w:r>
      <w:r>
        <w:rPr>
          <w:rFonts w:ascii="Times New Roman" w:hAnsi="Times New Roman"/>
          <w:sz w:val="24"/>
        </w:rPr>
        <w:t xml:space="preserve"> (t. i., kāda ir darījuma pozīcija GVĶ).</w:t>
      </w:r>
    </w:p>
    <w:p w14:paraId="1EE8159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Šajos mainīgajos lielumos ir ietverti 4. tabulā norādītie preču veidi.</w:t>
      </w:r>
    </w:p>
    <w:p w14:paraId="48906877" w14:textId="77777777" w:rsidR="004323C0" w:rsidRPr="004323C0" w:rsidRDefault="004323C0" w:rsidP="004323C0">
      <w:pPr>
        <w:pStyle w:val="BodyText"/>
        <w:jc w:val="both"/>
        <w:rPr>
          <w:rFonts w:ascii="Times New Roman" w:hAnsi="Times New Roman" w:cs="Times New Roman"/>
          <w:noProof/>
          <w:sz w:val="24"/>
          <w:szCs w:val="24"/>
        </w:rPr>
      </w:pPr>
    </w:p>
    <w:p w14:paraId="670482AE" w14:textId="77777777" w:rsidR="004323C0" w:rsidRPr="004323C0" w:rsidRDefault="004323C0" w:rsidP="004301CB">
      <w:pPr>
        <w:keepNext/>
        <w:keepLines/>
        <w:jc w:val="both"/>
        <w:rPr>
          <w:rFonts w:ascii="Times New Roman" w:hAnsi="Times New Roman" w:cs="Times New Roman"/>
          <w:b/>
          <w:noProof/>
          <w:sz w:val="24"/>
          <w:szCs w:val="24"/>
        </w:rPr>
      </w:pPr>
      <w:bookmarkStart w:id="32" w:name="_bookmark5"/>
      <w:bookmarkEnd w:id="32"/>
      <w:r>
        <w:rPr>
          <w:rFonts w:ascii="Times New Roman" w:hAnsi="Times New Roman"/>
          <w:b/>
          <w:sz w:val="24"/>
        </w:rPr>
        <w:t>4. tabula. Tirgoto preču veidi</w:t>
      </w:r>
    </w:p>
    <w:p w14:paraId="33164B2B" w14:textId="77777777" w:rsidR="004323C0" w:rsidRPr="004323C0" w:rsidRDefault="004323C0" w:rsidP="004301CB">
      <w:pPr>
        <w:pStyle w:val="BodyText"/>
        <w:keepNext/>
        <w:keepLines/>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96"/>
        <w:gridCol w:w="6835"/>
      </w:tblGrid>
      <w:tr w:rsidR="004323C0" w:rsidRPr="004323C0" w14:paraId="258428AA" w14:textId="77777777">
        <w:trPr>
          <w:trHeight w:val="338"/>
        </w:trPr>
        <w:tc>
          <w:tcPr>
            <w:tcW w:w="1257" w:type="pct"/>
            <w:tcBorders>
              <w:top w:val="single" w:sz="4" w:space="0" w:color="466DB4"/>
              <w:bottom w:val="single" w:sz="4" w:space="0" w:color="466DB4"/>
            </w:tcBorders>
            <w:shd w:val="clear" w:color="auto" w:fill="CDDCEF"/>
          </w:tcPr>
          <w:p w14:paraId="794E710E" w14:textId="77777777" w:rsidR="004323C0" w:rsidRPr="004323C0" w:rsidRDefault="004323C0" w:rsidP="004301CB">
            <w:pPr>
              <w:pStyle w:val="TableParagraph"/>
              <w:keepNext/>
              <w:keepLines/>
              <w:spacing w:before="0"/>
              <w:jc w:val="both"/>
              <w:rPr>
                <w:rFonts w:ascii="Times New Roman" w:hAnsi="Times New Roman" w:cs="Times New Roman"/>
                <w:b/>
                <w:noProof/>
                <w:sz w:val="24"/>
                <w:szCs w:val="24"/>
              </w:rPr>
            </w:pPr>
            <w:r>
              <w:rPr>
                <w:rFonts w:ascii="Times New Roman" w:hAnsi="Times New Roman"/>
                <w:b/>
                <w:sz w:val="24"/>
              </w:rPr>
              <w:t>Mainīgie lielumi</w:t>
            </w:r>
          </w:p>
        </w:tc>
        <w:tc>
          <w:tcPr>
            <w:tcW w:w="3743" w:type="pct"/>
            <w:tcBorders>
              <w:top w:val="single" w:sz="4" w:space="0" w:color="466DB4"/>
              <w:bottom w:val="single" w:sz="4" w:space="0" w:color="466DB4"/>
            </w:tcBorders>
            <w:shd w:val="clear" w:color="auto" w:fill="CDDCEF"/>
          </w:tcPr>
          <w:p w14:paraId="51542E61" w14:textId="77777777" w:rsidR="004323C0" w:rsidRPr="004323C0" w:rsidRDefault="004323C0" w:rsidP="004301CB">
            <w:pPr>
              <w:pStyle w:val="TableParagraph"/>
              <w:keepNext/>
              <w:keepLines/>
              <w:spacing w:before="0"/>
              <w:jc w:val="both"/>
              <w:rPr>
                <w:rFonts w:ascii="Times New Roman" w:hAnsi="Times New Roman" w:cs="Times New Roman"/>
                <w:b/>
                <w:noProof/>
                <w:sz w:val="24"/>
                <w:szCs w:val="24"/>
              </w:rPr>
            </w:pPr>
            <w:r>
              <w:rPr>
                <w:rFonts w:ascii="Times New Roman" w:hAnsi="Times New Roman"/>
                <w:b/>
                <w:sz w:val="24"/>
              </w:rPr>
              <w:t>Tirgoto preču veidi</w:t>
            </w:r>
          </w:p>
        </w:tc>
      </w:tr>
      <w:tr w:rsidR="004323C0" w:rsidRPr="004323C0" w14:paraId="6AB61FF3" w14:textId="77777777">
        <w:trPr>
          <w:trHeight w:val="2826"/>
        </w:trPr>
        <w:tc>
          <w:tcPr>
            <w:tcW w:w="1257" w:type="pct"/>
            <w:tcBorders>
              <w:top w:val="single" w:sz="4" w:space="0" w:color="466DB4"/>
              <w:bottom w:val="single" w:sz="4" w:space="0" w:color="CDDCEF"/>
            </w:tcBorders>
          </w:tcPr>
          <w:p w14:paraId="5A18CB09" w14:textId="77777777" w:rsidR="004323C0" w:rsidRPr="004323C0" w:rsidRDefault="004323C0" w:rsidP="004301CB">
            <w:pPr>
              <w:pStyle w:val="TableParagraph"/>
              <w:keepNext/>
              <w:keepLines/>
              <w:spacing w:before="0"/>
              <w:rPr>
                <w:rFonts w:ascii="Times New Roman" w:hAnsi="Times New Roman" w:cs="Times New Roman"/>
                <w:noProof/>
                <w:sz w:val="24"/>
                <w:szCs w:val="24"/>
              </w:rPr>
            </w:pPr>
            <w:r>
              <w:rPr>
                <w:rFonts w:ascii="Times New Roman" w:hAnsi="Times New Roman"/>
                <w:sz w:val="24"/>
              </w:rPr>
              <w:t>2) To uzņēmumu skaits, kas iegādājas preces no ārvalstīm</w:t>
            </w:r>
          </w:p>
        </w:tc>
        <w:tc>
          <w:tcPr>
            <w:tcW w:w="3743" w:type="pct"/>
            <w:tcBorders>
              <w:top w:val="single" w:sz="4" w:space="0" w:color="466DB4"/>
              <w:bottom w:val="single" w:sz="4" w:space="0" w:color="CDDCEF"/>
            </w:tcBorders>
          </w:tcPr>
          <w:p w14:paraId="04320AD7" w14:textId="77777777" w:rsidR="004323C0" w:rsidRPr="004323C0" w:rsidRDefault="004323C0" w:rsidP="004301CB">
            <w:pPr>
              <w:pStyle w:val="TableParagraph"/>
              <w:keepNext/>
              <w:keepLines/>
              <w:numPr>
                <w:ilvl w:val="0"/>
                <w:numId w:val="20"/>
              </w:numPr>
              <w:tabs>
                <w:tab w:val="left" w:pos="310"/>
              </w:tabs>
              <w:spacing w:before="0"/>
              <w:ind w:left="0" w:firstLine="0"/>
              <w:jc w:val="both"/>
              <w:rPr>
                <w:rFonts w:ascii="Times New Roman" w:hAnsi="Times New Roman" w:cs="Times New Roman"/>
                <w:noProof/>
                <w:sz w:val="24"/>
                <w:szCs w:val="24"/>
              </w:rPr>
            </w:pPr>
            <w:r>
              <w:rPr>
                <w:rFonts w:ascii="Times New Roman" w:hAnsi="Times New Roman"/>
                <w:sz w:val="24"/>
              </w:rPr>
              <w:t>Izejvielas, kas tiek izmantotas uzņēmuma ražošanas procesā</w:t>
            </w:r>
          </w:p>
          <w:p w14:paraId="0ED6832B" w14:textId="77777777" w:rsidR="004323C0" w:rsidRPr="004323C0" w:rsidRDefault="004323C0" w:rsidP="004301CB">
            <w:pPr>
              <w:pStyle w:val="TableParagraph"/>
              <w:keepNext/>
              <w:keepLines/>
              <w:numPr>
                <w:ilvl w:val="0"/>
                <w:numId w:val="20"/>
              </w:numPr>
              <w:tabs>
                <w:tab w:val="left" w:pos="310"/>
              </w:tabs>
              <w:spacing w:before="0"/>
              <w:ind w:left="0" w:firstLine="0"/>
              <w:jc w:val="both"/>
              <w:rPr>
                <w:rFonts w:ascii="Times New Roman" w:hAnsi="Times New Roman" w:cs="Times New Roman"/>
                <w:noProof/>
                <w:sz w:val="24"/>
                <w:szCs w:val="24"/>
              </w:rPr>
            </w:pPr>
            <w:r>
              <w:rPr>
                <w:rFonts w:ascii="Times New Roman" w:hAnsi="Times New Roman"/>
                <w:sz w:val="24"/>
              </w:rPr>
              <w:t>Komponenti, kas ir uzņēmuma produkta daļa</w:t>
            </w:r>
          </w:p>
          <w:p w14:paraId="5672D0C7" w14:textId="77777777" w:rsidR="004323C0" w:rsidRPr="004323C0" w:rsidRDefault="004323C0" w:rsidP="004301CB">
            <w:pPr>
              <w:pStyle w:val="TableParagraph"/>
              <w:keepNext/>
              <w:keepLines/>
              <w:numPr>
                <w:ilvl w:val="0"/>
                <w:numId w:val="20"/>
              </w:numPr>
              <w:tabs>
                <w:tab w:val="left" w:pos="296"/>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ab/>
              <w:t>Iekārtas un cits tehniskais aprīkojums, ko izmanto uzņēmumā</w:t>
            </w:r>
          </w:p>
          <w:p w14:paraId="0DC03910" w14:textId="77777777" w:rsidR="004323C0" w:rsidRPr="004323C0" w:rsidRDefault="004323C0" w:rsidP="004301CB">
            <w:pPr>
              <w:pStyle w:val="TableParagraph"/>
              <w:keepNext/>
              <w:keepLines/>
              <w:numPr>
                <w:ilvl w:val="0"/>
                <w:numId w:val="20"/>
              </w:numPr>
              <w:tabs>
                <w:tab w:val="left" w:pos="296"/>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ab/>
              <w:t>Gala preces, ko uzņēmums izstrādājis turpmākai pārdošanai valsts vai ārvalstu tirgos</w:t>
            </w:r>
          </w:p>
          <w:p w14:paraId="2259DB54" w14:textId="77777777" w:rsidR="004323C0" w:rsidRPr="004323C0" w:rsidRDefault="004323C0" w:rsidP="004301CB">
            <w:pPr>
              <w:pStyle w:val="TableParagraph"/>
              <w:keepNext/>
              <w:keepLines/>
              <w:numPr>
                <w:ilvl w:val="0"/>
                <w:numId w:val="20"/>
              </w:numPr>
              <w:tabs>
                <w:tab w:val="left" w:pos="296"/>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ab/>
              <w:t>Gala preces, ko cits uzņēmums izstrādājis turpmākai pārdošanai valsts vai ārvalstu tirgos</w:t>
            </w:r>
          </w:p>
          <w:p w14:paraId="6C3FE80D" w14:textId="77777777" w:rsidR="004323C0" w:rsidRPr="004323C0" w:rsidRDefault="004323C0" w:rsidP="004301CB">
            <w:pPr>
              <w:pStyle w:val="TableParagraph"/>
              <w:keepNext/>
              <w:keepLines/>
              <w:numPr>
                <w:ilvl w:val="0"/>
                <w:numId w:val="20"/>
              </w:numPr>
              <w:tabs>
                <w:tab w:val="left" w:pos="310"/>
              </w:tabs>
              <w:spacing w:before="0"/>
              <w:ind w:left="0" w:firstLine="0"/>
              <w:jc w:val="both"/>
              <w:rPr>
                <w:rFonts w:ascii="Times New Roman" w:hAnsi="Times New Roman" w:cs="Times New Roman"/>
                <w:noProof/>
                <w:sz w:val="24"/>
                <w:szCs w:val="24"/>
              </w:rPr>
            </w:pPr>
            <w:r>
              <w:rPr>
                <w:rFonts w:ascii="Times New Roman" w:hAnsi="Times New Roman"/>
                <w:sz w:val="24"/>
              </w:rPr>
              <w:t>Citas preces</w:t>
            </w:r>
          </w:p>
        </w:tc>
      </w:tr>
      <w:tr w:rsidR="004323C0" w:rsidRPr="004323C0" w14:paraId="043510ED" w14:textId="77777777">
        <w:trPr>
          <w:trHeight w:val="2826"/>
        </w:trPr>
        <w:tc>
          <w:tcPr>
            <w:tcW w:w="1257" w:type="pct"/>
            <w:tcBorders>
              <w:top w:val="single" w:sz="4" w:space="0" w:color="CDDCEF"/>
              <w:bottom w:val="single" w:sz="4" w:space="0" w:color="466DB4"/>
            </w:tcBorders>
          </w:tcPr>
          <w:p w14:paraId="67F49666" w14:textId="77777777" w:rsidR="004323C0" w:rsidRPr="004323C0" w:rsidRDefault="004323C0" w:rsidP="00B0710E">
            <w:pPr>
              <w:pStyle w:val="TableParagraph"/>
              <w:spacing w:before="0"/>
              <w:rPr>
                <w:rFonts w:ascii="Times New Roman" w:hAnsi="Times New Roman" w:cs="Times New Roman"/>
                <w:noProof/>
                <w:sz w:val="24"/>
                <w:szCs w:val="24"/>
              </w:rPr>
            </w:pPr>
            <w:r>
              <w:rPr>
                <w:rFonts w:ascii="Times New Roman" w:hAnsi="Times New Roman"/>
                <w:sz w:val="24"/>
              </w:rPr>
              <w:t>3) To uzņēmumu skaits, kas piegādā preces klientiem ārvalstīs</w:t>
            </w:r>
          </w:p>
        </w:tc>
        <w:tc>
          <w:tcPr>
            <w:tcW w:w="3743" w:type="pct"/>
            <w:tcBorders>
              <w:top w:val="single" w:sz="4" w:space="0" w:color="CDDCEF"/>
              <w:bottom w:val="single" w:sz="4" w:space="0" w:color="466DB4"/>
            </w:tcBorders>
          </w:tcPr>
          <w:p w14:paraId="2D3AC130" w14:textId="77777777" w:rsidR="004323C0" w:rsidRPr="004323C0" w:rsidRDefault="004323C0">
            <w:pPr>
              <w:pStyle w:val="TableParagraph"/>
              <w:numPr>
                <w:ilvl w:val="0"/>
                <w:numId w:val="19"/>
              </w:numPr>
              <w:tabs>
                <w:tab w:val="left" w:pos="296"/>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ab/>
              <w:t>Izejvielas, ko savos ražošanas procesos izmanto uzņēmuma klienti ārvalstīs</w:t>
            </w:r>
          </w:p>
          <w:p w14:paraId="42122B20" w14:textId="77777777" w:rsidR="004323C0" w:rsidRPr="004323C0" w:rsidRDefault="004323C0">
            <w:pPr>
              <w:pStyle w:val="TableParagraph"/>
              <w:numPr>
                <w:ilvl w:val="0"/>
                <w:numId w:val="19"/>
              </w:numPr>
              <w:tabs>
                <w:tab w:val="left" w:pos="296"/>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ab/>
              <w:t>Komponenti, ko uzņēmuma klienti ārvalstīs izmanto kā daļu no sava produkta</w:t>
            </w:r>
          </w:p>
          <w:p w14:paraId="4E0D388D" w14:textId="77777777" w:rsidR="004323C0" w:rsidRPr="004323C0" w:rsidRDefault="004323C0">
            <w:pPr>
              <w:pStyle w:val="TableParagraph"/>
              <w:numPr>
                <w:ilvl w:val="0"/>
                <w:numId w:val="19"/>
              </w:numPr>
              <w:tabs>
                <w:tab w:val="left" w:pos="296"/>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ab/>
              <w:t>Iekārtas un cits tehniskais aprīkojums, ko izmanto uzņēmuma klienti ārvalstīs</w:t>
            </w:r>
          </w:p>
          <w:p w14:paraId="6C3F4F76" w14:textId="77777777" w:rsidR="004323C0" w:rsidRPr="004323C0" w:rsidRDefault="004323C0">
            <w:pPr>
              <w:pStyle w:val="TableParagraph"/>
              <w:numPr>
                <w:ilvl w:val="0"/>
                <w:numId w:val="19"/>
              </w:numPr>
              <w:tabs>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Gala preces, ko uzņēmums izstrādājis tālākai pārdošanai ārvalstu tirgos</w:t>
            </w:r>
          </w:p>
          <w:p w14:paraId="53D864B1" w14:textId="77777777" w:rsidR="004323C0" w:rsidRPr="004323C0" w:rsidRDefault="004323C0">
            <w:pPr>
              <w:pStyle w:val="TableParagraph"/>
              <w:numPr>
                <w:ilvl w:val="0"/>
                <w:numId w:val="19"/>
              </w:numPr>
              <w:tabs>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Gala preces, ko cits uzņēmums izstrādājis tālākai pārdošanai ārvalstu tirgos</w:t>
            </w:r>
          </w:p>
          <w:p w14:paraId="2F9BB9D6" w14:textId="77777777" w:rsidR="004323C0" w:rsidRPr="004323C0" w:rsidRDefault="004323C0">
            <w:pPr>
              <w:pStyle w:val="TableParagraph"/>
              <w:numPr>
                <w:ilvl w:val="0"/>
                <w:numId w:val="19"/>
              </w:numPr>
              <w:tabs>
                <w:tab w:val="left" w:pos="309"/>
              </w:tabs>
              <w:spacing w:before="0"/>
              <w:ind w:left="0" w:firstLine="0"/>
              <w:jc w:val="both"/>
              <w:rPr>
                <w:rFonts w:ascii="Times New Roman" w:hAnsi="Times New Roman" w:cs="Times New Roman"/>
                <w:noProof/>
                <w:sz w:val="24"/>
                <w:szCs w:val="24"/>
              </w:rPr>
            </w:pPr>
            <w:r>
              <w:rPr>
                <w:rFonts w:ascii="Times New Roman" w:hAnsi="Times New Roman"/>
                <w:sz w:val="24"/>
              </w:rPr>
              <w:t>Citas preces</w:t>
            </w:r>
          </w:p>
        </w:tc>
      </w:tr>
    </w:tbl>
    <w:p w14:paraId="02D700D5" w14:textId="77777777" w:rsidR="004323C0" w:rsidRPr="004323C0" w:rsidRDefault="004323C0" w:rsidP="004323C0">
      <w:pPr>
        <w:pStyle w:val="BodyText"/>
        <w:jc w:val="both"/>
        <w:rPr>
          <w:rFonts w:ascii="Times New Roman" w:hAnsi="Times New Roman" w:cs="Times New Roman"/>
          <w:b/>
          <w:noProof/>
          <w:sz w:val="24"/>
          <w:szCs w:val="24"/>
        </w:rPr>
      </w:pPr>
    </w:p>
    <w:p w14:paraId="0D47AFB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Kā redzams 4. tabulā, preču veidi kopumā var būt turpmāk minētie.</w:t>
      </w:r>
    </w:p>
    <w:p w14:paraId="122CCC23" w14:textId="77777777" w:rsidR="004323C0" w:rsidRPr="004323C0" w:rsidRDefault="004323C0" w:rsidP="004323C0">
      <w:pPr>
        <w:pStyle w:val="ListParagraph"/>
        <w:tabs>
          <w:tab w:val="left" w:pos="2430"/>
        </w:tabs>
        <w:spacing w:before="0"/>
        <w:ind w:left="284" w:firstLine="0"/>
        <w:rPr>
          <w:rFonts w:ascii="Times New Roman" w:hAnsi="Times New Roman" w:cs="Times New Roman"/>
          <w:noProof/>
          <w:sz w:val="24"/>
          <w:szCs w:val="24"/>
        </w:rPr>
      </w:pPr>
      <w:r>
        <w:rPr>
          <w:rFonts w:ascii="Times New Roman" w:hAnsi="Times New Roman"/>
          <w:sz w:val="24"/>
        </w:rPr>
        <w:t>1.1. Izejvielas</w:t>
      </w:r>
    </w:p>
    <w:p w14:paraId="5BA01E37" w14:textId="77777777" w:rsidR="004323C0" w:rsidRPr="004323C0" w:rsidRDefault="004323C0" w:rsidP="004323C0">
      <w:pPr>
        <w:pStyle w:val="ListParagraph"/>
        <w:tabs>
          <w:tab w:val="left" w:pos="2430"/>
        </w:tabs>
        <w:spacing w:before="0"/>
        <w:ind w:left="284" w:firstLine="0"/>
        <w:rPr>
          <w:rFonts w:ascii="Times New Roman" w:hAnsi="Times New Roman" w:cs="Times New Roman"/>
          <w:noProof/>
          <w:sz w:val="24"/>
          <w:szCs w:val="24"/>
        </w:rPr>
      </w:pPr>
      <w:r>
        <w:rPr>
          <w:rFonts w:ascii="Times New Roman" w:hAnsi="Times New Roman"/>
          <w:sz w:val="24"/>
        </w:rPr>
        <w:t>1.2. Komponenti</w:t>
      </w:r>
    </w:p>
    <w:p w14:paraId="28B407D3" w14:textId="77777777" w:rsidR="004323C0" w:rsidRPr="004323C0" w:rsidRDefault="004323C0" w:rsidP="004323C0">
      <w:pPr>
        <w:pStyle w:val="ListParagraph"/>
        <w:tabs>
          <w:tab w:val="left" w:pos="2421"/>
          <w:tab w:val="left" w:pos="2443"/>
        </w:tabs>
        <w:spacing w:before="0"/>
        <w:ind w:left="284" w:firstLine="0"/>
        <w:rPr>
          <w:rFonts w:ascii="Times New Roman" w:hAnsi="Times New Roman" w:cs="Times New Roman"/>
          <w:noProof/>
          <w:sz w:val="24"/>
          <w:szCs w:val="24"/>
        </w:rPr>
      </w:pPr>
      <w:r>
        <w:rPr>
          <w:rFonts w:ascii="Times New Roman" w:hAnsi="Times New Roman"/>
          <w:sz w:val="24"/>
        </w:rPr>
        <w:t>1.3. Iekārtas un cits tehniskais aprīkojums (ko izmanto pats uzņēmums vai tā klienti ārvalstīs)</w:t>
      </w:r>
    </w:p>
    <w:p w14:paraId="1D9CF1BC" w14:textId="77777777" w:rsidR="004323C0" w:rsidRPr="004323C0" w:rsidRDefault="004323C0" w:rsidP="004323C0">
      <w:pPr>
        <w:pStyle w:val="ListParagraph"/>
        <w:tabs>
          <w:tab w:val="left" w:pos="2430"/>
        </w:tabs>
        <w:spacing w:before="0"/>
        <w:ind w:left="284" w:firstLine="0"/>
        <w:rPr>
          <w:rFonts w:ascii="Times New Roman" w:hAnsi="Times New Roman" w:cs="Times New Roman"/>
          <w:noProof/>
          <w:sz w:val="24"/>
          <w:szCs w:val="24"/>
        </w:rPr>
      </w:pPr>
      <w:r>
        <w:rPr>
          <w:rFonts w:ascii="Times New Roman" w:hAnsi="Times New Roman"/>
          <w:sz w:val="24"/>
        </w:rPr>
        <w:t>1.4. Gala preces, ko pats uzņēmums izstrādājis tālākai pārdošanai</w:t>
      </w:r>
    </w:p>
    <w:p w14:paraId="28F28919" w14:textId="77777777" w:rsidR="004323C0" w:rsidRPr="004323C0" w:rsidRDefault="004323C0" w:rsidP="004323C0">
      <w:pPr>
        <w:pStyle w:val="ListParagraph"/>
        <w:tabs>
          <w:tab w:val="left" w:pos="2430"/>
        </w:tabs>
        <w:spacing w:before="0"/>
        <w:ind w:left="284" w:firstLine="0"/>
        <w:rPr>
          <w:rFonts w:ascii="Times New Roman" w:hAnsi="Times New Roman" w:cs="Times New Roman"/>
          <w:noProof/>
          <w:sz w:val="24"/>
          <w:szCs w:val="24"/>
        </w:rPr>
      </w:pPr>
      <w:r>
        <w:rPr>
          <w:rFonts w:ascii="Times New Roman" w:hAnsi="Times New Roman"/>
          <w:sz w:val="24"/>
        </w:rPr>
        <w:t>1.5. Gala preces, ko tālākai pārdošanai izstrādājis cits uzņēmums</w:t>
      </w:r>
    </w:p>
    <w:p w14:paraId="7B8248B7" w14:textId="77777777" w:rsidR="004323C0" w:rsidRPr="004323C0" w:rsidRDefault="004323C0" w:rsidP="004323C0">
      <w:pPr>
        <w:pStyle w:val="ListParagraph"/>
        <w:tabs>
          <w:tab w:val="left" w:pos="2430"/>
        </w:tabs>
        <w:spacing w:before="0"/>
        <w:ind w:left="284" w:firstLine="0"/>
        <w:rPr>
          <w:rFonts w:ascii="Times New Roman" w:hAnsi="Times New Roman" w:cs="Times New Roman"/>
          <w:noProof/>
          <w:sz w:val="24"/>
          <w:szCs w:val="24"/>
        </w:rPr>
      </w:pPr>
      <w:r>
        <w:rPr>
          <w:rFonts w:ascii="Times New Roman" w:hAnsi="Times New Roman"/>
          <w:sz w:val="24"/>
        </w:rPr>
        <w:t>1.6. Citas preces</w:t>
      </w:r>
    </w:p>
    <w:p w14:paraId="502C7D01" w14:textId="77777777" w:rsidR="004323C0" w:rsidRPr="004323C0" w:rsidRDefault="004323C0" w:rsidP="004323C0">
      <w:pPr>
        <w:pStyle w:val="BodyText"/>
        <w:jc w:val="both"/>
        <w:rPr>
          <w:rFonts w:ascii="Times New Roman" w:hAnsi="Times New Roman" w:cs="Times New Roman"/>
          <w:noProof/>
          <w:sz w:val="24"/>
          <w:szCs w:val="24"/>
        </w:rPr>
      </w:pPr>
    </w:p>
    <w:p w14:paraId="55C4783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Preču sadalījumā atbilstoši veidiem ņem vērā preces galapatēriņu. Visas preces, izņemot kategoriju “citas preces”, pārdod starpizlietojumam. Tas ietver pat kategoriju “gala preces”, kuras precīzāks nosaukums būtu “gatavās preces”. Šīs preces ir “gatavas” tādā nozīmē, ka to ražošana ir pabeigta, bet papildu vērtība var tikt pievienota, nodrošinot dažādus pakalpojumus (piemēram, tirgvedību, loģistiku un izplatīšanu). Parasti par šiem darījumiem ziņo vairumtirgotāji, bet par tiem varētu ziņot arī citi uzņēmumi. Tirgojamo preču veida shēmas ir parādītas 3. attēlā.</w:t>
      </w:r>
    </w:p>
    <w:p w14:paraId="6D43A7B2" w14:textId="77777777" w:rsidR="004323C0" w:rsidRPr="004323C0" w:rsidRDefault="004323C0" w:rsidP="004323C0">
      <w:pPr>
        <w:jc w:val="both"/>
        <w:rPr>
          <w:rFonts w:ascii="Times New Roman" w:hAnsi="Times New Roman" w:cs="Times New Roman"/>
          <w:noProof/>
          <w:sz w:val="24"/>
          <w:szCs w:val="24"/>
        </w:rPr>
      </w:pPr>
    </w:p>
    <w:p w14:paraId="578544D5" w14:textId="77777777" w:rsidR="004323C0" w:rsidRPr="004323C0" w:rsidRDefault="004323C0" w:rsidP="008A63A2">
      <w:pPr>
        <w:keepNext/>
        <w:keepLines/>
        <w:jc w:val="both"/>
        <w:rPr>
          <w:rFonts w:ascii="Times New Roman" w:hAnsi="Times New Roman" w:cs="Times New Roman"/>
          <w:b/>
          <w:noProof/>
          <w:sz w:val="24"/>
          <w:szCs w:val="24"/>
        </w:rPr>
      </w:pPr>
      <w:bookmarkStart w:id="33" w:name="_bookmark6"/>
      <w:bookmarkEnd w:id="33"/>
      <w:r>
        <w:rPr>
          <w:rFonts w:ascii="Times New Roman" w:hAnsi="Times New Roman"/>
          <w:b/>
          <w:sz w:val="24"/>
        </w:rPr>
        <w:t>3. attēls. Tirgojamo preču veids – GVĶ shēmas</w:t>
      </w:r>
    </w:p>
    <w:p w14:paraId="2EAE923F" w14:textId="77777777" w:rsidR="004323C0" w:rsidRPr="004323C0" w:rsidRDefault="004323C0" w:rsidP="008A63A2">
      <w:pPr>
        <w:pStyle w:val="BodyText"/>
        <w:keepNext/>
        <w:keepLines/>
        <w:jc w:val="both"/>
        <w:rPr>
          <w:rFonts w:ascii="Times New Roman" w:hAnsi="Times New Roman" w:cs="Times New Roman"/>
          <w:b/>
          <w:noProof/>
          <w:sz w:val="24"/>
          <w:szCs w:val="24"/>
        </w:rPr>
      </w:pPr>
    </w:p>
    <w:p w14:paraId="7A2D3FD1" w14:textId="77777777" w:rsidR="004323C0" w:rsidRDefault="004323C0" w:rsidP="008A63A2">
      <w:pPr>
        <w:pStyle w:val="BodyText"/>
        <w:keepNext/>
        <w:keepLines/>
        <w:jc w:val="both"/>
        <w:rPr>
          <w:rFonts w:ascii="Times New Roman" w:hAnsi="Times New Roman" w:cs="Times New Roman"/>
          <w:noProof/>
          <w:sz w:val="24"/>
          <w:szCs w:val="24"/>
        </w:rPr>
      </w:pPr>
      <w:r>
        <w:rPr>
          <w:rFonts w:ascii="Times New Roman" w:hAnsi="Times New Roman"/>
          <w:noProof/>
          <w:sz w:val="24"/>
        </w:rPr>
        <w:drawing>
          <wp:inline distT="0" distB="0" distL="0" distR="0" wp14:anchorId="7A0AC61C" wp14:editId="4997B326">
            <wp:extent cx="5738232" cy="1303506"/>
            <wp:effectExtent l="0" t="0" r="0" b="0"/>
            <wp:docPr id="57" name="Image 57" descr="The figure shows the schematics of goods traded within the GVC. All goods are traded within the GVC except for purchasing of raw material or components used for consumption and purchasing of finished goods used for consump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The figure shows the schematics of goods traded within the GVC. All goods are traded within the GVC except for purchasing of raw material or components used for consumption and purchasing of finished goods used for consumption. "/>
                    <pic:cNvPicPr/>
                  </pic:nvPicPr>
                  <pic:blipFill>
                    <a:blip r:embed="rId15" cstate="print"/>
                    <a:stretch>
                      <a:fillRect/>
                    </a:stretch>
                  </pic:blipFill>
                  <pic:spPr>
                    <a:xfrm>
                      <a:off x="0" y="0"/>
                      <a:ext cx="5839810" cy="1326581"/>
                    </a:xfrm>
                    <a:prstGeom prst="rect">
                      <a:avLst/>
                    </a:prstGeom>
                  </pic:spPr>
                </pic:pic>
              </a:graphicData>
            </a:graphic>
          </wp:inline>
        </w:drawing>
      </w:r>
    </w:p>
    <w:p w14:paraId="719C91E7" w14:textId="77777777" w:rsidR="00882446" w:rsidRPr="004323C0" w:rsidRDefault="00882446" w:rsidP="008A63A2">
      <w:pPr>
        <w:pStyle w:val="BodyText"/>
        <w:keepNext/>
        <w:keepLines/>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4F0971" w:rsidRPr="004323C0" w14:paraId="317AA81A" w14:textId="77777777" w:rsidTr="00914420">
        <w:tc>
          <w:tcPr>
            <w:tcW w:w="2500" w:type="pct"/>
          </w:tcPr>
          <w:p w14:paraId="3BD510A2" w14:textId="471AA255" w:rsidR="004F0971" w:rsidRPr="00914420" w:rsidRDefault="004F0971" w:rsidP="00914420">
            <w:pPr>
              <w:pStyle w:val="BodyText"/>
              <w:jc w:val="center"/>
              <w:rPr>
                <w:rFonts w:ascii="Times New Roman" w:hAnsi="Times New Roman"/>
                <w:b/>
                <w:bCs/>
                <w:sz w:val="24"/>
              </w:rPr>
            </w:pPr>
            <w:r w:rsidRPr="00914420">
              <w:rPr>
                <w:rFonts w:ascii="Times New Roman" w:hAnsi="Times New Roman"/>
                <w:b/>
                <w:bCs/>
                <w:sz w:val="24"/>
              </w:rPr>
              <w:t>Angļu val.</w:t>
            </w:r>
          </w:p>
        </w:tc>
        <w:tc>
          <w:tcPr>
            <w:tcW w:w="2500" w:type="pct"/>
          </w:tcPr>
          <w:p w14:paraId="77EBF09D" w14:textId="02B804B1" w:rsidR="004F0971" w:rsidRPr="00914420" w:rsidRDefault="004F0971" w:rsidP="00914420">
            <w:pPr>
              <w:pStyle w:val="BodyText"/>
              <w:jc w:val="center"/>
              <w:rPr>
                <w:rFonts w:ascii="Times New Roman" w:hAnsi="Times New Roman"/>
                <w:b/>
                <w:bCs/>
                <w:sz w:val="24"/>
              </w:rPr>
            </w:pPr>
            <w:r w:rsidRPr="00914420">
              <w:rPr>
                <w:rFonts w:ascii="Times New Roman" w:hAnsi="Times New Roman"/>
                <w:b/>
                <w:bCs/>
                <w:sz w:val="24"/>
              </w:rPr>
              <w:t>Latviešu val.</w:t>
            </w:r>
          </w:p>
        </w:tc>
      </w:tr>
      <w:tr w:rsidR="004F0971" w:rsidRPr="004323C0" w14:paraId="1866AA89" w14:textId="77777777" w:rsidTr="00914420">
        <w:tc>
          <w:tcPr>
            <w:tcW w:w="2500" w:type="pct"/>
          </w:tcPr>
          <w:p w14:paraId="34F63953"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GVĶ</w:t>
            </w:r>
          </w:p>
        </w:tc>
        <w:tc>
          <w:tcPr>
            <w:tcW w:w="2500" w:type="pct"/>
          </w:tcPr>
          <w:p w14:paraId="4D3B8754" w14:textId="1CF05083"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GVĶ</w:t>
            </w:r>
          </w:p>
        </w:tc>
      </w:tr>
      <w:tr w:rsidR="004F0971" w:rsidRPr="004323C0" w14:paraId="0EBCDAB0" w14:textId="77777777" w:rsidTr="00914420">
        <w:tc>
          <w:tcPr>
            <w:tcW w:w="2500" w:type="pct"/>
          </w:tcPr>
          <w:p w14:paraId="35A9027E"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Shēmas, kas nav GVĶ</w:t>
            </w:r>
          </w:p>
        </w:tc>
        <w:tc>
          <w:tcPr>
            <w:tcW w:w="2500" w:type="pct"/>
          </w:tcPr>
          <w:p w14:paraId="5B9B09A6" w14:textId="4A4D7194"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Shēmas, kas nav GVĶ</w:t>
            </w:r>
          </w:p>
        </w:tc>
      </w:tr>
      <w:tr w:rsidR="004F0971" w:rsidRPr="004323C0" w14:paraId="1090F7DC" w14:textId="77777777" w:rsidTr="00914420">
        <w:tc>
          <w:tcPr>
            <w:tcW w:w="2500" w:type="pct"/>
          </w:tcPr>
          <w:p w14:paraId="7E1E5405"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Preces atbilstoši to lietojumam</w:t>
            </w:r>
          </w:p>
        </w:tc>
        <w:tc>
          <w:tcPr>
            <w:tcW w:w="2500" w:type="pct"/>
          </w:tcPr>
          <w:p w14:paraId="34D195A1" w14:textId="180B1941"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Preces atbilstoši to lietojumam</w:t>
            </w:r>
          </w:p>
        </w:tc>
      </w:tr>
      <w:tr w:rsidR="004F0971" w:rsidRPr="004323C0" w14:paraId="09DFC0FE" w14:textId="77777777" w:rsidTr="00914420">
        <w:tc>
          <w:tcPr>
            <w:tcW w:w="2500" w:type="pct"/>
          </w:tcPr>
          <w:p w14:paraId="24815E28"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Iegāde</w:t>
            </w:r>
          </w:p>
        </w:tc>
        <w:tc>
          <w:tcPr>
            <w:tcW w:w="2500" w:type="pct"/>
          </w:tcPr>
          <w:p w14:paraId="05CED3FC" w14:textId="7CD487F5"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Iegāde</w:t>
            </w:r>
          </w:p>
        </w:tc>
      </w:tr>
      <w:tr w:rsidR="004F0971" w:rsidRPr="004323C0" w14:paraId="13BDE9BB" w14:textId="77777777" w:rsidTr="00914420">
        <w:tc>
          <w:tcPr>
            <w:tcW w:w="2500" w:type="pct"/>
          </w:tcPr>
          <w:p w14:paraId="67FB7549"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Piegāde</w:t>
            </w:r>
          </w:p>
        </w:tc>
        <w:tc>
          <w:tcPr>
            <w:tcW w:w="2500" w:type="pct"/>
          </w:tcPr>
          <w:p w14:paraId="2D2C9399" w14:textId="0070CECC"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Piegāde</w:t>
            </w:r>
          </w:p>
        </w:tc>
      </w:tr>
      <w:tr w:rsidR="004F0971" w:rsidRPr="004323C0" w14:paraId="0D5D7CF7" w14:textId="77777777" w:rsidTr="00914420">
        <w:tc>
          <w:tcPr>
            <w:tcW w:w="2500" w:type="pct"/>
          </w:tcPr>
          <w:p w14:paraId="77BC5737"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Preces starpizlietojumam</w:t>
            </w:r>
          </w:p>
        </w:tc>
        <w:tc>
          <w:tcPr>
            <w:tcW w:w="2500" w:type="pct"/>
          </w:tcPr>
          <w:p w14:paraId="4C924963" w14:textId="02BA274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Preces starpizlietojumam</w:t>
            </w:r>
          </w:p>
        </w:tc>
      </w:tr>
      <w:tr w:rsidR="004F0971" w:rsidRPr="004323C0" w14:paraId="40B20199" w14:textId="77777777" w:rsidTr="00914420">
        <w:tc>
          <w:tcPr>
            <w:tcW w:w="2500" w:type="pct"/>
          </w:tcPr>
          <w:p w14:paraId="568FC7ED"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Izejvielas,</w:t>
            </w:r>
          </w:p>
        </w:tc>
        <w:tc>
          <w:tcPr>
            <w:tcW w:w="2500" w:type="pct"/>
          </w:tcPr>
          <w:p w14:paraId="76313A1C" w14:textId="3A8186FE"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Izejvielas,</w:t>
            </w:r>
          </w:p>
        </w:tc>
      </w:tr>
      <w:tr w:rsidR="004F0971" w:rsidRPr="004323C0" w14:paraId="07FF102E" w14:textId="77777777" w:rsidTr="00914420">
        <w:tc>
          <w:tcPr>
            <w:tcW w:w="2500" w:type="pct"/>
          </w:tcPr>
          <w:p w14:paraId="07F4306A"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kas tiek izmantotas jūsu pašu ražošanas procesā</w:t>
            </w:r>
          </w:p>
        </w:tc>
        <w:tc>
          <w:tcPr>
            <w:tcW w:w="2500" w:type="pct"/>
          </w:tcPr>
          <w:p w14:paraId="4A4A1BBC" w14:textId="16248618"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kas tiek izmantotas jūsu pašu ražošanas procesā</w:t>
            </w:r>
          </w:p>
        </w:tc>
      </w:tr>
      <w:tr w:rsidR="004F0971" w:rsidRPr="004323C0" w14:paraId="7272CE04" w14:textId="77777777" w:rsidTr="00914420">
        <w:tc>
          <w:tcPr>
            <w:tcW w:w="2500" w:type="pct"/>
          </w:tcPr>
          <w:p w14:paraId="5F1C7227"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savos ražošanas procesos izmanto jūsu klienti ārvalstīs</w:t>
            </w:r>
          </w:p>
        </w:tc>
        <w:tc>
          <w:tcPr>
            <w:tcW w:w="2500" w:type="pct"/>
          </w:tcPr>
          <w:p w14:paraId="3651C96F" w14:textId="1238FA59"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savos ražošanas procesos izmanto jūsu klienti ārvalstīs</w:t>
            </w:r>
          </w:p>
        </w:tc>
      </w:tr>
      <w:tr w:rsidR="004F0971" w:rsidRPr="004323C0" w14:paraId="64EF4BDE" w14:textId="77777777" w:rsidTr="00914420">
        <w:tc>
          <w:tcPr>
            <w:tcW w:w="2500" w:type="pct"/>
          </w:tcPr>
          <w:p w14:paraId="39566F82"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Komponenti,</w:t>
            </w:r>
          </w:p>
        </w:tc>
        <w:tc>
          <w:tcPr>
            <w:tcW w:w="2500" w:type="pct"/>
          </w:tcPr>
          <w:p w14:paraId="79EE809B" w14:textId="2EE8E194"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Komponenti,</w:t>
            </w:r>
          </w:p>
        </w:tc>
      </w:tr>
      <w:tr w:rsidR="004F0971" w:rsidRPr="004323C0" w14:paraId="6E650517" w14:textId="77777777" w:rsidTr="00914420">
        <w:tc>
          <w:tcPr>
            <w:tcW w:w="2500" w:type="pct"/>
          </w:tcPr>
          <w:p w14:paraId="4B3E735E"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kas ir jūsu produkta daļa;</w:t>
            </w:r>
          </w:p>
        </w:tc>
        <w:tc>
          <w:tcPr>
            <w:tcW w:w="2500" w:type="pct"/>
          </w:tcPr>
          <w:p w14:paraId="35D7EE2E" w14:textId="3722BBEA"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kas ir jūsu produkta daļa;</w:t>
            </w:r>
          </w:p>
        </w:tc>
      </w:tr>
      <w:tr w:rsidR="004F0971" w:rsidRPr="004323C0" w14:paraId="2F5A9E69" w14:textId="77777777" w:rsidTr="00914420">
        <w:tc>
          <w:tcPr>
            <w:tcW w:w="2500" w:type="pct"/>
          </w:tcPr>
          <w:p w14:paraId="34813240"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izmanto jūsu klienti ārvalstīs kā sava produkta daļu</w:t>
            </w:r>
          </w:p>
        </w:tc>
        <w:tc>
          <w:tcPr>
            <w:tcW w:w="2500" w:type="pct"/>
          </w:tcPr>
          <w:p w14:paraId="288A74D8" w14:textId="4A8FCEFB"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izmanto jūsu klienti ārvalstīs kā sava produkta daļu</w:t>
            </w:r>
          </w:p>
        </w:tc>
      </w:tr>
      <w:tr w:rsidR="004F0971" w:rsidRPr="004323C0" w14:paraId="4C902501" w14:textId="77777777" w:rsidTr="00914420">
        <w:tc>
          <w:tcPr>
            <w:tcW w:w="2500" w:type="pct"/>
          </w:tcPr>
          <w:p w14:paraId="427BE68E"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Iekārtas un cits tehniskais aprīkojums,</w:t>
            </w:r>
          </w:p>
        </w:tc>
        <w:tc>
          <w:tcPr>
            <w:tcW w:w="2500" w:type="pct"/>
          </w:tcPr>
          <w:p w14:paraId="13250934" w14:textId="0A045E42"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Iekārtas un cits tehniskais aprīkojums,</w:t>
            </w:r>
          </w:p>
        </w:tc>
      </w:tr>
      <w:tr w:rsidR="004F0971" w:rsidRPr="004323C0" w14:paraId="563A8E0F" w14:textId="77777777" w:rsidTr="00914420">
        <w:tc>
          <w:tcPr>
            <w:tcW w:w="2500" w:type="pct"/>
          </w:tcPr>
          <w:p w14:paraId="50E86D88"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izmanto jūsu uzņēmums;</w:t>
            </w:r>
          </w:p>
        </w:tc>
        <w:tc>
          <w:tcPr>
            <w:tcW w:w="2500" w:type="pct"/>
          </w:tcPr>
          <w:p w14:paraId="39690F09" w14:textId="64A0D31B"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izmanto jūsu uzņēmums;</w:t>
            </w:r>
          </w:p>
        </w:tc>
      </w:tr>
      <w:tr w:rsidR="004F0971" w:rsidRPr="004323C0" w14:paraId="417423BB" w14:textId="77777777" w:rsidTr="00914420">
        <w:tc>
          <w:tcPr>
            <w:tcW w:w="2500" w:type="pct"/>
          </w:tcPr>
          <w:p w14:paraId="1F68B7AF"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izmanto jūsu klienti ārvalstīs</w:t>
            </w:r>
          </w:p>
        </w:tc>
        <w:tc>
          <w:tcPr>
            <w:tcW w:w="2500" w:type="pct"/>
          </w:tcPr>
          <w:p w14:paraId="099F4445" w14:textId="08CF9771"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izmanto jūsu klienti ārvalstīs</w:t>
            </w:r>
          </w:p>
        </w:tc>
      </w:tr>
      <w:tr w:rsidR="004F0971" w:rsidRPr="004323C0" w14:paraId="6D09DA08" w14:textId="77777777" w:rsidTr="00914420">
        <w:tc>
          <w:tcPr>
            <w:tcW w:w="2500" w:type="pct"/>
          </w:tcPr>
          <w:p w14:paraId="1F8B8EC2"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Gala (gatavās) preces tālākpārdošanai,</w:t>
            </w:r>
          </w:p>
        </w:tc>
        <w:tc>
          <w:tcPr>
            <w:tcW w:w="2500" w:type="pct"/>
          </w:tcPr>
          <w:p w14:paraId="73D3DAEE" w14:textId="1EF17B5B"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Gala (gatavās) preces tālākpārdošanai,</w:t>
            </w:r>
          </w:p>
        </w:tc>
      </w:tr>
      <w:tr w:rsidR="004F0971" w:rsidRPr="004323C0" w14:paraId="1228DB32" w14:textId="77777777" w:rsidTr="00914420">
        <w:tc>
          <w:tcPr>
            <w:tcW w:w="2500" w:type="pct"/>
          </w:tcPr>
          <w:p w14:paraId="2DFE57C6"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izstrādājis vai nu jūsu uzņēmums, vai kāds cits uzņēmums;</w:t>
            </w:r>
          </w:p>
        </w:tc>
        <w:tc>
          <w:tcPr>
            <w:tcW w:w="2500" w:type="pct"/>
          </w:tcPr>
          <w:p w14:paraId="6CEA86FA" w14:textId="311619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izstrādājis vai nu jūsu uzņēmums, vai kāds cits uzņēmums;</w:t>
            </w:r>
          </w:p>
        </w:tc>
      </w:tr>
      <w:tr w:rsidR="004F0971" w:rsidRPr="004323C0" w14:paraId="48AE71F3" w14:textId="77777777" w:rsidTr="00914420">
        <w:tc>
          <w:tcPr>
            <w:tcW w:w="2500" w:type="pct"/>
          </w:tcPr>
          <w:p w14:paraId="446DBAF2"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izstrādājis vai nu jūsu uzņēmums, vai kāds cits uzņēmums</w:t>
            </w:r>
          </w:p>
        </w:tc>
        <w:tc>
          <w:tcPr>
            <w:tcW w:w="2500" w:type="pct"/>
          </w:tcPr>
          <w:p w14:paraId="32C71587" w14:textId="37DBC80B"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ko izstrādājis vai nu jūsu uzņēmums, vai kāds cits uzņēmums</w:t>
            </w:r>
          </w:p>
        </w:tc>
      </w:tr>
      <w:tr w:rsidR="004F0971" w:rsidRPr="004323C0" w14:paraId="658BDFF1" w14:textId="77777777" w:rsidTr="00914420">
        <w:tc>
          <w:tcPr>
            <w:tcW w:w="2500" w:type="pct"/>
          </w:tcPr>
          <w:p w14:paraId="67564F64"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Preces gala patēriņam</w:t>
            </w:r>
          </w:p>
        </w:tc>
        <w:tc>
          <w:tcPr>
            <w:tcW w:w="2500" w:type="pct"/>
          </w:tcPr>
          <w:p w14:paraId="2FB840B8" w14:textId="0596115C"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Preces gala patēriņam</w:t>
            </w:r>
          </w:p>
        </w:tc>
      </w:tr>
      <w:tr w:rsidR="004F0971" w:rsidRPr="004323C0" w14:paraId="0797E6B7" w14:textId="77777777" w:rsidTr="00914420">
        <w:tc>
          <w:tcPr>
            <w:tcW w:w="2500" w:type="pct"/>
          </w:tcPr>
          <w:p w14:paraId="421B0CAC"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Citas preces (patēriņa preces)</w:t>
            </w:r>
          </w:p>
        </w:tc>
        <w:tc>
          <w:tcPr>
            <w:tcW w:w="2500" w:type="pct"/>
          </w:tcPr>
          <w:p w14:paraId="46588206" w14:textId="6924B536"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Citas preces (patēriņa preces)</w:t>
            </w:r>
          </w:p>
        </w:tc>
      </w:tr>
      <w:tr w:rsidR="004F0971" w:rsidRPr="004323C0" w14:paraId="75A6F8C0" w14:textId="77777777" w:rsidTr="00914420">
        <w:tc>
          <w:tcPr>
            <w:tcW w:w="2500" w:type="pct"/>
          </w:tcPr>
          <w:p w14:paraId="697AB107"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Patēriņam izmantotās izejvielas vai komponenti (galapatēriņš)</w:t>
            </w:r>
          </w:p>
        </w:tc>
        <w:tc>
          <w:tcPr>
            <w:tcW w:w="2500" w:type="pct"/>
          </w:tcPr>
          <w:p w14:paraId="16245182" w14:textId="4048BAB3"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Patēriņam izmantotās izejvielas vai komponenti (galapatēriņš)</w:t>
            </w:r>
          </w:p>
        </w:tc>
      </w:tr>
      <w:tr w:rsidR="004F0971" w:rsidRPr="004323C0" w14:paraId="259883DC" w14:textId="77777777" w:rsidTr="00914420">
        <w:tc>
          <w:tcPr>
            <w:tcW w:w="2500" w:type="pct"/>
          </w:tcPr>
          <w:p w14:paraId="21A1E1B3"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Gatavās preces, ko izmanto patēriņam</w:t>
            </w:r>
          </w:p>
        </w:tc>
        <w:tc>
          <w:tcPr>
            <w:tcW w:w="2500" w:type="pct"/>
          </w:tcPr>
          <w:p w14:paraId="4F5596BE" w14:textId="412F35F3"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Gatavās preces, ko izmanto patēriņam</w:t>
            </w:r>
          </w:p>
        </w:tc>
      </w:tr>
      <w:tr w:rsidR="004F0971" w:rsidRPr="004323C0" w14:paraId="59A78896" w14:textId="77777777" w:rsidTr="00914420">
        <w:tc>
          <w:tcPr>
            <w:tcW w:w="2500" w:type="pct"/>
          </w:tcPr>
          <w:p w14:paraId="67074565"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Patēriņam izmantotās izejvielas vai komponenti (galapatēriņš)</w:t>
            </w:r>
          </w:p>
        </w:tc>
        <w:tc>
          <w:tcPr>
            <w:tcW w:w="2500" w:type="pct"/>
          </w:tcPr>
          <w:p w14:paraId="7531E2F0" w14:textId="4B358BB6"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Patēriņam izmantotās izejvielas vai komponenti (galapatēriņš)</w:t>
            </w:r>
          </w:p>
        </w:tc>
      </w:tr>
      <w:tr w:rsidR="004F0971" w:rsidRPr="004323C0" w14:paraId="6B25C9B1" w14:textId="77777777" w:rsidTr="00914420">
        <w:tc>
          <w:tcPr>
            <w:tcW w:w="2500" w:type="pct"/>
          </w:tcPr>
          <w:p w14:paraId="0B2FBFB5" w14:textId="77777777"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Gatavās preces, ko izmanto patēriņam</w:t>
            </w:r>
          </w:p>
        </w:tc>
        <w:tc>
          <w:tcPr>
            <w:tcW w:w="2500" w:type="pct"/>
          </w:tcPr>
          <w:p w14:paraId="2245A789" w14:textId="603D9630" w:rsidR="004F0971" w:rsidRPr="004323C0" w:rsidRDefault="004F0971" w:rsidP="00677FDE">
            <w:pPr>
              <w:pStyle w:val="BodyText"/>
              <w:jc w:val="both"/>
              <w:rPr>
                <w:rFonts w:ascii="Times New Roman" w:hAnsi="Times New Roman" w:cs="Times New Roman"/>
                <w:bCs/>
                <w:noProof/>
                <w:sz w:val="24"/>
                <w:szCs w:val="24"/>
              </w:rPr>
            </w:pPr>
            <w:r>
              <w:rPr>
                <w:rFonts w:ascii="Times New Roman" w:hAnsi="Times New Roman"/>
                <w:sz w:val="24"/>
              </w:rPr>
              <w:t>Gatavās preces, ko izmanto patēriņam</w:t>
            </w:r>
          </w:p>
        </w:tc>
      </w:tr>
    </w:tbl>
    <w:p w14:paraId="23B76A63" w14:textId="77777777" w:rsidR="004323C0" w:rsidRPr="004323C0" w:rsidRDefault="004323C0" w:rsidP="004323C0">
      <w:pPr>
        <w:pStyle w:val="BodyText"/>
        <w:jc w:val="both"/>
        <w:rPr>
          <w:rFonts w:ascii="Times New Roman" w:hAnsi="Times New Roman" w:cs="Times New Roman"/>
          <w:noProof/>
          <w:sz w:val="24"/>
          <w:szCs w:val="24"/>
        </w:rPr>
      </w:pPr>
    </w:p>
    <w:p w14:paraId="4E791EC6" w14:textId="77777777" w:rsidR="004323C0" w:rsidRPr="004323C0" w:rsidRDefault="004323C0" w:rsidP="00F22463">
      <w:pPr>
        <w:pStyle w:val="BodyText"/>
        <w:keepNext/>
        <w:keepLines/>
        <w:jc w:val="both"/>
        <w:rPr>
          <w:rFonts w:ascii="Times New Roman" w:hAnsi="Times New Roman" w:cs="Times New Roman"/>
          <w:noProof/>
          <w:sz w:val="24"/>
          <w:szCs w:val="24"/>
        </w:rPr>
      </w:pPr>
      <w:r>
        <w:rPr>
          <w:rFonts w:ascii="Times New Roman" w:hAnsi="Times New Roman"/>
          <w:sz w:val="24"/>
        </w:rPr>
        <w:t>Lai atvieglotu GVĶ identificēšanu un uzlabotu datu kvalitāti, tiek piemērota minimālā gada sliekšņa vērtība 100 000 EUR apmērā, ziņojot par tirgoto preču veidu. Tas attiecas nevis uz konkrētu preču veidu (piemēram, krāsaini zīmuļi salīdzinājumā ar citiem zīmuļu veidiem), bet gan uz preces veidu apsekojumā (piemēram, izejvielas salīdzinājumā ar komponentiem). Piemēram, uzņēmums var pārdot krāsainos zīmuļus, kas ir “gala preces, ko pats uzņēmums izstrādājis tālākpārdošanai”, par 60 000 EUR un krāsainos zīmuļus, kas ir “gala preces, ko cits uzņēmums izstrādājis tālākpārdošanai”, par 110 000 EUR. Uzņēmums ziņos tikai par otro minēto summu, jo tikai šī summa pārsniedz 100 000 EUR sliekšņa vērtību.</w:t>
      </w:r>
    </w:p>
    <w:p w14:paraId="179E5E5C" w14:textId="77777777" w:rsidR="004323C0" w:rsidRPr="004323C0" w:rsidRDefault="004323C0" w:rsidP="004323C0">
      <w:pPr>
        <w:pStyle w:val="BodyText"/>
        <w:jc w:val="both"/>
        <w:rPr>
          <w:rFonts w:ascii="Times New Roman" w:hAnsi="Times New Roman" w:cs="Times New Roman"/>
          <w:noProof/>
          <w:sz w:val="24"/>
          <w:szCs w:val="24"/>
        </w:rPr>
      </w:pPr>
    </w:p>
    <w:p w14:paraId="3196AD64" w14:textId="77777777" w:rsidR="004323C0" w:rsidRPr="004323C0" w:rsidRDefault="004323C0" w:rsidP="004323C0">
      <w:pPr>
        <w:jc w:val="both"/>
        <w:rPr>
          <w:rFonts w:ascii="Times New Roman" w:hAnsi="Times New Roman" w:cs="Times New Roman"/>
          <w:b/>
          <w:noProof/>
          <w:sz w:val="24"/>
          <w:szCs w:val="24"/>
        </w:rPr>
      </w:pPr>
      <w:bookmarkStart w:id="34" w:name="1.1._Raw_materials"/>
      <w:bookmarkEnd w:id="34"/>
      <w:r>
        <w:rPr>
          <w:rFonts w:ascii="Times New Roman" w:hAnsi="Times New Roman"/>
          <w:b/>
          <w:sz w:val="24"/>
        </w:rPr>
        <w:t>1.1. Izejvielas</w:t>
      </w:r>
    </w:p>
    <w:p w14:paraId="7C86911E" w14:textId="77777777" w:rsidR="004323C0" w:rsidRPr="004323C0" w:rsidRDefault="004323C0" w:rsidP="004323C0">
      <w:pPr>
        <w:pStyle w:val="BodyText"/>
        <w:jc w:val="both"/>
        <w:rPr>
          <w:rFonts w:ascii="Times New Roman" w:hAnsi="Times New Roman" w:cs="Times New Roman"/>
          <w:noProof/>
          <w:sz w:val="24"/>
          <w:szCs w:val="24"/>
        </w:rPr>
      </w:pPr>
    </w:p>
    <w:p w14:paraId="517A2A2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preču kategorija ir izejvielas, kas tiek izmantotas uzņēmuma ražošanas procesos vai ko savos ražošanas procesos izmanto tā klienti ārvalstīs. Izejvielas parasti ir dabas resursi, ko iegūst no zemes vai dabas vai saražo ķīmiskos vai līdzīgos procesos (piemēram, tērauda ražošana). Tie rūpniecības un ražošanas procesos bieži tiek pārveidoti gatavā produkcijā.</w:t>
      </w:r>
    </w:p>
    <w:p w14:paraId="56AFF68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Tipiski izejvielu piemēri ir šādi:</w:t>
      </w:r>
    </w:p>
    <w:p w14:paraId="37927E01" w14:textId="77777777" w:rsidR="004323C0" w:rsidRPr="004323C0" w:rsidRDefault="004323C0" w:rsidP="004323C0">
      <w:pPr>
        <w:pStyle w:val="ListParagraph"/>
        <w:numPr>
          <w:ilvl w:val="0"/>
          <w:numId w:val="16"/>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metāli – tostarp tie ir tādi materiāli kā, piemēram, dzelzs, alumīnijs un varš, ko izmanto dažādu produktu ražošanā, sākot no automašīnām un beidzot ar elektroniku un celtniecības materiāliem;</w:t>
      </w:r>
    </w:p>
    <w:p w14:paraId="09F8ACBB" w14:textId="77777777" w:rsidR="004323C0" w:rsidRPr="004323C0" w:rsidRDefault="004323C0" w:rsidP="004323C0">
      <w:pPr>
        <w:pStyle w:val="ListParagraph"/>
        <w:numPr>
          <w:ilvl w:val="0"/>
          <w:numId w:val="16"/>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ķīmiskās vielas – tostarp tie ir tādi materiāli kā, piemēram, eļļa, gāze un plastmasa, ko izmanto dažādu produktu ražošanā, sākot no sintētiskām šķiedrām līdz farmaceitiskajiem līdzekļiem un beidzot ar mēslošanas līdzekļiem;</w:t>
      </w:r>
    </w:p>
    <w:p w14:paraId="24073689" w14:textId="77777777" w:rsidR="004323C0" w:rsidRPr="004323C0" w:rsidRDefault="004323C0" w:rsidP="004323C0">
      <w:pPr>
        <w:pStyle w:val="ListParagraph"/>
        <w:numPr>
          <w:ilvl w:val="0"/>
          <w:numId w:val="16"/>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koks – tostarp tie ir tādi materiāli kā, piemēram, zāģmateriāli, saplāksnis un skaidu plātnes, ko izmanto būvju celšanai un mēbeļu un citu izstrādājumu ražošanai;</w:t>
      </w:r>
    </w:p>
    <w:p w14:paraId="43C3ECE0" w14:textId="77777777" w:rsidR="004323C0" w:rsidRPr="004323C0" w:rsidRDefault="004323C0" w:rsidP="004323C0">
      <w:pPr>
        <w:pStyle w:val="ListParagraph"/>
        <w:numPr>
          <w:ilvl w:val="0"/>
          <w:numId w:val="16"/>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lauksaimniecības produkti – tostarp tie ir tādi materiāli kā, piemēram, kvieši, kukurūza un sojas pupas, ko izmanto pārtikas un citu patēriņa preču ražošanā;</w:t>
      </w:r>
    </w:p>
    <w:p w14:paraId="4E6335AD" w14:textId="77777777" w:rsidR="004323C0" w:rsidRPr="004323C0" w:rsidRDefault="004323C0" w:rsidP="004323C0">
      <w:pPr>
        <w:pStyle w:val="ListParagraph"/>
        <w:numPr>
          <w:ilvl w:val="0"/>
          <w:numId w:val="16"/>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tekstilpreces un audumi – tostarp tie ir tādi materiāli kā, piemēram, kokvilna, vilna un zīds, ko izmanto apģērba, gultas piederumu un citu tekstilizstrādājumu ražošanā;</w:t>
      </w:r>
    </w:p>
    <w:p w14:paraId="4F0F01B1" w14:textId="77777777" w:rsidR="004323C0" w:rsidRPr="004323C0" w:rsidRDefault="004323C0" w:rsidP="004323C0">
      <w:pPr>
        <w:pStyle w:val="ListParagraph"/>
        <w:numPr>
          <w:ilvl w:val="0"/>
          <w:numId w:val="16"/>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minerāli – tostarp tie ir tādi materiāli kā, piemēram, sāls, ogles un dimanti, ko izmanto dažādās nozarēs, sākot no enerģētikas līdz celtniecībai un beidzot ar juvelierizstrādājumu izgatavošanu.</w:t>
      </w:r>
    </w:p>
    <w:p w14:paraId="0DC0C6F5" w14:textId="77777777" w:rsidR="004323C0" w:rsidRPr="004323C0" w:rsidRDefault="004323C0" w:rsidP="004323C0">
      <w:pPr>
        <w:pStyle w:val="BodyText"/>
        <w:jc w:val="both"/>
        <w:rPr>
          <w:rFonts w:ascii="Times New Roman" w:hAnsi="Times New Roman" w:cs="Times New Roman"/>
          <w:noProof/>
          <w:sz w:val="24"/>
          <w:szCs w:val="24"/>
        </w:rPr>
      </w:pPr>
    </w:p>
    <w:p w14:paraId="379D6EC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Svarīgais faktors šajā ziņā ir produkta izlietojums, jo šajā preču kategorijā jāreģistrē tikai izejvielu starpizlietojums (tostarp tā pārveidošana). Ja uzņēmums patērē izejvielu, tā jāreģistrē citu preču kategorijā.</w:t>
      </w:r>
    </w:p>
    <w:p w14:paraId="2DB0D1D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Turpinājumā ir uzskaitīti daži piemēri precēm, kas </w:t>
      </w:r>
      <w:r>
        <w:rPr>
          <w:rFonts w:ascii="Times New Roman" w:hAnsi="Times New Roman"/>
          <w:sz w:val="24"/>
          <w:u w:val="single"/>
        </w:rPr>
        <w:t>iekļautas</w:t>
      </w:r>
      <w:r>
        <w:rPr>
          <w:rFonts w:ascii="Times New Roman" w:hAnsi="Times New Roman"/>
          <w:sz w:val="24"/>
        </w:rPr>
        <w:t xml:space="preserve"> šajā kategorijā. Tiek pieņemts, ka iegādes/piegādes darījumi ir pārrobežu darījumi.</w:t>
      </w:r>
    </w:p>
    <w:p w14:paraId="736E17DD"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Uzņēmums pārdod</w:t>
      </w:r>
      <w:r>
        <w:rPr>
          <w:rFonts w:ascii="Times New Roman" w:hAnsi="Times New Roman"/>
          <w:sz w:val="24"/>
        </w:rPr>
        <w:t xml:space="preserve"> ābolus citam uzņēmumam ārvalstīs, kas tos izmanto ābolu sulas ražošanai. Abi uzņēmumi ietilpst vienā un tajā pašā GVĶ. Uzņēmums, kas pārdod ābolus, šo darījumu norādīs kategorijā “izejvielas, kuras jūsu klienti ārvalstīs izmanto savā ražošanas procesā”.</w:t>
      </w:r>
    </w:p>
    <w:p w14:paraId="61966A6D" w14:textId="77777777" w:rsidR="004323C0" w:rsidRPr="004323C0" w:rsidRDefault="004323C0" w:rsidP="00F22463">
      <w:pPr>
        <w:pStyle w:val="ListParagraph"/>
        <w:widowControl/>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sz w:val="24"/>
          <w:u w:val="single"/>
        </w:rPr>
        <w:t>Uzņēmums iepērk</w:t>
      </w:r>
      <w:r>
        <w:rPr>
          <w:rFonts w:ascii="Times New Roman" w:hAnsi="Times New Roman"/>
          <w:sz w:val="24"/>
        </w:rPr>
        <w:t xml:space="preserve"> varu no ārvalstīm, ko tas izmanto, lai ražotu vara stiepli, kuru tas vēlāk pārdod uzņēmuma valsts tirgū. Uzņēmums, kas iepērk varu, ir daļa no GVĶ un uzrāda šo darījumu kā “izejvielu, ko jūs izmantojat savā ražošanas procesā”, iegādi.</w:t>
      </w:r>
    </w:p>
    <w:p w14:paraId="627DBC39" w14:textId="77777777" w:rsidR="004323C0" w:rsidRPr="004323C0" w:rsidRDefault="004323C0" w:rsidP="00F22463">
      <w:pPr>
        <w:pStyle w:val="ListParagraph"/>
        <w:widowControl/>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c) </w:t>
      </w:r>
      <w:r>
        <w:rPr>
          <w:rFonts w:ascii="Times New Roman" w:hAnsi="Times New Roman"/>
          <w:sz w:val="24"/>
          <w:u w:val="single"/>
        </w:rPr>
        <w:t>Uzņēmums iepērk</w:t>
      </w:r>
      <w:r>
        <w:rPr>
          <w:rFonts w:ascii="Times New Roman" w:hAnsi="Times New Roman"/>
          <w:sz w:val="24"/>
        </w:rPr>
        <w:t xml:space="preserve"> ābolus no ārvalstīm un pārdod tos savā vietējā mazumtirdzniecības veikalā tieši patērētājiem (patēriņam). Arī šajā gadījumā uzņēmums piešķir āboliem pievienoto vērtību (piemēram, iesaiņojot vai izplatot), tāpēc tas joprojām ir daļa no GVĶ. Šis uzņēmums šo </w:t>
      </w:r>
      <w:r>
        <w:rPr>
          <w:rFonts w:ascii="Times New Roman" w:hAnsi="Times New Roman"/>
          <w:sz w:val="24"/>
          <w:u w:val="single"/>
        </w:rPr>
        <w:t>iegādes</w:t>
      </w:r>
      <w:r>
        <w:rPr>
          <w:rFonts w:ascii="Times New Roman" w:hAnsi="Times New Roman"/>
          <w:sz w:val="24"/>
        </w:rPr>
        <w:t xml:space="preserve"> darījumu uzrādīs kā “izejvielu, ko jūs izmantojat savā ražošanas procesā”, iegādi, lai gan āboli tiek nevis izmantoti ražošanas procesā, bet gan pārdoti tālāk (jo uzņēmums tik un tā piešķir āboliem pievienoto vērtību). Tomēr vietējie patērētāji (neatkarīgi no tā, vai tie ir fiziskas personas vai uzņēmumi) neietilpst GVĶ, ja tie pērk ābolus savam patēriņam, nevis to tālākai apstrādei (kā tas parasti ir, pērkot izejvielas mazumtirdzniecības veikalos).</w:t>
      </w:r>
    </w:p>
    <w:p w14:paraId="0CAAD4BD" w14:textId="77777777" w:rsidR="004323C0" w:rsidRPr="004323C0" w:rsidRDefault="004323C0" w:rsidP="00882446">
      <w:pPr>
        <w:pStyle w:val="ListParagraph"/>
        <w:widowControl/>
        <w:tabs>
          <w:tab w:val="left" w:pos="839"/>
          <w:tab w:val="left" w:pos="841"/>
        </w:tabs>
        <w:spacing w:before="0"/>
        <w:ind w:left="0" w:firstLine="0"/>
        <w:rPr>
          <w:rFonts w:ascii="Times New Roman" w:hAnsi="Times New Roman" w:cs="Times New Roman"/>
          <w:noProof/>
          <w:sz w:val="24"/>
          <w:szCs w:val="24"/>
        </w:rPr>
      </w:pPr>
    </w:p>
    <w:p w14:paraId="10B01E12" w14:textId="77777777" w:rsidR="004323C0" w:rsidRPr="004323C0" w:rsidRDefault="004323C0" w:rsidP="00882446">
      <w:pPr>
        <w:pStyle w:val="BodyText"/>
        <w:widowControl/>
        <w:jc w:val="both"/>
        <w:rPr>
          <w:rFonts w:ascii="Times New Roman" w:hAnsi="Times New Roman" w:cs="Times New Roman"/>
          <w:noProof/>
          <w:sz w:val="24"/>
          <w:szCs w:val="24"/>
        </w:rPr>
      </w:pPr>
      <w:r>
        <w:rPr>
          <w:rFonts w:ascii="Times New Roman" w:hAnsi="Times New Roman"/>
          <w:sz w:val="24"/>
        </w:rPr>
        <w:t xml:space="preserve">Turpinājumā ir uzskaitīti daži piemēri precēm, kas </w:t>
      </w:r>
      <w:r>
        <w:rPr>
          <w:rFonts w:ascii="Times New Roman" w:hAnsi="Times New Roman"/>
          <w:sz w:val="24"/>
          <w:u w:val="single"/>
        </w:rPr>
        <w:t>nav iekļautas</w:t>
      </w:r>
      <w:r>
        <w:rPr>
          <w:rFonts w:ascii="Times New Roman" w:hAnsi="Times New Roman"/>
          <w:sz w:val="24"/>
        </w:rPr>
        <w:t xml:space="preserve"> šajā kategorijā.</w:t>
      </w:r>
    </w:p>
    <w:p w14:paraId="4F7E4FFC" w14:textId="77777777" w:rsidR="004323C0" w:rsidRPr="004323C0" w:rsidRDefault="004323C0" w:rsidP="00882446">
      <w:pPr>
        <w:pStyle w:val="ListParagraph"/>
        <w:widowControl/>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Uzņēmums iepērk</w:t>
      </w:r>
      <w:r>
        <w:rPr>
          <w:rFonts w:ascii="Times New Roman" w:hAnsi="Times New Roman"/>
          <w:sz w:val="24"/>
        </w:rPr>
        <w:t xml:space="preserve"> no ārvalstīm ūdeni lielos ūdens konteineros (ūdens dzesējamajās iekārtās), ko birojos izmanto darbinieki un klienti. Uzņēmums, kas pērk ūdeni, ir gala patērētājs. Tas nerada produktam nekādu pievienoto vērtību un tāpēc nav daļa no globālās vērtību ķēdes. Uzņēmums šo iegādes darījumu uzskaitīs kategorijā “citas preces”.</w:t>
      </w:r>
    </w:p>
    <w:p w14:paraId="3BCF6045" w14:textId="77777777" w:rsidR="004323C0" w:rsidRPr="004323C0" w:rsidRDefault="004323C0" w:rsidP="00882446">
      <w:pPr>
        <w:pStyle w:val="ListParagraph"/>
        <w:widowControl/>
        <w:tabs>
          <w:tab w:val="left" w:pos="839"/>
          <w:tab w:val="left" w:pos="841"/>
        </w:tabs>
        <w:spacing w:before="0"/>
        <w:ind w:left="284" w:firstLine="0"/>
        <w:rPr>
          <w:rFonts w:ascii="Times New Roman" w:hAnsi="Times New Roman" w:cs="Times New Roman"/>
          <w:i/>
          <w:noProof/>
          <w:sz w:val="24"/>
          <w:szCs w:val="24"/>
        </w:rPr>
      </w:pPr>
      <w:r>
        <w:rPr>
          <w:rFonts w:ascii="Times New Roman" w:hAnsi="Times New Roman"/>
          <w:sz w:val="24"/>
        </w:rPr>
        <w:t xml:space="preserve">b) </w:t>
      </w:r>
      <w:r>
        <w:rPr>
          <w:rFonts w:ascii="Times New Roman" w:hAnsi="Times New Roman"/>
          <w:sz w:val="24"/>
          <w:u w:val="single"/>
        </w:rPr>
        <w:t>Uzņēmums pārdod</w:t>
      </w:r>
      <w:r>
        <w:rPr>
          <w:rFonts w:ascii="Times New Roman" w:hAnsi="Times New Roman"/>
          <w:sz w:val="24"/>
        </w:rPr>
        <w:t xml:space="preserve"> ābolus klientiem ārvalstīs (patēriņam). Tā kā āboli netiek pārdoti tālāk vai izmantoti ražošanas procesos, uzņēmums šo pārdošanas darījumu uzrādīs kā “citu preču piegādi” ārvalstīs</w:t>
      </w:r>
      <w:r>
        <w:rPr>
          <w:rFonts w:ascii="Times New Roman" w:hAnsi="Times New Roman"/>
          <w:i/>
          <w:sz w:val="24"/>
        </w:rPr>
        <w:t>.</w:t>
      </w:r>
    </w:p>
    <w:p w14:paraId="1DAD1C39" w14:textId="77777777" w:rsidR="004323C0" w:rsidRPr="004323C0" w:rsidRDefault="004323C0" w:rsidP="004323C0">
      <w:pPr>
        <w:pStyle w:val="BodyText"/>
        <w:jc w:val="both"/>
        <w:rPr>
          <w:rFonts w:ascii="Times New Roman" w:hAnsi="Times New Roman" w:cs="Times New Roman"/>
          <w:noProof/>
          <w:sz w:val="24"/>
          <w:szCs w:val="24"/>
        </w:rPr>
      </w:pPr>
    </w:p>
    <w:p w14:paraId="1520726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Lielākā daļa uzņēmuma iepirkto izejvielu tiks klasificētas šajā preču kategorijā, jo izejvielu pirkšanas un pārdošanas sliekšņa vērtība ir 100 000 EUR.</w:t>
      </w:r>
    </w:p>
    <w:p w14:paraId="18D2908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izejvielas iegādājas vai pārdod tālākai pārdošanai, par to arī jāziņo šajā kategorijā.</w:t>
      </w:r>
    </w:p>
    <w:p w14:paraId="60FF1EBF" w14:textId="77777777" w:rsidR="004323C0" w:rsidRPr="004323C0" w:rsidRDefault="004323C0" w:rsidP="004323C0">
      <w:pPr>
        <w:pStyle w:val="BodyText"/>
        <w:jc w:val="both"/>
        <w:rPr>
          <w:rFonts w:ascii="Times New Roman" w:hAnsi="Times New Roman" w:cs="Times New Roman"/>
          <w:noProof/>
          <w:sz w:val="24"/>
          <w:szCs w:val="24"/>
        </w:rPr>
      </w:pPr>
    </w:p>
    <w:p w14:paraId="364B7CD3" w14:textId="77777777" w:rsidR="004323C0" w:rsidRPr="004323C0" w:rsidRDefault="004323C0" w:rsidP="004323C0">
      <w:pPr>
        <w:jc w:val="both"/>
        <w:rPr>
          <w:rFonts w:ascii="Times New Roman" w:hAnsi="Times New Roman" w:cs="Times New Roman"/>
          <w:b/>
          <w:noProof/>
          <w:sz w:val="24"/>
          <w:szCs w:val="24"/>
        </w:rPr>
      </w:pPr>
      <w:bookmarkStart w:id="35" w:name="1.2._Components"/>
      <w:bookmarkEnd w:id="35"/>
      <w:r>
        <w:rPr>
          <w:rFonts w:ascii="Times New Roman" w:hAnsi="Times New Roman"/>
          <w:b/>
          <w:sz w:val="24"/>
        </w:rPr>
        <w:t>1.2. Komponenti</w:t>
      </w:r>
    </w:p>
    <w:p w14:paraId="090072AA" w14:textId="77777777" w:rsidR="004323C0" w:rsidRPr="004323C0" w:rsidRDefault="004323C0" w:rsidP="004323C0">
      <w:pPr>
        <w:pStyle w:val="BodyText"/>
        <w:jc w:val="both"/>
        <w:rPr>
          <w:rFonts w:ascii="Times New Roman" w:hAnsi="Times New Roman" w:cs="Times New Roman"/>
          <w:noProof/>
          <w:sz w:val="24"/>
          <w:szCs w:val="24"/>
        </w:rPr>
      </w:pPr>
    </w:p>
    <w:p w14:paraId="713B863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preču kategorija ir komponenti, kas ir paša uzņēmuma produkcijas daļa vai ko klienti ārvalstīs izmanto kā savas produkcijas daļu, piemēram:</w:t>
      </w:r>
    </w:p>
    <w:p w14:paraId="139927D4"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elektroniskie komponenti – tostarp tie ir tādi priekšmeti kā, piemēram, rezistori, kondensatori un tranzistori, ko izmanto elektronisko shēmu veidošanai;</w:t>
      </w:r>
    </w:p>
    <w:p w14:paraId="7599B1E0"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mehāniskie komponenti – tostarp tie ir tādi priekšmeti kā, piemēram, zobrati, gultņi un vārpstas, ko izmanto mašīnās un iekārtās;</w:t>
      </w:r>
    </w:p>
    <w:p w14:paraId="2449D19E"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automobiļu komponenti – tostarp tās ir tādas daļas kā, piemēram, dzinēji, transmisijas un bremžu sistēmas, ko izmanto vieglajos automobiļos, smagkravas automobiļos un citos transportlīdzekļos;</w:t>
      </w:r>
    </w:p>
    <w:p w14:paraId="3EFB5BF6"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aviācijas un kosmosa komponenti – tostarp tās ir tādas daļas kā, piemēram, turbīnas lāpstiņas, spārni un šasijas, ko izmanto gaisa kuģos;</w:t>
      </w:r>
    </w:p>
    <w:p w14:paraId="4C03C3BC"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elektriskais aprīkojums – tostarp tie ir tādi priekšmeti kā, piemēram, slēdži, releji un transformatori, ko izmanto elektroiekārtās;</w:t>
      </w:r>
    </w:p>
    <w:p w14:paraId="4778D532"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hidrauliskie un pneimatiskie komponenti – tostarp tie ir tādi priekšmeti kā, piemēram, vārsti, cilindri un šļūtenes, ko izmanto hidrauliskajās un pneimatiskajās sistēmās;</w:t>
      </w:r>
    </w:p>
    <w:p w14:paraId="0197A719" w14:textId="77777777" w:rsidR="004323C0" w:rsidRPr="004323C0" w:rsidRDefault="004323C0" w:rsidP="00EA5E21">
      <w:pPr>
        <w:pStyle w:val="ListParagraph"/>
        <w:numPr>
          <w:ilvl w:val="2"/>
          <w:numId w:val="17"/>
        </w:numPr>
        <w:tabs>
          <w:tab w:val="left" w:pos="839"/>
        </w:tabs>
        <w:spacing w:before="0"/>
        <w:ind w:left="567" w:firstLine="0"/>
        <w:rPr>
          <w:rFonts w:ascii="Times New Roman" w:hAnsi="Times New Roman" w:cs="Times New Roman"/>
          <w:noProof/>
          <w:sz w:val="24"/>
          <w:szCs w:val="24"/>
        </w:rPr>
      </w:pPr>
      <w:r>
        <w:rPr>
          <w:rFonts w:ascii="Times New Roman" w:hAnsi="Times New Roman"/>
          <w:sz w:val="24"/>
        </w:rPr>
        <w:t>konstrukcijas komponenti – tostarp tie ir tādi priekšmeti kā, piemēram, sijas, kolonnas un spāres, ko izmanto celtniecībā un būvprojektos;</w:t>
      </w:r>
    </w:p>
    <w:p w14:paraId="31F22BF2"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medicīniskie komponenti – tostarp tie ir tādi priekšmeti kā, piemēram, ķirurģiskie instrumenti, protēzes un implanti vai tehniskais aprīkojums, ko izmanto medicīniskajās procedūrās.</w:t>
      </w:r>
    </w:p>
    <w:p w14:paraId="328CAFCB" w14:textId="77777777" w:rsidR="004323C0" w:rsidRPr="004323C0" w:rsidRDefault="004323C0" w:rsidP="004323C0">
      <w:pPr>
        <w:pStyle w:val="BodyText"/>
        <w:jc w:val="both"/>
        <w:rPr>
          <w:rFonts w:ascii="Times New Roman" w:hAnsi="Times New Roman" w:cs="Times New Roman"/>
          <w:noProof/>
          <w:sz w:val="24"/>
          <w:szCs w:val="24"/>
        </w:rPr>
      </w:pPr>
    </w:p>
    <w:p w14:paraId="5A40CBA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Komponenti var būt arī pusfabrikāti, kas ir gatavā (gala) produkta sastāvdaļa, piemēram:</w:t>
      </w:r>
    </w:p>
    <w:p w14:paraId="02D1EA7A"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lauksaimniecības starpprodukti – tostarp tās ir tādas preces kā, piemēram, milti, mitrā mēslojuma masa, dzīvnieku barība un pesticīdi;</w:t>
      </w:r>
    </w:p>
    <w:p w14:paraId="4A1CFE78"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tekstilizstrādājumi un audumi kā starpprodukti – tostarp tās ir tādas preces kā, piemēram, tekstildzija, audumu krāsvielas, ķīmiskās vielas un auduma apretēšanas līdzekļi;</w:t>
      </w:r>
    </w:p>
    <w:p w14:paraId="555B2B9E" w14:textId="77777777" w:rsidR="004323C0" w:rsidRPr="004323C0" w:rsidRDefault="004323C0" w:rsidP="00EA5E21">
      <w:pPr>
        <w:pStyle w:val="ListParagraph"/>
        <w:numPr>
          <w:ilvl w:val="2"/>
          <w:numId w:val="17"/>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citas starppatēriņa preces, kas ir daļa no galaprodukta – tostarp tās ir tādas preces kā papīrmasa, koka paneļi, plastmasas sveķi, plastmasas tara, apvalki un stikls.</w:t>
      </w:r>
    </w:p>
    <w:p w14:paraId="25A53E11" w14:textId="77777777" w:rsidR="004323C0" w:rsidRPr="004323C0" w:rsidRDefault="004323C0" w:rsidP="004323C0">
      <w:pPr>
        <w:pStyle w:val="BodyText"/>
        <w:jc w:val="both"/>
        <w:rPr>
          <w:rFonts w:ascii="Times New Roman" w:hAnsi="Times New Roman" w:cs="Times New Roman"/>
          <w:noProof/>
          <w:sz w:val="24"/>
          <w:szCs w:val="24"/>
        </w:rPr>
      </w:pPr>
    </w:p>
    <w:p w14:paraId="4F4ADAB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Turpmāk ir uzskaitīti daži piemēri precēm, kas </w:t>
      </w:r>
      <w:r>
        <w:rPr>
          <w:rFonts w:ascii="Times New Roman" w:hAnsi="Times New Roman"/>
          <w:sz w:val="24"/>
          <w:u w:val="single"/>
        </w:rPr>
        <w:t>iekļaujamas</w:t>
      </w:r>
      <w:r>
        <w:rPr>
          <w:rFonts w:ascii="Times New Roman" w:hAnsi="Times New Roman"/>
          <w:sz w:val="24"/>
        </w:rPr>
        <w:t xml:space="preserve"> šajā kategorijā.</w:t>
      </w:r>
    </w:p>
    <w:p w14:paraId="05B52501"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Uzņēmums pārdod</w:t>
      </w:r>
      <w:r>
        <w:rPr>
          <w:rFonts w:ascii="Times New Roman" w:hAnsi="Times New Roman"/>
          <w:sz w:val="24"/>
        </w:rPr>
        <w:t xml:space="preserve"> pusvadītājus citam uzņēmumam ārvalstīs, kas šos pusvadītājus izmanto mikroshēmu ražošanai.</w:t>
      </w:r>
    </w:p>
    <w:p w14:paraId="11594346" w14:textId="77777777" w:rsidR="004323C0" w:rsidRPr="004323C0" w:rsidRDefault="004323C0" w:rsidP="004323C0">
      <w:pPr>
        <w:pStyle w:val="ListParagraph"/>
        <w:tabs>
          <w:tab w:val="left" w:pos="840"/>
        </w:tabs>
        <w:spacing w:before="0"/>
        <w:ind w:left="284" w:firstLine="0"/>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sz w:val="24"/>
          <w:u w:val="single"/>
        </w:rPr>
        <w:t>Uzņēmums iepērk</w:t>
      </w:r>
      <w:r>
        <w:rPr>
          <w:rFonts w:ascii="Times New Roman" w:hAnsi="Times New Roman"/>
          <w:sz w:val="24"/>
        </w:rPr>
        <w:t xml:space="preserve"> barošanas kabeļus, ko pēc tam pārdod komplektā ar datoriem, kas ir tā galvenie produkti. Tas nozīmē tādu komponentu iegādi, kas tiks tālāk pārdoti kopā kā produkta daļa. Šie barošanas kabeļi pamatā tiek iegādāti tālākai pārdošanai (komplektā ar galveno produktu), un arī tie ir jānorāda šajā kategorijā, jo tie ir uzņēmuma produkta sastāvdaļa. Par šo darījumu tik un tā tiks ziņots, pat ja barošanas kabeļi tiktu iegādāti tālākai pārdošanai (neapvienojot tos komplektā ar citiem produktiem), jo mēs varam pieņemt, ka uzņēmums pievieno vērtību šiem barošanas kabeļiem, tos transportējot, uzglabājot un izplatot vai izmantojot tos produkta laišanai tirgū.</w:t>
      </w:r>
    </w:p>
    <w:p w14:paraId="287698D7"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c) Respondents </w:t>
      </w:r>
      <w:r>
        <w:rPr>
          <w:rFonts w:ascii="Times New Roman" w:hAnsi="Times New Roman"/>
          <w:sz w:val="24"/>
          <w:u w:val="single"/>
        </w:rPr>
        <w:t>uzņēmums iegādājas</w:t>
      </w:r>
      <w:r>
        <w:rPr>
          <w:rFonts w:ascii="Times New Roman" w:hAnsi="Times New Roman"/>
          <w:sz w:val="24"/>
        </w:rPr>
        <w:t xml:space="preserve"> komponentus ārvalstīs. Pēc tam šie komponenti </w:t>
      </w:r>
      <w:r>
        <w:rPr>
          <w:rFonts w:ascii="Times New Roman" w:hAnsi="Times New Roman"/>
          <w:sz w:val="24"/>
          <w:u w:val="single"/>
        </w:rPr>
        <w:t>“tiek nodoti” citam uzņēmumam</w:t>
      </w:r>
      <w:r>
        <w:rPr>
          <w:rFonts w:ascii="Times New Roman" w:hAnsi="Times New Roman"/>
          <w:sz w:val="24"/>
        </w:rPr>
        <w:t xml:space="preserve"> tālākai apstrādei (montāžai) vai nu ārvalstīs, vai iekšzemes ekonomikā. Gan komponenti, gan gala pārstrādes produkti paliek respondenta uzņēmuma īpašumā. Apstrādi, kuras veikšanai tiek izmantoti apakšuzņēmēju pakalpojumi, vispasaules ražošanas terminoloģijā var dēvēt par “līgumražošanu”, “pārstrādei nosūtītām precēm” vai “preču ražošanu bez rūpnīcas” (atbilstoši katra konkrētā gadījuma apstākļiem).</w:t>
      </w:r>
    </w:p>
    <w:p w14:paraId="68D243B9"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p>
    <w:p w14:paraId="657D0551" w14:textId="77777777" w:rsidR="004323C0" w:rsidRPr="004323C0" w:rsidRDefault="004323C0" w:rsidP="004323C0">
      <w:pPr>
        <w:pStyle w:val="BodyText"/>
        <w:ind w:left="284"/>
        <w:jc w:val="both"/>
        <w:rPr>
          <w:rFonts w:ascii="Times New Roman" w:hAnsi="Times New Roman" w:cs="Times New Roman"/>
          <w:noProof/>
          <w:sz w:val="24"/>
          <w:szCs w:val="24"/>
        </w:rPr>
      </w:pPr>
      <w:r>
        <w:rPr>
          <w:rFonts w:ascii="Times New Roman" w:hAnsi="Times New Roman"/>
          <w:sz w:val="24"/>
        </w:rPr>
        <w:t>Šis piemērs ietver divus elementus.</w:t>
      </w:r>
    </w:p>
    <w:p w14:paraId="0841F0F6" w14:textId="77777777" w:rsidR="004323C0" w:rsidRPr="004323C0" w:rsidRDefault="004323C0" w:rsidP="004323C0">
      <w:pPr>
        <w:pStyle w:val="ListParagraph"/>
        <w:tabs>
          <w:tab w:val="left" w:pos="1201"/>
        </w:tabs>
        <w:spacing w:before="0"/>
        <w:ind w:left="567" w:firstLine="0"/>
        <w:rPr>
          <w:rFonts w:ascii="Times New Roman" w:hAnsi="Times New Roman" w:cs="Times New Roman"/>
          <w:noProof/>
          <w:sz w:val="24"/>
          <w:szCs w:val="24"/>
        </w:rPr>
      </w:pPr>
      <w:r>
        <w:rPr>
          <w:rFonts w:ascii="Times New Roman" w:hAnsi="Times New Roman"/>
          <w:sz w:val="24"/>
        </w:rPr>
        <w:t xml:space="preserve">1) Respondents </w:t>
      </w:r>
      <w:r>
        <w:rPr>
          <w:rFonts w:ascii="Times New Roman" w:hAnsi="Times New Roman"/>
          <w:sz w:val="24"/>
          <w:u w:val="single"/>
        </w:rPr>
        <w:t>uzņēmums iegādājas komponentus</w:t>
      </w:r>
      <w:r>
        <w:rPr>
          <w:rFonts w:ascii="Times New Roman" w:hAnsi="Times New Roman"/>
          <w:sz w:val="24"/>
        </w:rPr>
        <w:t xml:space="preserve"> ārvalstīs. Tas no ārvalstīm iegādātos komponentus neizmanto savā ražošanas procesā (tie tiek izmantoti pārstrādes uzņēmuma ražošanas procesā), bet tas tik un tā ietilpst GVĶ. Tomēr, tā kā no ārvalstīm iegādātais komponents galu galā tiks izmantots kā daļa no galaprodukta, ko respondents uzņēmums pārdod, par šo gadījumu </w:t>
      </w:r>
      <w:r>
        <w:rPr>
          <w:rFonts w:ascii="Times New Roman" w:hAnsi="Times New Roman"/>
          <w:sz w:val="24"/>
          <w:u w:val="single"/>
        </w:rPr>
        <w:t>ir jāziņo preču kategorijā “komponenti, kas ir jūsu produkta daļa”</w:t>
      </w:r>
      <w:r>
        <w:rPr>
          <w:rFonts w:ascii="Times New Roman" w:hAnsi="Times New Roman"/>
          <w:sz w:val="24"/>
        </w:rPr>
        <w:t>.</w:t>
      </w:r>
    </w:p>
    <w:p w14:paraId="64C5BC7F" w14:textId="77777777" w:rsidR="004323C0" w:rsidRPr="004323C0" w:rsidRDefault="004323C0" w:rsidP="004323C0">
      <w:pPr>
        <w:pStyle w:val="ListParagraph"/>
        <w:tabs>
          <w:tab w:val="left" w:pos="1201"/>
        </w:tabs>
        <w:spacing w:before="0"/>
        <w:ind w:left="567" w:firstLine="0"/>
        <w:rPr>
          <w:rFonts w:ascii="Times New Roman" w:hAnsi="Times New Roman" w:cs="Times New Roman"/>
          <w:b/>
          <w:noProof/>
          <w:sz w:val="24"/>
          <w:szCs w:val="24"/>
        </w:rPr>
      </w:pPr>
      <w:r>
        <w:rPr>
          <w:rFonts w:ascii="Times New Roman" w:hAnsi="Times New Roman"/>
          <w:sz w:val="24"/>
        </w:rPr>
        <w:t xml:space="preserve">2) Respondents </w:t>
      </w:r>
      <w:r>
        <w:rPr>
          <w:rFonts w:ascii="Times New Roman" w:hAnsi="Times New Roman"/>
          <w:sz w:val="24"/>
          <w:u w:val="single"/>
        </w:rPr>
        <w:t>uzņēmums “nodod” komponentus</w:t>
      </w:r>
      <w:r>
        <w:rPr>
          <w:rFonts w:ascii="Times New Roman" w:hAnsi="Times New Roman"/>
          <w:sz w:val="24"/>
        </w:rPr>
        <w:t xml:space="preserve"> pārstrādes uzņēmumam, kas atrodas ārvalstīs. Šis cits uzņēmums izmanto šos komponentus nevis lai ražotu pats savu produkciju, bet gan lai ražotu “produktu” (kas pieder respondentam uzņēmumam), tāpēc tas ietilpst GVĶ. Par šo gadījumu </w:t>
      </w:r>
      <w:r>
        <w:rPr>
          <w:rFonts w:ascii="Times New Roman" w:hAnsi="Times New Roman"/>
          <w:sz w:val="24"/>
          <w:u w:val="single"/>
        </w:rPr>
        <w:t>jāziņo kategorijā “komponenti, ko jūsu klienti ārvalstīs izmanto kā daļu no pašu produkcijas”</w:t>
      </w:r>
      <w:r>
        <w:rPr>
          <w:rFonts w:ascii="Times New Roman" w:hAnsi="Times New Roman"/>
          <w:sz w:val="24"/>
        </w:rPr>
        <w:t xml:space="preserve">. </w:t>
      </w:r>
      <w:r>
        <w:rPr>
          <w:rFonts w:ascii="Times New Roman" w:hAnsi="Times New Roman"/>
          <w:b/>
          <w:sz w:val="24"/>
        </w:rPr>
        <w:t>Līdz ar to jēdzienu “pašu produkcija” var interpretēt vai nu kā “uzņēmumam piederošu produktu”, vai vienkārši kā “uzņēmuma pārdoto produktu” neatkarīgi no tā, kam pieder īpašumtiesības uz šo produktu.</w:t>
      </w:r>
    </w:p>
    <w:p w14:paraId="10DD37A5" w14:textId="77777777" w:rsidR="004323C0" w:rsidRPr="004323C0" w:rsidRDefault="004323C0" w:rsidP="004323C0">
      <w:pPr>
        <w:pStyle w:val="BodyText"/>
        <w:jc w:val="both"/>
        <w:rPr>
          <w:rFonts w:ascii="Times New Roman" w:hAnsi="Times New Roman" w:cs="Times New Roman"/>
          <w:b/>
          <w:noProof/>
          <w:sz w:val="24"/>
          <w:szCs w:val="24"/>
        </w:rPr>
      </w:pPr>
    </w:p>
    <w:p w14:paraId="11AC70D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Turpmāk ir sniegts piemērs tam, kas </w:t>
      </w:r>
      <w:r>
        <w:rPr>
          <w:rFonts w:ascii="Times New Roman" w:hAnsi="Times New Roman"/>
          <w:sz w:val="24"/>
          <w:u w:val="single"/>
        </w:rPr>
        <w:t>nav iekļaujams</w:t>
      </w:r>
      <w:r>
        <w:rPr>
          <w:rFonts w:ascii="Times New Roman" w:hAnsi="Times New Roman"/>
          <w:sz w:val="24"/>
        </w:rPr>
        <w:t xml:space="preserve"> šajā kategorijā.</w:t>
      </w:r>
    </w:p>
    <w:p w14:paraId="1F70941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Uzņēmums pārdod</w:t>
      </w:r>
      <w:r>
        <w:rPr>
          <w:rFonts w:ascii="Times New Roman" w:hAnsi="Times New Roman"/>
          <w:sz w:val="24"/>
        </w:rPr>
        <w:t xml:space="preserve"> vietējai slimnīcai ķirurģiskos instrumentus. Tā kā uzņēmums var būt diezgan pārliecināts par to, ka slimnīca izmantos (patērēs) šos instrumentus, tam nevajadzētu šo darījumu uzskatīt par starptautisko tirdzniecību un ziņot par to apsekojumā.</w:t>
      </w:r>
    </w:p>
    <w:p w14:paraId="3CECDBA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Šajā kategorijā ir jāiekļauj arī komponenti, kas tiek iegādāti vai pārdoti tālākai pārdošanai.</w:t>
      </w:r>
    </w:p>
    <w:p w14:paraId="65B2F466" w14:textId="77777777" w:rsidR="004323C0" w:rsidRPr="004323C0" w:rsidRDefault="004323C0" w:rsidP="004323C0">
      <w:pPr>
        <w:pStyle w:val="BodyText"/>
        <w:jc w:val="both"/>
        <w:rPr>
          <w:rFonts w:ascii="Times New Roman" w:hAnsi="Times New Roman" w:cs="Times New Roman"/>
          <w:noProof/>
          <w:sz w:val="24"/>
          <w:szCs w:val="24"/>
        </w:rPr>
      </w:pPr>
    </w:p>
    <w:p w14:paraId="1D56D462" w14:textId="77777777" w:rsidR="004323C0" w:rsidRPr="004323C0" w:rsidRDefault="004323C0" w:rsidP="004323C0">
      <w:pPr>
        <w:jc w:val="both"/>
        <w:rPr>
          <w:rFonts w:ascii="Times New Roman" w:hAnsi="Times New Roman" w:cs="Times New Roman"/>
          <w:b/>
          <w:noProof/>
          <w:sz w:val="24"/>
          <w:szCs w:val="24"/>
        </w:rPr>
      </w:pPr>
      <w:bookmarkStart w:id="36" w:name="1.3._Machinery_and_other_technical_equip"/>
      <w:bookmarkEnd w:id="36"/>
      <w:r>
        <w:rPr>
          <w:rFonts w:ascii="Times New Roman" w:hAnsi="Times New Roman"/>
          <w:b/>
          <w:sz w:val="24"/>
        </w:rPr>
        <w:t>1.3. Iekārtas un cits tehniskais aprīkojums</w:t>
      </w:r>
    </w:p>
    <w:p w14:paraId="271E7996" w14:textId="77777777" w:rsidR="004323C0" w:rsidRPr="004323C0" w:rsidRDefault="004323C0" w:rsidP="004323C0">
      <w:pPr>
        <w:pStyle w:val="BodyText"/>
        <w:jc w:val="both"/>
        <w:rPr>
          <w:rFonts w:ascii="Times New Roman" w:hAnsi="Times New Roman" w:cs="Times New Roman"/>
          <w:noProof/>
          <w:sz w:val="24"/>
          <w:szCs w:val="24"/>
        </w:rPr>
      </w:pPr>
    </w:p>
    <w:p w14:paraId="572B3BF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preču kategorija ir iekārtas un cits tehniskais aprīkojums, ko izmanto vai nu pats uzņēmums, vai tā klienti ārvalstīs. Iekārtas un cits tehniskais aprīkojums ir plaša kategorija, kas ietver plašu instrumentu, ierīču un iekārtu klāstu, ko izmanto dažādiem mērķiem ražošanā un citos rūpnieciskos procesos.</w:t>
      </w:r>
    </w:p>
    <w:p w14:paraId="30A96A9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Atšķirībā no starppatēriņa precēm, iekārtas un tehniskais aprīkojums ir ilgtermiņa kapitālieguldījumu preces, ko izmanto citu preču ražošanai un pakalpojumu radīšanai. Bieži vien tie ir lieli ieguldījumi, kuriem nepieciešama regulāra apkope un modernizācija. Daži iekārtu un tehniskā aprīkojuma piemēri:</w:t>
      </w:r>
    </w:p>
    <w:p w14:paraId="6E6A4112"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ražošanas iekārtas – tostarp tās ir tādas iekārtas kā virpas, frēzmašīnas un preses, ko izmanto preču ražošanā;</w:t>
      </w:r>
    </w:p>
    <w:p w14:paraId="7D4F4E2A"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iepakošanas iekārtas – tostarp tās ir tādas iekārtas kā pildīšanas iekārtas, marķēšanas iekārtas un aizzīmogošanas iekārtas, ko izmanto gatavo produktu iepakošanai;</w:t>
      </w:r>
    </w:p>
    <w:p w14:paraId="6676A08F"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materiālu pārvietošanas iekārtas – tostarp tās ir tādas iekārtas kā autokrāvēji, lentes transportieri un celtņi, ko izmanto materiālu un izstrādājumu pārvietošanai ražotnē;</w:t>
      </w:r>
    </w:p>
    <w:p w14:paraId="6FFA7F2A"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rūpnieciskie roboti – tās ir automatizētas iekārtas, ko ražošanas procesos izmanto tādu uzdevumu veikšanai kā metināšana, krāsošana un montāža;</w:t>
      </w:r>
    </w:p>
    <w:p w14:paraId="77ED59B4"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3D drukātāji – šīs iekārtas izmanto datorvadītus procesus, lai no digitāliem projektiem izveidotu trīsdimensiju priekšmetus;</w:t>
      </w:r>
    </w:p>
    <w:p w14:paraId="67973A83"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datoriekārtas – tostarp tie ir datori, serveri un citas iekārtas, ko izmanto ražošanas procesu vadīšanai un pārvaldībai;</w:t>
      </w:r>
    </w:p>
    <w:p w14:paraId="2FAC91A0" w14:textId="77777777" w:rsidR="004323C0" w:rsidRPr="004323C0" w:rsidRDefault="004323C0" w:rsidP="00882446">
      <w:pPr>
        <w:pStyle w:val="ListParagraph"/>
        <w:keepNext/>
        <w:keepLines/>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testēšanas iekārtas un mēraparāti – tostarp tas ir tāds aprīkojums kā mērinstrumenti, skaitītāji un devēji, ko ražošanas procesa laikā izmanto, lai mērītu un pārbaudītu produktu kvalitāti;</w:t>
      </w:r>
    </w:p>
    <w:p w14:paraId="0A5B7F65"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medicīniskais aprīkojums – tostarp tās ir tādas iekārtas kā magnētiskās rezonanses attēlveidošanas iekārtas, rentgena iekārtas un ķirurģiskais aprīkojums, ko izmanto veselības aprūpes nozarē.</w:t>
      </w:r>
    </w:p>
    <w:p w14:paraId="7332F81E" w14:textId="77777777" w:rsidR="004323C0" w:rsidRPr="004323C0" w:rsidRDefault="004323C0" w:rsidP="004323C0">
      <w:pPr>
        <w:pStyle w:val="BodyText"/>
        <w:jc w:val="both"/>
        <w:rPr>
          <w:rFonts w:ascii="Times New Roman" w:hAnsi="Times New Roman" w:cs="Times New Roman"/>
          <w:noProof/>
          <w:sz w:val="24"/>
          <w:szCs w:val="24"/>
        </w:rPr>
      </w:pPr>
    </w:p>
    <w:p w14:paraId="05657A1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Turpmāk ir sniegti piemēri tam, kas </w:t>
      </w:r>
      <w:r>
        <w:rPr>
          <w:rFonts w:ascii="Times New Roman" w:hAnsi="Times New Roman"/>
          <w:sz w:val="24"/>
          <w:u w:val="single"/>
        </w:rPr>
        <w:t>nav iekļaujams</w:t>
      </w:r>
      <w:r>
        <w:rPr>
          <w:rFonts w:ascii="Times New Roman" w:hAnsi="Times New Roman"/>
          <w:sz w:val="24"/>
        </w:rPr>
        <w:t xml:space="preserve"> šajā kategorijā.</w:t>
      </w:r>
    </w:p>
    <w:p w14:paraId="210A242B"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Uzņēmums iegādājas</w:t>
      </w:r>
      <w:r>
        <w:rPr>
          <w:rFonts w:ascii="Times New Roman" w:hAnsi="Times New Roman"/>
          <w:sz w:val="24"/>
        </w:rPr>
        <w:t xml:space="preserve"> no ārvalstīm ķirurģijas cimdus un citu medicīnisko aprīkojumu, ko tas izmanto, sniedzot zobārstniecības pakalpojumus. Tā kā uzņēmums savā saimnieciskajā darbībā izmanto medicīnisko aprīkojumu, uzņēmums šā medicīniskā aprīkojuma iegādi uzrādīs sadaļā “jūsu uzņēmuma lietotās iekārtas un cits tehniskais aprīkojums”.</w:t>
      </w:r>
    </w:p>
    <w:p w14:paraId="1D1A4E9B"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i/>
          <w:noProof/>
          <w:sz w:val="24"/>
          <w:szCs w:val="24"/>
        </w:rPr>
      </w:pPr>
      <w:r>
        <w:rPr>
          <w:rFonts w:ascii="Times New Roman" w:hAnsi="Times New Roman"/>
          <w:sz w:val="24"/>
        </w:rPr>
        <w:t xml:space="preserve">b) </w:t>
      </w:r>
      <w:r>
        <w:rPr>
          <w:rFonts w:ascii="Times New Roman" w:hAnsi="Times New Roman"/>
          <w:sz w:val="24"/>
          <w:u w:val="single"/>
        </w:rPr>
        <w:t>Uzņēmums piegādā</w:t>
      </w:r>
      <w:r>
        <w:rPr>
          <w:rFonts w:ascii="Times New Roman" w:hAnsi="Times New Roman"/>
          <w:sz w:val="24"/>
        </w:rPr>
        <w:t xml:space="preserve"> 3D drukātājus saviem partneriem ārvalstīs, kuri tos izmantos pašu produkcijas ražošanai. Uzņēmumam par šiem darījumiem jāziņo kategorijā “tādu iekārtu un cita tehniskā aprīkojuma piegāde, ko jūsu klienti izmanto ārvalstīs”.</w:t>
      </w:r>
    </w:p>
    <w:p w14:paraId="154640A4"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c) </w:t>
      </w:r>
      <w:r>
        <w:rPr>
          <w:rFonts w:ascii="Times New Roman" w:hAnsi="Times New Roman"/>
          <w:sz w:val="24"/>
          <w:u w:val="single"/>
        </w:rPr>
        <w:t>Uzņēmums iegādājas</w:t>
      </w:r>
      <w:r>
        <w:rPr>
          <w:rFonts w:ascii="Times New Roman" w:hAnsi="Times New Roman"/>
          <w:sz w:val="24"/>
        </w:rPr>
        <w:t xml:space="preserve"> no ārvalstīm celtni par vairāk nekā 100 000 EUR daudzdzīvokļu kompleksa būvniecībai. Šis uzņēmums nekad iepriekš nav nodarbojies ar starptautisko tirdzniecību un nepārdos savu produkciju uz ārvalstīm (daudzdzīvokļu mājas atrodas uzņēmuma iekšzemes ekonomikā). Lai gan celtņa iegāde no ārvalstīm bija vienreizējs notikums, uzņēmumam šī iegāde tomēr jāuzrāda preču kategorijā “jūsu uzņēmumā izmantotās iekārtas un cits tehniskais aprīkojums”, jo celtņa iegāde ir daļa no “dzīvokļu kompleksa GVĶ” un, visticamāk, arī daudzi citi būvniecībā izmantotie komponenti tiks iegādāti ārvalstīs.</w:t>
      </w:r>
    </w:p>
    <w:p w14:paraId="432A8D20" w14:textId="77777777" w:rsidR="004323C0" w:rsidRPr="004323C0" w:rsidRDefault="004323C0" w:rsidP="004323C0">
      <w:pPr>
        <w:pStyle w:val="BodyText"/>
        <w:jc w:val="both"/>
        <w:rPr>
          <w:rFonts w:ascii="Times New Roman" w:hAnsi="Times New Roman" w:cs="Times New Roman"/>
          <w:noProof/>
          <w:sz w:val="24"/>
          <w:szCs w:val="24"/>
        </w:rPr>
      </w:pPr>
    </w:p>
    <w:p w14:paraId="5274CB4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u w:val="single"/>
        </w:rPr>
        <w:t>Piezīme</w:t>
      </w:r>
      <w:r>
        <w:rPr>
          <w:rFonts w:ascii="Times New Roman" w:hAnsi="Times New Roman"/>
          <w:sz w:val="24"/>
        </w:rPr>
        <w:t>. Tipiska GVĶ būs viens vai vairāki starptautiski darījumi un daudzi iekšzemes darījumi (piemēram, tādu vietējo materiālu kā cementa iegāde). Brīdī, kad starptautisks darījums tiek reģistrēts vietējā vērtību ķēdē, šī ķēde kļūst par globālu vērtību ķēdi, un arī visi vietējā vērtību ķēdē iesaistītie uzņēmumi (tostarp tie uzņēmumi, kas darbojas un veic darījumus tikai vietējā tirgū) kļūst par GVĶ daļu. Tomēr GVĶ apsekojums aptvers tikai GVĶ starptautiskos darījumus, nevis iekšzemes darījumus. Tas attiecas uz visu veidu precēm un pakalpojumiem.</w:t>
      </w:r>
    </w:p>
    <w:p w14:paraId="65A76E0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iekārtas un cits tehniskais aprīkojums tiek iegādāts vai pārdots tālākai pārdošanai, arī tas jāiekļauj šajā kategorijā.</w:t>
      </w:r>
    </w:p>
    <w:p w14:paraId="63342F4C" w14:textId="77777777" w:rsidR="004323C0" w:rsidRPr="004323C0" w:rsidRDefault="004323C0" w:rsidP="004323C0">
      <w:pPr>
        <w:pStyle w:val="BodyText"/>
        <w:jc w:val="both"/>
        <w:rPr>
          <w:rFonts w:ascii="Times New Roman" w:hAnsi="Times New Roman" w:cs="Times New Roman"/>
          <w:noProof/>
          <w:sz w:val="24"/>
          <w:szCs w:val="24"/>
        </w:rPr>
      </w:pPr>
    </w:p>
    <w:p w14:paraId="64075804" w14:textId="77777777" w:rsidR="004323C0" w:rsidRPr="004323C0" w:rsidRDefault="004323C0" w:rsidP="004323C0">
      <w:pPr>
        <w:jc w:val="both"/>
        <w:rPr>
          <w:rFonts w:ascii="Times New Roman" w:hAnsi="Times New Roman" w:cs="Times New Roman"/>
          <w:b/>
          <w:noProof/>
          <w:sz w:val="24"/>
          <w:szCs w:val="24"/>
        </w:rPr>
      </w:pPr>
      <w:bookmarkStart w:id="37" w:name="1.4._Final_(finished)_goods_designed_by_"/>
      <w:bookmarkEnd w:id="37"/>
      <w:r>
        <w:rPr>
          <w:rFonts w:ascii="Times New Roman" w:hAnsi="Times New Roman"/>
          <w:b/>
          <w:sz w:val="24"/>
        </w:rPr>
        <w:t>1.4. Gala (gatavās) preces, ko uzņēmums</w:t>
      </w:r>
      <w:r w:rsidRPr="004323C0">
        <w:rPr>
          <w:rFonts w:ascii="Times New Roman" w:hAnsi="Times New Roman" w:cs="Times New Roman"/>
          <w:b/>
          <w:noProof/>
          <w:sz w:val="24"/>
          <w:szCs w:val="24"/>
          <w:vertAlign w:val="superscript"/>
        </w:rPr>
        <w:footnoteReference w:id="4"/>
      </w:r>
      <w:r>
        <w:rPr>
          <w:rFonts w:ascii="Times New Roman" w:hAnsi="Times New Roman"/>
          <w:b/>
          <w:sz w:val="24"/>
          <w:vertAlign w:val="superscript"/>
        </w:rPr>
        <w:t xml:space="preserve"> </w:t>
      </w:r>
      <w:r>
        <w:rPr>
          <w:rFonts w:ascii="Times New Roman" w:hAnsi="Times New Roman"/>
          <w:b/>
          <w:sz w:val="24"/>
        </w:rPr>
        <w:t>izstrādājis tālākai pārdošanai</w:t>
      </w:r>
    </w:p>
    <w:p w14:paraId="08C87064" w14:textId="77777777" w:rsidR="004323C0" w:rsidRPr="004323C0" w:rsidRDefault="004323C0" w:rsidP="004323C0">
      <w:pPr>
        <w:pStyle w:val="BodyText"/>
        <w:jc w:val="both"/>
        <w:rPr>
          <w:rFonts w:ascii="Times New Roman" w:hAnsi="Times New Roman" w:cs="Times New Roman"/>
          <w:noProof/>
          <w:sz w:val="24"/>
          <w:szCs w:val="24"/>
        </w:rPr>
      </w:pPr>
    </w:p>
    <w:p w14:paraId="0C8C6521" w14:textId="77777777" w:rsidR="004323C0" w:rsidRPr="004323C0" w:rsidRDefault="004323C0" w:rsidP="00F22463">
      <w:pPr>
        <w:pStyle w:val="BodyText"/>
        <w:widowControl/>
        <w:jc w:val="both"/>
        <w:rPr>
          <w:rFonts w:ascii="Times New Roman" w:hAnsi="Times New Roman" w:cs="Times New Roman"/>
          <w:noProof/>
          <w:sz w:val="24"/>
          <w:szCs w:val="24"/>
        </w:rPr>
      </w:pPr>
      <w:r>
        <w:rPr>
          <w:rFonts w:ascii="Times New Roman" w:hAnsi="Times New Roman"/>
          <w:sz w:val="24"/>
        </w:rPr>
        <w:t>Šī preču kategorija ir “gala preces (dēvētas arī par gatavajām precēm), ko uzņēmums izstrādājis tālākai pārdošanai”. Šī kategorija attiecas uz produktiem, ko respondents uzņēmums ir izstrādājis un veidojis pats ar nolūku tos pārdot starpposma vai gala patērētājiem. Konceptuāli termini “tālāka pārdošana” un “pārdošana” ir vienādi, izņemot to, ka “tālāka pārdošana” nozīmē gala/gatavo produktu pirkšanu, pievienotās vērtības piešķiršanu (piemēram, iepakojot, transportējot vai izplatot) un pēc tam pārdošanu klientiem (fiziskām personām vai citiem uzņēmumiem). Kad uzņēmumi piegādā preces tālākai pārdošanai, tie ir piegādātāji citiem uzņēmumiem, kas pēc tam piešķir precēm papildu vērtību un “pārdod” tās (parasti patērētājiem).</w:t>
      </w:r>
    </w:p>
    <w:p w14:paraId="01104A54" w14:textId="77777777" w:rsidR="004323C0" w:rsidRPr="004323C0" w:rsidRDefault="004323C0" w:rsidP="004323C0">
      <w:pPr>
        <w:pStyle w:val="BodyText"/>
        <w:jc w:val="both"/>
        <w:rPr>
          <w:rFonts w:ascii="Times New Roman" w:hAnsi="Times New Roman" w:cs="Times New Roman"/>
          <w:noProof/>
          <w:sz w:val="24"/>
          <w:szCs w:val="24"/>
        </w:rPr>
      </w:pPr>
    </w:p>
    <w:p w14:paraId="690039DA" w14:textId="77777777" w:rsidR="004323C0" w:rsidRPr="004323C0" w:rsidRDefault="004323C0" w:rsidP="00882446">
      <w:pPr>
        <w:pStyle w:val="BodyText"/>
        <w:keepNext/>
        <w:keepLines/>
        <w:jc w:val="both"/>
        <w:rPr>
          <w:rFonts w:ascii="Times New Roman" w:hAnsi="Times New Roman" w:cs="Times New Roman"/>
          <w:noProof/>
          <w:sz w:val="24"/>
          <w:szCs w:val="24"/>
        </w:rPr>
      </w:pPr>
      <w:r>
        <w:rPr>
          <w:rFonts w:ascii="Times New Roman" w:hAnsi="Times New Roman"/>
          <w:sz w:val="24"/>
        </w:rPr>
        <w:t>Šie darījumi parasti notiek, kad vairumtirgotāji veic piegādes mazumtirgotājiem.</w:t>
      </w:r>
    </w:p>
    <w:p w14:paraId="48B84905" w14:textId="77777777" w:rsidR="004323C0" w:rsidRPr="004323C0" w:rsidRDefault="004323C0" w:rsidP="00882446">
      <w:pPr>
        <w:pStyle w:val="BodyText"/>
        <w:keepNext/>
        <w:keepLines/>
        <w:jc w:val="both"/>
        <w:rPr>
          <w:rFonts w:ascii="Times New Roman" w:hAnsi="Times New Roman" w:cs="Times New Roman"/>
          <w:noProof/>
          <w:sz w:val="24"/>
          <w:szCs w:val="24"/>
        </w:rPr>
      </w:pPr>
      <w:r>
        <w:rPr>
          <w:rFonts w:ascii="Times New Roman" w:hAnsi="Times New Roman"/>
          <w:sz w:val="24"/>
        </w:rPr>
        <w:t>Šos produktus ražo vai nu pats uzņēmums, vai kāds trešais ražotājs, un pēc tam tos parasti (bet ne vienmēr) tirgo un pārdod ar uzņēmuma zīmolvārdu. Šos gadījumus bieži var saistīt ar “līgumražošanu”, “pārstrādei nosūtītām precēm” vai “preču ražošanu bez rūpnīcas”. Tādu preču piemēri, ko uzņēmums izstrādājis tālākai pārdošanai, ir šādi:</w:t>
      </w:r>
    </w:p>
    <w:p w14:paraId="60D62E8A"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apģērbi un aksesuāri – modes uzņēmums veido savas apģērbu un aksesuāru līnijas, piemēram, cepuru, rokassomu un juvelierizstrādājumu, dizainu un to ražo;</w:t>
      </w:r>
    </w:p>
    <w:p w14:paraId="13C4494A"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elektronika – elektronikas uzņēmums rada savu viedtālruņu, klēpjdatoru un citu sīkrīku līniju;</w:t>
      </w:r>
    </w:p>
    <w:p w14:paraId="6C3C5799"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mājsaimniecības preces – uzņēmums projektē un pārdod savas mēbeles, mājas izgreznošanas priekšmetus un citus mājsaimniecības produktus;</w:t>
      </w:r>
    </w:p>
    <w:p w14:paraId="61F97FDE"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pārtika un dzērieni – pārtikas uzņēmums izstrādā un pārdod savu uzkodu, fasēto pārtikas produktu un dzērienu līniju;</w:t>
      </w:r>
    </w:p>
    <w:p w14:paraId="3BAB4815"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veselība un skaistums – skaistumkopšanas produktu uzņēmums rada un pārdod savu kosmētikas, ādas kopšanas līdzekļu un personīgās higiēnas preču līniju;</w:t>
      </w:r>
    </w:p>
    <w:p w14:paraId="34F91EB4"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sporta preces – sporta preču uzņēmums izstrādā un ražo savu sporta apģērbu, apavu un aprīkojuma līniju;</w:t>
      </w:r>
    </w:p>
    <w:p w14:paraId="541BA765"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rotaļlietas un spēles – rotaļlietu uzņēmums izstrādā un ražo savu rotaļlietu, spēļu un pužļu līniju.</w:t>
      </w:r>
    </w:p>
    <w:p w14:paraId="43F1BCE3" w14:textId="77777777" w:rsidR="004323C0" w:rsidRPr="004323C0" w:rsidRDefault="004323C0" w:rsidP="004323C0">
      <w:pPr>
        <w:pStyle w:val="BodyText"/>
        <w:jc w:val="both"/>
        <w:rPr>
          <w:rFonts w:ascii="Times New Roman" w:hAnsi="Times New Roman" w:cs="Times New Roman"/>
          <w:noProof/>
          <w:sz w:val="24"/>
          <w:szCs w:val="24"/>
        </w:rPr>
      </w:pPr>
    </w:p>
    <w:p w14:paraId="2BE8193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Turpmāk ir minēti piemēri tam, kas </w:t>
      </w:r>
      <w:r>
        <w:rPr>
          <w:rFonts w:ascii="Times New Roman" w:hAnsi="Times New Roman"/>
          <w:sz w:val="24"/>
          <w:u w:val="single"/>
        </w:rPr>
        <w:t>jāiekļauj</w:t>
      </w:r>
      <w:r>
        <w:rPr>
          <w:rFonts w:ascii="Times New Roman" w:hAnsi="Times New Roman"/>
          <w:sz w:val="24"/>
        </w:rPr>
        <w:t xml:space="preserve"> šajā kategorijā (ja darījumu kopējā vērtība gadā pārsniedz 100 000 EUR).</w:t>
      </w:r>
    </w:p>
    <w:p w14:paraId="021C6180"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Apģērbu </w:t>
      </w:r>
      <w:r>
        <w:rPr>
          <w:rFonts w:ascii="Times New Roman" w:hAnsi="Times New Roman"/>
          <w:sz w:val="24"/>
          <w:u w:val="single"/>
        </w:rPr>
        <w:t>uzņēmums</w:t>
      </w:r>
      <w:r>
        <w:rPr>
          <w:rFonts w:ascii="Times New Roman" w:hAnsi="Times New Roman"/>
          <w:sz w:val="24"/>
        </w:rPr>
        <w:t xml:space="preserve"> izstrādā un </w:t>
      </w:r>
      <w:r>
        <w:rPr>
          <w:rFonts w:ascii="Times New Roman" w:hAnsi="Times New Roman"/>
          <w:sz w:val="24"/>
          <w:u w:val="single"/>
        </w:rPr>
        <w:t>pārdod</w:t>
      </w:r>
      <w:r>
        <w:rPr>
          <w:rFonts w:ascii="Times New Roman" w:hAnsi="Times New Roman"/>
          <w:sz w:val="24"/>
        </w:rPr>
        <w:t xml:space="preserve"> rokassomas savā veikalā vietējā tirgū. Tas ir izveidojis rokassomu dizainu un lūdzis vienam no līgumpiegādātājiem ražot šīs rokassomas savās rūpnīcās, kas atrodas ārvalstīs. Apģērbu uzņēmums šīs saražotās rokassomas ar savu logotipu pārdod savā veikalā vietējā tirgū. Apģērbu uzņēmums iegādes darījumu GVĶ apsekojumā uzrādīs kā “paša uzņēmuma izstrādāto gala preču iegādi tālākai pārdošanai”. Tas neziņos par pārdošanas darījumu, jo rokassomas tiek pārdotas vietējā tirgū. Ja uzņēmums savā tiešsaistes veikalā daudzas rokassomas būtu pārdevis ārvalstu klientiem, tas arī norādītu, ka ir piegādājis “citas preces” (jo tas, visticamāk, attiektos uz precēm, kas pārdotas patēriņam, nevis tālākai pārdošanai).</w:t>
      </w:r>
    </w:p>
    <w:p w14:paraId="15D50B0C"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b) Mēbeļu </w:t>
      </w:r>
      <w:r>
        <w:rPr>
          <w:rFonts w:ascii="Times New Roman" w:hAnsi="Times New Roman"/>
          <w:sz w:val="24"/>
          <w:u w:val="single"/>
        </w:rPr>
        <w:t>ražotājs</w:t>
      </w:r>
      <w:r>
        <w:rPr>
          <w:rFonts w:ascii="Times New Roman" w:hAnsi="Times New Roman"/>
          <w:sz w:val="24"/>
        </w:rPr>
        <w:t xml:space="preserve"> izstrādā un ražo krēslus, ko tas </w:t>
      </w:r>
      <w:r>
        <w:rPr>
          <w:rFonts w:ascii="Times New Roman" w:hAnsi="Times New Roman"/>
          <w:sz w:val="24"/>
          <w:u w:val="single"/>
        </w:rPr>
        <w:t>pārdod</w:t>
      </w:r>
      <w:r>
        <w:rPr>
          <w:rFonts w:ascii="Times New Roman" w:hAnsi="Times New Roman"/>
          <w:sz w:val="24"/>
        </w:rPr>
        <w:t xml:space="preserve"> ārvalstu mazumtirdzniecības veikalu ķēdei. Tas šo darījumu uzrādīs kā “paša uzņēmuma izstrādāto gala preču piegādi tālākai pārdošanai”.</w:t>
      </w:r>
    </w:p>
    <w:p w14:paraId="291590E6"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c) Vietējais gurķu </w:t>
      </w:r>
      <w:r>
        <w:rPr>
          <w:rFonts w:ascii="Times New Roman" w:hAnsi="Times New Roman"/>
          <w:sz w:val="24"/>
          <w:u w:val="single"/>
        </w:rPr>
        <w:t>ražotājs</w:t>
      </w:r>
      <w:r>
        <w:rPr>
          <w:rFonts w:ascii="Times New Roman" w:hAnsi="Times New Roman"/>
          <w:sz w:val="24"/>
        </w:rPr>
        <w:t xml:space="preserve"> veido burku dizainu saviem marinētajiem gurķiem un </w:t>
      </w:r>
      <w:r>
        <w:rPr>
          <w:rFonts w:ascii="Times New Roman" w:hAnsi="Times New Roman"/>
          <w:sz w:val="24"/>
          <w:u w:val="single"/>
        </w:rPr>
        <w:t>pārdod</w:t>
      </w:r>
      <w:r>
        <w:rPr>
          <w:rFonts w:ascii="Times New Roman" w:hAnsi="Times New Roman"/>
          <w:sz w:val="24"/>
        </w:rPr>
        <w:t xml:space="preserve"> šīs burkas, pildītas ar gurķiem, ārvalstu vairumtirgotājam. Ārvalstu vairumtirgotājs tās pārdod savā veikalā ar savu zīmolvārdu. Vietējais gurķu ražotājs šo darījumu uzrādīs kā “paša uzņēmuma izstrādāto gala preču piegādi tālākai pārdošanai”.</w:t>
      </w:r>
    </w:p>
    <w:p w14:paraId="3B648140" w14:textId="77777777" w:rsidR="004323C0" w:rsidRPr="004323C0" w:rsidRDefault="004323C0" w:rsidP="004323C0">
      <w:pPr>
        <w:pStyle w:val="ListParagraph"/>
        <w:tabs>
          <w:tab w:val="left" w:pos="839"/>
          <w:tab w:val="left" w:pos="841"/>
        </w:tabs>
        <w:spacing w:before="0"/>
        <w:ind w:left="0" w:firstLine="0"/>
        <w:rPr>
          <w:rFonts w:ascii="Times New Roman" w:hAnsi="Times New Roman" w:cs="Times New Roman"/>
          <w:noProof/>
          <w:sz w:val="24"/>
          <w:szCs w:val="24"/>
        </w:rPr>
      </w:pPr>
    </w:p>
    <w:p w14:paraId="19BF48D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u w:val="single"/>
        </w:rPr>
        <w:t>Piezīme</w:t>
      </w:r>
      <w:r>
        <w:rPr>
          <w:rFonts w:ascii="Times New Roman" w:hAnsi="Times New Roman"/>
          <w:sz w:val="24"/>
        </w:rPr>
        <w:t>. Gala preces, ko cits uzņēmums izstrādājis tālākai pārdošanai, var pārdot gan ar šā cita uzņēmuma zīmolvārdu (a un b piemērs), gan arī ar kādu citu zīmolvārdu (c piemērs).</w:t>
      </w:r>
    </w:p>
    <w:p w14:paraId="5A5A6314" w14:textId="77777777" w:rsidR="004323C0" w:rsidRPr="004323C0" w:rsidRDefault="004323C0" w:rsidP="004323C0">
      <w:pPr>
        <w:pStyle w:val="BodyText"/>
        <w:jc w:val="both"/>
        <w:rPr>
          <w:rFonts w:ascii="Times New Roman" w:hAnsi="Times New Roman" w:cs="Times New Roman"/>
          <w:noProof/>
          <w:sz w:val="24"/>
          <w:szCs w:val="24"/>
        </w:rPr>
      </w:pPr>
    </w:p>
    <w:p w14:paraId="5897E396" w14:textId="77777777" w:rsidR="004323C0" w:rsidRPr="004323C0" w:rsidRDefault="004323C0" w:rsidP="004836E6">
      <w:pPr>
        <w:keepNext/>
        <w:keepLines/>
        <w:jc w:val="both"/>
        <w:rPr>
          <w:rFonts w:ascii="Times New Roman" w:hAnsi="Times New Roman" w:cs="Times New Roman"/>
          <w:b/>
          <w:noProof/>
          <w:sz w:val="24"/>
          <w:szCs w:val="24"/>
        </w:rPr>
      </w:pPr>
      <w:bookmarkStart w:id="38" w:name="1.5._Final_(finished)_goods_designed_by_"/>
      <w:bookmarkEnd w:id="38"/>
      <w:r>
        <w:rPr>
          <w:rFonts w:ascii="Times New Roman" w:hAnsi="Times New Roman"/>
          <w:b/>
          <w:sz w:val="24"/>
        </w:rPr>
        <w:t>1.5. Gala (gatavās) preces, ko tālākai pārdošanai izstrādājis cits uzņēmums</w:t>
      </w:r>
    </w:p>
    <w:p w14:paraId="5602CBDB" w14:textId="77777777" w:rsidR="004323C0" w:rsidRPr="004323C0" w:rsidRDefault="004323C0" w:rsidP="004836E6">
      <w:pPr>
        <w:pStyle w:val="BodyText"/>
        <w:keepNext/>
        <w:keepLines/>
        <w:jc w:val="both"/>
        <w:rPr>
          <w:rFonts w:ascii="Times New Roman" w:hAnsi="Times New Roman" w:cs="Times New Roman"/>
          <w:noProof/>
          <w:sz w:val="24"/>
          <w:szCs w:val="24"/>
        </w:rPr>
      </w:pPr>
    </w:p>
    <w:p w14:paraId="44536CA5" w14:textId="77777777" w:rsidR="004323C0" w:rsidRPr="004323C0" w:rsidRDefault="004323C0" w:rsidP="004836E6">
      <w:pPr>
        <w:pStyle w:val="BodyText"/>
        <w:keepNext/>
        <w:keepLines/>
        <w:jc w:val="both"/>
        <w:rPr>
          <w:rFonts w:ascii="Times New Roman" w:hAnsi="Times New Roman" w:cs="Times New Roman"/>
          <w:noProof/>
          <w:sz w:val="24"/>
          <w:szCs w:val="24"/>
        </w:rPr>
      </w:pPr>
      <w:r>
        <w:rPr>
          <w:rFonts w:ascii="Times New Roman" w:hAnsi="Times New Roman"/>
          <w:sz w:val="24"/>
        </w:rPr>
        <w:t>Šī preču kategorija ir “gala preces (dēvētas arī par gatavajām precēm), ko tālākai pārdošanai izstrādājis cits uzņēmums”. Kategorija attiecas uz produktiem, kurus uzņēmums iegādājas – ar nolūku tos pārdot tālāk – no cita uzņēmuma, ja šos produktus ir izstrādājis vai nu šis cits uzņēmums, vai kāda trešā puse. Tādu preču piemēri, ko tālākai pārdošanai izstrādājis cits uzņēmums:</w:t>
      </w:r>
    </w:p>
    <w:p w14:paraId="4F7BD8D9"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plaša patēriņa elektronika – mazumtirgotājs iegādājas viedtālruņus, klēpjdatorus un citus sīkrīkus no ražotāja un pārdod tos ar savu zīmolvārdu;</w:t>
      </w:r>
    </w:p>
    <w:p w14:paraId="5D3ACDAE"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apģērbi un aksesuāri – modes preču veikals iegādājas apģērbu un aksesuārus no ražotāja un pārdod tos ar savu zīmolvārdu;</w:t>
      </w:r>
    </w:p>
    <w:p w14:paraId="33F165AD"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mājas preces – mazumtirgotājs iegādājas mēbeles, mājas izgreznošanas priekšmetus un citus mājsaimniecības produktus no ražotāja un pārdod tos ar savu zīmolvārdu;</w:t>
      </w:r>
    </w:p>
    <w:p w14:paraId="4ED6730A"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pārtika un dzērieni – pārtikas veikals no ražotāja iegādājas uzkodas, iepakotus pārtikas produktus un dzērienus un pārdod tos ar savu zīmolvārdu;</w:t>
      </w:r>
    </w:p>
    <w:p w14:paraId="140834A1"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veselības un skaistumkopšanas preces – aptieka iegādājas kosmētiku, ādas kopšanas produktus un personīgās higiēnas preces no ražotāja un pārdod tās ar savu zīmolvārdu;</w:t>
      </w:r>
    </w:p>
    <w:p w14:paraId="19D7D0D8"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sporta preces – sporta preču mazumtirgotājs iegādājas sporta apģērbus, apavus un aprīkojumu no ražotāja un pārdod to ar savu zīmolvārdu;</w:t>
      </w:r>
    </w:p>
    <w:p w14:paraId="0773A578"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rotaļlietas un spēles – rotaļlietu mazumtirgotājs iegādājas rotaļlietas, spēles un puzles no ražotāja un pārdod tās ar savu zīmolvārdu.</w:t>
      </w:r>
    </w:p>
    <w:p w14:paraId="7A9FAC81" w14:textId="77777777" w:rsidR="004323C0" w:rsidRPr="004323C0" w:rsidRDefault="004323C0" w:rsidP="004323C0">
      <w:pPr>
        <w:pStyle w:val="BodyText"/>
        <w:jc w:val="both"/>
        <w:rPr>
          <w:rFonts w:ascii="Times New Roman" w:hAnsi="Times New Roman" w:cs="Times New Roman"/>
          <w:noProof/>
          <w:sz w:val="24"/>
          <w:szCs w:val="24"/>
        </w:rPr>
      </w:pPr>
    </w:p>
    <w:p w14:paraId="5AA9CEB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Turpinājumā ir minēti piemēri tam, kas </w:t>
      </w:r>
      <w:r>
        <w:rPr>
          <w:rFonts w:ascii="Times New Roman" w:hAnsi="Times New Roman"/>
          <w:sz w:val="24"/>
          <w:u w:val="single"/>
        </w:rPr>
        <w:t>jāiekļauj</w:t>
      </w:r>
      <w:r>
        <w:rPr>
          <w:rFonts w:ascii="Times New Roman" w:hAnsi="Times New Roman"/>
          <w:sz w:val="24"/>
        </w:rPr>
        <w:t xml:space="preserve"> šajā kategorijā (ja darījumu kopējā gadā vērtība pārsniedz 100 000 EUR).</w:t>
      </w:r>
    </w:p>
    <w:p w14:paraId="3F6D2EDB"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Mazumtirgotājs iegādājas</w:t>
      </w:r>
      <w:r>
        <w:rPr>
          <w:rFonts w:ascii="Times New Roman" w:hAnsi="Times New Roman"/>
          <w:sz w:val="24"/>
        </w:rPr>
        <w:t xml:space="preserve"> nepatentētu tualetes papīru no ārvalstīm. Pēc tam tas iepako šo tualetes papīru iepakojumā, uz kura izvieto savu zīmolvārdu, un pārdod klientiem savā veikalā. Mazumtirgotājs šo darījumu GVĶ apsekojumā uzrādīs kā “cita uzņēmuma izstrādātu gala preču iegādi tālākai pārdošanai”.</w:t>
      </w:r>
    </w:p>
    <w:p w14:paraId="5AAB6D9C"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i/>
          <w:noProof/>
          <w:sz w:val="24"/>
          <w:szCs w:val="24"/>
        </w:rPr>
      </w:pPr>
      <w:r>
        <w:rPr>
          <w:rFonts w:ascii="Times New Roman" w:hAnsi="Times New Roman"/>
          <w:sz w:val="24"/>
        </w:rPr>
        <w:t xml:space="preserve">b) Farmācijas produktu </w:t>
      </w:r>
      <w:r>
        <w:rPr>
          <w:rFonts w:ascii="Times New Roman" w:hAnsi="Times New Roman"/>
          <w:sz w:val="24"/>
          <w:u w:val="single"/>
        </w:rPr>
        <w:t>vairumtirgotājs iegādājas</w:t>
      </w:r>
      <w:r>
        <w:rPr>
          <w:rFonts w:ascii="Times New Roman" w:hAnsi="Times New Roman"/>
          <w:sz w:val="24"/>
        </w:rPr>
        <w:t xml:space="preserve"> pretsāpju līdzekļus no vietējiem piegādātājiem un </w:t>
      </w:r>
      <w:r>
        <w:rPr>
          <w:rFonts w:ascii="Times New Roman" w:hAnsi="Times New Roman"/>
          <w:sz w:val="24"/>
          <w:u w:val="single"/>
        </w:rPr>
        <w:t>pārdod</w:t>
      </w:r>
      <w:r>
        <w:rPr>
          <w:rFonts w:ascii="Times New Roman" w:hAnsi="Times New Roman"/>
          <w:sz w:val="24"/>
        </w:rPr>
        <w:t xml:space="preserve"> tos ārvalstīs kādai mazumtirdzniecības aptiekai. Tā kā pretsāpju līdzekļus nav izstrādājis šis vairumtirgotājs un ņemot vērā, ka tas veic piegādes aptiekai ārvalstīs, kuru laikā tas transportēšanu un uzglabāšanas rezultātā palielina produkta vērtību, vairumtirgotājs šo darījumu GVĶ apsekojumā uzrādīs kā “cita uzņēmuma izstrādātu gala preču piegādi tālākai pārdošanai”</w:t>
      </w:r>
      <w:r>
        <w:rPr>
          <w:rFonts w:ascii="Times New Roman" w:hAnsi="Times New Roman"/>
          <w:i/>
          <w:sz w:val="24"/>
        </w:rPr>
        <w:t>.</w:t>
      </w:r>
    </w:p>
    <w:p w14:paraId="7D98E2A5" w14:textId="77777777" w:rsidR="004323C0" w:rsidRPr="004323C0" w:rsidRDefault="004323C0" w:rsidP="004323C0">
      <w:pPr>
        <w:pStyle w:val="BodyText"/>
        <w:jc w:val="both"/>
        <w:rPr>
          <w:rFonts w:ascii="Times New Roman" w:hAnsi="Times New Roman" w:cs="Times New Roman"/>
          <w:noProof/>
          <w:sz w:val="24"/>
          <w:szCs w:val="24"/>
        </w:rPr>
      </w:pPr>
    </w:p>
    <w:p w14:paraId="6D3BC02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Nevienā no abiem gadījumiem uzņēmums, kas iegādājas preces, pats tās neizstrādā un neražo, bet gan iegādājas no ražotāja un pārdod tālāk.</w:t>
      </w:r>
    </w:p>
    <w:p w14:paraId="2846E3A5" w14:textId="77777777" w:rsidR="004323C0" w:rsidRPr="004323C0" w:rsidRDefault="004323C0" w:rsidP="004323C0">
      <w:pPr>
        <w:pStyle w:val="BodyText"/>
        <w:jc w:val="both"/>
        <w:rPr>
          <w:rFonts w:ascii="Times New Roman" w:hAnsi="Times New Roman" w:cs="Times New Roman"/>
          <w:noProof/>
          <w:sz w:val="24"/>
          <w:szCs w:val="24"/>
        </w:rPr>
      </w:pPr>
    </w:p>
    <w:p w14:paraId="4297FE31" w14:textId="77777777" w:rsidR="004323C0" w:rsidRPr="004323C0" w:rsidRDefault="004323C0" w:rsidP="004323C0">
      <w:pPr>
        <w:jc w:val="both"/>
        <w:rPr>
          <w:rFonts w:ascii="Times New Roman" w:hAnsi="Times New Roman" w:cs="Times New Roman"/>
          <w:b/>
          <w:noProof/>
          <w:sz w:val="24"/>
          <w:szCs w:val="24"/>
        </w:rPr>
      </w:pPr>
      <w:bookmarkStart w:id="39" w:name="1.6._Other_goods"/>
      <w:bookmarkEnd w:id="39"/>
      <w:r>
        <w:rPr>
          <w:rFonts w:ascii="Times New Roman" w:hAnsi="Times New Roman"/>
          <w:b/>
          <w:sz w:val="24"/>
        </w:rPr>
        <w:t>1.6. Citas preces</w:t>
      </w:r>
    </w:p>
    <w:p w14:paraId="5BFF820E" w14:textId="77777777" w:rsidR="004323C0" w:rsidRPr="004323C0" w:rsidRDefault="004323C0" w:rsidP="004323C0">
      <w:pPr>
        <w:pStyle w:val="BodyText"/>
        <w:jc w:val="both"/>
        <w:rPr>
          <w:rFonts w:ascii="Times New Roman" w:hAnsi="Times New Roman" w:cs="Times New Roman"/>
          <w:noProof/>
          <w:sz w:val="24"/>
          <w:szCs w:val="24"/>
        </w:rPr>
      </w:pPr>
    </w:p>
    <w:p w14:paraId="742D2E4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preču kategorija ir visas preces un materiāli, kurus nevar klasificēt kādā no pārējām piecām kategorijām. Šāda veida preces, visticamāk, tiek izmantotas galapatēriņam vai tālākai pārdošanai, precēm nepievienojot nekādu papildu vērtību, tāpēc tās neietilpst GVĶ, ja tās iegādājas uzņēmums, kas tās patērē. Prece, ko pārdod uzņēmums, jāuzskata par GVĶ daļu, jo uzņēmums, visticamāk, veiks pārdošanas un izplatīšanas funkciju (piemēram, mazumtirdzniecības veikali).</w:t>
      </w:r>
    </w:p>
    <w:p w14:paraId="04550F7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Kopumā šī kategorija attiecas uz dažādiem produktiem, kurus uzņēmumi parasti iegādājas un patērē savas darbības ietvaros. Citu to preču piemēri, ko uzņēmumi izmanto patēriņam, pieņemot, ka gada darījumu vērtība pārsniedz 100 000 EUR (uzņēmumi, kas “iegādājas citas preces no ārvalstīm”):</w:t>
      </w:r>
    </w:p>
    <w:p w14:paraId="4E3E3DFD" w14:textId="77777777" w:rsidR="004323C0" w:rsidRPr="004323C0" w:rsidRDefault="004323C0" w:rsidP="0013224B">
      <w:pPr>
        <w:pStyle w:val="ListParagraph"/>
        <w:keepNext/>
        <w:keepLines/>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biroja piederumi – pildspalvu, papīra, skavotāju, piezīmju bloknotu un citu kancelejas piederumu iegāde izmantošanai organizācijā;</w:t>
      </w:r>
    </w:p>
    <w:p w14:paraId="44DCE7E1"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tīrīšanas līdzekļi – tīrīšanas līdzekļu, mazgāšanas līdzekļu, slotu, beržamo suku un putekļusūcēju iegāde lietošanai birojos vai objektos;</w:t>
      </w:r>
    </w:p>
    <w:p w14:paraId="69B87BD3"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pārtika un dzērieni – pārtikas un dzērienu iegāde savām darbinieku virtuvēm vai kafejnīcām, maltīšu vai uzkodu nodrošināšana darbiniekiem darba laikā;</w:t>
      </w:r>
    </w:p>
    <w:p w14:paraId="65734CBB"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degviela – transportlīdzekļu parka vadīšana var ietvert degvielas iegādi savām transporta vajadzībām gan uzņēmuma vieglajiem automobiļiem, gan smagkravas automobiļiem, gan iekārtām;</w:t>
      </w:r>
    </w:p>
    <w:p w14:paraId="13537E2C"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transportlīdzekļu daļas un apkope – transportlīdzekļu parka uzturēšana un rezerves daļu, riepu un citu tādu tehniskās apkopes krājumu iegāde, kas nepieciešami, lai uzturētu savus transportlīdzekļus ekspluatācijas kārtībā;</w:t>
      </w:r>
    </w:p>
    <w:p w14:paraId="051C2878"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programmatūru licences – programmatūras licenču iegāde, lai dažādas lietojumprogrammas vai programmas, piemēram, produktivitātes rīkus, grāmatvedības programmatūru vai klientu attiecību pārvaldības (KAP) sistēmas, izmantotu iekšējām darbībām;</w:t>
      </w:r>
    </w:p>
    <w:p w14:paraId="244925D7"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biroja mēbeles un aprīkojums – rakstāmgaldu, krēslu, dokumentu skapju, datoru, drukātāju un cita tāda aprīkojuma iegāde, kas nepieciešams, lai darbinieki varētu efektīvi veikt savus uzdevumus;</w:t>
      </w:r>
    </w:p>
    <w:p w14:paraId="253D5CF5"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formas tērpi un darba apģērbi – formas tērpu vai specializēta apģērba iegāde saviem darbiniekiem, jo īpaši tādās nozarēs kā viesmīlība, veselības aprūpe un ražošana;</w:t>
      </w:r>
    </w:p>
    <w:p w14:paraId="3E23F128"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patēriņam paredzētie materiāli – izgatavotāji un citi ražotāji bieži iegādājas izejvielas (piemēram, ķīmiskās vielas, audumus, metālus vai plastmasu), kas tiek patērēti ražošanas procesā;</w:t>
      </w:r>
    </w:p>
    <w:p w14:paraId="03E75052" w14:textId="77777777" w:rsidR="004323C0" w:rsidRPr="004323C0" w:rsidRDefault="004323C0" w:rsidP="004323C0">
      <w:pPr>
        <w:pStyle w:val="ListParagraph"/>
        <w:numPr>
          <w:ilvl w:val="2"/>
          <w:numId w:val="17"/>
        </w:numPr>
        <w:tabs>
          <w:tab w:val="left" w:pos="839"/>
        </w:tabs>
        <w:spacing w:before="0"/>
        <w:ind w:left="284" w:firstLine="0"/>
        <w:rPr>
          <w:rFonts w:ascii="Times New Roman" w:hAnsi="Times New Roman" w:cs="Times New Roman"/>
          <w:noProof/>
          <w:sz w:val="24"/>
          <w:szCs w:val="24"/>
        </w:rPr>
      </w:pPr>
      <w:r>
        <w:rPr>
          <w:rFonts w:ascii="Times New Roman" w:hAnsi="Times New Roman"/>
          <w:sz w:val="24"/>
        </w:rPr>
        <w:t>mācību materiāli – mācību materiālu, grāmatu, rokasgrāmatu, tiešsaistes kursu vai izglītības platformu abonementu iegāde, lai uzlabotu darbinieku prasmes un zināšanas.</w:t>
      </w:r>
    </w:p>
    <w:p w14:paraId="5C010386" w14:textId="77777777" w:rsidR="004323C0" w:rsidRPr="004323C0" w:rsidRDefault="004323C0" w:rsidP="004323C0">
      <w:pPr>
        <w:pStyle w:val="ListParagraph"/>
        <w:tabs>
          <w:tab w:val="left" w:pos="839"/>
          <w:tab w:val="left" w:pos="841"/>
        </w:tabs>
        <w:spacing w:before="0"/>
        <w:ind w:left="0" w:firstLine="0"/>
        <w:rPr>
          <w:rFonts w:ascii="Times New Roman" w:hAnsi="Times New Roman" w:cs="Times New Roman"/>
          <w:noProof/>
          <w:sz w:val="24"/>
          <w:szCs w:val="24"/>
        </w:rPr>
      </w:pPr>
    </w:p>
    <w:p w14:paraId="2DF10C3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Uzņēmumiem, kas šīs preces piegādā, atsevišķos gadījumos šie darījumi var būt jāuzrāda kategorijā “citas preces”.</w:t>
      </w:r>
    </w:p>
    <w:p w14:paraId="136D657B"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Uzņēmums</w:t>
      </w:r>
      <w:r>
        <w:rPr>
          <w:rFonts w:ascii="Times New Roman" w:hAnsi="Times New Roman"/>
          <w:sz w:val="24"/>
        </w:rPr>
        <w:t xml:space="preserve"> visus vērtību ķēdes posmus izpilda iekšzemē, izmantojot paša uzņēmuma iekšējos resursus un galalietotājiem ārvalstīs </w:t>
      </w:r>
      <w:r>
        <w:rPr>
          <w:rFonts w:ascii="Times New Roman" w:hAnsi="Times New Roman"/>
          <w:sz w:val="24"/>
          <w:u w:val="single"/>
        </w:rPr>
        <w:t>pārdod</w:t>
      </w:r>
      <w:r>
        <w:rPr>
          <w:rFonts w:ascii="Times New Roman" w:hAnsi="Times New Roman"/>
          <w:sz w:val="24"/>
        </w:rPr>
        <w:t xml:space="preserve"> tikai produktus. Tā kā vienīgais darījums vērtību ķēdē ir pārdošana uz ārvalstīm, šā pārdošanas darījuma rezultātā netiek radīta pievienotā vērtība (t. i., visa vērtība tiek atspoguļota pārdošanas darījumā). Uzņēmums šo darījumu reģistrēs kā “citu preču piegādi” ārvalstīs.</w:t>
      </w:r>
    </w:p>
    <w:p w14:paraId="66DAE391"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sz w:val="24"/>
          <w:u w:val="single"/>
        </w:rPr>
        <w:t>Uzņēmums</w:t>
      </w:r>
      <w:r>
        <w:rPr>
          <w:rFonts w:ascii="Times New Roman" w:hAnsi="Times New Roman"/>
          <w:sz w:val="24"/>
        </w:rPr>
        <w:t xml:space="preserve"> pērk gatavās preces un tās </w:t>
      </w:r>
      <w:r>
        <w:rPr>
          <w:rFonts w:ascii="Times New Roman" w:hAnsi="Times New Roman"/>
          <w:sz w:val="24"/>
          <w:u w:val="single"/>
        </w:rPr>
        <w:t>pārdod</w:t>
      </w:r>
      <w:r>
        <w:rPr>
          <w:rFonts w:ascii="Times New Roman" w:hAnsi="Times New Roman"/>
          <w:sz w:val="24"/>
        </w:rPr>
        <w:t xml:space="preserve"> patērētājiem ārvalstīs, nepievienojot precei nekādu vērtību (piemēram, ja sākotnējais preces piegādātājs cenā jau ir iekļāvis transporta un uzglabāšanas pakalpojumu izmaksas). Uzņēmums, kas pārdod gatavās preces, šo darījumu reģistrēs kā “citu preču piegādi” ārvalstīs.</w:t>
      </w:r>
    </w:p>
    <w:p w14:paraId="7659213E" w14:textId="77777777" w:rsidR="004323C0" w:rsidRPr="004323C0" w:rsidRDefault="004323C0" w:rsidP="004323C0">
      <w:pPr>
        <w:pStyle w:val="BodyText"/>
        <w:jc w:val="both"/>
        <w:rPr>
          <w:rFonts w:ascii="Times New Roman" w:hAnsi="Times New Roman" w:cs="Times New Roman"/>
          <w:noProof/>
          <w:sz w:val="24"/>
          <w:szCs w:val="24"/>
        </w:rPr>
      </w:pPr>
    </w:p>
    <w:p w14:paraId="545D331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Jebkuras izejvielas un komponentus var iegādāties arī uzņēmumi, kas tos var uzrādīt sadaļā “citas preces”, nevis konkrētajās kategorijās. Piemēram:</w:t>
      </w:r>
    </w:p>
    <w:p w14:paraId="167EFFCF"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u w:val="single"/>
        </w:rPr>
        <w:t>ražotājs iegādājas</w:t>
      </w:r>
      <w:r>
        <w:rPr>
          <w:rFonts w:ascii="Times New Roman" w:hAnsi="Times New Roman"/>
          <w:sz w:val="24"/>
        </w:rPr>
        <w:t xml:space="preserve"> komponentus no ārvalstīm, lai tos izmantotu savā ražošanas procesā. Ražotājs iegādātos komponentus uzrādīs kā “citas preces”</w:t>
      </w:r>
      <w:r>
        <w:rPr>
          <w:rFonts w:ascii="Times New Roman" w:hAnsi="Times New Roman"/>
          <w:i/>
          <w:sz w:val="24"/>
        </w:rPr>
        <w:t xml:space="preserve">. </w:t>
      </w:r>
      <w:r>
        <w:rPr>
          <w:rFonts w:ascii="Times New Roman" w:hAnsi="Times New Roman"/>
          <w:sz w:val="24"/>
        </w:rPr>
        <w:t>Galvenais faktors šeit ir tas, ka ražotājs šos komponentus izmantos nevis savos “produktos”, bet gan “ražošanas procesā”. Tomēr komponentus, kas tiek tieši izmantoti produktā, uzrāda kategorijā “komponenti, kas ir jūsu produkta / klienta produkta daļa”. Piemēram, ražotājs, kas izmanto pusvadītājus kā daļu no mikroshēmām, ko tas pārdod, uzrāda iegādātās preces kā “komponentus, kas ir pašu produkcijas daļa”. Ja tas pats ražotājs iegādājas barošanas kabeļus, lai nodrošinātu ar mikroshēmu saistītās ražošanas iekārtas darbību, tad tas šos barošanas kabeļus uzrāda kā pirkumu kategorijā “citas preces” (tie tiek “patērēti” ražošanas procesā);</w:t>
      </w:r>
    </w:p>
    <w:p w14:paraId="21286FFC"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sz w:val="24"/>
          <w:u w:val="single"/>
        </w:rPr>
        <w:t>ražotājs pārdod</w:t>
      </w:r>
      <w:r>
        <w:rPr>
          <w:rFonts w:ascii="Times New Roman" w:hAnsi="Times New Roman"/>
          <w:sz w:val="24"/>
        </w:rPr>
        <w:t xml:space="preserve"> komponentus, kas ražoti tā ražošanas procesa ietvaros ārvalstīs (piemēram, bezrūpnīcas preču ražotājam (BPR)). Ja pircējs šos komponentus izmanto kā sava produkta daļu, galīgā pārdošanas vērtība tiks iekļauta pircēja produkta pārdošanas cenā, un šo pārdošanu uzrāda kategorijā “komponentu piegāde, ko klienti ārvalstīs izmanto kā daļu no pašu produkcijas”. Ja pircējs izmanto komponentus savā ražošanas procesā (piemēram, lai nodrošinātu ražošanas iekārtu izmantošanu), šo komponentu pārdošanu uzrāda kategorijā “citas preces”, jo tie tiek patērēti ražošanas procesā.</w:t>
      </w:r>
    </w:p>
    <w:p w14:paraId="275CCA79" w14:textId="77777777" w:rsidR="004323C0" w:rsidRPr="004323C0" w:rsidRDefault="004323C0" w:rsidP="004323C0">
      <w:pPr>
        <w:tabs>
          <w:tab w:val="left" w:pos="839"/>
          <w:tab w:val="left" w:pos="841"/>
        </w:tabs>
        <w:rPr>
          <w:rFonts w:ascii="Times New Roman" w:hAnsi="Times New Roman" w:cs="Times New Roman"/>
          <w:noProof/>
          <w:sz w:val="24"/>
          <w:szCs w:val="24"/>
        </w:rPr>
      </w:pPr>
    </w:p>
    <w:p w14:paraId="2DD05914" w14:textId="77777777" w:rsidR="004323C0" w:rsidRPr="004323C0" w:rsidRDefault="004323C0" w:rsidP="00F22463">
      <w:pPr>
        <w:pStyle w:val="BodyText"/>
        <w:keepNext/>
        <w:keepLines/>
        <w:jc w:val="both"/>
        <w:rPr>
          <w:rFonts w:ascii="Times New Roman" w:hAnsi="Times New Roman" w:cs="Times New Roman"/>
          <w:b/>
          <w:bCs/>
          <w:noProof/>
          <w:color w:val="466DB4"/>
          <w:sz w:val="24"/>
          <w:szCs w:val="24"/>
        </w:rPr>
      </w:pPr>
      <w:bookmarkStart w:id="40" w:name="TYPE_OF_SERVICES_TRADED"/>
      <w:bookmarkEnd w:id="40"/>
      <w:r>
        <w:rPr>
          <w:rFonts w:ascii="Times New Roman" w:hAnsi="Times New Roman"/>
          <w:b/>
          <w:color w:val="466DB4"/>
          <w:sz w:val="24"/>
        </w:rPr>
        <w:t>TIRGOTO PAKALPOJUMU VEIDS</w:t>
      </w:r>
    </w:p>
    <w:p w14:paraId="2CF614EE" w14:textId="77777777" w:rsidR="004323C0" w:rsidRPr="004323C0" w:rsidRDefault="004323C0" w:rsidP="00F22463">
      <w:pPr>
        <w:keepNext/>
        <w:keepLines/>
        <w:jc w:val="both"/>
        <w:rPr>
          <w:rFonts w:ascii="Times New Roman" w:hAnsi="Times New Roman" w:cs="Times New Roman"/>
          <w:noProof/>
          <w:sz w:val="24"/>
          <w:szCs w:val="24"/>
        </w:rPr>
      </w:pPr>
    </w:p>
    <w:p w14:paraId="778DBEEE" w14:textId="77777777" w:rsidR="004323C0" w:rsidRPr="004323C0" w:rsidRDefault="004323C0" w:rsidP="00F22463">
      <w:pPr>
        <w:keepNext/>
        <w:keepLines/>
        <w:jc w:val="both"/>
        <w:rPr>
          <w:rFonts w:ascii="Times New Roman" w:hAnsi="Times New Roman" w:cs="Times New Roman"/>
          <w:noProof/>
          <w:sz w:val="24"/>
          <w:szCs w:val="24"/>
        </w:rPr>
      </w:pPr>
      <w:r>
        <w:rPr>
          <w:rFonts w:ascii="Times New Roman" w:hAnsi="Times New Roman"/>
          <w:sz w:val="24"/>
        </w:rPr>
        <w:t xml:space="preserve">Par 4. un 5. mainīgo lielumu savāktā informācija attiecas uz </w:t>
      </w:r>
      <w:r>
        <w:rPr>
          <w:rFonts w:ascii="Times New Roman" w:hAnsi="Times New Roman"/>
          <w:b/>
          <w:sz w:val="24"/>
        </w:rPr>
        <w:t xml:space="preserve">tirdzniecību ar pakalpojumiem. Kategorijas precīzi atbilst uzņēmējdarbības funkciju pakalpojumu kategorijām, un apsekojumā var izmantot </w:t>
      </w:r>
      <w:r>
        <w:rPr>
          <w:rFonts w:ascii="Times New Roman" w:hAnsi="Times New Roman"/>
          <w:b/>
          <w:color w:val="0066FF"/>
          <w:sz w:val="24"/>
        </w:rPr>
        <w:t>Uzņēmējdarbības funkciju klasifikācijā</w:t>
      </w:r>
      <w:r>
        <w:rPr>
          <w:rFonts w:ascii="Times New Roman" w:hAnsi="Times New Roman"/>
          <w:b/>
          <w:sz w:val="24"/>
        </w:rPr>
        <w:t xml:space="preserve"> minētos uzdevumu piemērus, lai aprakstītu tirgoto pakalpojumu kategorijas</w:t>
      </w:r>
      <w:r>
        <w:rPr>
          <w:rFonts w:ascii="Times New Roman" w:hAnsi="Times New Roman"/>
          <w:sz w:val="24"/>
        </w:rPr>
        <w:t xml:space="preserve">. Vienīgā atšķirīgā kategorija ir tirdzniecība ar </w:t>
      </w:r>
      <w:r>
        <w:rPr>
          <w:rFonts w:ascii="Times New Roman" w:hAnsi="Times New Roman"/>
          <w:b/>
          <w:sz w:val="24"/>
        </w:rPr>
        <w:t>ražošanas pakalpojumiem</w:t>
      </w:r>
      <w:r>
        <w:rPr>
          <w:rFonts w:ascii="Times New Roman" w:hAnsi="Times New Roman"/>
          <w:sz w:val="24"/>
        </w:rPr>
        <w:t xml:space="preserve">, ko var uzrādīt kā </w:t>
      </w:r>
      <w:r>
        <w:rPr>
          <w:rFonts w:ascii="Times New Roman" w:hAnsi="Times New Roman"/>
          <w:b/>
          <w:sz w:val="24"/>
        </w:rPr>
        <w:t>“citus pakalpojumus”</w:t>
      </w:r>
      <w:r>
        <w:rPr>
          <w:rFonts w:ascii="Times New Roman" w:hAnsi="Times New Roman"/>
          <w:sz w:val="24"/>
        </w:rPr>
        <w:t>. Par tiem brīvprātīgi var ziņot arī kā par “preču ražošanas” pakalpojumiem. Piemēram, ja uzņēmums (pārstrādātājs vai darbuzņēmējs) ražo produktus citam uzņēmumam un tam nepieder ne izejmateriāli, ne saražotie produkti, tas pārdod ražošanas pakalpojumus, nevis produktus/preces. Līdzīgi, ja uzņēmums izmanto kāda cita uzņēmuma sniegtus produktu ražošanas ārpakalpojumus, bet tam turpina piederēt izejmateriāli, tas pērk ražošanas pakalpojumus, nevis produktus/preces.</w:t>
      </w:r>
    </w:p>
    <w:p w14:paraId="13E2B3D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Lai atvieglotu GVĶ tirdzniecības identificēšanu un uzlabotu datu kvalitāti, ir noteikta gada minimālā sliekšņa vērtība 100 000 EUR apmērā ziņošanai par tirgoto pakalpojumu veidu. Tas attiecas nevis uz konkrētu pakalpojuma veidu (piemēram, grāmatvedības vai juridiskie pakalpojumi), bet gan uz pakalpojuma veidu apsekojumā (piemēram, administratīvie un pārvaldības pakalpojumi salīdzinājumā ar IKT pakalpojumiem). Piemēram, ja visu viena gada laikā ārvalstīs sniegto pakalpojumu summa, kas ietilpst kategorijā “administratīvie un pārvaldības pakalpojumi”, pārsniedz 100 000 EUR, uzņēmums norāda, ka tas sniedz “administratīvos un pārvaldības pakalpojumus” ārvalstīs.</w:t>
      </w:r>
    </w:p>
    <w:p w14:paraId="7B18F612" w14:textId="77777777" w:rsidR="004323C0" w:rsidRPr="004323C0" w:rsidRDefault="004323C0" w:rsidP="004323C0">
      <w:pPr>
        <w:pStyle w:val="BodyText"/>
        <w:jc w:val="both"/>
        <w:rPr>
          <w:rFonts w:ascii="Times New Roman" w:hAnsi="Times New Roman" w:cs="Times New Roman"/>
          <w:noProof/>
          <w:sz w:val="24"/>
          <w:szCs w:val="24"/>
        </w:rPr>
      </w:pPr>
    </w:p>
    <w:p w14:paraId="07A503A2"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41" w:name="ENTERPRISE_GROUP"/>
      <w:bookmarkEnd w:id="41"/>
      <w:r>
        <w:rPr>
          <w:rFonts w:ascii="Times New Roman" w:hAnsi="Times New Roman"/>
          <w:b/>
          <w:color w:val="466DB4"/>
          <w:sz w:val="24"/>
        </w:rPr>
        <w:t>UZŅĒMUMU GRUPA</w:t>
      </w:r>
    </w:p>
    <w:p w14:paraId="60891153" w14:textId="77777777" w:rsidR="004323C0" w:rsidRPr="004323C0" w:rsidRDefault="004323C0" w:rsidP="004323C0">
      <w:pPr>
        <w:pStyle w:val="BodyText"/>
        <w:jc w:val="both"/>
        <w:rPr>
          <w:rFonts w:ascii="Times New Roman" w:hAnsi="Times New Roman" w:cs="Times New Roman"/>
          <w:noProof/>
          <w:sz w:val="24"/>
          <w:szCs w:val="24"/>
        </w:rPr>
      </w:pPr>
    </w:p>
    <w:p w14:paraId="056A9531" w14:textId="77777777" w:rsidR="004323C0" w:rsidRPr="004323C0" w:rsidRDefault="004323C0" w:rsidP="004323C0">
      <w:pPr>
        <w:pStyle w:val="BodyText"/>
        <w:jc w:val="both"/>
        <w:rPr>
          <w:rFonts w:ascii="Times New Roman" w:hAnsi="Times New Roman" w:cs="Times New Roman"/>
          <w:noProof/>
          <w:color w:val="0066FF"/>
          <w:sz w:val="24"/>
          <w:szCs w:val="24"/>
        </w:rPr>
      </w:pPr>
      <w:r>
        <w:rPr>
          <w:rFonts w:ascii="Times New Roman" w:hAnsi="Times New Roman"/>
          <w:sz w:val="24"/>
        </w:rPr>
        <w:t xml:space="preserve">Uzņēmumu grupa ir tādu uzņēmumu apvienība, ko vieno juridiskas un/vai finansiālas saiknes. Uzņēmumu grupai var būt vairāki lēmumu pieņemšanas centri, jo īpaši ražošanas, pārdošanas un peļņas politikas jomā. Tā var centralizēt dažus finanšu vadības un nodokļu aspektus. Tā ir saimnieciska vienība, kas ir pilnvarota izdarīt izvēles, jo īpaši attiecībā uz struktūrvienībām, kuras to “veido” (avots: </w:t>
      </w:r>
      <w:r>
        <w:rPr>
          <w:rFonts w:ascii="Times New Roman" w:hAnsi="Times New Roman"/>
          <w:color w:val="0066FF"/>
          <w:sz w:val="24"/>
        </w:rPr>
        <w:t>Padomes Direktīva (EEK) Nr. 696/93</w:t>
      </w:r>
      <w:r>
        <w:rPr>
          <w:rFonts w:ascii="Times New Roman" w:hAnsi="Times New Roman"/>
          <w:sz w:val="24"/>
        </w:rPr>
        <w:t xml:space="preserve">). Sīkāka informācija par uzņēmumu grupas identificēšanu ir sniegta </w:t>
      </w:r>
      <w:r>
        <w:rPr>
          <w:rFonts w:ascii="Times New Roman" w:hAnsi="Times New Roman"/>
          <w:color w:val="0066FF"/>
          <w:sz w:val="24"/>
        </w:rPr>
        <w:t>EUS rokasgrāmatā).</w:t>
      </w:r>
    </w:p>
    <w:p w14:paraId="64EA2BD3" w14:textId="77777777" w:rsidR="004323C0" w:rsidRPr="004323C0" w:rsidRDefault="004323C0" w:rsidP="004323C0">
      <w:pPr>
        <w:pStyle w:val="BodyText"/>
        <w:jc w:val="both"/>
        <w:rPr>
          <w:rFonts w:ascii="Times New Roman" w:hAnsi="Times New Roman" w:cs="Times New Roman"/>
          <w:noProof/>
          <w:sz w:val="24"/>
          <w:szCs w:val="24"/>
        </w:rPr>
      </w:pPr>
    </w:p>
    <w:p w14:paraId="06A0323F"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42" w:name="JOBS_AND_HIGH-SKILLED_JOBS"/>
      <w:bookmarkEnd w:id="42"/>
      <w:r>
        <w:rPr>
          <w:rFonts w:ascii="Times New Roman" w:hAnsi="Times New Roman"/>
          <w:b/>
          <w:color w:val="466DB4"/>
          <w:sz w:val="24"/>
        </w:rPr>
        <w:t>DARBAVIETAS UN AUGSTAS KVALIFIKĀCIJAS DARBAVIETAS</w:t>
      </w:r>
    </w:p>
    <w:p w14:paraId="4AB44047" w14:textId="77777777" w:rsidR="004323C0" w:rsidRPr="004323C0" w:rsidRDefault="004323C0" w:rsidP="004323C0">
      <w:pPr>
        <w:pStyle w:val="BodyText"/>
        <w:jc w:val="both"/>
        <w:rPr>
          <w:rFonts w:ascii="Times New Roman" w:hAnsi="Times New Roman" w:cs="Times New Roman"/>
          <w:noProof/>
          <w:sz w:val="24"/>
          <w:szCs w:val="24"/>
        </w:rPr>
      </w:pPr>
    </w:p>
    <w:p w14:paraId="0012AFC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Darbavieta ir definēta kā “uzdevumu un pienākumu kopums, ko veic viena persona, tostarp darba devējs vai pašnodarbināta persona, vai kas ir paredzēts vienai personai” (</w:t>
      </w:r>
      <w:r>
        <w:rPr>
          <w:rFonts w:ascii="Times New Roman" w:hAnsi="Times New Roman"/>
          <w:i/>
          <w:iCs/>
          <w:color w:val="0066FF"/>
          <w:sz w:val="24"/>
        </w:rPr>
        <w:t>ISCO</w:t>
      </w:r>
      <w:r>
        <w:rPr>
          <w:rFonts w:ascii="Times New Roman" w:hAnsi="Times New Roman"/>
          <w:color w:val="0066FF"/>
          <w:sz w:val="24"/>
        </w:rPr>
        <w:t>-08</w:t>
      </w:r>
      <w:r>
        <w:rPr>
          <w:rFonts w:ascii="Times New Roman" w:hAnsi="Times New Roman"/>
          <w:sz w:val="24"/>
        </w:rPr>
        <w:t>). Darbavietas nodrošina novērošanas/statistikas vienība (t. i. uzņēmums). Prasmes ir definētas kā “spēja veikt darba uzdevumus un pienākumus” (</w:t>
      </w:r>
      <w:r>
        <w:rPr>
          <w:rFonts w:ascii="Times New Roman" w:hAnsi="Times New Roman"/>
          <w:i/>
          <w:iCs/>
          <w:color w:val="0066FF"/>
          <w:sz w:val="24"/>
        </w:rPr>
        <w:t>ISCO</w:t>
      </w:r>
      <w:r>
        <w:rPr>
          <w:rFonts w:ascii="Times New Roman" w:hAnsi="Times New Roman"/>
          <w:color w:val="0066FF"/>
          <w:sz w:val="24"/>
        </w:rPr>
        <w:t>-08</w:t>
      </w:r>
      <w:r>
        <w:rPr>
          <w:rFonts w:ascii="Times New Roman" w:hAnsi="Times New Roman"/>
          <w:sz w:val="24"/>
        </w:rPr>
        <w:t>).</w:t>
      </w:r>
    </w:p>
    <w:p w14:paraId="67EDF97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Augsti kvalificēti ir tie cilvēki, kuriem ir kādas akadēmiskās augstskolas diploms (t. i., kuriem ir augstākā izglītība) (</w:t>
      </w:r>
      <w:r>
        <w:rPr>
          <w:rFonts w:ascii="Times New Roman" w:hAnsi="Times New Roman"/>
          <w:i/>
          <w:iCs/>
          <w:sz w:val="24"/>
        </w:rPr>
        <w:t>Eurostat</w:t>
      </w:r>
      <w:r>
        <w:rPr>
          <w:rFonts w:ascii="Times New Roman" w:hAnsi="Times New Roman"/>
          <w:sz w:val="24"/>
        </w:rPr>
        <w:t xml:space="preserve"> </w:t>
      </w:r>
      <w:r>
        <w:rPr>
          <w:rFonts w:ascii="Times New Roman" w:hAnsi="Times New Roman"/>
          <w:color w:val="0066FF"/>
          <w:sz w:val="24"/>
        </w:rPr>
        <w:t>Prasmēm veltītā sadaļa</w:t>
      </w:r>
      <w:r>
        <w:rPr>
          <w:rFonts w:ascii="Times New Roman" w:hAnsi="Times New Roman"/>
          <w:sz w:val="24"/>
        </w:rPr>
        <w:t>). Līdz ar to augstas kvalifikācijas darbavietas lielākoties ietver ekspertu, piemēram, vecāko speciālistu, asociēto vecāko speciālistu, vadītāju, augstāko amatpersonu, pētnieku, IT ekspertu un citu tehnisko profesiju pārstāvju, amatus. Lai samazinātu respondentu ziņošanas slogu, apsekojumā netiek vāktas ziņas par precīzu darbinieku iegūtās izglītības līmeni. Tā vietā tiek izmantots vispārīgāks formulējums “augstas kvalifikācijas darbavietas”, jo saskaņā ar politiku galvenokārt ir jāsaprot, cik lielā mērā uzņēmumi darbiniekus zinātnesietilpīgāku amatu pienākumu veikšanai iegūst ārvalstīs.</w:t>
      </w:r>
    </w:p>
    <w:p w14:paraId="2F87854D"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Augstas kvalifikācijas darbavietām parasti būs nepieciešams augsts izglītības līmenis (</w:t>
      </w:r>
      <w:r>
        <w:rPr>
          <w:rFonts w:ascii="Times New Roman" w:hAnsi="Times New Roman"/>
          <w:i/>
          <w:iCs/>
          <w:color w:val="0066FF"/>
          <w:sz w:val="24"/>
        </w:rPr>
        <w:t>ISCED</w:t>
      </w:r>
      <w:r>
        <w:rPr>
          <w:rFonts w:ascii="Times New Roman" w:hAnsi="Times New Roman"/>
          <w:sz w:val="24"/>
        </w:rPr>
        <w:t> 5 un augstāka).</w:t>
      </w:r>
    </w:p>
    <w:p w14:paraId="7D1197E3" w14:textId="77777777" w:rsidR="004323C0" w:rsidRPr="004323C0" w:rsidRDefault="004323C0" w:rsidP="004323C0">
      <w:pPr>
        <w:pStyle w:val="BodyText"/>
        <w:jc w:val="both"/>
        <w:rPr>
          <w:rFonts w:ascii="Times New Roman" w:hAnsi="Times New Roman" w:cs="Times New Roman"/>
          <w:noProof/>
          <w:sz w:val="24"/>
          <w:szCs w:val="24"/>
        </w:rPr>
      </w:pPr>
    </w:p>
    <w:p w14:paraId="26FCD328" w14:textId="77777777" w:rsidR="004323C0" w:rsidRPr="004323C0" w:rsidRDefault="004323C0" w:rsidP="00F22463">
      <w:pPr>
        <w:pStyle w:val="Heading2"/>
        <w:keepNext/>
        <w:keepLines/>
        <w:rPr>
          <w:color w:val="auto"/>
        </w:rPr>
      </w:pPr>
      <w:bookmarkStart w:id="43" w:name="_TOC_250021"/>
      <w:r>
        <w:rPr>
          <w:color w:val="auto"/>
        </w:rPr>
        <w:t>Galvenās datu</w:t>
      </w:r>
      <w:bookmarkEnd w:id="43"/>
      <w:r>
        <w:rPr>
          <w:color w:val="auto"/>
        </w:rPr>
        <w:t xml:space="preserve"> kategorijas</w:t>
      </w:r>
    </w:p>
    <w:p w14:paraId="4C3D6A64" w14:textId="77777777" w:rsidR="004323C0" w:rsidRPr="004323C0" w:rsidRDefault="004323C0" w:rsidP="00F22463">
      <w:pPr>
        <w:pStyle w:val="BodyText"/>
        <w:keepNext/>
        <w:keepLines/>
        <w:jc w:val="both"/>
        <w:rPr>
          <w:rFonts w:ascii="Times New Roman" w:hAnsi="Times New Roman" w:cs="Times New Roman"/>
          <w:b/>
          <w:bCs/>
          <w:noProof/>
          <w:color w:val="466DB4"/>
          <w:sz w:val="24"/>
          <w:szCs w:val="24"/>
        </w:rPr>
      </w:pPr>
      <w:bookmarkStart w:id="44" w:name="NUMBER_OF_EMPLOYEES_AND_SELF-EMPLOYED_PE"/>
      <w:bookmarkEnd w:id="44"/>
    </w:p>
    <w:p w14:paraId="6B275564" w14:textId="77777777" w:rsidR="004323C0" w:rsidRPr="004323C0" w:rsidRDefault="004323C0" w:rsidP="00F22463">
      <w:pPr>
        <w:pStyle w:val="BodyText"/>
        <w:keepNext/>
        <w:keepLines/>
        <w:jc w:val="both"/>
        <w:rPr>
          <w:rFonts w:ascii="Times New Roman" w:hAnsi="Times New Roman" w:cs="Times New Roman"/>
          <w:b/>
          <w:bCs/>
          <w:noProof/>
          <w:color w:val="466DB4"/>
          <w:sz w:val="24"/>
          <w:szCs w:val="24"/>
        </w:rPr>
      </w:pPr>
      <w:r>
        <w:rPr>
          <w:rFonts w:ascii="Times New Roman" w:hAnsi="Times New Roman"/>
          <w:b/>
          <w:color w:val="466DB4"/>
          <w:sz w:val="24"/>
        </w:rPr>
        <w:t>DARBINIEKU UN PAŠNODARBINĀTO PERSONU SKAITS</w:t>
      </w:r>
    </w:p>
    <w:p w14:paraId="5F03E014" w14:textId="77777777" w:rsidR="004323C0" w:rsidRPr="004323C0" w:rsidRDefault="004323C0" w:rsidP="00F22463">
      <w:pPr>
        <w:pStyle w:val="BodyText"/>
        <w:keepNext/>
        <w:keepLines/>
        <w:jc w:val="both"/>
        <w:rPr>
          <w:rFonts w:ascii="Times New Roman" w:hAnsi="Times New Roman" w:cs="Times New Roman"/>
          <w:noProof/>
          <w:sz w:val="24"/>
          <w:szCs w:val="24"/>
        </w:rPr>
      </w:pPr>
    </w:p>
    <w:p w14:paraId="32B837C2" w14:textId="77777777" w:rsidR="004323C0" w:rsidRPr="004323C0" w:rsidRDefault="004323C0" w:rsidP="00F22463">
      <w:pPr>
        <w:pStyle w:val="BodyText"/>
        <w:keepNext/>
        <w:keepLines/>
        <w:jc w:val="both"/>
        <w:rPr>
          <w:rFonts w:ascii="Times New Roman" w:hAnsi="Times New Roman" w:cs="Times New Roman"/>
          <w:noProof/>
          <w:sz w:val="24"/>
          <w:szCs w:val="24"/>
        </w:rPr>
      </w:pPr>
      <w:r>
        <w:rPr>
          <w:rFonts w:ascii="Times New Roman" w:hAnsi="Times New Roman"/>
          <w:sz w:val="24"/>
        </w:rPr>
        <w:t>Šī kategorija atbilst GVĶ īstenošanas regulā noteiktajam 1. mainīgajam lielumam.</w:t>
      </w:r>
    </w:p>
    <w:p w14:paraId="603FD4CF" w14:textId="77777777" w:rsidR="004323C0" w:rsidRPr="004323C0" w:rsidRDefault="004323C0" w:rsidP="00F22463">
      <w:pPr>
        <w:pStyle w:val="BodyText"/>
        <w:keepNext/>
        <w:keepLines/>
        <w:jc w:val="both"/>
        <w:rPr>
          <w:rFonts w:ascii="Times New Roman" w:hAnsi="Times New Roman" w:cs="Times New Roman"/>
          <w:noProof/>
          <w:sz w:val="24"/>
          <w:szCs w:val="24"/>
        </w:rPr>
      </w:pPr>
      <w:r>
        <w:rPr>
          <w:rFonts w:ascii="Times New Roman" w:hAnsi="Times New Roman"/>
          <w:sz w:val="24"/>
        </w:rPr>
        <w:t xml:space="preserve">Darbinieku un pašnodarbināto personu skaits ir darbinieku skaita un pašnodarbināto personu skaita summa. Pašnodarbināto personu skaits ir to personu vidējais skaits, kas pārskata posmā kādā brīdī ir bijušas tās statistikas vienības vienīgie īpašnieki vai līdzīpašnieki, kurā tie strādā. Šajā skaitā iekļauj arī tos ģimenē strādājošos un ārštata darbiniekus, no kuru ienākumiem ir atkarīga statistikas vienības rezultātu vērtība. Šā mainīgā lieluma definīcija ir tieši tāda pati kā mainīgajam lielumam “nodarbināto personu skaits”, kas izmantots iepriekšējos USS un starptautiskās sagādes apsekojumos, un atbilstošajam USS mainīgajam EUS </w:t>
      </w:r>
      <w:r>
        <w:rPr>
          <w:rFonts w:ascii="Times New Roman" w:hAnsi="Times New Roman"/>
          <w:i/>
          <w:iCs/>
          <w:sz w:val="24"/>
        </w:rPr>
        <w:t>GIA</w:t>
      </w:r>
      <w:r>
        <w:rPr>
          <w:rFonts w:ascii="Times New Roman" w:hAnsi="Times New Roman"/>
          <w:sz w:val="24"/>
        </w:rPr>
        <w:t xml:space="preserve"> (mainīgais lielums 120101).</w:t>
      </w:r>
    </w:p>
    <w:p w14:paraId="0BD3E00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Lai saglabātu salīdzināmību ar citu uzņēmējdarbības statistiku (piemēram, USS) un uzlabotu to datu precizitāti, kas tiek vākti no uzņēmumiem, kuru darbība ir sezonāla, VSI jāizmanto pieeja, kas tiek izmantota, vācot USS statistiku par pārskata posma pēdējo gadu (vairumā valstu tas ir attiecīgajā gadā nodarbināto personu vidējais skaits). Pirmajā pārskata posmā tas ir 2023. gads.</w:t>
      </w:r>
    </w:p>
    <w:p w14:paraId="5A46CD7A" w14:textId="77777777" w:rsidR="004323C0" w:rsidRPr="004323C0" w:rsidRDefault="004323C0" w:rsidP="004323C0">
      <w:pPr>
        <w:jc w:val="both"/>
        <w:rPr>
          <w:rFonts w:ascii="Times New Roman" w:hAnsi="Times New Roman" w:cs="Times New Roman"/>
          <w:noProof/>
          <w:sz w:val="24"/>
          <w:szCs w:val="24"/>
        </w:rPr>
      </w:pPr>
    </w:p>
    <w:p w14:paraId="6945A619"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45" w:name="NUMBER_OF_ACTIVE_ENTERPRISES_"/>
      <w:bookmarkEnd w:id="45"/>
      <w:r>
        <w:rPr>
          <w:rFonts w:ascii="Times New Roman" w:hAnsi="Times New Roman"/>
          <w:b/>
          <w:color w:val="466DB4"/>
          <w:sz w:val="24"/>
        </w:rPr>
        <w:t>AKTĪVO UZŅĒMUMU SKAITS</w:t>
      </w:r>
    </w:p>
    <w:p w14:paraId="3001F2B0" w14:textId="77777777" w:rsidR="004323C0" w:rsidRPr="004323C0" w:rsidRDefault="004323C0" w:rsidP="004323C0">
      <w:pPr>
        <w:pStyle w:val="BodyText"/>
        <w:jc w:val="both"/>
        <w:rPr>
          <w:rFonts w:ascii="Times New Roman" w:hAnsi="Times New Roman" w:cs="Times New Roman"/>
          <w:noProof/>
          <w:sz w:val="24"/>
          <w:szCs w:val="24"/>
        </w:rPr>
      </w:pPr>
    </w:p>
    <w:p w14:paraId="55C8091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kategorija atbilst GVĶ īstenošanas regulā noteiktajam 2., 3., 4., 5., 6., 9. un 10. mainīgajam lielumam.</w:t>
      </w:r>
    </w:p>
    <w:p w14:paraId="7612090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Aktīvo uzņēmumu skaits ir visu to statistikas vienību skaits, kuras jebkurā brīdī pārskata posmā ir bijušas “uzņēmumi”, kas definēti </w:t>
      </w:r>
      <w:r>
        <w:rPr>
          <w:rFonts w:ascii="Times New Roman" w:hAnsi="Times New Roman"/>
          <w:color w:val="0066FF"/>
          <w:sz w:val="24"/>
        </w:rPr>
        <w:t>Padomes Regulā (EEK) Nr. 696/93</w:t>
      </w:r>
      <w:r>
        <w:rPr>
          <w:rFonts w:ascii="Times New Roman" w:hAnsi="Times New Roman"/>
          <w:sz w:val="24"/>
        </w:rPr>
        <w:t>, un arī bijušas aktīvas tajā pašā pārskata posmā. Uzskata, ka statistikas vienība pārskata posmā ir bijusi aktīva, ja tai šajā posmā ir bijis pozitīvs neto apgrozījums, tā ir radījusi rezultātus, tai ir bijuši darbinieki vai tā ir veikusi ieguldījumus. 2024. gada GVĶ apsekojumā iekļautam uzņēmumam joprojām ir jābūt bijušam aktīvam 2023. gada 31. decembrī.</w:t>
      </w:r>
    </w:p>
    <w:p w14:paraId="2CF04E0C" w14:textId="77777777" w:rsidR="004323C0" w:rsidRPr="004323C0" w:rsidRDefault="004323C0" w:rsidP="004323C0">
      <w:pPr>
        <w:pStyle w:val="BodyText"/>
        <w:jc w:val="both"/>
        <w:rPr>
          <w:rFonts w:ascii="Times New Roman" w:hAnsi="Times New Roman" w:cs="Times New Roman"/>
          <w:noProof/>
          <w:sz w:val="24"/>
          <w:szCs w:val="24"/>
        </w:rPr>
      </w:pPr>
    </w:p>
    <w:p w14:paraId="19EEDE61"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46" w:name="NUMBER_OF_JOBS_CREATED_IN_THE_ENTERPRISE"/>
      <w:bookmarkEnd w:id="46"/>
      <w:r>
        <w:rPr>
          <w:rFonts w:ascii="Times New Roman" w:hAnsi="Times New Roman"/>
          <w:b/>
          <w:color w:val="466DB4"/>
          <w:sz w:val="24"/>
        </w:rPr>
        <w:t>STARPTAUTISKAS SAGĀDES REZULTĀTĀ UZŅĒMUMĀ RADĪTO DARBAVIETU SKAITS</w:t>
      </w:r>
    </w:p>
    <w:p w14:paraId="7BD5F5AB" w14:textId="77777777" w:rsidR="004323C0" w:rsidRPr="004323C0" w:rsidRDefault="004323C0" w:rsidP="004323C0">
      <w:pPr>
        <w:pStyle w:val="BodyText"/>
        <w:jc w:val="both"/>
        <w:rPr>
          <w:rFonts w:ascii="Times New Roman" w:hAnsi="Times New Roman" w:cs="Times New Roman"/>
          <w:noProof/>
          <w:sz w:val="24"/>
          <w:szCs w:val="24"/>
        </w:rPr>
      </w:pPr>
    </w:p>
    <w:p w14:paraId="5A3E976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kategorija atbilst GVĶ īstenošanas regulā noteiktajam 7. mainīgajam lielumam.</w:t>
      </w:r>
    </w:p>
    <w:p w14:paraId="0DBCC459" w14:textId="3C1F5001" w:rsidR="004323C0" w:rsidRDefault="004323C0" w:rsidP="004323C0">
      <w:pPr>
        <w:pStyle w:val="BodyText"/>
        <w:jc w:val="both"/>
        <w:rPr>
          <w:rFonts w:ascii="Times New Roman" w:hAnsi="Times New Roman"/>
          <w:sz w:val="24"/>
        </w:rPr>
      </w:pPr>
      <w:r>
        <w:rPr>
          <w:rFonts w:ascii="Times New Roman" w:hAnsi="Times New Roman"/>
          <w:sz w:val="24"/>
        </w:rPr>
        <w:t>Informācija par darbavietām, kas izveidotas starptautiskās sagādes rezultātā, tiek apkopota 3. modulī par starptautisko sagādi. Faktiski respondentiem uzņēmumiem tiek lūgts aprēķināt to iekšzemes darbavietu kopskaitu (bruto), kas tajos izveidotas starptautiskās sagādes rezultātā. Šeit nav jāiekļauj vietējās darbavietas, kas respondentā uzņēmumā izveidotas ar starptautisko sagādi nesaistītu iemeslu dēļ (piemēram, tāpēc, ka uzņēmums paplašinājies uz ārvalstīm). Izplatīts darbavietu radīšanas iemesls ir palielināta līdzekļu pieejamība starptautiskās sagādes dēļ. Šie līdzekļi, savukārt, dažkārt var dot iespēju izveidot jaunas darbavietas kādas citas uzņēmējdarbības funkcijas izpildei (piemēram, dažu IT darbinieku ārpakalpojumu izmantošana radīja izmaksu ietaupījumus, tāpēc darba devējs varēja nolīgt vairāk pārdošanas darbinieku). Šo mainīgo lielumu aprēķina respondents, jo ir grūti ar pilnīgiem datiem pamatot tiešu saikni starp starptautisko sagādi un darbavietu radīšanu.</w:t>
      </w:r>
    </w:p>
    <w:p w14:paraId="5E59B93C" w14:textId="77777777" w:rsidR="006B5C05" w:rsidRPr="004323C0" w:rsidRDefault="006B5C05" w:rsidP="004323C0">
      <w:pPr>
        <w:pStyle w:val="BodyText"/>
        <w:jc w:val="both"/>
        <w:rPr>
          <w:rFonts w:ascii="Times New Roman" w:hAnsi="Times New Roman" w:cs="Times New Roman"/>
          <w:noProof/>
          <w:sz w:val="24"/>
          <w:szCs w:val="24"/>
        </w:rPr>
      </w:pPr>
    </w:p>
    <w:p w14:paraId="1DC54959"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47" w:name="NUMBER_OF_JOBS_RELOCATED_ABROAD_DUE_TO_I"/>
      <w:bookmarkEnd w:id="47"/>
      <w:r>
        <w:rPr>
          <w:rFonts w:ascii="Times New Roman" w:hAnsi="Times New Roman"/>
          <w:b/>
          <w:color w:val="466DB4"/>
          <w:sz w:val="24"/>
        </w:rPr>
        <w:t>TO DARBAVIETU SKAITS, KAS STARPTAUTISKĀS SAGĀDES REZULTĀTĀ PĀRVIETOTAS UZ ĀRVALSTĪM</w:t>
      </w:r>
    </w:p>
    <w:p w14:paraId="349BABF5" w14:textId="77777777" w:rsidR="004323C0" w:rsidRPr="004323C0" w:rsidRDefault="004323C0" w:rsidP="004323C0">
      <w:pPr>
        <w:pStyle w:val="BodyText"/>
        <w:jc w:val="both"/>
        <w:rPr>
          <w:rFonts w:ascii="Times New Roman" w:hAnsi="Times New Roman" w:cs="Times New Roman"/>
          <w:noProof/>
          <w:sz w:val="24"/>
          <w:szCs w:val="24"/>
        </w:rPr>
      </w:pPr>
    </w:p>
    <w:p w14:paraId="53209A9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kategorija atbilst GVĶ īstenošanas regulā noteiktajam 8. mainīgajam lielumam.</w:t>
      </w:r>
    </w:p>
    <w:p w14:paraId="24D667D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Informācija par darbavietām, kas starptautiskās sagādes rezultātā pārceltas uz ārvalstīm, tiek apkopota 3. modulī par starptautisko sagādi. Uzņēmumiem tiek lūgts aprēķināt to iekšzemes darbavietu kopskaitu (bruto), ko tie starptautiskās sagādes rezultātā pārcēluši uz ārvalstīm. Citi iemesli (piemēram, vietējo darbinieku atlaišana un sarežģīta uzņēmējdarbības vide) šeit nav iekļauti. Ja darbavietas (uzņēmējdarbības funkcijas) ir pārceltas uz ārvalstīm, personas, kas iepriekš pildīja šīs funkcijas, joprojām var būt nodarbinātas uzņēmumā, veicot citus uzdevumus (var darīt jaunus darbus, kas saistīti ar starptautiskās sagādes rezultātā radītajām darbavietām), bet attiecīgās darbavietas jāuzskata par pārceltām uz ārvalstīm. Līdz ar to kopumā nav nekādas saistības starp jēdzienu “uz ārvalstīm pārceltas darbavietas” un novērotajām izmaiņām uzņēmuma darbinieku un pašnodarbināto personu skaitā. Piemēram, uzņēmums var uzrādīt starptautiskās sagādes rezultātā “uz ārvalstīm pārceltas darbavietas”, kā arī “darbinieku un pašnodarbināto personu skaita” pieaugumu.</w:t>
      </w:r>
    </w:p>
    <w:p w14:paraId="505B9C85" w14:textId="77777777" w:rsidR="004323C0" w:rsidRPr="004323C0" w:rsidRDefault="004323C0" w:rsidP="004323C0">
      <w:pPr>
        <w:pStyle w:val="BodyText"/>
        <w:jc w:val="both"/>
        <w:rPr>
          <w:rFonts w:ascii="Times New Roman" w:hAnsi="Times New Roman" w:cs="Times New Roman"/>
          <w:noProof/>
          <w:sz w:val="24"/>
          <w:szCs w:val="24"/>
        </w:rPr>
      </w:pPr>
    </w:p>
    <w:p w14:paraId="6590713B" w14:textId="77777777" w:rsidR="004323C0" w:rsidRPr="004323C0" w:rsidRDefault="004323C0" w:rsidP="004323C0">
      <w:pPr>
        <w:pStyle w:val="Heading2"/>
        <w:rPr>
          <w:color w:val="auto"/>
        </w:rPr>
      </w:pPr>
      <w:bookmarkStart w:id="48" w:name="_TOC_250020"/>
      <w:r>
        <w:rPr>
          <w:color w:val="auto"/>
        </w:rPr>
        <w:t xml:space="preserve">Pārskata </w:t>
      </w:r>
      <w:bookmarkEnd w:id="48"/>
      <w:r>
        <w:rPr>
          <w:color w:val="auto"/>
        </w:rPr>
        <w:t>posms</w:t>
      </w:r>
    </w:p>
    <w:p w14:paraId="7154D93E" w14:textId="77777777" w:rsidR="004323C0" w:rsidRPr="004323C0" w:rsidRDefault="004323C0" w:rsidP="004323C0">
      <w:pPr>
        <w:pStyle w:val="BodyText"/>
        <w:jc w:val="both"/>
        <w:rPr>
          <w:rFonts w:ascii="Times New Roman" w:hAnsi="Times New Roman" w:cs="Times New Roman"/>
          <w:noProof/>
          <w:sz w:val="24"/>
          <w:szCs w:val="24"/>
          <w:u w:val="single"/>
        </w:rPr>
      </w:pPr>
    </w:p>
    <w:p w14:paraId="5F1F268B" w14:textId="77777777" w:rsidR="004323C0" w:rsidRPr="004323C0" w:rsidRDefault="004323C0" w:rsidP="004323C0">
      <w:pPr>
        <w:pStyle w:val="BodyText"/>
        <w:jc w:val="both"/>
        <w:rPr>
          <w:rFonts w:ascii="Times New Roman" w:hAnsi="Times New Roman" w:cs="Times New Roman"/>
          <w:noProof/>
          <w:sz w:val="24"/>
          <w:szCs w:val="24"/>
          <w:u w:val="single"/>
        </w:rPr>
      </w:pPr>
      <w:r>
        <w:rPr>
          <w:rFonts w:ascii="Times New Roman" w:hAnsi="Times New Roman"/>
          <w:sz w:val="24"/>
          <w:u w:val="single"/>
        </w:rPr>
        <w:t>Pārskata posms “T” (viens gads; pirmais pārskata posms ir no 2023. gada 1. janvāra līdz 2023. gada 31. decembrim).</w:t>
      </w:r>
    </w:p>
    <w:p w14:paraId="491688A0"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1. modulis: darbinieku un pašnodarbināto skaits katrā no uzņēmējdarbības funkcijām – šajā modulī tiek apkopoti kvantitatīvi dati par nodarbinātību katrā uzņēmējdarbības funkcijā (kumulatīvu datu vākšana par visiem 3 pārskata posma gadiem nesniedz nekādas priekšrocības);</w:t>
      </w:r>
    </w:p>
    <w:p w14:paraId="00842BB5"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2. modulis: GVĶ kārtība – primārais iemesls, kāpēc tiek izvēlēts tikai vienu gadu ilgs pārskata posms, ir sloga samazināšana uzņēmumam un datu vākšanas precizitātes palielināšana (precīzu datu iegūšana par GVĶ tirdzniecību iepriekšējos posmos būtu sarežģītāka). Izņēmuma kārtā šā moduļa izvēles jautājumiem pārskata posms varētu būt no 2021. gada 1. janvāra līdz 2023. gada 31. decembrim.</w:t>
      </w:r>
    </w:p>
    <w:p w14:paraId="698D8077"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p>
    <w:p w14:paraId="74863A88" w14:textId="77777777" w:rsidR="004323C0" w:rsidRPr="004323C0" w:rsidRDefault="004323C0" w:rsidP="004323C0">
      <w:pPr>
        <w:pStyle w:val="BodyText"/>
        <w:jc w:val="both"/>
        <w:rPr>
          <w:rFonts w:ascii="Times New Roman" w:hAnsi="Times New Roman" w:cs="Times New Roman"/>
          <w:noProof/>
          <w:sz w:val="24"/>
          <w:szCs w:val="24"/>
          <w:u w:val="single"/>
        </w:rPr>
      </w:pPr>
      <w:r>
        <w:rPr>
          <w:rFonts w:ascii="Times New Roman" w:hAnsi="Times New Roman"/>
          <w:sz w:val="24"/>
          <w:u w:val="single"/>
        </w:rPr>
        <w:t>Pārskata posms “T–2, T–1 un T” (trīs gadi; pirmais pārskata posms ir no 2021. gada 1. janvāra līdz 2023. gada 31. decembrim):</w:t>
      </w:r>
    </w:p>
    <w:p w14:paraId="5C806EE3" w14:textId="77777777" w:rsidR="004323C0" w:rsidRPr="004323C0" w:rsidRDefault="004323C0" w:rsidP="004323C0">
      <w:pPr>
        <w:pStyle w:val="ListParagraph"/>
        <w:numPr>
          <w:ilvl w:val="2"/>
          <w:numId w:val="17"/>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3. modulis: starptautiskā sagāde;</w:t>
      </w:r>
    </w:p>
    <w:p w14:paraId="462AE17E" w14:textId="77777777" w:rsidR="004323C0" w:rsidRPr="004323C0" w:rsidRDefault="004323C0" w:rsidP="004323C0">
      <w:pPr>
        <w:pStyle w:val="ListParagraph"/>
        <w:numPr>
          <w:ilvl w:val="2"/>
          <w:numId w:val="17"/>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4. modulis: starptautisko sagādi veicinoši faktori un šķēršļi;</w:t>
      </w:r>
    </w:p>
    <w:p w14:paraId="76196F3E" w14:textId="77777777" w:rsidR="004323C0" w:rsidRPr="004323C0" w:rsidRDefault="004323C0" w:rsidP="004323C0">
      <w:pPr>
        <w:pStyle w:val="ListParagraph"/>
        <w:numPr>
          <w:ilvl w:val="2"/>
          <w:numId w:val="17"/>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5. modulis: nesenu notikumu ietekme uz ekonomikas globalizāciju.</w:t>
      </w:r>
    </w:p>
    <w:p w14:paraId="48CDA0DF" w14:textId="77777777" w:rsidR="004323C0" w:rsidRPr="004323C0" w:rsidRDefault="004323C0" w:rsidP="004323C0">
      <w:pPr>
        <w:pStyle w:val="BodyText"/>
        <w:jc w:val="both"/>
        <w:rPr>
          <w:rFonts w:ascii="Times New Roman" w:hAnsi="Times New Roman" w:cs="Times New Roman"/>
          <w:noProof/>
          <w:sz w:val="24"/>
          <w:szCs w:val="24"/>
        </w:rPr>
      </w:pPr>
    </w:p>
    <w:p w14:paraId="13A174E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Starptautiskā sagāde būtībā ir stratēģisks ilgtermiņa lēmums. Tāpēc, vācot datus katru gadu, iespējams, tiktu iegūts tikai neliels skaits atbilžu.</w:t>
      </w:r>
    </w:p>
    <w:p w14:paraId="340DF531" w14:textId="77777777" w:rsidR="004323C0" w:rsidRPr="004323C0" w:rsidRDefault="004323C0" w:rsidP="004323C0">
      <w:pPr>
        <w:pStyle w:val="BodyText"/>
        <w:jc w:val="both"/>
        <w:rPr>
          <w:rFonts w:ascii="Times New Roman" w:hAnsi="Times New Roman" w:cs="Times New Roman"/>
          <w:noProof/>
          <w:sz w:val="24"/>
          <w:szCs w:val="24"/>
        </w:rPr>
      </w:pPr>
    </w:p>
    <w:p w14:paraId="168432A5" w14:textId="77777777" w:rsidR="004323C0" w:rsidRPr="004323C0" w:rsidRDefault="004323C0" w:rsidP="004323C0">
      <w:pPr>
        <w:pStyle w:val="Heading2"/>
        <w:rPr>
          <w:color w:val="auto"/>
        </w:rPr>
      </w:pPr>
      <w:bookmarkStart w:id="49" w:name="_TOC_250019"/>
      <w:bookmarkEnd w:id="49"/>
      <w:r>
        <w:rPr>
          <w:color w:val="auto"/>
        </w:rPr>
        <w:t>Saites</w:t>
      </w:r>
    </w:p>
    <w:p w14:paraId="68978F3F" w14:textId="77777777" w:rsidR="004323C0" w:rsidRPr="004323C0" w:rsidRDefault="004323C0" w:rsidP="004323C0">
      <w:pPr>
        <w:pStyle w:val="ListParagraph"/>
        <w:tabs>
          <w:tab w:val="left" w:pos="834"/>
        </w:tabs>
        <w:spacing w:before="0"/>
        <w:ind w:left="0" w:firstLine="0"/>
        <w:rPr>
          <w:rFonts w:ascii="Times New Roman" w:hAnsi="Times New Roman" w:cs="Times New Roman"/>
          <w:b/>
          <w:noProof/>
          <w:sz w:val="24"/>
          <w:szCs w:val="24"/>
        </w:rPr>
      </w:pPr>
    </w:p>
    <w:p w14:paraId="195F63A4" w14:textId="77777777" w:rsidR="004323C0" w:rsidRPr="004323C0" w:rsidRDefault="004323C0" w:rsidP="004323C0">
      <w:pPr>
        <w:pStyle w:val="ListParagraph"/>
        <w:numPr>
          <w:ilvl w:val="2"/>
          <w:numId w:val="17"/>
        </w:numPr>
        <w:tabs>
          <w:tab w:val="left" w:pos="834"/>
        </w:tabs>
        <w:spacing w:before="0"/>
        <w:ind w:left="0" w:firstLine="0"/>
        <w:rPr>
          <w:rFonts w:ascii="Times New Roman" w:hAnsi="Times New Roman" w:cs="Times New Roman"/>
          <w:b/>
          <w:noProof/>
          <w:sz w:val="24"/>
          <w:szCs w:val="24"/>
        </w:rPr>
      </w:pPr>
      <w:r>
        <w:rPr>
          <w:rFonts w:ascii="Times New Roman" w:hAnsi="Times New Roman"/>
          <w:sz w:val="24"/>
        </w:rPr>
        <w:t xml:space="preserve">Eiropas Parlamenta un Padomes 2019. gada 27. novembra </w:t>
      </w:r>
      <w:r>
        <w:rPr>
          <w:rFonts w:ascii="Times New Roman" w:hAnsi="Times New Roman"/>
          <w:color w:val="0066FF"/>
          <w:sz w:val="24"/>
        </w:rPr>
        <w:t>Regula (ES) 2019/2152</w:t>
      </w:r>
      <w:r>
        <w:rPr>
          <w:rFonts w:ascii="Times New Roman" w:hAnsi="Times New Roman"/>
          <w:sz w:val="24"/>
        </w:rPr>
        <w:t xml:space="preserve"> par </w:t>
      </w:r>
      <w:r>
        <w:rPr>
          <w:rFonts w:ascii="Times New Roman" w:hAnsi="Times New Roman"/>
          <w:b/>
          <w:sz w:val="24"/>
        </w:rPr>
        <w:t>Eiropas uzņēmējdarbības statistiku (EUS regula)</w:t>
      </w:r>
      <w:r>
        <w:rPr>
          <w:rFonts w:ascii="Times New Roman" w:hAnsi="Times New Roman"/>
          <w:sz w:val="24"/>
        </w:rPr>
        <w:t>;</w:t>
      </w:r>
    </w:p>
    <w:p w14:paraId="7B7E58CD" w14:textId="77777777" w:rsidR="004323C0" w:rsidRPr="004323C0" w:rsidRDefault="004323C0" w:rsidP="004323C0">
      <w:pPr>
        <w:pStyle w:val="ListParagraph"/>
        <w:numPr>
          <w:ilvl w:val="2"/>
          <w:numId w:val="17"/>
        </w:numPr>
        <w:tabs>
          <w:tab w:val="left" w:pos="834"/>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EUS rokasgrāmata;</w:t>
      </w:r>
    </w:p>
    <w:p w14:paraId="3921A297" w14:textId="77777777" w:rsidR="004323C0" w:rsidRPr="004323C0" w:rsidRDefault="004323C0" w:rsidP="004323C0">
      <w:pPr>
        <w:pStyle w:val="ListParagraph"/>
        <w:numPr>
          <w:ilvl w:val="2"/>
          <w:numId w:val="17"/>
        </w:numPr>
        <w:tabs>
          <w:tab w:val="left" w:pos="834"/>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Uzņēmējdarbības funkciju klasifikācijas rokasgrāmata;</w:t>
      </w:r>
    </w:p>
    <w:p w14:paraId="5A6746E8" w14:textId="77777777" w:rsidR="004323C0" w:rsidRPr="004323C0" w:rsidRDefault="004323C0" w:rsidP="004323C0">
      <w:pPr>
        <w:pStyle w:val="ListParagraph"/>
        <w:numPr>
          <w:ilvl w:val="2"/>
          <w:numId w:val="17"/>
        </w:numPr>
        <w:tabs>
          <w:tab w:val="left" w:pos="834"/>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Uzņēmējdarbības funkciju klasifikācija (UFK);</w:t>
      </w:r>
    </w:p>
    <w:p w14:paraId="47181A22" w14:textId="77777777" w:rsidR="004323C0" w:rsidRPr="004323C0" w:rsidRDefault="004323C0" w:rsidP="004323C0">
      <w:pPr>
        <w:pStyle w:val="ListParagraph"/>
        <w:numPr>
          <w:ilvl w:val="2"/>
          <w:numId w:val="17"/>
        </w:numPr>
        <w:tabs>
          <w:tab w:val="left" w:pos="835"/>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Starptautiskā standartizētā izglītības klasifikācija.</w:t>
      </w:r>
    </w:p>
    <w:p w14:paraId="02AF5AC1" w14:textId="77777777" w:rsidR="004323C0" w:rsidRPr="004323C0" w:rsidRDefault="004323C0" w:rsidP="004323C0">
      <w:pPr>
        <w:rPr>
          <w:rFonts w:ascii="Times New Roman" w:hAnsi="Times New Roman" w:cs="Times New Roman"/>
          <w:noProof/>
          <w:sz w:val="24"/>
          <w:szCs w:val="24"/>
        </w:rPr>
      </w:pPr>
      <w:r>
        <w:br w:type="page"/>
      </w:r>
    </w:p>
    <w:p w14:paraId="5D694620" w14:textId="7EF23D59" w:rsidR="004323C0" w:rsidRPr="004323C0" w:rsidRDefault="004323C0" w:rsidP="004323C0">
      <w:pPr>
        <w:pStyle w:val="Heading2"/>
        <w:jc w:val="center"/>
      </w:pPr>
      <w:r>
        <w:t>3. Statistikas vienību izmantošana</w:t>
      </w:r>
    </w:p>
    <w:p w14:paraId="2AB41603" w14:textId="77777777" w:rsidR="004323C0" w:rsidRPr="004323C0" w:rsidRDefault="004323C0" w:rsidP="004323C0">
      <w:pPr>
        <w:pStyle w:val="BodyText"/>
        <w:jc w:val="both"/>
        <w:rPr>
          <w:rFonts w:ascii="Times New Roman" w:hAnsi="Times New Roman" w:cs="Times New Roman"/>
          <w:noProof/>
          <w:sz w:val="24"/>
          <w:szCs w:val="24"/>
        </w:rPr>
      </w:pPr>
    </w:p>
    <w:p w14:paraId="59BD4981" w14:textId="77777777" w:rsidR="004323C0" w:rsidRPr="004323C0" w:rsidRDefault="004323C0" w:rsidP="004323C0">
      <w:pPr>
        <w:pStyle w:val="Heading2"/>
        <w:rPr>
          <w:color w:val="auto"/>
        </w:rPr>
      </w:pPr>
      <w:r>
        <w:rPr>
          <w:color w:val="auto"/>
        </w:rPr>
        <w:t>Ievads</w:t>
      </w:r>
    </w:p>
    <w:p w14:paraId="4DB9C097" w14:textId="77777777" w:rsidR="004323C0" w:rsidRPr="004323C0" w:rsidRDefault="004323C0" w:rsidP="004323C0">
      <w:pPr>
        <w:pStyle w:val="BodyText"/>
        <w:jc w:val="both"/>
        <w:rPr>
          <w:rFonts w:ascii="Times New Roman" w:hAnsi="Times New Roman" w:cs="Times New Roman"/>
          <w:noProof/>
          <w:sz w:val="24"/>
          <w:szCs w:val="24"/>
        </w:rPr>
      </w:pPr>
    </w:p>
    <w:p w14:paraId="6A1E3BD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Ir trīs iespējamās pieejas “uzņēmuma” datu vākšanai GVĶ jomā.</w:t>
      </w:r>
    </w:p>
    <w:p w14:paraId="24E9AE66"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Pirmā pieeja paredz savākt datus par visām juridiskajām vienībām (JV) uzņēmumā vai lielāko to daļu un pēc tam šos datus konsolidēt uzņēmuma līmenī.</w:t>
      </w:r>
    </w:p>
    <w:p w14:paraId="33D440FE"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Otra pieeja paredz izmantot uzņēmumu reģistrā pieejamo informāciju (un, iespējams, arī citu informāciju), lai identificētu uzņēmuma galveno JV un savāktu tikai datus no šīs JV.</w:t>
      </w:r>
    </w:p>
    <w:p w14:paraId="70CE241E" w14:textId="77777777" w:rsidR="004323C0" w:rsidRPr="004323C0" w:rsidRDefault="004323C0" w:rsidP="004323C0">
      <w:pPr>
        <w:pStyle w:val="ListParagraph"/>
        <w:numPr>
          <w:ilvl w:val="2"/>
          <w:numId w:val="17"/>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Trešajā pieejā ir apvienotas abas iepriekšējās pieejas. Šajā dokumentā ir izanalizētas visas trīs pieejas un sniegti ieteikumi.</w:t>
      </w:r>
    </w:p>
    <w:p w14:paraId="2F4C768E" w14:textId="77777777" w:rsidR="004323C0" w:rsidRPr="004323C0" w:rsidRDefault="004323C0" w:rsidP="004323C0">
      <w:pPr>
        <w:pStyle w:val="BodyText"/>
        <w:jc w:val="both"/>
        <w:rPr>
          <w:rFonts w:ascii="Times New Roman" w:hAnsi="Times New Roman" w:cs="Times New Roman"/>
          <w:noProof/>
          <w:sz w:val="24"/>
          <w:szCs w:val="24"/>
        </w:rPr>
      </w:pPr>
    </w:p>
    <w:p w14:paraId="236CEF8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Saistībā ar GVĶ statistiku vēl ir būtiski, izmantojot uzņēmumu kā statistikas vienību (SV), atrast pareizo kontaktpersonu apsekojuma anketas aizpildīšanai. Atkarībā no uzņēmuma datu vākšanas veida var rasties šādas problēmas:</w:t>
      </w:r>
    </w:p>
    <w:p w14:paraId="252E65B0"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A) respondenti no galvenās JV var nezināt nepieciešamo informāciju par kādu citu JV uzņēmumā;</w:t>
      </w:r>
    </w:p>
    <w:p w14:paraId="7FFFE1A2"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B) respondenti no galvenās JV var juridiski nespēt atbildēt uz jautājumiem citas tā paša uzņēmuma JV vārdā;</w:t>
      </w:r>
    </w:p>
    <w:p w14:paraId="167FF5BF" w14:textId="77777777" w:rsidR="004323C0" w:rsidRPr="004323C0" w:rsidRDefault="004323C0" w:rsidP="004323C0">
      <w:pPr>
        <w:pStyle w:val="ListParagraph"/>
        <w:tabs>
          <w:tab w:val="left" w:pos="838"/>
          <w:tab w:val="left" w:pos="841"/>
        </w:tabs>
        <w:spacing w:before="0"/>
        <w:ind w:left="284" w:firstLine="0"/>
        <w:rPr>
          <w:rFonts w:ascii="Times New Roman" w:hAnsi="Times New Roman" w:cs="Times New Roman"/>
          <w:noProof/>
          <w:sz w:val="24"/>
          <w:szCs w:val="24"/>
        </w:rPr>
      </w:pPr>
      <w:r>
        <w:rPr>
          <w:rFonts w:ascii="Times New Roman" w:hAnsi="Times New Roman"/>
          <w:sz w:val="24"/>
        </w:rPr>
        <w:t>C) uzņēmuma informācija varētu būt tik specifiska, ka uz apsekojuma jautājumu ir jāatbild vairāk nekā vienai personai no vairāk nekā vienas JV (piemēram, galvenās JV augstākajai vadībai un citas JV grāmatvedības nodaļai).</w:t>
      </w:r>
    </w:p>
    <w:p w14:paraId="46035775" w14:textId="77777777" w:rsidR="004323C0" w:rsidRPr="004323C0" w:rsidRDefault="004323C0" w:rsidP="004323C0">
      <w:pPr>
        <w:pStyle w:val="BodyText"/>
        <w:jc w:val="both"/>
        <w:rPr>
          <w:rFonts w:ascii="Times New Roman" w:hAnsi="Times New Roman" w:cs="Times New Roman"/>
          <w:noProof/>
          <w:sz w:val="24"/>
          <w:szCs w:val="24"/>
        </w:rPr>
      </w:pPr>
    </w:p>
    <w:p w14:paraId="093F10C1" w14:textId="77777777" w:rsidR="004323C0" w:rsidRPr="004323C0" w:rsidRDefault="004323C0" w:rsidP="004323C0">
      <w:pPr>
        <w:pStyle w:val="Heading2"/>
        <w:rPr>
          <w:color w:val="auto"/>
        </w:rPr>
      </w:pPr>
      <w:bookmarkStart w:id="50" w:name="_TOC_250017"/>
      <w:r>
        <w:rPr>
          <w:color w:val="auto"/>
        </w:rPr>
        <w:t>Tās juridiskās vienības izvēle, kas sniegs</w:t>
      </w:r>
      <w:bookmarkEnd w:id="50"/>
      <w:r>
        <w:rPr>
          <w:color w:val="auto"/>
        </w:rPr>
        <w:t xml:space="preserve"> datus</w:t>
      </w:r>
    </w:p>
    <w:p w14:paraId="53726925" w14:textId="77777777" w:rsidR="004323C0" w:rsidRPr="004323C0" w:rsidRDefault="004323C0" w:rsidP="004323C0">
      <w:pPr>
        <w:pStyle w:val="BodyText"/>
        <w:jc w:val="both"/>
        <w:rPr>
          <w:rFonts w:ascii="Times New Roman" w:hAnsi="Times New Roman" w:cs="Times New Roman"/>
          <w:noProof/>
          <w:sz w:val="24"/>
          <w:szCs w:val="24"/>
        </w:rPr>
      </w:pPr>
    </w:p>
    <w:p w14:paraId="673890A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uzņēmums sastāv tikai no vienas JV, tad šis uzņēmums ir šī JV un tiek piemērotas iepriekš izmantotās jeb vispārējās uzņēmējdarbības statistikas metodes. Tomēr, ja uzņēmums sastāv no divām vai vairākām aktīvām JV, ir jāiesaka dažas metodes, lai nodrošinātu, ka īstenošana visās valstīs ir pēc iespējas konsekventāka.</w:t>
      </w:r>
    </w:p>
    <w:p w14:paraId="001212D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Būtiski ir definēt jēdzienu uzņēmuma “galvenā iekšzemes JV”.</w:t>
      </w:r>
      <w:r w:rsidRPr="004323C0">
        <w:rPr>
          <w:rStyle w:val="FootnoteReference"/>
          <w:rFonts w:ascii="Times New Roman" w:hAnsi="Times New Roman" w:cs="Times New Roman"/>
          <w:noProof/>
          <w:sz w:val="24"/>
          <w:szCs w:val="24"/>
        </w:rPr>
        <w:footnoteReference w:id="5"/>
      </w:r>
      <w:r>
        <w:rPr>
          <w:rFonts w:ascii="Times New Roman" w:hAnsi="Times New Roman"/>
          <w:sz w:val="24"/>
        </w:rPr>
        <w:t xml:space="preserve"> Galvenā (jeb vadošā) JV ir vienkārši tā JV, uz kuru jānosūta apsekojuma anketa (t. i., JV, kurai ir struktūra/personāls, kas nepieciešams, lai atbildētu uz apsekojuma jautājumiem uzņēmuma (citu JV) vārdā). Saistībā ar šiem norādījumiem galvenā JV ir “tāda juridiskā mātes vienība, kuru ne tiešā, ne netiešā veidā nekontrolē neviena cita juridiska vienība”.</w:t>
      </w:r>
      <w:r w:rsidRPr="004323C0">
        <w:rPr>
          <w:rStyle w:val="FootnoteReference"/>
          <w:rFonts w:ascii="Times New Roman" w:hAnsi="Times New Roman" w:cs="Times New Roman"/>
          <w:noProof/>
          <w:sz w:val="24"/>
          <w:szCs w:val="24"/>
        </w:rPr>
        <w:footnoteReference w:id="6"/>
      </w:r>
      <w:r>
        <w:rPr>
          <w:rFonts w:ascii="Times New Roman" w:hAnsi="Times New Roman"/>
          <w:sz w:val="24"/>
        </w:rPr>
        <w:t xml:space="preserve"> Tomēr uzņēmuma galvenā JV var būt tikai dalībuzņēmums, kuram nav reālu lēmumu pieņemšanas pilnvaru (piemēram, ārvalstu saistīto uzņēmumu gadījumā). Tāpēc galvenās JV izvēlē ir jābūt zināmai elastībai. Izmantojamie kritēriji var atšķirties atkarībā no uzņēmuma struktūras un normatīvajiem un kultūras faktoriem. Daži no kritērijiem, kas jāņem vērā, izvēloties galveno JV, ir šādi:</w:t>
      </w:r>
    </w:p>
    <w:p w14:paraId="5069701C" w14:textId="77777777" w:rsidR="004323C0" w:rsidRPr="004323C0" w:rsidRDefault="004323C0" w:rsidP="004323C0">
      <w:pPr>
        <w:pStyle w:val="ListParagraph"/>
        <w:numPr>
          <w:ilvl w:val="2"/>
          <w:numId w:val="17"/>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kuru JV tieši vai netieši nekontrolē neviena cita JV;</w:t>
      </w:r>
    </w:p>
    <w:p w14:paraId="77FED03D" w14:textId="77777777" w:rsidR="004323C0" w:rsidRPr="004323C0" w:rsidRDefault="004323C0" w:rsidP="004323C0">
      <w:pPr>
        <w:pStyle w:val="ListParagraph"/>
        <w:numPr>
          <w:ilvl w:val="2"/>
          <w:numId w:val="17"/>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 xml:space="preserve">kuras JV darbība atbilst uzņēmuma darbībai saskaņā ar </w:t>
      </w:r>
      <w:r>
        <w:rPr>
          <w:rFonts w:ascii="Times New Roman" w:hAnsi="Times New Roman"/>
          <w:i/>
          <w:iCs/>
          <w:sz w:val="24"/>
        </w:rPr>
        <w:t>NACE</w:t>
      </w:r>
      <w:r>
        <w:rPr>
          <w:rFonts w:ascii="Times New Roman" w:hAnsi="Times New Roman"/>
          <w:sz w:val="24"/>
        </w:rPr>
        <w:t>;</w:t>
      </w:r>
    </w:p>
    <w:p w14:paraId="0587BB7C" w14:textId="77777777" w:rsidR="004323C0" w:rsidRPr="004323C0" w:rsidRDefault="004323C0" w:rsidP="004323C0">
      <w:pPr>
        <w:pStyle w:val="ListParagraph"/>
        <w:numPr>
          <w:ilvl w:val="2"/>
          <w:numId w:val="17"/>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kurā JV ir visvairāk darbinieku un pašnodarbināto personu;</w:t>
      </w:r>
    </w:p>
    <w:p w14:paraId="43303952" w14:textId="77777777" w:rsidR="004323C0" w:rsidRPr="004323C0" w:rsidRDefault="004323C0" w:rsidP="004323C0">
      <w:pPr>
        <w:pStyle w:val="ListParagraph"/>
        <w:numPr>
          <w:ilvl w:val="2"/>
          <w:numId w:val="17"/>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kurai JV ir vislielākais apgrozījums vai pievienotā vērtība;</w:t>
      </w:r>
    </w:p>
    <w:p w14:paraId="2C13DE40" w14:textId="77777777" w:rsidR="004323C0" w:rsidRPr="004323C0" w:rsidRDefault="004323C0" w:rsidP="004323C0">
      <w:pPr>
        <w:pStyle w:val="ListParagraph"/>
        <w:numPr>
          <w:ilvl w:val="2"/>
          <w:numId w:val="17"/>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priekšzināšanas par uzņēmuma struktūru (tas var attiekties uz lieliem un labi zināmiem uzņēmumiem).</w:t>
      </w:r>
    </w:p>
    <w:p w14:paraId="2C188616"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Dažos gadījumos “galveno JV” var aizstāt ar “vadošo JV”, kas ir tā JV, kas tiek uzskatīta par galveno JV uzņēmumā (šīs rokasgrāmatas tekstā dažreiz lietots termins “vadošā JV”, nevis “galvenā JV”).</w:t>
      </w:r>
    </w:p>
    <w:p w14:paraId="43DCBDF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Alternatīva pieeja ir lūgt JV identificēt lēmumu pieņemšanas centru (t. i., galveno JV).</w:t>
      </w:r>
    </w:p>
    <w:p w14:paraId="067009D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Ir </w:t>
      </w:r>
      <w:r>
        <w:rPr>
          <w:rFonts w:ascii="Times New Roman" w:hAnsi="Times New Roman"/>
          <w:sz w:val="24"/>
          <w:u w:val="single"/>
        </w:rPr>
        <w:t>ieteicams</w:t>
      </w:r>
      <w:r>
        <w:rPr>
          <w:rFonts w:ascii="Times New Roman" w:hAnsi="Times New Roman"/>
          <w:sz w:val="24"/>
        </w:rPr>
        <w:t xml:space="preserve"> apspriesties ar valsts uzņēmumu reģistru, klasifikācijas un citas uzņēmējdarbības statistikas ekspertiem, kas var palīdzēt izvēlēties galveno JV, jo tā, iespējams, jau ir identificēta kādā citā uzņēmējdarbības statistikas jomā.</w:t>
      </w:r>
    </w:p>
    <w:p w14:paraId="1335580B" w14:textId="77777777" w:rsidR="004323C0" w:rsidRPr="004323C0" w:rsidRDefault="004323C0" w:rsidP="004323C0">
      <w:pPr>
        <w:pStyle w:val="BodyText"/>
        <w:jc w:val="both"/>
        <w:rPr>
          <w:rFonts w:ascii="Times New Roman" w:hAnsi="Times New Roman" w:cs="Times New Roman"/>
          <w:noProof/>
          <w:sz w:val="24"/>
          <w:szCs w:val="24"/>
        </w:rPr>
      </w:pPr>
    </w:p>
    <w:p w14:paraId="007F4B8F" w14:textId="77777777" w:rsidR="004323C0" w:rsidRPr="004323C0" w:rsidRDefault="004323C0" w:rsidP="004323C0">
      <w:pPr>
        <w:pStyle w:val="Heading2"/>
        <w:rPr>
          <w:color w:val="auto"/>
        </w:rPr>
      </w:pPr>
      <w:bookmarkStart w:id="51" w:name="_TOC_250016"/>
      <w:r>
        <w:rPr>
          <w:color w:val="auto"/>
        </w:rPr>
        <w:t xml:space="preserve">Pieeja statistikas vienības uzņēmuma </w:t>
      </w:r>
      <w:bookmarkEnd w:id="51"/>
      <w:r>
        <w:rPr>
          <w:color w:val="auto"/>
        </w:rPr>
        <w:t>īstenošanai</w:t>
      </w:r>
    </w:p>
    <w:p w14:paraId="2E824AD9" w14:textId="77777777" w:rsidR="004323C0" w:rsidRPr="004323C0" w:rsidRDefault="004323C0" w:rsidP="004323C0">
      <w:pPr>
        <w:pStyle w:val="BodyText"/>
        <w:jc w:val="both"/>
        <w:rPr>
          <w:rFonts w:ascii="Times New Roman" w:hAnsi="Times New Roman" w:cs="Times New Roman"/>
          <w:noProof/>
          <w:sz w:val="24"/>
          <w:szCs w:val="24"/>
        </w:rPr>
      </w:pPr>
    </w:p>
    <w:p w14:paraId="577E2C8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GVĶ apsekojumam ir noteiktas trīs iespējamās datu vākšanas pieejas.</w:t>
      </w:r>
    </w:p>
    <w:p w14:paraId="1E7EA673"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A. JV līmenis – dati tiek vākti no visām (vai lielākās daļas) atsevišķām JV un konsolidēti uzņēmuma līmenī. Nav obligāti nepieciešams noteikt galveno uzņēmuma JV.</w:t>
      </w:r>
    </w:p>
    <w:p w14:paraId="7BC44784"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B. Uzņēmuma galvenā JV – dati tiek vākti tikai no tās JV, kas identificēta kā uzņēmuma galvenā JV. Ja atbilstīgi, galveno JV varētu aizstāt ar to JV, kurā ir visvairāk darbinieku, kas būtu reprezentatīvā JV.</w:t>
      </w:r>
    </w:p>
    <w:p w14:paraId="33F88692" w14:textId="77777777" w:rsidR="004323C0" w:rsidRPr="004323C0" w:rsidRDefault="004323C0" w:rsidP="004323C0">
      <w:pPr>
        <w:pStyle w:val="ListParagraph"/>
        <w:tabs>
          <w:tab w:val="left" w:pos="839"/>
        </w:tabs>
        <w:spacing w:before="0"/>
        <w:ind w:left="284" w:firstLine="0"/>
        <w:rPr>
          <w:rFonts w:ascii="Times New Roman" w:hAnsi="Times New Roman" w:cs="Times New Roman"/>
          <w:noProof/>
          <w:sz w:val="24"/>
          <w:szCs w:val="24"/>
        </w:rPr>
      </w:pPr>
      <w:r>
        <w:rPr>
          <w:rFonts w:ascii="Times New Roman" w:hAnsi="Times New Roman"/>
          <w:sz w:val="24"/>
        </w:rPr>
        <w:t>C. Jauktā pieeja – atkarībā no noteiktiem kritērijiem izmantojiet gan JV līmeņa, gan galvenās JV pieeju.</w:t>
      </w:r>
    </w:p>
    <w:p w14:paraId="604F4D01" w14:textId="77777777" w:rsidR="004323C0" w:rsidRPr="004323C0" w:rsidRDefault="004323C0" w:rsidP="004323C0">
      <w:pPr>
        <w:pStyle w:val="BodyText"/>
        <w:jc w:val="both"/>
        <w:rPr>
          <w:rFonts w:ascii="Times New Roman" w:hAnsi="Times New Roman" w:cs="Times New Roman"/>
          <w:noProof/>
          <w:sz w:val="24"/>
          <w:szCs w:val="24"/>
        </w:rPr>
      </w:pPr>
    </w:p>
    <w:p w14:paraId="5D4A018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Uzņēmumos, uz kuriem attiecas GVĶ apsekojums, ir 50 vai vairāk darbinieku un pašnodarbinātās personas</w:t>
      </w:r>
      <w:r w:rsidRPr="004323C0">
        <w:rPr>
          <w:rFonts w:ascii="Times New Roman" w:hAnsi="Times New Roman" w:cs="Times New Roman"/>
          <w:noProof/>
          <w:sz w:val="24"/>
          <w:szCs w:val="24"/>
          <w:vertAlign w:val="superscript"/>
        </w:rPr>
        <w:footnoteReference w:id="7"/>
      </w:r>
      <w:r>
        <w:rPr>
          <w:rFonts w:ascii="Times New Roman" w:hAnsi="Times New Roman"/>
          <w:sz w:val="24"/>
        </w:rPr>
        <w:t xml:space="preserve">, un šo uzņēmumu pamatdarbība ir klasificēta </w:t>
      </w:r>
      <w:r>
        <w:rPr>
          <w:rFonts w:ascii="Times New Roman" w:hAnsi="Times New Roman"/>
          <w:i/>
          <w:iCs/>
          <w:sz w:val="24"/>
        </w:rPr>
        <w:t>NACE</w:t>
      </w:r>
      <w:r>
        <w:rPr>
          <w:rFonts w:ascii="Times New Roman" w:hAnsi="Times New Roman"/>
          <w:sz w:val="24"/>
        </w:rPr>
        <w:t xml:space="preserve"> B–N sadaļā. Statistikas uzņēmumu reģistrā (SUR) ir pieejams šā uzņēmuma </w:t>
      </w:r>
      <w:r>
        <w:rPr>
          <w:rFonts w:ascii="Times New Roman" w:hAnsi="Times New Roman"/>
          <w:i/>
          <w:iCs/>
          <w:sz w:val="24"/>
        </w:rPr>
        <w:t>NACE</w:t>
      </w:r>
      <w:r>
        <w:rPr>
          <w:rFonts w:ascii="Times New Roman" w:hAnsi="Times New Roman"/>
          <w:sz w:val="24"/>
        </w:rPr>
        <w:t xml:space="preserve"> kods un dati par tā darbinieku un pašnodarbināto personu skaitu. SUR jāietver informācija par visām JV valstī un uzņēmumiem, kuriem šīs JV atbilst. Izlasi var izvēlēties, pamatojoties uz SUR datiem par pārskata posma pēdējo gadu.</w:t>
      </w:r>
    </w:p>
    <w:p w14:paraId="7B29233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GVĶ apsekojumā ir divi galvenie jautājumu veidi:</w:t>
      </w:r>
    </w:p>
    <w:p w14:paraId="74388490" w14:textId="77777777" w:rsidR="004323C0" w:rsidRPr="004323C0" w:rsidRDefault="004323C0" w:rsidP="004323C0">
      <w:pPr>
        <w:pStyle w:val="ListParagraph"/>
        <w:tabs>
          <w:tab w:val="left" w:pos="841"/>
        </w:tabs>
        <w:spacing w:before="0"/>
        <w:ind w:left="284" w:firstLine="0"/>
        <w:rPr>
          <w:rFonts w:ascii="Times New Roman" w:hAnsi="Times New Roman" w:cs="Times New Roman"/>
          <w:noProof/>
          <w:sz w:val="24"/>
          <w:szCs w:val="24"/>
        </w:rPr>
      </w:pPr>
      <w:r>
        <w:rPr>
          <w:rFonts w:ascii="Times New Roman" w:hAnsi="Times New Roman"/>
          <w:sz w:val="24"/>
        </w:rPr>
        <w:t>1) jautājumi, lai savāktu pilnīgus datus</w:t>
      </w:r>
      <w:r w:rsidRPr="004323C0">
        <w:rPr>
          <w:rStyle w:val="FootnoteReference"/>
          <w:rFonts w:ascii="Times New Roman" w:hAnsi="Times New Roman" w:cs="Times New Roman"/>
          <w:noProof/>
          <w:sz w:val="24"/>
          <w:szCs w:val="24"/>
        </w:rPr>
        <w:footnoteReference w:id="8"/>
      </w:r>
      <w:r>
        <w:rPr>
          <w:rFonts w:ascii="Times New Roman" w:hAnsi="Times New Roman"/>
          <w:sz w:val="24"/>
        </w:rPr>
        <w:t>, piemēram, “vai jūs izmantojat sagādi” un “cik cilvēku ir nodarbināti vienas uzņēmējdarbības funkcijas veikšanai”, un</w:t>
      </w:r>
    </w:p>
    <w:p w14:paraId="37428020" w14:textId="77777777" w:rsidR="004323C0" w:rsidRPr="004323C0" w:rsidRDefault="004323C0" w:rsidP="004323C0">
      <w:pPr>
        <w:pStyle w:val="ListParagraph"/>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2) jautājumi, lai savāktu netiešos datus</w:t>
      </w:r>
      <w:r w:rsidRPr="004323C0">
        <w:rPr>
          <w:rStyle w:val="FootnoteReference"/>
          <w:rFonts w:ascii="Times New Roman" w:hAnsi="Times New Roman" w:cs="Times New Roman"/>
          <w:noProof/>
          <w:sz w:val="24"/>
          <w:szCs w:val="24"/>
        </w:rPr>
        <w:footnoteReference w:id="9"/>
      </w:r>
      <w:r>
        <w:rPr>
          <w:rFonts w:ascii="Times New Roman" w:hAnsi="Times New Roman"/>
          <w:sz w:val="24"/>
        </w:rPr>
        <w:t>, piemēram, “kādi faktori jūs pamudina veikt sagādi” un “kādi šķēršļi attur jūs no sagādes”.</w:t>
      </w:r>
    </w:p>
    <w:p w14:paraId="0D3A1030" w14:textId="77777777" w:rsidR="004323C0" w:rsidRPr="004323C0" w:rsidRDefault="004323C0" w:rsidP="004323C0">
      <w:pPr>
        <w:pStyle w:val="BodyText"/>
        <w:jc w:val="both"/>
        <w:rPr>
          <w:rFonts w:ascii="Times New Roman" w:hAnsi="Times New Roman" w:cs="Times New Roman"/>
          <w:noProof/>
          <w:sz w:val="24"/>
          <w:szCs w:val="24"/>
        </w:rPr>
      </w:pPr>
    </w:p>
    <w:p w14:paraId="078BBCA2" w14:textId="77777777" w:rsidR="004323C0" w:rsidRPr="004323C0" w:rsidRDefault="004323C0" w:rsidP="000F1E8F">
      <w:pPr>
        <w:pStyle w:val="BodyText"/>
        <w:widowControl/>
        <w:jc w:val="both"/>
        <w:rPr>
          <w:rFonts w:ascii="Times New Roman" w:hAnsi="Times New Roman" w:cs="Times New Roman"/>
          <w:noProof/>
          <w:sz w:val="24"/>
          <w:szCs w:val="24"/>
        </w:rPr>
      </w:pPr>
      <w:r>
        <w:rPr>
          <w:rFonts w:ascii="Times New Roman" w:hAnsi="Times New Roman"/>
          <w:sz w:val="24"/>
        </w:rPr>
        <w:t>Attiecībā uz pilnīgu datu iegūšanai paredzētajiem jautājumiem šos datus, iespējams, var savākt no vairākiem cilvēkiem uzņēmumā, un ir jēga vākt datus no visām JV.</w:t>
      </w:r>
    </w:p>
    <w:p w14:paraId="16D0595D" w14:textId="77777777" w:rsidR="004323C0" w:rsidRPr="004323C0" w:rsidRDefault="004323C0" w:rsidP="000F1E8F">
      <w:pPr>
        <w:pStyle w:val="BodyText"/>
        <w:widowControl/>
        <w:jc w:val="both"/>
        <w:rPr>
          <w:rFonts w:ascii="Times New Roman" w:hAnsi="Times New Roman" w:cs="Times New Roman"/>
          <w:noProof/>
          <w:sz w:val="24"/>
          <w:szCs w:val="24"/>
        </w:rPr>
      </w:pPr>
      <w:r>
        <w:rPr>
          <w:rFonts w:ascii="Times New Roman" w:hAnsi="Times New Roman"/>
          <w:sz w:val="24"/>
        </w:rPr>
        <w:t>Attiecībā uz jautājumiem pilnīgu datu iegūšanai par lēmumu pieņemšanas motivāciju datu vākšanai no visām JV ir mazāk jēgas, jo lēmumu pieņemšana, visticamāk, ir uzņēmuma galvenās JV ziņā. Šā iemesla dēļ saprātīga pieeja būtu uzdot netiešo datu iegūšanai paredzētos jautājumus tikai uzņēmuma galvenajai JV.</w:t>
      </w:r>
    </w:p>
    <w:p w14:paraId="5200F557" w14:textId="77777777" w:rsidR="004323C0" w:rsidRPr="004323C0" w:rsidRDefault="004323C0" w:rsidP="000F1E8F">
      <w:pPr>
        <w:pStyle w:val="BodyText"/>
        <w:widowControl/>
        <w:jc w:val="both"/>
        <w:rPr>
          <w:rFonts w:ascii="Times New Roman" w:hAnsi="Times New Roman" w:cs="Times New Roman"/>
          <w:noProof/>
          <w:sz w:val="24"/>
          <w:szCs w:val="24"/>
        </w:rPr>
      </w:pPr>
      <w:r>
        <w:rPr>
          <w:rFonts w:ascii="Times New Roman" w:hAnsi="Times New Roman"/>
          <w:sz w:val="24"/>
        </w:rPr>
        <w:t>Kopumā ir maz ticams, ka vienu ideālu metodi var piemērot visiem gadījumiem un valstīm (piemēram, valstu un to ekonomiku izmēri ir atšķirīgi). Līdz ar to turpmāk mēs norādījām atšķirības starp pieejām, to priekšrocības un trūkumus, kā arī to, kādos gadījumos katra no tām, visticamāk, būs piemērota. VSI jāizvēlas tā pieeja, kas vislabāk atbilst konkrētās valsts apstākļiem.</w:t>
      </w:r>
    </w:p>
    <w:p w14:paraId="2C23CEBF" w14:textId="77777777" w:rsidR="004323C0" w:rsidRPr="004323C0" w:rsidRDefault="004323C0" w:rsidP="00F22463">
      <w:pPr>
        <w:pStyle w:val="BodyText"/>
        <w:keepNext/>
        <w:keepLines/>
        <w:jc w:val="both"/>
        <w:rPr>
          <w:rFonts w:ascii="Times New Roman" w:hAnsi="Times New Roman" w:cs="Times New Roman"/>
          <w:b/>
          <w:bCs/>
          <w:noProof/>
          <w:color w:val="466DB4"/>
          <w:sz w:val="24"/>
          <w:szCs w:val="24"/>
        </w:rPr>
      </w:pPr>
      <w:bookmarkStart w:id="52" w:name="A._LEU_LEVEL_APPROACH_"/>
      <w:bookmarkEnd w:id="52"/>
      <w:r>
        <w:rPr>
          <w:rFonts w:ascii="Times New Roman" w:hAnsi="Times New Roman"/>
          <w:b/>
          <w:color w:val="466DB4"/>
          <w:sz w:val="24"/>
        </w:rPr>
        <w:t>A. JV LĪMEŅA PIEEJA</w:t>
      </w:r>
    </w:p>
    <w:p w14:paraId="74BF34FF" w14:textId="77777777" w:rsidR="004323C0" w:rsidRPr="004323C0" w:rsidRDefault="004323C0" w:rsidP="00F22463">
      <w:pPr>
        <w:pStyle w:val="BodyText"/>
        <w:keepNext/>
        <w:keepLines/>
        <w:jc w:val="both"/>
        <w:rPr>
          <w:rFonts w:ascii="Times New Roman" w:hAnsi="Times New Roman" w:cs="Times New Roman"/>
          <w:noProof/>
          <w:sz w:val="24"/>
          <w:szCs w:val="24"/>
        </w:rPr>
      </w:pPr>
    </w:p>
    <w:p w14:paraId="66612301" w14:textId="77777777" w:rsidR="004323C0" w:rsidRPr="004323C0" w:rsidRDefault="004323C0" w:rsidP="00F22463">
      <w:pPr>
        <w:pStyle w:val="BodyText"/>
        <w:keepNext/>
        <w:keepLines/>
        <w:jc w:val="both"/>
        <w:rPr>
          <w:rFonts w:ascii="Times New Roman" w:hAnsi="Times New Roman" w:cs="Times New Roman"/>
          <w:noProof/>
          <w:sz w:val="24"/>
          <w:szCs w:val="24"/>
        </w:rPr>
      </w:pPr>
      <w:r>
        <w:rPr>
          <w:rFonts w:ascii="Times New Roman" w:hAnsi="Times New Roman"/>
          <w:sz w:val="24"/>
        </w:rPr>
        <w:t>Šī pieeja ietver datu vākšanu no visām (vai lielākās daļas) atsevišķām JV un to konsolidēšanu uzņēmuma līmenī. Jautājumi tiek uzdoti visām vai lielākajai daļai JV katrā uzņēmumā.</w:t>
      </w:r>
    </w:p>
    <w:p w14:paraId="3788CDAE" w14:textId="77777777" w:rsidR="004323C0" w:rsidRPr="004323C0" w:rsidRDefault="004323C0" w:rsidP="00F22463">
      <w:pPr>
        <w:pStyle w:val="BodyText"/>
        <w:keepNext/>
        <w:keepLines/>
        <w:jc w:val="both"/>
        <w:rPr>
          <w:rFonts w:ascii="Times New Roman" w:hAnsi="Times New Roman" w:cs="Times New Roman"/>
          <w:noProof/>
          <w:sz w:val="24"/>
          <w:szCs w:val="24"/>
        </w:rPr>
      </w:pPr>
      <w:r>
        <w:rPr>
          <w:rFonts w:ascii="Times New Roman" w:hAnsi="Times New Roman"/>
          <w:noProof/>
          <w:sz w:val="24"/>
        </w:rPr>
        <w:drawing>
          <wp:inline distT="0" distB="0" distL="0" distR="0" wp14:anchorId="7BD1D26B" wp14:editId="3B824B82">
            <wp:extent cx="125526" cy="12065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6" cstate="print"/>
                    <a:stretch>
                      <a:fillRect/>
                    </a:stretch>
                  </pic:blipFill>
                  <pic:spPr>
                    <a:xfrm>
                      <a:off x="0" y="0"/>
                      <a:ext cx="125526" cy="120650"/>
                    </a:xfrm>
                    <a:prstGeom prst="rect">
                      <a:avLst/>
                    </a:prstGeom>
                  </pic:spPr>
                </pic:pic>
              </a:graphicData>
            </a:graphic>
          </wp:inline>
        </w:drawing>
      </w:r>
      <w:r>
        <w:rPr>
          <w:rFonts w:ascii="Times New Roman" w:hAnsi="Times New Roman"/>
          <w:sz w:val="24"/>
        </w:rPr>
        <w:t xml:space="preserve"> Šīs pieejas priekšrocību vidū ir šādas:</w:t>
      </w:r>
    </w:p>
    <w:p w14:paraId="164770C4"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var nebūt nepieciešams katrai JV izskaidrot SV “uzņēmuma” konceptu;</w:t>
      </w:r>
    </w:p>
    <w:p w14:paraId="4DBDDFE6" w14:textId="77777777" w:rsidR="004323C0" w:rsidRPr="004323C0" w:rsidRDefault="004323C0" w:rsidP="004323C0">
      <w:pPr>
        <w:pStyle w:val="ListParagraph"/>
        <w:numPr>
          <w:ilvl w:val="1"/>
          <w:numId w:val="5"/>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iespējams, JV ir vieglāk atbildēt uz apsekojuma jautājumiem, jo tai tiek jautāts tikai par konkrēto JV (ir vienkāršāk atrast īsto kontaktpersonu katrai JV);</w:t>
      </w:r>
    </w:p>
    <w:p w14:paraId="08436C73" w14:textId="77777777" w:rsidR="004323C0" w:rsidRPr="004323C0" w:rsidRDefault="004323C0" w:rsidP="004323C0">
      <w:pPr>
        <w:pStyle w:val="ListParagraph"/>
        <w:numPr>
          <w:ilvl w:val="1"/>
          <w:numId w:val="5"/>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nepastāv juridiski vai datu aizsardzības šķēršļi, jo JV netiek jautāts par citām uzņēmuma JV (piemēram, par to darbību);</w:t>
      </w:r>
    </w:p>
    <w:p w14:paraId="1DA42EDA" w14:textId="77777777" w:rsidR="004323C0" w:rsidRPr="004323C0" w:rsidRDefault="004323C0" w:rsidP="004323C0">
      <w:pPr>
        <w:pStyle w:val="ListParagraph"/>
        <w:numPr>
          <w:ilvl w:val="1"/>
          <w:numId w:val="5"/>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uz dažiem jautājumiem (piemēram, jautājumiem, kas atbildami ar “jā” vai “nē”) varētu būt pietiekami saņemt apstiprinošu atbildi no vienas JV, lai aptvertu visu uzņēmumu (piemēram, “vai jūsu uzņēmums veic sagādi ārvalstīs”). Šādas atbildes var samazināt nepieciešamību papildus apstiprināt citas negatīvas atbildes;</w:t>
      </w:r>
    </w:p>
    <w:p w14:paraId="3EA62814"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nav nepieciešams noskaidrot, kura ir galvenā JV.</w:t>
      </w:r>
    </w:p>
    <w:p w14:paraId="075C5AAA" w14:textId="77777777" w:rsidR="004323C0" w:rsidRPr="004323C0" w:rsidRDefault="004323C0" w:rsidP="004323C0">
      <w:pPr>
        <w:pStyle w:val="BodyText"/>
        <w:jc w:val="both"/>
        <w:rPr>
          <w:rFonts w:ascii="Times New Roman" w:hAnsi="Times New Roman" w:cs="Times New Roman"/>
          <w:noProof/>
          <w:sz w:val="24"/>
          <w:szCs w:val="24"/>
        </w:rPr>
      </w:pPr>
    </w:p>
    <w:p w14:paraId="7D0EE59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noProof/>
          <w:sz w:val="24"/>
        </w:rPr>
        <w:drawing>
          <wp:inline distT="0" distB="0" distL="0" distR="0" wp14:anchorId="10977ECA" wp14:editId="1EE7C694">
            <wp:extent cx="105460" cy="35242"/>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7" cstate="print"/>
                    <a:stretch>
                      <a:fillRect/>
                    </a:stretch>
                  </pic:blipFill>
                  <pic:spPr>
                    <a:xfrm>
                      <a:off x="0" y="0"/>
                      <a:ext cx="105460" cy="35242"/>
                    </a:xfrm>
                    <a:prstGeom prst="rect">
                      <a:avLst/>
                    </a:prstGeom>
                  </pic:spPr>
                </pic:pic>
              </a:graphicData>
            </a:graphic>
          </wp:inline>
        </w:drawing>
      </w:r>
      <w:r>
        <w:rPr>
          <w:rFonts w:ascii="Times New Roman" w:hAnsi="Times New Roman"/>
          <w:sz w:val="24"/>
        </w:rPr>
        <w:t xml:space="preserve"> Šīs pieejas trūkumu vidū ir šādi:</w:t>
      </w:r>
    </w:p>
    <w:p w14:paraId="3F8B277A"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netiešie dati, kas savākti no JV, kura nav galvenā JV, iespējams, ir mazāk precīzi (piemēram, lēmumu pieņemšanas iemesli);</w:t>
      </w:r>
    </w:p>
    <w:p w14:paraId="587647C3"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ir nepieciešami sīki izstrādāti noteikumi datu konsolidācijai, jo īpaši attiecībā uz tiem mainīgajiem lielumiem, kas nav saskaitāmi;</w:t>
      </w:r>
    </w:p>
    <w:p w14:paraId="4CABF8E1"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iespējams, izlase būs lielāka nekā tad, ja piemērotu galvenās JV pieeju, jo uz apsekojuma jautājumiem būs jāatbild vairāk JV;</w:t>
      </w:r>
    </w:p>
    <w:p w14:paraId="7C779EEF"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iztrūkstošie rādītāji – ne visas uzņēmuma JV atbildēs.</w:t>
      </w:r>
    </w:p>
    <w:p w14:paraId="141936CE"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53" w:name="B._HEAD_LEU_APPROACH"/>
      <w:bookmarkEnd w:id="53"/>
    </w:p>
    <w:p w14:paraId="2658399B"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B. GALVENĀS JV PIEEJA</w:t>
      </w:r>
    </w:p>
    <w:p w14:paraId="21A6AEB3" w14:textId="77777777" w:rsidR="004323C0" w:rsidRPr="004323C0" w:rsidRDefault="004323C0" w:rsidP="004323C0">
      <w:pPr>
        <w:pStyle w:val="BodyText"/>
        <w:jc w:val="both"/>
        <w:rPr>
          <w:rFonts w:ascii="Times New Roman" w:hAnsi="Times New Roman" w:cs="Times New Roman"/>
          <w:noProof/>
          <w:sz w:val="24"/>
          <w:szCs w:val="24"/>
        </w:rPr>
      </w:pPr>
    </w:p>
    <w:p w14:paraId="1288D62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Šī pieeja ietver datu savākšanu tikai no tās JV, kas identificēta kā uzņēmuma galvenā JV.</w:t>
      </w:r>
    </w:p>
    <w:p w14:paraId="268B864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noProof/>
          <w:sz w:val="24"/>
        </w:rPr>
        <w:drawing>
          <wp:inline distT="0" distB="0" distL="0" distR="0" wp14:anchorId="3CB9E246" wp14:editId="422A6E59">
            <wp:extent cx="125526" cy="12065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8" cstate="print"/>
                    <a:stretch>
                      <a:fillRect/>
                    </a:stretch>
                  </pic:blipFill>
                  <pic:spPr>
                    <a:xfrm>
                      <a:off x="0" y="0"/>
                      <a:ext cx="125526" cy="120650"/>
                    </a:xfrm>
                    <a:prstGeom prst="rect">
                      <a:avLst/>
                    </a:prstGeom>
                  </pic:spPr>
                </pic:pic>
              </a:graphicData>
            </a:graphic>
          </wp:inline>
        </w:drawing>
      </w:r>
      <w:r>
        <w:rPr>
          <w:rFonts w:ascii="Times New Roman" w:hAnsi="Times New Roman"/>
          <w:sz w:val="24"/>
        </w:rPr>
        <w:t xml:space="preserve"> Šīs pieejas priekšrocību vidū ir šādas:</w:t>
      </w:r>
    </w:p>
    <w:p w14:paraId="51AC41C4"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atbildes uz savstarpēji izslēdzošiem jautājumiem tiek vāktas tikai no galvenās JV, tāpēc nepastāv risks, ka divas vai vairāk dažādas JV sniegs savstarpēji pretrunīgas atbildes;</w:t>
      </w:r>
    </w:p>
    <w:p w14:paraId="5863D777"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tas, ka uz apsekojuma jautājumiem atbild tikai galvenā JV (lēmumu pieņemšanas centrs), nozīmē</w:t>
      </w:r>
      <w:bookmarkStart w:id="54" w:name="_bookmark12"/>
      <w:bookmarkEnd w:id="54"/>
      <w:r>
        <w:rPr>
          <w:rFonts w:ascii="Times New Roman" w:hAnsi="Times New Roman"/>
          <w:sz w:val="24"/>
        </w:rPr>
        <w:t>, ka atbildes uz jautājumiem uzņēmuma līmenī, iespējams, būs precīzākas;</w:t>
      </w:r>
    </w:p>
    <w:p w14:paraId="094DD337"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izlase var būt mazāka, jo uz apsekojuma jautājumiem atbild tikai viena JV no katra uzņēmuma;</w:t>
      </w:r>
    </w:p>
    <w:p w14:paraId="09AC9670"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nav nepieciešami datu konsolidācijas noteikumi.</w:t>
      </w:r>
    </w:p>
    <w:p w14:paraId="3D13F5AB" w14:textId="77777777" w:rsidR="004323C0" w:rsidRPr="004323C0" w:rsidRDefault="004323C0" w:rsidP="004323C0">
      <w:pPr>
        <w:pStyle w:val="BodyText"/>
        <w:jc w:val="both"/>
        <w:rPr>
          <w:rFonts w:ascii="Times New Roman" w:hAnsi="Times New Roman" w:cs="Times New Roman"/>
          <w:noProof/>
          <w:sz w:val="24"/>
          <w:szCs w:val="24"/>
        </w:rPr>
      </w:pPr>
    </w:p>
    <w:p w14:paraId="41C476B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noProof/>
          <w:sz w:val="24"/>
        </w:rPr>
        <w:drawing>
          <wp:inline distT="0" distB="0" distL="0" distR="0" wp14:anchorId="70D81AC8" wp14:editId="2D884B51">
            <wp:extent cx="105460" cy="35242"/>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9" cstate="print"/>
                    <a:stretch>
                      <a:fillRect/>
                    </a:stretch>
                  </pic:blipFill>
                  <pic:spPr>
                    <a:xfrm>
                      <a:off x="0" y="0"/>
                      <a:ext cx="105460" cy="35242"/>
                    </a:xfrm>
                    <a:prstGeom prst="rect">
                      <a:avLst/>
                    </a:prstGeom>
                  </pic:spPr>
                </pic:pic>
              </a:graphicData>
            </a:graphic>
          </wp:inline>
        </w:drawing>
      </w:r>
      <w:r>
        <w:rPr>
          <w:rFonts w:ascii="Times New Roman" w:hAnsi="Times New Roman"/>
          <w:sz w:val="24"/>
        </w:rPr>
        <w:t xml:space="preserve"> Šīs pieejas trūkumu vidū ir šādi:</w:t>
      </w:r>
    </w:p>
    <w:p w14:paraId="290A286A"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galvenajai JV ir nepieciešams izskaidrot uzņēmuma jēdzienu;</w:t>
      </w:r>
    </w:p>
    <w:p w14:paraId="05BD2242"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ir nepieciešami noteikumi uzņēmuma galvenās JV iepriekšējai identificēšanai;</w:t>
      </w:r>
    </w:p>
    <w:p w14:paraId="43D7F6D9" w14:textId="77777777" w:rsidR="004323C0" w:rsidRPr="004323C0" w:rsidRDefault="004323C0" w:rsidP="004323C0">
      <w:pPr>
        <w:pStyle w:val="ListParagraph"/>
        <w:numPr>
          <w:ilvl w:val="1"/>
          <w:numId w:val="5"/>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ja uzņēmuma galvenā JV nav pareizi identificēta, apsekojuma anketa, iespējams, būs atkārtoti jānosūta citai JV šajā uzņēmumā;</w:t>
      </w:r>
    </w:p>
    <w:p w14:paraId="4F25B780" w14:textId="77777777" w:rsidR="004323C0" w:rsidRPr="004323C0" w:rsidRDefault="004323C0" w:rsidP="004323C0">
      <w:pPr>
        <w:pStyle w:val="ListParagraph"/>
        <w:numPr>
          <w:ilvl w:val="1"/>
          <w:numId w:val="5"/>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lūgšana galvenajai JV sniegt datus par visu uzņēmumu nozīmē arī lūgt tai konsolidēt šos datus. Šī pieeja var būt izdevīga VSI, taču ir pretrunā ilgtermiņa mērķim samazināt slogu respondentiem;</w:t>
      </w:r>
    </w:p>
    <w:p w14:paraId="74FD8D14" w14:textId="77777777" w:rsidR="004323C0" w:rsidRPr="004323C0" w:rsidRDefault="004323C0" w:rsidP="004323C0">
      <w:pPr>
        <w:pStyle w:val="ListParagraph"/>
        <w:numPr>
          <w:ilvl w:val="1"/>
          <w:numId w:val="5"/>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juridiskie vai datu aizsardzības faktori var liegt galvenajai JV sniegt informāciju par citu JV darbību;</w:t>
      </w:r>
    </w:p>
    <w:p w14:paraId="3E1A2177" w14:textId="77777777" w:rsidR="004323C0" w:rsidRPr="004323C0" w:rsidRDefault="004323C0" w:rsidP="004323C0">
      <w:pPr>
        <w:pStyle w:val="ListParagraph"/>
        <w:numPr>
          <w:ilvl w:val="1"/>
          <w:numId w:val="5"/>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galvenās (vadošās) JV personālam var nebūt nepieciešamās informācijas par citām attiecīgajām JV, un tās var nevēlēties vākt nepieciešamos datus.</w:t>
      </w:r>
    </w:p>
    <w:p w14:paraId="0B82ACF9" w14:textId="77777777" w:rsidR="004323C0" w:rsidRPr="004323C0" w:rsidRDefault="004323C0" w:rsidP="004323C0">
      <w:pPr>
        <w:tabs>
          <w:tab w:val="left" w:pos="840"/>
          <w:tab w:val="left" w:pos="842"/>
        </w:tabs>
        <w:ind w:left="284"/>
        <w:rPr>
          <w:rFonts w:ascii="Times New Roman" w:hAnsi="Times New Roman" w:cs="Times New Roman"/>
          <w:noProof/>
          <w:sz w:val="24"/>
          <w:szCs w:val="24"/>
        </w:rPr>
      </w:pPr>
    </w:p>
    <w:p w14:paraId="2F327EA9" w14:textId="77777777" w:rsidR="004323C0" w:rsidRPr="004323C0" w:rsidRDefault="004323C0" w:rsidP="00EC4482">
      <w:pPr>
        <w:pStyle w:val="BodyText"/>
        <w:keepNext/>
        <w:keepLines/>
        <w:jc w:val="both"/>
        <w:rPr>
          <w:rFonts w:ascii="Times New Roman" w:hAnsi="Times New Roman" w:cs="Times New Roman"/>
          <w:b/>
          <w:bCs/>
          <w:noProof/>
          <w:color w:val="466DB4"/>
          <w:sz w:val="24"/>
          <w:szCs w:val="24"/>
        </w:rPr>
      </w:pPr>
      <w:bookmarkStart w:id="55" w:name="C._HYBRID_APPROACH"/>
      <w:bookmarkEnd w:id="55"/>
      <w:r>
        <w:rPr>
          <w:rFonts w:ascii="Times New Roman" w:hAnsi="Times New Roman"/>
          <w:b/>
          <w:color w:val="466DB4"/>
          <w:sz w:val="24"/>
        </w:rPr>
        <w:t>C. JAUKTĀ PIEEJA</w:t>
      </w:r>
    </w:p>
    <w:p w14:paraId="3F31E7B2" w14:textId="77777777" w:rsidR="004323C0" w:rsidRPr="004323C0" w:rsidRDefault="004323C0" w:rsidP="00EC4482">
      <w:pPr>
        <w:pStyle w:val="BodyText"/>
        <w:keepNext/>
        <w:keepLines/>
        <w:jc w:val="both"/>
        <w:rPr>
          <w:rFonts w:ascii="Times New Roman" w:hAnsi="Times New Roman" w:cs="Times New Roman"/>
          <w:noProof/>
          <w:sz w:val="24"/>
          <w:szCs w:val="24"/>
        </w:rPr>
      </w:pPr>
    </w:p>
    <w:p w14:paraId="78926A62" w14:textId="77777777" w:rsidR="004323C0" w:rsidRPr="004323C0" w:rsidRDefault="004323C0" w:rsidP="00EC4482">
      <w:pPr>
        <w:pStyle w:val="BodyText"/>
        <w:keepNext/>
        <w:keepLines/>
        <w:jc w:val="both"/>
        <w:rPr>
          <w:rFonts w:ascii="Times New Roman" w:hAnsi="Times New Roman" w:cs="Times New Roman"/>
          <w:noProof/>
          <w:sz w:val="24"/>
          <w:szCs w:val="24"/>
        </w:rPr>
      </w:pPr>
      <w:r>
        <w:rPr>
          <w:rFonts w:ascii="Times New Roman" w:hAnsi="Times New Roman"/>
          <w:sz w:val="24"/>
        </w:rPr>
        <w:t>Šī pieeja ietver gan JV līmeņa pieejas, gan galvenās JV pieejas izmantošanu un ir atkarīga no katras dalībvalsts īpašajiem apstākļiem.</w:t>
      </w:r>
    </w:p>
    <w:p w14:paraId="24081FD3" w14:textId="77777777" w:rsidR="004323C0" w:rsidRPr="004323C0" w:rsidRDefault="004323C0" w:rsidP="004323C0">
      <w:pPr>
        <w:pStyle w:val="BodyText"/>
        <w:jc w:val="both"/>
        <w:rPr>
          <w:rFonts w:ascii="Times New Roman" w:hAnsi="Times New Roman" w:cs="Times New Roman"/>
          <w:noProof/>
          <w:sz w:val="24"/>
          <w:szCs w:val="24"/>
        </w:rPr>
      </w:pPr>
    </w:p>
    <w:p w14:paraId="66B99C9E" w14:textId="77777777" w:rsidR="004323C0" w:rsidRPr="004323C0" w:rsidRDefault="004323C0" w:rsidP="004323C0">
      <w:pPr>
        <w:pStyle w:val="BodyText"/>
        <w:numPr>
          <w:ilvl w:val="0"/>
          <w:numId w:val="28"/>
        </w:numPr>
        <w:jc w:val="both"/>
        <w:rPr>
          <w:rFonts w:ascii="Times New Roman" w:hAnsi="Times New Roman" w:cs="Times New Roman"/>
          <w:noProof/>
          <w:sz w:val="24"/>
          <w:szCs w:val="24"/>
        </w:rPr>
      </w:pPr>
      <w:r>
        <w:rPr>
          <w:rFonts w:ascii="Times New Roman" w:hAnsi="Times New Roman"/>
          <w:sz w:val="24"/>
        </w:rPr>
        <w:t>Šīs pieejas priekšrocību vidū ir šādas:</w:t>
      </w:r>
    </w:p>
    <w:p w14:paraId="79BA57B9" w14:textId="77777777" w:rsidR="004323C0" w:rsidRPr="004323C0" w:rsidRDefault="004323C0" w:rsidP="004323C0">
      <w:pPr>
        <w:pStyle w:val="ListParagraph"/>
        <w:numPr>
          <w:ilvl w:val="0"/>
          <w:numId w:val="28"/>
        </w:numPr>
        <w:tabs>
          <w:tab w:val="left" w:pos="841"/>
        </w:tabs>
        <w:spacing w:before="0"/>
        <w:rPr>
          <w:rFonts w:ascii="Times New Roman" w:hAnsi="Times New Roman" w:cs="Times New Roman"/>
          <w:noProof/>
          <w:sz w:val="24"/>
          <w:szCs w:val="24"/>
        </w:rPr>
      </w:pPr>
      <w:r>
        <w:rPr>
          <w:rFonts w:ascii="Times New Roman" w:hAnsi="Times New Roman"/>
          <w:sz w:val="24"/>
        </w:rPr>
        <w:t>tā varētu būt precīzāka nekā pirmās divas pieejas;</w:t>
      </w:r>
    </w:p>
    <w:p w14:paraId="7CC45DD9"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to var būt vienkāršāk piemērot (atkarībā no valsts statistikas sistēmas un reģistru kvalitātes);</w:t>
      </w:r>
    </w:p>
    <w:p w14:paraId="14514199"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tādas pašas iespējamās priekšrocības kā pirmajām divām pieejām.</w:t>
      </w:r>
    </w:p>
    <w:p w14:paraId="0C4E567D" w14:textId="77777777" w:rsidR="004323C0" w:rsidRPr="004323C0" w:rsidRDefault="004323C0" w:rsidP="004323C0">
      <w:pPr>
        <w:tabs>
          <w:tab w:val="left" w:pos="841"/>
        </w:tabs>
        <w:ind w:left="284"/>
        <w:rPr>
          <w:rFonts w:ascii="Times New Roman" w:hAnsi="Times New Roman" w:cs="Times New Roman"/>
          <w:noProof/>
          <w:sz w:val="24"/>
          <w:szCs w:val="24"/>
        </w:rPr>
      </w:pPr>
    </w:p>
    <w:p w14:paraId="3458ACF6" w14:textId="77777777" w:rsidR="004323C0" w:rsidRPr="004323C0" w:rsidRDefault="004323C0" w:rsidP="004323C0">
      <w:pPr>
        <w:tabs>
          <w:tab w:val="left" w:pos="841"/>
        </w:tabs>
        <w:rPr>
          <w:rFonts w:ascii="Times New Roman" w:hAnsi="Times New Roman" w:cs="Times New Roman"/>
          <w:noProof/>
          <w:sz w:val="24"/>
          <w:szCs w:val="24"/>
        </w:rPr>
      </w:pPr>
      <w:r>
        <w:rPr>
          <w:rFonts w:ascii="Times New Roman" w:hAnsi="Times New Roman"/>
          <w:noProof/>
          <w:sz w:val="24"/>
        </w:rPr>
        <w:drawing>
          <wp:inline distT="0" distB="0" distL="0" distR="0" wp14:anchorId="60BE2230" wp14:editId="79327B61">
            <wp:extent cx="105460" cy="35242"/>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9" cstate="print"/>
                    <a:stretch>
                      <a:fillRect/>
                    </a:stretch>
                  </pic:blipFill>
                  <pic:spPr>
                    <a:xfrm>
                      <a:off x="0" y="0"/>
                      <a:ext cx="105460" cy="35242"/>
                    </a:xfrm>
                    <a:prstGeom prst="rect">
                      <a:avLst/>
                    </a:prstGeom>
                  </pic:spPr>
                </pic:pic>
              </a:graphicData>
            </a:graphic>
          </wp:inline>
        </w:drawing>
      </w:r>
      <w:r>
        <w:rPr>
          <w:rFonts w:ascii="Times New Roman" w:hAnsi="Times New Roman"/>
          <w:sz w:val="24"/>
        </w:rPr>
        <w:t xml:space="preserve"> Šīs pieejas trūkumu vidū ir šādi:</w:t>
      </w:r>
    </w:p>
    <w:p w14:paraId="48F03202"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dati, kas savākti, izmantojot divas dažādas pieejas, varētu būt pretrunīgi;</w:t>
      </w:r>
    </w:p>
    <w:p w14:paraId="41BB4BFF"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šī jauktā pieeja var būt sarežģītāk īstenojama;</w:t>
      </w:r>
    </w:p>
    <w:p w14:paraId="495F443C" w14:textId="77777777" w:rsidR="004323C0" w:rsidRPr="004323C0" w:rsidRDefault="004323C0" w:rsidP="004323C0">
      <w:pPr>
        <w:pStyle w:val="ListParagraph"/>
        <w:numPr>
          <w:ilvl w:val="1"/>
          <w:numId w:val="5"/>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tādi paši iespējamie trūkumi kā pirmajām divām pieejām.</w:t>
      </w:r>
    </w:p>
    <w:p w14:paraId="66C9A064" w14:textId="77777777" w:rsidR="004323C0" w:rsidRPr="004323C0" w:rsidRDefault="004323C0" w:rsidP="004323C0">
      <w:pPr>
        <w:pStyle w:val="BodyText"/>
        <w:jc w:val="both"/>
        <w:rPr>
          <w:rFonts w:ascii="Times New Roman" w:hAnsi="Times New Roman" w:cs="Times New Roman"/>
          <w:noProof/>
          <w:sz w:val="24"/>
          <w:szCs w:val="24"/>
        </w:rPr>
      </w:pPr>
    </w:p>
    <w:p w14:paraId="601AFA10" w14:textId="77777777" w:rsidR="004323C0" w:rsidRPr="004323C0" w:rsidRDefault="004323C0" w:rsidP="004323C0">
      <w:pPr>
        <w:pStyle w:val="Heading2"/>
        <w:rPr>
          <w:color w:val="auto"/>
        </w:rPr>
      </w:pPr>
      <w:bookmarkStart w:id="56" w:name="_TOC_250015"/>
      <w:bookmarkEnd w:id="56"/>
      <w:r>
        <w:rPr>
          <w:color w:val="auto"/>
        </w:rPr>
        <w:t>Ieteikums</w:t>
      </w:r>
    </w:p>
    <w:p w14:paraId="05F81A92" w14:textId="77777777" w:rsidR="004323C0" w:rsidRPr="004323C0" w:rsidRDefault="004323C0" w:rsidP="004323C0">
      <w:pPr>
        <w:pStyle w:val="BodyText"/>
        <w:jc w:val="both"/>
        <w:rPr>
          <w:rFonts w:ascii="Times New Roman" w:hAnsi="Times New Roman" w:cs="Times New Roman"/>
          <w:noProof/>
          <w:sz w:val="24"/>
          <w:szCs w:val="24"/>
        </w:rPr>
      </w:pPr>
    </w:p>
    <w:p w14:paraId="1A2015F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Dalībvalstīm, kurās ir mazāk JV, iespējams, JV līmeņa pieeja ir piemērotāka. Iepriekšējos brīvprātīgajos GVĶ vai starptautiskās sagādes apsekojumos šīs ekonomikas bieži ir veikušas pilnu apsekojumu, un tās var labāk pārzināt savus uzņēmumus. Datu vākšana notiek līdzīgā veidā kā iepriekšējos apsekojumos, taču datu ziņošana notiks uzņēmuma līmenī. Ir jāievēro datu konsolidācijas noteikumi.</w:t>
      </w:r>
    </w:p>
    <w:p w14:paraId="5BF6ECFC"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Dalībvalstīm, kurās ir vairāk JV, iespējams, piemērotāka ir galvenās JV pieeja. Šīs pieejas galvenā priekšrocība ir tā, ka ir jāsazinās tikai ar galveno JV. Iespējams, ka valstis jau ir pieredzējušas “lielo vienību” un progresīvas profilēšanas metodes, kas atvieglos galvenās JV identificēšanu.</w:t>
      </w:r>
    </w:p>
    <w:p w14:paraId="2AEE53F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Var paredzēt arī abu pieeju apvienošanu (jauktā pieeja). Piemēram, būtu iespējams apsekot lielāko uzņēmumu galvenās JV, bet attiecībā uz mazākiem uzņēmumiem (t. i. tiem, kas sastāv no 2–3 JV, jo acīmredzot nav problēmu, ja uzņēmumam ir tikai viena JV) izmantot JV līmeņa pieeju.</w:t>
      </w:r>
    </w:p>
    <w:p w14:paraId="141905F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Laba prakse varētu būt jau pašā sākumā lūgt uzņēmumam norādīt attiecīgu kontaktpersonu vai juridisko vienību, kas varētu sniegt atbildes uz apsekojuma jautājumiem.</w:t>
      </w:r>
    </w:p>
    <w:p w14:paraId="1F060A7B" w14:textId="77777777" w:rsidR="004323C0" w:rsidRPr="004323C0" w:rsidRDefault="004323C0" w:rsidP="004323C0">
      <w:pPr>
        <w:pStyle w:val="BodyText"/>
        <w:jc w:val="both"/>
        <w:rPr>
          <w:rFonts w:ascii="Times New Roman" w:hAnsi="Times New Roman" w:cs="Times New Roman"/>
          <w:noProof/>
          <w:sz w:val="24"/>
          <w:szCs w:val="24"/>
        </w:rPr>
      </w:pPr>
    </w:p>
    <w:p w14:paraId="45CCC3EF"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57" w:name="TARGET_POPULATION"/>
      <w:bookmarkEnd w:id="57"/>
      <w:r>
        <w:rPr>
          <w:rFonts w:ascii="Times New Roman" w:hAnsi="Times New Roman"/>
          <w:b/>
          <w:color w:val="466DB4"/>
          <w:sz w:val="24"/>
        </w:rPr>
        <w:t>MĒRĶA POPULĀCIJA</w:t>
      </w:r>
    </w:p>
    <w:p w14:paraId="5B858AF4" w14:textId="77777777" w:rsidR="004323C0" w:rsidRPr="004323C0" w:rsidRDefault="004323C0" w:rsidP="004323C0">
      <w:pPr>
        <w:pStyle w:val="BodyText"/>
        <w:jc w:val="both"/>
        <w:rPr>
          <w:rFonts w:ascii="Times New Roman" w:hAnsi="Times New Roman" w:cs="Times New Roman"/>
          <w:noProof/>
          <w:sz w:val="24"/>
          <w:szCs w:val="24"/>
        </w:rPr>
      </w:pPr>
    </w:p>
    <w:p w14:paraId="2D30986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Lielākajai daļai uzņēmumu parasti ir tikai viena JV, bet GVĶ apsekojumam ir dažas īpatnības.</w:t>
      </w:r>
    </w:p>
    <w:p w14:paraId="3C5327CB"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Tā mērķa uzņēmumi ir tikai lielie un vidējie uzņēmumi (50 vai vairāk darbinieku).</w:t>
      </w:r>
    </w:p>
    <w:p w14:paraId="5D2A6D10" w14:textId="77777777" w:rsidR="004323C0" w:rsidRPr="004323C0" w:rsidRDefault="004323C0" w:rsidP="004323C0">
      <w:pPr>
        <w:pStyle w:val="ListParagraph"/>
        <w:numPr>
          <w:ilvl w:val="1"/>
          <w:numId w:val="5"/>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Visticamāk, ka vislielākie uzņēmumi ir visvairāk iesaistīti GVĶ un starptautiskā sagādē, lai gan to var darīt arī mazāki uzņēmumi. Piemēram, kādā valstī rezidējoša starptautiska uzņēmuma daļa var būt salīdzinoši maza, taču tā tik un tā kontrolē ievērojamu starptautisku grupu (piemēram, sagādes vai pārņemšanas rezultātā). Tad šķistu, ka tajā ir mazāk darbinieku.</w:t>
      </w:r>
    </w:p>
    <w:p w14:paraId="3FA6E23E" w14:textId="77777777" w:rsidR="004323C0" w:rsidRPr="004323C0" w:rsidRDefault="004323C0" w:rsidP="004323C0">
      <w:pPr>
        <w:pStyle w:val="ListParagraph"/>
        <w:numPr>
          <w:ilvl w:val="1"/>
          <w:numId w:val="5"/>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Jo lielāks uzņēmums, jo lielāka iespējamība, ka tajā būs vairāk nekā viena JV.</w:t>
      </w:r>
    </w:p>
    <w:p w14:paraId="00423FCA" w14:textId="77777777" w:rsidR="004323C0" w:rsidRPr="004323C0" w:rsidRDefault="004323C0" w:rsidP="004323C0">
      <w:pPr>
        <w:pStyle w:val="BodyText"/>
        <w:jc w:val="both"/>
        <w:rPr>
          <w:rFonts w:ascii="Times New Roman" w:hAnsi="Times New Roman" w:cs="Times New Roman"/>
          <w:noProof/>
          <w:sz w:val="24"/>
          <w:szCs w:val="24"/>
        </w:rPr>
      </w:pPr>
    </w:p>
    <w:p w14:paraId="0895E50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Mazākas vienības var kontrolēt citas JV, un kopējais darbinieku skaits var būt 50 vai vairāk (pat ja katrā JV ir mazāk nekā 50 darbinieku). Šādu uzņēmumu vajadzētu iekļaut GVĶ apsekojumā.</w:t>
      </w:r>
    </w:p>
    <w:p w14:paraId="797F08D0" w14:textId="77777777" w:rsidR="004323C0" w:rsidRPr="004323C0" w:rsidRDefault="004323C0" w:rsidP="00EC4482">
      <w:pPr>
        <w:pStyle w:val="BodyText"/>
        <w:keepNext/>
        <w:keepLines/>
        <w:jc w:val="both"/>
        <w:rPr>
          <w:rFonts w:ascii="Times New Roman" w:hAnsi="Times New Roman" w:cs="Times New Roman"/>
          <w:noProof/>
          <w:sz w:val="24"/>
          <w:szCs w:val="24"/>
        </w:rPr>
      </w:pPr>
      <w:r>
        <w:rPr>
          <w:rFonts w:ascii="Times New Roman" w:hAnsi="Times New Roman"/>
          <w:sz w:val="24"/>
        </w:rPr>
        <w:t>Lai uzņēmumu iekļautu GVĶ apsekojuma populācijā, ir jābūt patiesiem abiem šiem diviem apgalvojumiem:</w:t>
      </w:r>
    </w:p>
    <w:p w14:paraId="19821DA6" w14:textId="77777777" w:rsidR="004323C0" w:rsidRPr="004323C0" w:rsidRDefault="004323C0" w:rsidP="00EC4482">
      <w:pPr>
        <w:pStyle w:val="ListParagraph"/>
        <w:keepNext/>
        <w:keepLines/>
        <w:tabs>
          <w:tab w:val="left" w:pos="840"/>
        </w:tabs>
        <w:spacing w:before="0"/>
        <w:ind w:left="284" w:firstLine="0"/>
        <w:rPr>
          <w:rFonts w:ascii="Times New Roman" w:hAnsi="Times New Roman" w:cs="Times New Roman"/>
          <w:noProof/>
          <w:sz w:val="24"/>
          <w:szCs w:val="24"/>
        </w:rPr>
      </w:pPr>
      <w:r>
        <w:rPr>
          <w:rFonts w:ascii="Times New Roman" w:hAnsi="Times New Roman"/>
          <w:sz w:val="24"/>
        </w:rPr>
        <w:t xml:space="preserve">1) uzņēmuma pamatdarbības </w:t>
      </w:r>
      <w:r>
        <w:rPr>
          <w:rFonts w:ascii="Times New Roman" w:hAnsi="Times New Roman"/>
          <w:i/>
          <w:iCs/>
          <w:sz w:val="24"/>
        </w:rPr>
        <w:t>NACE</w:t>
      </w:r>
      <w:r>
        <w:rPr>
          <w:rFonts w:ascii="Times New Roman" w:hAnsi="Times New Roman"/>
          <w:sz w:val="24"/>
        </w:rPr>
        <w:t xml:space="preserve"> kods ietilpst B–N sadaļā un</w:t>
      </w:r>
    </w:p>
    <w:p w14:paraId="2FB82ADE" w14:textId="77777777" w:rsidR="004323C0" w:rsidRPr="004323C0" w:rsidRDefault="004323C0" w:rsidP="00EC4482">
      <w:pPr>
        <w:pStyle w:val="ListParagraph"/>
        <w:keepNext/>
        <w:keepLines/>
        <w:tabs>
          <w:tab w:val="left" w:pos="841"/>
        </w:tabs>
        <w:spacing w:before="0"/>
        <w:ind w:left="284" w:firstLine="0"/>
        <w:rPr>
          <w:rFonts w:ascii="Times New Roman" w:hAnsi="Times New Roman" w:cs="Times New Roman"/>
          <w:noProof/>
          <w:sz w:val="24"/>
          <w:szCs w:val="24"/>
        </w:rPr>
      </w:pPr>
      <w:r>
        <w:rPr>
          <w:rFonts w:ascii="Times New Roman" w:hAnsi="Times New Roman"/>
          <w:sz w:val="24"/>
        </w:rPr>
        <w:t>2) uzņēmuma darbinieku un pašnodarbināto personu kopskaits ir 50 vai vairāk.</w:t>
      </w:r>
    </w:p>
    <w:p w14:paraId="47515E04" w14:textId="77777777" w:rsidR="004323C0" w:rsidRPr="004323C0" w:rsidRDefault="004323C0" w:rsidP="004323C0">
      <w:pPr>
        <w:pStyle w:val="BodyText"/>
        <w:jc w:val="both"/>
        <w:rPr>
          <w:rFonts w:ascii="Times New Roman" w:hAnsi="Times New Roman" w:cs="Times New Roman"/>
          <w:noProof/>
          <w:sz w:val="24"/>
          <w:szCs w:val="24"/>
        </w:rPr>
      </w:pPr>
    </w:p>
    <w:p w14:paraId="1790915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VSI parasti jau zina, kā noskaidrot pamatdarbību saskaņā ar </w:t>
      </w:r>
      <w:r>
        <w:rPr>
          <w:rFonts w:ascii="Times New Roman" w:hAnsi="Times New Roman"/>
          <w:i/>
          <w:iCs/>
          <w:sz w:val="24"/>
        </w:rPr>
        <w:t>NACE</w:t>
      </w:r>
      <w:r>
        <w:rPr>
          <w:rFonts w:ascii="Times New Roman" w:hAnsi="Times New Roman"/>
          <w:sz w:val="24"/>
        </w:rPr>
        <w:t xml:space="preserve"> un uzņēmuma lielumu, tostarp uzņēmumiem, kuros ir divas vai vairāk JV (piemēram, izmantojot SUR, profilēšanu vai lielo vienību nodaļas darbu). Tomēr, ja tas nav zināms, VSI kā alternatīvu pieeju var izmantot 4. diagrammā norādīto pieeju.</w:t>
      </w:r>
    </w:p>
    <w:p w14:paraId="2024F1A1" w14:textId="77777777" w:rsidR="004323C0" w:rsidRPr="004323C0" w:rsidRDefault="004323C0" w:rsidP="004323C0">
      <w:pPr>
        <w:jc w:val="both"/>
        <w:rPr>
          <w:rFonts w:ascii="Times New Roman" w:hAnsi="Times New Roman" w:cs="Times New Roman"/>
          <w:noProof/>
          <w:sz w:val="24"/>
          <w:szCs w:val="24"/>
        </w:rPr>
      </w:pPr>
    </w:p>
    <w:p w14:paraId="235574D1" w14:textId="77777777" w:rsidR="004323C0" w:rsidRPr="004323C0" w:rsidRDefault="004323C0" w:rsidP="004323C0">
      <w:pPr>
        <w:pStyle w:val="BodyText"/>
        <w:jc w:val="center"/>
        <w:rPr>
          <w:rFonts w:ascii="Times New Roman" w:hAnsi="Times New Roman" w:cs="Times New Roman"/>
          <w:noProof/>
          <w:sz w:val="24"/>
          <w:szCs w:val="24"/>
        </w:rPr>
      </w:pPr>
      <w:r>
        <w:rPr>
          <w:rFonts w:ascii="Times New Roman" w:hAnsi="Times New Roman"/>
          <w:noProof/>
          <w:sz w:val="24"/>
        </w:rPr>
        <w:drawing>
          <wp:inline distT="0" distB="0" distL="0" distR="0" wp14:anchorId="20B42051" wp14:editId="39488271">
            <wp:extent cx="4949818" cy="4303585"/>
            <wp:effectExtent l="0" t="0" r="0" b="0"/>
            <wp:docPr id="90" name="Image 90" descr="This figure presents a simplified flowchart showing how to determine the target popul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descr="This figure presents a simplified flowchart showing how to determine the target population.  "/>
                    <pic:cNvPicPr/>
                  </pic:nvPicPr>
                  <pic:blipFill>
                    <a:blip r:embed="rId20" cstate="print"/>
                    <a:stretch>
                      <a:fillRect/>
                    </a:stretch>
                  </pic:blipFill>
                  <pic:spPr>
                    <a:xfrm>
                      <a:off x="0" y="0"/>
                      <a:ext cx="4949818" cy="4303585"/>
                    </a:xfrm>
                    <a:prstGeom prst="rect">
                      <a:avLst/>
                    </a:prstGeom>
                  </pic:spPr>
                </pic:pic>
              </a:graphicData>
            </a:graphic>
          </wp:inline>
        </w:drawing>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EC4482" w:rsidRPr="004323C0" w14:paraId="0C567C8B" w14:textId="77777777" w:rsidTr="00EC4482">
        <w:tc>
          <w:tcPr>
            <w:tcW w:w="2500" w:type="pct"/>
          </w:tcPr>
          <w:p w14:paraId="4699EE19" w14:textId="5C3C0507" w:rsidR="00EC4482" w:rsidRPr="00EC4482" w:rsidRDefault="00EC4482" w:rsidP="00EC4482">
            <w:pPr>
              <w:pStyle w:val="BodyText"/>
              <w:jc w:val="center"/>
              <w:rPr>
                <w:rFonts w:ascii="Times New Roman" w:hAnsi="Times New Roman" w:cs="Times New Roman"/>
                <w:b/>
                <w:bCs/>
                <w:noProof/>
                <w:sz w:val="24"/>
                <w:szCs w:val="24"/>
              </w:rPr>
            </w:pPr>
            <w:r w:rsidRPr="00EC4482">
              <w:rPr>
                <w:rFonts w:ascii="Times New Roman" w:hAnsi="Times New Roman" w:cs="Times New Roman"/>
                <w:b/>
                <w:bCs/>
                <w:noProof/>
                <w:sz w:val="24"/>
                <w:szCs w:val="24"/>
              </w:rPr>
              <w:t>Angļu val.</w:t>
            </w:r>
          </w:p>
        </w:tc>
        <w:tc>
          <w:tcPr>
            <w:tcW w:w="2500" w:type="pct"/>
          </w:tcPr>
          <w:p w14:paraId="1A500EDA" w14:textId="45768686" w:rsidR="00EC4482" w:rsidRPr="00EC4482" w:rsidRDefault="00EC4482" w:rsidP="00EC4482">
            <w:pPr>
              <w:pStyle w:val="BodyText"/>
              <w:jc w:val="center"/>
              <w:rPr>
                <w:rFonts w:ascii="Times New Roman" w:hAnsi="Times New Roman"/>
                <w:b/>
                <w:bCs/>
                <w:sz w:val="24"/>
              </w:rPr>
            </w:pPr>
            <w:r w:rsidRPr="00EC4482">
              <w:rPr>
                <w:rFonts w:ascii="Times New Roman" w:hAnsi="Times New Roman"/>
                <w:b/>
                <w:bCs/>
                <w:sz w:val="24"/>
              </w:rPr>
              <w:t>Latviešu val.</w:t>
            </w:r>
          </w:p>
        </w:tc>
      </w:tr>
      <w:tr w:rsidR="00535BBD" w:rsidRPr="004323C0" w14:paraId="7C1D4BB5" w14:textId="77777777" w:rsidTr="00EC4482">
        <w:tc>
          <w:tcPr>
            <w:tcW w:w="2500" w:type="pct"/>
          </w:tcPr>
          <w:p w14:paraId="206F3F5C" w14:textId="0EFB9EDB"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YES</w:t>
            </w:r>
          </w:p>
        </w:tc>
        <w:tc>
          <w:tcPr>
            <w:tcW w:w="2500" w:type="pct"/>
          </w:tcPr>
          <w:p w14:paraId="531293AA" w14:textId="3CFF59BE"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JĀ</w:t>
            </w:r>
          </w:p>
        </w:tc>
      </w:tr>
      <w:tr w:rsidR="00535BBD" w:rsidRPr="004323C0" w14:paraId="2EBC60D2" w14:textId="77777777" w:rsidTr="00EC4482">
        <w:tc>
          <w:tcPr>
            <w:tcW w:w="2500" w:type="pct"/>
          </w:tcPr>
          <w:p w14:paraId="0AEE4E07" w14:textId="28450A84"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NO</w:t>
            </w:r>
          </w:p>
        </w:tc>
        <w:tc>
          <w:tcPr>
            <w:tcW w:w="2500" w:type="pct"/>
          </w:tcPr>
          <w:p w14:paraId="6EB726F2" w14:textId="2B229DE6"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NĒ</w:t>
            </w:r>
          </w:p>
        </w:tc>
      </w:tr>
      <w:tr w:rsidR="00535BBD" w:rsidRPr="004323C0" w14:paraId="65A59055" w14:textId="77777777" w:rsidTr="00EC4482">
        <w:tc>
          <w:tcPr>
            <w:tcW w:w="2500" w:type="pct"/>
          </w:tcPr>
          <w:p w14:paraId="0BDB1A74" w14:textId="59D8FC0C"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Is there more than one LeU in the SU ENT?</w:t>
            </w:r>
          </w:p>
        </w:tc>
        <w:tc>
          <w:tcPr>
            <w:tcW w:w="2500" w:type="pct"/>
          </w:tcPr>
          <w:p w14:paraId="38C3EEA6" w14:textId="6A104C28"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Vai SV uzņēmumam ir vairāk nekā viena JV?</w:t>
            </w:r>
          </w:p>
        </w:tc>
      </w:tr>
      <w:tr w:rsidR="00535BBD" w:rsidRPr="004323C0" w14:paraId="53936D03" w14:textId="77777777" w:rsidTr="00EC4482">
        <w:tc>
          <w:tcPr>
            <w:tcW w:w="2500" w:type="pct"/>
          </w:tcPr>
          <w:p w14:paraId="1B9EFE3F" w14:textId="5F578A79"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All LeUs together = SU ENT</w:t>
            </w:r>
          </w:p>
        </w:tc>
        <w:tc>
          <w:tcPr>
            <w:tcW w:w="2500" w:type="pct"/>
          </w:tcPr>
          <w:p w14:paraId="584E33DC" w14:textId="0E467EF0"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Visas JV kopā = SV uzņēmums</w:t>
            </w:r>
          </w:p>
        </w:tc>
      </w:tr>
      <w:tr w:rsidR="00535BBD" w:rsidRPr="004323C0" w14:paraId="7764BDF8" w14:textId="77777777" w:rsidTr="00EC4482">
        <w:tc>
          <w:tcPr>
            <w:tcW w:w="2500" w:type="pct"/>
          </w:tcPr>
          <w:p w14:paraId="59C9DCDC" w14:textId="00FB7068"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LeU = SU ENT</w:t>
            </w:r>
          </w:p>
        </w:tc>
        <w:tc>
          <w:tcPr>
            <w:tcW w:w="2500" w:type="pct"/>
          </w:tcPr>
          <w:p w14:paraId="69AC6B05" w14:textId="41807FF3"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JV = SV uzņēmums</w:t>
            </w:r>
          </w:p>
        </w:tc>
      </w:tr>
      <w:tr w:rsidR="00535BBD" w:rsidRPr="004323C0" w14:paraId="3F91DA9B" w14:textId="77777777" w:rsidTr="00EC4482">
        <w:tc>
          <w:tcPr>
            <w:tcW w:w="2500" w:type="pct"/>
          </w:tcPr>
          <w:p w14:paraId="6ED8C0B6" w14:textId="1E486AE9"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 xml:space="preserve">Is the NACE activity of the </w:t>
            </w:r>
            <w:r w:rsidRPr="004323C0">
              <w:rPr>
                <w:rFonts w:ascii="Times New Roman" w:hAnsi="Times New Roman" w:cs="Times New Roman"/>
                <w:b/>
                <w:bCs/>
                <w:noProof/>
                <w:sz w:val="24"/>
                <w:szCs w:val="24"/>
              </w:rPr>
              <w:t xml:space="preserve">largest LeU in terms of person employed </w:t>
            </w:r>
            <w:r w:rsidRPr="004323C0">
              <w:rPr>
                <w:rFonts w:ascii="Times New Roman" w:hAnsi="Times New Roman" w:cs="Times New Roman"/>
                <w:noProof/>
                <w:sz w:val="24"/>
                <w:szCs w:val="24"/>
              </w:rPr>
              <w:t>in the range B-N?</w:t>
            </w:r>
          </w:p>
        </w:tc>
        <w:tc>
          <w:tcPr>
            <w:tcW w:w="2500" w:type="pct"/>
          </w:tcPr>
          <w:p w14:paraId="482439CB" w14:textId="79B9610B"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 xml:space="preserve">Vai darbinieku skaita ziņā lielākās JV darbība ir klasificēta </w:t>
            </w:r>
            <w:r>
              <w:rPr>
                <w:rFonts w:ascii="Times New Roman" w:hAnsi="Times New Roman"/>
                <w:i/>
                <w:iCs/>
                <w:sz w:val="24"/>
              </w:rPr>
              <w:t>NACE</w:t>
            </w:r>
            <w:r>
              <w:rPr>
                <w:rFonts w:ascii="Times New Roman" w:hAnsi="Times New Roman"/>
                <w:sz w:val="24"/>
              </w:rPr>
              <w:t xml:space="preserve"> B–N sadaļā?</w:t>
            </w:r>
          </w:p>
        </w:tc>
      </w:tr>
      <w:tr w:rsidR="00535BBD" w:rsidRPr="004323C0" w14:paraId="07C7B924" w14:textId="77777777" w:rsidTr="00EC4482">
        <w:tc>
          <w:tcPr>
            <w:tcW w:w="2500" w:type="pct"/>
          </w:tcPr>
          <w:p w14:paraId="597C538F" w14:textId="62D1D5B2"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Not in target population</w:t>
            </w:r>
          </w:p>
        </w:tc>
        <w:tc>
          <w:tcPr>
            <w:tcW w:w="2500" w:type="pct"/>
          </w:tcPr>
          <w:p w14:paraId="6564D3CF" w14:textId="57CCE60B"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Neietilpst mērķa populācijā</w:t>
            </w:r>
          </w:p>
        </w:tc>
      </w:tr>
      <w:tr w:rsidR="00535BBD" w:rsidRPr="004323C0" w14:paraId="6C41966F" w14:textId="77777777" w:rsidTr="00EC4482">
        <w:tc>
          <w:tcPr>
            <w:tcW w:w="2500" w:type="pct"/>
          </w:tcPr>
          <w:p w14:paraId="14165EA4" w14:textId="44919851"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Is the NACE activity of the LeU in the range B-N?</w:t>
            </w:r>
          </w:p>
        </w:tc>
        <w:tc>
          <w:tcPr>
            <w:tcW w:w="2500" w:type="pct"/>
          </w:tcPr>
          <w:p w14:paraId="047D8E69" w14:textId="6AA2285C"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 xml:space="preserve">Vai JV darbība ir klasificēta </w:t>
            </w:r>
            <w:r>
              <w:rPr>
                <w:rFonts w:ascii="Times New Roman" w:hAnsi="Times New Roman"/>
                <w:i/>
                <w:iCs/>
                <w:sz w:val="24"/>
              </w:rPr>
              <w:t>NACE</w:t>
            </w:r>
            <w:r>
              <w:rPr>
                <w:rFonts w:ascii="Times New Roman" w:hAnsi="Times New Roman"/>
                <w:sz w:val="24"/>
              </w:rPr>
              <w:t xml:space="preserve"> B–N sadaļā?</w:t>
            </w:r>
          </w:p>
        </w:tc>
      </w:tr>
      <w:tr w:rsidR="00535BBD" w:rsidRPr="004323C0" w14:paraId="168DA023" w14:textId="77777777" w:rsidTr="00EC4482">
        <w:tc>
          <w:tcPr>
            <w:tcW w:w="2500" w:type="pct"/>
          </w:tcPr>
          <w:p w14:paraId="2B351D9B" w14:textId="647DA0A8"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 xml:space="preserve">Does the </w:t>
            </w:r>
            <w:r w:rsidRPr="004323C0">
              <w:rPr>
                <w:rFonts w:ascii="Times New Roman" w:hAnsi="Times New Roman" w:cs="Times New Roman"/>
                <w:b/>
                <w:bCs/>
                <w:noProof/>
                <w:sz w:val="24"/>
                <w:szCs w:val="24"/>
              </w:rPr>
              <w:t xml:space="preserve">whole SU ENT </w:t>
            </w:r>
            <w:r w:rsidRPr="004323C0">
              <w:rPr>
                <w:rFonts w:ascii="Times New Roman" w:hAnsi="Times New Roman" w:cs="Times New Roman"/>
                <w:noProof/>
                <w:sz w:val="24"/>
                <w:szCs w:val="24"/>
              </w:rPr>
              <w:t>have 50 or more persons employed?</w:t>
            </w:r>
          </w:p>
        </w:tc>
        <w:tc>
          <w:tcPr>
            <w:tcW w:w="2500" w:type="pct"/>
          </w:tcPr>
          <w:p w14:paraId="136DB9CF" w14:textId="69F32EA1"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 xml:space="preserve">Vai </w:t>
            </w:r>
            <w:r>
              <w:rPr>
                <w:rFonts w:ascii="Times New Roman" w:hAnsi="Times New Roman"/>
                <w:b/>
                <w:sz w:val="24"/>
              </w:rPr>
              <w:t>viss SV uzņēmums</w:t>
            </w:r>
            <w:r>
              <w:rPr>
                <w:rFonts w:ascii="Times New Roman" w:hAnsi="Times New Roman"/>
                <w:sz w:val="24"/>
              </w:rPr>
              <w:t xml:space="preserve"> nodarbina 50 vai vairāk darbiniekus?</w:t>
            </w:r>
          </w:p>
        </w:tc>
      </w:tr>
      <w:tr w:rsidR="00535BBD" w:rsidRPr="004323C0" w14:paraId="3C9C04A2" w14:textId="77777777" w:rsidTr="00EC4482">
        <w:tc>
          <w:tcPr>
            <w:tcW w:w="2500" w:type="pct"/>
          </w:tcPr>
          <w:p w14:paraId="52451E54" w14:textId="26DAFA30"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Does the LeU have 50 or more persons employed?</w:t>
            </w:r>
          </w:p>
        </w:tc>
        <w:tc>
          <w:tcPr>
            <w:tcW w:w="2500" w:type="pct"/>
          </w:tcPr>
          <w:p w14:paraId="1666807F" w14:textId="3150D531"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Vai JV nodarbina 50 vai vairāk darbiniekus?</w:t>
            </w:r>
          </w:p>
        </w:tc>
      </w:tr>
      <w:tr w:rsidR="00535BBD" w:rsidRPr="004323C0" w14:paraId="5FAE1F36" w14:textId="77777777" w:rsidTr="00EC4482">
        <w:tc>
          <w:tcPr>
            <w:tcW w:w="2500" w:type="pct"/>
          </w:tcPr>
          <w:p w14:paraId="486A9F68" w14:textId="1BCFB1FF" w:rsidR="00535BBD" w:rsidRPr="004323C0" w:rsidRDefault="00535BBD" w:rsidP="00535BBD">
            <w:pPr>
              <w:pStyle w:val="BodyText"/>
              <w:jc w:val="both"/>
              <w:rPr>
                <w:rFonts w:ascii="Times New Roman" w:hAnsi="Times New Roman" w:cs="Times New Roman"/>
                <w:noProof/>
                <w:sz w:val="24"/>
                <w:szCs w:val="24"/>
              </w:rPr>
            </w:pPr>
            <w:r w:rsidRPr="004323C0">
              <w:rPr>
                <w:rFonts w:ascii="Times New Roman" w:hAnsi="Times New Roman" w:cs="Times New Roman"/>
                <w:noProof/>
                <w:sz w:val="24"/>
                <w:szCs w:val="24"/>
              </w:rPr>
              <w:t>In target population</w:t>
            </w:r>
          </w:p>
        </w:tc>
        <w:tc>
          <w:tcPr>
            <w:tcW w:w="2500" w:type="pct"/>
          </w:tcPr>
          <w:p w14:paraId="650EB7F4" w14:textId="050F9890" w:rsidR="00535BBD" w:rsidRPr="004323C0" w:rsidRDefault="00535BBD" w:rsidP="00535BBD">
            <w:pPr>
              <w:pStyle w:val="BodyText"/>
              <w:jc w:val="both"/>
              <w:rPr>
                <w:rFonts w:ascii="Times New Roman" w:hAnsi="Times New Roman" w:cs="Times New Roman"/>
                <w:noProof/>
                <w:sz w:val="24"/>
                <w:szCs w:val="24"/>
              </w:rPr>
            </w:pPr>
            <w:r>
              <w:rPr>
                <w:rFonts w:ascii="Times New Roman" w:hAnsi="Times New Roman"/>
                <w:sz w:val="24"/>
              </w:rPr>
              <w:t>Ietilpst mērķa populācijā</w:t>
            </w:r>
          </w:p>
        </w:tc>
      </w:tr>
    </w:tbl>
    <w:p w14:paraId="35F0380E" w14:textId="77777777" w:rsidR="004323C0" w:rsidRPr="004323C0" w:rsidRDefault="004323C0" w:rsidP="004323C0">
      <w:pPr>
        <w:pStyle w:val="BodyText"/>
        <w:jc w:val="both"/>
        <w:rPr>
          <w:rFonts w:ascii="Times New Roman" w:hAnsi="Times New Roman" w:cs="Times New Roman"/>
          <w:noProof/>
          <w:sz w:val="24"/>
          <w:szCs w:val="24"/>
        </w:rPr>
      </w:pPr>
    </w:p>
    <w:p w14:paraId="5BA337F7" w14:textId="77777777" w:rsidR="004323C0" w:rsidRPr="004323C0" w:rsidRDefault="004323C0" w:rsidP="004323C0">
      <w:pPr>
        <w:jc w:val="both"/>
        <w:rPr>
          <w:rFonts w:ascii="Times New Roman" w:hAnsi="Times New Roman" w:cs="Times New Roman"/>
          <w:b/>
          <w:noProof/>
          <w:sz w:val="24"/>
          <w:szCs w:val="24"/>
        </w:rPr>
      </w:pPr>
      <w:bookmarkStart w:id="58" w:name="_bookmark13"/>
      <w:bookmarkEnd w:id="58"/>
      <w:r>
        <w:rPr>
          <w:rFonts w:ascii="Times New Roman" w:hAnsi="Times New Roman"/>
          <w:b/>
          <w:sz w:val="24"/>
        </w:rPr>
        <w:t>4. attēls. Mērķa populācija</w:t>
      </w:r>
    </w:p>
    <w:p w14:paraId="1FA6F87E" w14:textId="77777777" w:rsidR="004323C0" w:rsidRPr="004323C0" w:rsidRDefault="004323C0" w:rsidP="004323C0">
      <w:pPr>
        <w:pStyle w:val="BodyText"/>
        <w:jc w:val="both"/>
        <w:rPr>
          <w:rFonts w:ascii="Times New Roman" w:hAnsi="Times New Roman" w:cs="Times New Roman"/>
          <w:noProof/>
          <w:sz w:val="24"/>
          <w:szCs w:val="24"/>
        </w:rPr>
      </w:pPr>
    </w:p>
    <w:p w14:paraId="6397B39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4. attēlā ir redzama vienkāršota plūsmas diagramma, kur parādīts, kā noteikt mērķa populāciju. Posmus, kas ietver </w:t>
      </w:r>
      <w:r>
        <w:rPr>
          <w:rFonts w:ascii="Times New Roman" w:hAnsi="Times New Roman"/>
          <w:i/>
          <w:iCs/>
          <w:sz w:val="24"/>
        </w:rPr>
        <w:t>NACE</w:t>
      </w:r>
      <w:r>
        <w:rPr>
          <w:rFonts w:ascii="Times New Roman" w:hAnsi="Times New Roman"/>
          <w:sz w:val="24"/>
        </w:rPr>
        <w:t xml:space="preserve"> darbības diapazona un darbinieku un pašnodarbināto personu (tas nozīmē to pašu, ko “nodarbinātās personas”) pārbaudi, var arī mainīt vietām, lai vispirms tiktu veikta darbinieku un pašnodarbināto personu skaita pārbaude.</w:t>
      </w:r>
    </w:p>
    <w:p w14:paraId="4DD296EE"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59" w:name="SAMPLING"/>
      <w:bookmarkEnd w:id="59"/>
    </w:p>
    <w:p w14:paraId="22F4FCD5"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IZLASES VEIDOŠANA</w:t>
      </w:r>
    </w:p>
    <w:p w14:paraId="2B943F16" w14:textId="77777777" w:rsidR="004323C0" w:rsidRPr="004323C0" w:rsidRDefault="004323C0" w:rsidP="004323C0">
      <w:pPr>
        <w:pStyle w:val="BodyText"/>
        <w:jc w:val="both"/>
        <w:rPr>
          <w:rFonts w:ascii="Times New Roman" w:hAnsi="Times New Roman" w:cs="Times New Roman"/>
          <w:noProof/>
          <w:sz w:val="24"/>
          <w:szCs w:val="24"/>
        </w:rPr>
      </w:pPr>
    </w:p>
    <w:p w14:paraId="7145024F"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Izlase jāizveido uzņēmuma līmenī. Jāizmanto tās uzņēmuma pazīmes, kas ir reģistrētas uzņēmumu reģistrā.</w:t>
      </w:r>
    </w:p>
    <w:p w14:paraId="7F76904C"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Neatkarīgi no pieejas, kas izvēlēta, veidojot izlasi, ir ieteicams ņemt vērā ekonomikas uzņēmumu struktūru.</w:t>
      </w:r>
    </w:p>
    <w:p w14:paraId="028AC0B4"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60" w:name="DATA_CONSOLIDATION"/>
      <w:bookmarkEnd w:id="60"/>
    </w:p>
    <w:p w14:paraId="200F6E11"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DATU KONSOLIDĀCIJA</w:t>
      </w:r>
    </w:p>
    <w:p w14:paraId="0AFE5042" w14:textId="77777777" w:rsidR="004323C0" w:rsidRPr="004323C0" w:rsidRDefault="004323C0" w:rsidP="004323C0">
      <w:pPr>
        <w:pStyle w:val="BodyText"/>
        <w:jc w:val="both"/>
        <w:rPr>
          <w:rFonts w:ascii="Times New Roman" w:hAnsi="Times New Roman" w:cs="Times New Roman"/>
          <w:noProof/>
          <w:sz w:val="24"/>
          <w:szCs w:val="24"/>
        </w:rPr>
      </w:pPr>
    </w:p>
    <w:p w14:paraId="5959A26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Konsolidācijas noteikumi ir nepieciešami, ja tiek vākti dati no vairāk nekā vienas JV uzņēmumā. Uzņēmējdarbības statistikas direktoru grupa [</w:t>
      </w:r>
      <w:r>
        <w:rPr>
          <w:rFonts w:ascii="Times New Roman" w:hAnsi="Times New Roman"/>
          <w:i/>
          <w:iCs/>
          <w:sz w:val="24"/>
        </w:rPr>
        <w:t>Business Statistics Directors’ Group</w:t>
      </w:r>
      <w:r>
        <w:rPr>
          <w:rFonts w:ascii="Times New Roman" w:hAnsi="Times New Roman"/>
          <w:sz w:val="24"/>
        </w:rPr>
        <w:t>] (</w:t>
      </w:r>
      <w:r>
        <w:rPr>
          <w:rFonts w:ascii="Times New Roman" w:hAnsi="Times New Roman"/>
          <w:i/>
          <w:iCs/>
          <w:sz w:val="24"/>
        </w:rPr>
        <w:t>BSDG</w:t>
      </w:r>
      <w:r>
        <w:rPr>
          <w:rFonts w:ascii="Times New Roman" w:hAnsi="Times New Roman"/>
          <w:sz w:val="24"/>
        </w:rPr>
        <w:t>) 2020. gada trešajā ceturksnī uzsāka rakstisku saskaņošanas procedūru par SV uzņēmumu izmantošanu dalībvalstīs. Viena no visbiežāk saņemtajām piezīmēm bija tāda, ka ir nepieciešamas pamatnostādnes par to, kā GVĶ jomā (kas ir viena no jomām) konsolidēt kvalitatīvus mainīgos lielumus, īstenojot SV uzņēmumu no JV. Tiks sniegti sīki izstrādāti un konkrēti norādījumi par datu konsolidāciju, gan pamatojoties uz četru veidu jautājumiem, gan attiecībā uz katru jautājumu atsevišķi (I pielikums).</w:t>
      </w:r>
    </w:p>
    <w:p w14:paraId="5EB9477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izmanto galvenās JV pieeju, rezultātus nevajadzētu konsolidēt, jo galvenā JV atbild par visu uzņēmumu.</w:t>
      </w:r>
    </w:p>
    <w:p w14:paraId="04F7F44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tiek izmantota JV līmeņa pieeja, katram uzņēmumam būs jāaizpilda vairāki apsekojumi un (statistikas iestādei) jāveic zināma datu konsolidācija.</w:t>
      </w:r>
    </w:p>
    <w:p w14:paraId="3763234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Jauktā pieeja paredz atkarībā no konkrētās izmantotās pieejas izmantot saistībā ar abām pārējām pieejām sniegtos ieteikumus.</w:t>
      </w:r>
    </w:p>
    <w:p w14:paraId="714D52AD"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Galvenā problēma saistībā ar datu konsolidāciju ir nepieciešamība pēc īpašiem noteikumiem attiecībā uz dažādiem apsekojuma jautājumiem. Šie noteikumi atšķiras atkarībā no jautājuma veida.</w:t>
      </w:r>
    </w:p>
    <w:p w14:paraId="3E69A8AA" w14:textId="77777777" w:rsidR="004323C0" w:rsidRPr="004323C0" w:rsidRDefault="004323C0" w:rsidP="004323C0">
      <w:pPr>
        <w:pStyle w:val="BodyText"/>
        <w:jc w:val="both"/>
        <w:rPr>
          <w:rFonts w:ascii="Times New Roman" w:hAnsi="Times New Roman" w:cs="Times New Roman"/>
          <w:noProof/>
          <w:sz w:val="24"/>
          <w:szCs w:val="24"/>
        </w:rPr>
      </w:pPr>
    </w:p>
    <w:p w14:paraId="7678584C" w14:textId="77777777" w:rsidR="004323C0" w:rsidRPr="004323C0" w:rsidRDefault="004323C0" w:rsidP="004323C0">
      <w:pPr>
        <w:pStyle w:val="ListParagraph"/>
        <w:tabs>
          <w:tab w:val="left" w:pos="481"/>
        </w:tabs>
        <w:spacing w:before="0"/>
        <w:ind w:left="0" w:firstLine="0"/>
        <w:rPr>
          <w:rFonts w:ascii="Times New Roman" w:hAnsi="Times New Roman" w:cs="Times New Roman"/>
          <w:noProof/>
          <w:sz w:val="24"/>
          <w:szCs w:val="24"/>
        </w:rPr>
      </w:pPr>
      <w:r>
        <w:rPr>
          <w:rFonts w:ascii="Times New Roman" w:hAnsi="Times New Roman"/>
          <w:sz w:val="24"/>
        </w:rPr>
        <w:t>1. Kvalitatīvi jautājumi, kas atbildami ar “jā” vai “nē”:</w:t>
      </w:r>
    </w:p>
    <w:p w14:paraId="01E053F3" w14:textId="77777777" w:rsidR="004323C0" w:rsidRPr="004323C0" w:rsidRDefault="004323C0" w:rsidP="004323C0">
      <w:pPr>
        <w:pStyle w:val="ListParagraph"/>
        <w:numPr>
          <w:ilvl w:val="1"/>
          <w:numId w:val="3"/>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ja (un tikai tad, ja) viena atbilde ir apstiprinoša (“jā”), tā tiks uzskatīta par apstiprinošu attiecībā uz visu uzņēmumu (tas var ne vienmēr tā būt, bet tas attiecas uz 2021. gada GVĶ apsekojuma jautājumiem, kas atbildami ar “jā” vai “nē”);</w:t>
      </w:r>
    </w:p>
    <w:p w14:paraId="160139F7" w14:textId="77777777" w:rsidR="004323C0" w:rsidRPr="004323C0" w:rsidRDefault="004323C0" w:rsidP="004323C0">
      <w:pPr>
        <w:pStyle w:val="ListParagraph"/>
        <w:numPr>
          <w:ilvl w:val="1"/>
          <w:numId w:val="3"/>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piemēram, ja viena vai vairākas uzņēmuma JV atbild “JĀ” uz jautājumu “Vai pārskata posmā jūs esat izmantojuši ārvalstu ārpakalpojumus kādas uzņēmējdarbības funkcijas veikšanai?”, tad tas attiecas uz visu uzņēmumu. Tomēr, ja uz iepriekš minēto jautājumu visas JV ir atbildējušas “NĒ”, tad “NĒ” ir visa uzņēmuma atbilde.</w:t>
      </w:r>
    </w:p>
    <w:p w14:paraId="48198469" w14:textId="77777777" w:rsidR="004323C0" w:rsidRPr="004323C0" w:rsidRDefault="004323C0" w:rsidP="004323C0">
      <w:pPr>
        <w:pStyle w:val="ListParagraph"/>
        <w:tabs>
          <w:tab w:val="left" w:pos="480"/>
        </w:tabs>
        <w:spacing w:before="0"/>
        <w:ind w:left="0" w:firstLine="0"/>
        <w:rPr>
          <w:rFonts w:ascii="Times New Roman" w:hAnsi="Times New Roman" w:cs="Times New Roman"/>
          <w:noProof/>
          <w:sz w:val="24"/>
          <w:szCs w:val="24"/>
        </w:rPr>
      </w:pPr>
    </w:p>
    <w:p w14:paraId="15F98C29" w14:textId="77777777" w:rsidR="004323C0" w:rsidRPr="004323C0" w:rsidRDefault="004323C0" w:rsidP="00046BC9">
      <w:pPr>
        <w:pStyle w:val="ListParagraph"/>
        <w:keepNext/>
        <w:keepLines/>
        <w:tabs>
          <w:tab w:val="left" w:pos="480"/>
        </w:tabs>
        <w:spacing w:before="0"/>
        <w:ind w:left="0" w:firstLine="0"/>
        <w:rPr>
          <w:rFonts w:ascii="Times New Roman" w:hAnsi="Times New Roman" w:cs="Times New Roman"/>
          <w:noProof/>
          <w:sz w:val="24"/>
          <w:szCs w:val="24"/>
        </w:rPr>
      </w:pPr>
      <w:r>
        <w:rPr>
          <w:rFonts w:ascii="Times New Roman" w:hAnsi="Times New Roman"/>
          <w:sz w:val="24"/>
        </w:rPr>
        <w:t>2. Kvalitatīvi jautājumi ar dažādām atbilžu iespējām, uz kurām ir iespējamas vairākas atbildes:</w:t>
      </w:r>
    </w:p>
    <w:p w14:paraId="2182B678" w14:textId="77777777" w:rsidR="004323C0" w:rsidRPr="004323C0" w:rsidRDefault="004323C0" w:rsidP="00046BC9">
      <w:pPr>
        <w:pStyle w:val="ListParagraph"/>
        <w:keepNext/>
        <w:keepLines/>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apstiprinošas atbildes no visām JV tiek reģistrētas vienādi;</w:t>
      </w:r>
    </w:p>
    <w:p w14:paraId="2E9EEE90" w14:textId="77777777" w:rsidR="004323C0" w:rsidRPr="004323C0" w:rsidRDefault="004323C0" w:rsidP="00046BC9">
      <w:pPr>
        <w:pStyle w:val="ListParagraph"/>
        <w:keepNext/>
        <w:keepLines/>
        <w:numPr>
          <w:ilvl w:val="1"/>
          <w:numId w:val="3"/>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saņemot atbildi uz jautājumu “Uz kuru galamērķi jūs veicat sagādi?”, no visām JV saņemtos datus par sagādi reģistrē vienādi;</w:t>
      </w:r>
    </w:p>
    <w:p w14:paraId="2232E368" w14:textId="77777777" w:rsidR="004323C0" w:rsidRPr="004323C0" w:rsidRDefault="004323C0" w:rsidP="00046BC9">
      <w:pPr>
        <w:pStyle w:val="ListParagraph"/>
        <w:keepNext/>
        <w:keepLines/>
        <w:numPr>
          <w:ilvl w:val="1"/>
          <w:numId w:val="3"/>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piemēram, ja 1. JV norāda Ķīnu un Indiju, 2. JV – ASV un Kanādu, bet 3. JV – ES, tad attiecībā uz uzņēmumu reģistrē visas trīs atbildes.</w:t>
      </w:r>
    </w:p>
    <w:p w14:paraId="154ABF23" w14:textId="77777777" w:rsidR="004323C0" w:rsidRPr="004323C0" w:rsidRDefault="004323C0" w:rsidP="00046BC9">
      <w:pPr>
        <w:pStyle w:val="ListParagraph"/>
        <w:keepNext/>
        <w:keepLines/>
        <w:tabs>
          <w:tab w:val="left" w:pos="481"/>
        </w:tabs>
        <w:spacing w:before="0"/>
        <w:ind w:left="0" w:firstLine="0"/>
        <w:rPr>
          <w:rFonts w:ascii="Times New Roman" w:hAnsi="Times New Roman" w:cs="Times New Roman"/>
          <w:noProof/>
          <w:sz w:val="24"/>
          <w:szCs w:val="24"/>
        </w:rPr>
      </w:pPr>
    </w:p>
    <w:p w14:paraId="6F935796" w14:textId="77777777" w:rsidR="004323C0" w:rsidRPr="004323C0" w:rsidRDefault="004323C0" w:rsidP="004323C0">
      <w:pPr>
        <w:pStyle w:val="ListParagraph"/>
        <w:tabs>
          <w:tab w:val="left" w:pos="481"/>
        </w:tabs>
        <w:spacing w:before="0"/>
        <w:ind w:left="0" w:firstLine="0"/>
        <w:rPr>
          <w:rFonts w:ascii="Times New Roman" w:hAnsi="Times New Roman" w:cs="Times New Roman"/>
          <w:noProof/>
          <w:sz w:val="24"/>
          <w:szCs w:val="24"/>
        </w:rPr>
      </w:pPr>
      <w:r>
        <w:rPr>
          <w:rFonts w:ascii="Times New Roman" w:hAnsi="Times New Roman"/>
          <w:sz w:val="24"/>
        </w:rPr>
        <w:t>3. Ir divas pieejas kvalitatīviem jautājumiem ar savstarpēji izslēdzošām nedihotomām atbildēm:</w:t>
      </w:r>
    </w:p>
    <w:p w14:paraId="02940657" w14:textId="77777777" w:rsidR="004323C0" w:rsidRPr="004323C0" w:rsidRDefault="004323C0" w:rsidP="004323C0">
      <w:pPr>
        <w:pStyle w:val="ListParagraph"/>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ja ir identificēta galvenā JV, tad ņem vērā tikai šīs galvenās JV atbildi;</w:t>
      </w:r>
    </w:p>
    <w:p w14:paraId="03C3DA00" w14:textId="77777777" w:rsidR="004323C0" w:rsidRPr="004323C0" w:rsidRDefault="004323C0" w:rsidP="004323C0">
      <w:pPr>
        <w:pStyle w:val="ListParagraph"/>
        <w:numPr>
          <w:ilvl w:val="1"/>
          <w:numId w:val="3"/>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sz w:val="24"/>
        </w:rPr>
        <w:t>paskaidrojums: jāņem vērā dati, kas saņemti tikai no vienas JV, lai nerastos situācija, kad divas vai vairāk JV sniedz pretrunīgus datus;</w:t>
      </w:r>
    </w:p>
    <w:p w14:paraId="0B8EF3CB" w14:textId="77777777" w:rsidR="004323C0" w:rsidRPr="004323C0" w:rsidRDefault="004323C0" w:rsidP="004323C0">
      <w:pPr>
        <w:pStyle w:val="ListParagraph"/>
        <w:numPr>
          <w:ilvl w:val="1"/>
          <w:numId w:val="3"/>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 xml:space="preserve">ja galvenā JV </w:t>
      </w:r>
      <w:r>
        <w:rPr>
          <w:rFonts w:ascii="Times New Roman" w:hAnsi="Times New Roman"/>
          <w:b/>
          <w:sz w:val="24"/>
        </w:rPr>
        <w:t>NAV</w:t>
      </w:r>
      <w:r>
        <w:rPr>
          <w:rFonts w:ascii="Times New Roman" w:hAnsi="Times New Roman"/>
          <w:sz w:val="24"/>
        </w:rPr>
        <w:t xml:space="preserve"> identificēta, tad ņem vērā tikai lielākās (darbinieku un pašnodarbināto personu skaita ziņā) JV atbildi;</w:t>
      </w:r>
    </w:p>
    <w:p w14:paraId="062B694A" w14:textId="77777777" w:rsidR="004323C0" w:rsidRPr="004323C0" w:rsidRDefault="004323C0" w:rsidP="004323C0">
      <w:pPr>
        <w:pStyle w:val="ListParagraph"/>
        <w:numPr>
          <w:ilvl w:val="1"/>
          <w:numId w:val="3"/>
        </w:numPr>
        <w:tabs>
          <w:tab w:val="left" w:pos="840"/>
          <w:tab w:val="left" w:pos="842"/>
        </w:tabs>
        <w:spacing w:before="0"/>
        <w:ind w:left="284" w:firstLine="0"/>
        <w:rPr>
          <w:rFonts w:ascii="Times New Roman" w:hAnsi="Times New Roman" w:cs="Times New Roman"/>
          <w:noProof/>
          <w:sz w:val="24"/>
          <w:szCs w:val="24"/>
        </w:rPr>
      </w:pPr>
      <w:r>
        <w:rPr>
          <w:rFonts w:ascii="Times New Roman" w:hAnsi="Times New Roman"/>
          <w:sz w:val="24"/>
        </w:rPr>
        <w:t>piemēram, attiecībā uz apgalvojumu “lūdzu, norādiet to motivējošo faktoru nozīmi, kas bija pamatā lēmumam veikt sagādi pārskata posmā”, ņem vērā tikai atbildi, ko sniegusi lielākā (darbinieku un pašnodarbināto personu skaita ziņā) JV, jo, vācot datus no visām JV, var tikt iegūta pretrunīga informācija.</w:t>
      </w:r>
    </w:p>
    <w:p w14:paraId="4A72E918" w14:textId="77777777" w:rsidR="004323C0" w:rsidRPr="004323C0" w:rsidRDefault="004323C0" w:rsidP="004323C0">
      <w:pPr>
        <w:pStyle w:val="ListParagraph"/>
        <w:tabs>
          <w:tab w:val="left" w:pos="481"/>
        </w:tabs>
        <w:spacing w:before="0"/>
        <w:ind w:left="0" w:firstLine="0"/>
        <w:rPr>
          <w:rFonts w:ascii="Times New Roman" w:hAnsi="Times New Roman" w:cs="Times New Roman"/>
          <w:noProof/>
          <w:sz w:val="24"/>
          <w:szCs w:val="24"/>
        </w:rPr>
      </w:pPr>
    </w:p>
    <w:p w14:paraId="35650CE9" w14:textId="77777777" w:rsidR="004323C0" w:rsidRPr="004323C0" w:rsidRDefault="004323C0" w:rsidP="004323C0">
      <w:pPr>
        <w:pStyle w:val="ListParagraph"/>
        <w:tabs>
          <w:tab w:val="left" w:pos="481"/>
        </w:tabs>
        <w:spacing w:before="0"/>
        <w:ind w:left="0" w:firstLine="0"/>
        <w:rPr>
          <w:rFonts w:ascii="Times New Roman" w:hAnsi="Times New Roman" w:cs="Times New Roman"/>
          <w:noProof/>
          <w:sz w:val="24"/>
          <w:szCs w:val="24"/>
        </w:rPr>
      </w:pPr>
      <w:r>
        <w:rPr>
          <w:rFonts w:ascii="Times New Roman" w:hAnsi="Times New Roman"/>
          <w:sz w:val="24"/>
        </w:rPr>
        <w:t>4. Jautājumi ar kvantitatīviem mainīgajiem lielumiem:</w:t>
      </w:r>
    </w:p>
    <w:p w14:paraId="00AD10FA" w14:textId="77777777" w:rsidR="004323C0" w:rsidRPr="004323C0" w:rsidRDefault="004323C0" w:rsidP="004323C0">
      <w:pPr>
        <w:pStyle w:val="ListParagraph"/>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kvantitatīvie mainīgie lielumi ir jāsavāc no visām JV un jāapkopo uzņēmuma līmenī;</w:t>
      </w:r>
    </w:p>
    <w:p w14:paraId="0A71017E" w14:textId="77777777" w:rsidR="004323C0" w:rsidRPr="004323C0" w:rsidRDefault="004323C0" w:rsidP="004323C0">
      <w:pPr>
        <w:pStyle w:val="ListParagraph"/>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kvantitatīvie mainīgie lielumi GVĶ apsekojumā ir šādi:</w:t>
      </w:r>
    </w:p>
    <w:p w14:paraId="2C52FADE" w14:textId="77777777" w:rsidR="004323C0" w:rsidRPr="004323C0" w:rsidRDefault="004323C0" w:rsidP="004323C0">
      <w:pPr>
        <w:pStyle w:val="ListParagraph"/>
        <w:numPr>
          <w:ilvl w:val="2"/>
          <w:numId w:val="3"/>
        </w:numPr>
        <w:tabs>
          <w:tab w:val="left" w:pos="1134"/>
          <w:tab w:val="left" w:pos="1201"/>
        </w:tabs>
        <w:spacing w:before="0"/>
        <w:ind w:left="567" w:firstLine="0"/>
        <w:rPr>
          <w:rFonts w:ascii="Times New Roman" w:hAnsi="Times New Roman" w:cs="Times New Roman"/>
          <w:noProof/>
          <w:sz w:val="24"/>
          <w:szCs w:val="24"/>
        </w:rPr>
      </w:pPr>
      <w:r>
        <w:rPr>
          <w:rFonts w:ascii="Times New Roman" w:hAnsi="Times New Roman"/>
          <w:sz w:val="24"/>
        </w:rPr>
        <w:t>darbinieku un pašnodarbināto personu skaits (katrā no uzņēmējdarbības funkcijām);</w:t>
      </w:r>
    </w:p>
    <w:p w14:paraId="066EEF8E" w14:textId="77777777" w:rsidR="004323C0" w:rsidRPr="004323C0" w:rsidRDefault="004323C0" w:rsidP="004323C0">
      <w:pPr>
        <w:pStyle w:val="ListParagraph"/>
        <w:numPr>
          <w:ilvl w:val="2"/>
          <w:numId w:val="3"/>
        </w:numPr>
        <w:tabs>
          <w:tab w:val="left" w:pos="1134"/>
          <w:tab w:val="left" w:pos="1201"/>
        </w:tabs>
        <w:spacing w:before="0"/>
        <w:ind w:left="567" w:firstLine="0"/>
        <w:rPr>
          <w:rFonts w:ascii="Times New Roman" w:hAnsi="Times New Roman" w:cs="Times New Roman"/>
          <w:noProof/>
          <w:sz w:val="24"/>
          <w:szCs w:val="24"/>
        </w:rPr>
      </w:pPr>
      <w:r>
        <w:rPr>
          <w:rFonts w:ascii="Times New Roman" w:hAnsi="Times New Roman"/>
          <w:sz w:val="24"/>
        </w:rPr>
        <w:t>to darbavietu skaits, kas uzņēmumā radītas starptautiskas sagādes rezultātā;</w:t>
      </w:r>
    </w:p>
    <w:p w14:paraId="68E8CEB2" w14:textId="77777777" w:rsidR="004323C0" w:rsidRPr="004323C0" w:rsidRDefault="004323C0" w:rsidP="004323C0">
      <w:pPr>
        <w:pStyle w:val="ListParagraph"/>
        <w:numPr>
          <w:ilvl w:val="2"/>
          <w:numId w:val="3"/>
        </w:numPr>
        <w:tabs>
          <w:tab w:val="left" w:pos="1134"/>
          <w:tab w:val="left" w:pos="1201"/>
        </w:tabs>
        <w:spacing w:before="0"/>
        <w:ind w:left="567" w:firstLine="0"/>
        <w:rPr>
          <w:rFonts w:ascii="Times New Roman" w:hAnsi="Times New Roman" w:cs="Times New Roman"/>
          <w:noProof/>
          <w:sz w:val="24"/>
          <w:szCs w:val="24"/>
        </w:rPr>
      </w:pPr>
      <w:r>
        <w:rPr>
          <w:rFonts w:ascii="Times New Roman" w:hAnsi="Times New Roman"/>
          <w:sz w:val="24"/>
        </w:rPr>
        <w:t>to darbavietu skaits, kas starptautiskas sagādes rezultātā pārceltas uz ārvalstīm;</w:t>
      </w:r>
    </w:p>
    <w:p w14:paraId="464E7C63" w14:textId="77777777" w:rsidR="004323C0" w:rsidRPr="004323C0" w:rsidRDefault="004323C0" w:rsidP="004323C0">
      <w:pPr>
        <w:pStyle w:val="ListParagraph"/>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šie mainīgie lielumi, kas parāda nodarbināto personu skaitu, ir vienkārši darbinieku skaits, taču praktisku iemeslu dēļ tie ir uzskatāmi par summējošiem (tātad, vienkārši sasummējot katras JV norādīto skaitu, tiek iegūts visa uzņēmuma darbinieku konsolidētais skaits). Tas jādara attiecībā uz visiem uzņēmumiem neatkarīgi no tā, kā JV ir apvienotas uzņēmumā;</w:t>
      </w:r>
    </w:p>
    <w:p w14:paraId="4C06AB8B" w14:textId="77777777" w:rsidR="004323C0" w:rsidRPr="004323C0" w:rsidRDefault="004323C0" w:rsidP="004323C0">
      <w:pPr>
        <w:pStyle w:val="ListParagraph"/>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ja uzņēmumā notiek darbvietas dalīšana (piemēram, viens un tas pats darbinieks veic divu vai vairāku amatu pienākumus dažādās JV un/vai veic divas vai vairākas uzņēmējdarbības funkcijas), ziņošanas nolūkos jāuzskata, ka katrs darbinieks ir nodarbināts tikai tajā JV, kurā tas ir primāri norīkots (ja nav skaidra primārā norīkojuma, jānorāda, ka šis darbinieks ir nodarbināts jebkurā vienā JV un jebkurā vienā uzņēmējdarbības funkcijā);</w:t>
      </w:r>
    </w:p>
    <w:p w14:paraId="36EFDB93" w14:textId="77777777" w:rsidR="004323C0" w:rsidRPr="004323C0" w:rsidRDefault="004323C0" w:rsidP="004323C0">
      <w:pPr>
        <w:pStyle w:val="ListParagraph"/>
        <w:numPr>
          <w:ilvl w:val="1"/>
          <w:numId w:val="3"/>
        </w:numPr>
        <w:tabs>
          <w:tab w:val="left" w:pos="840"/>
        </w:tabs>
        <w:spacing w:before="0"/>
        <w:ind w:left="284" w:firstLine="0"/>
        <w:rPr>
          <w:rFonts w:ascii="Times New Roman" w:hAnsi="Times New Roman" w:cs="Times New Roman"/>
          <w:noProof/>
          <w:sz w:val="24"/>
          <w:szCs w:val="24"/>
        </w:rPr>
      </w:pPr>
      <w:r>
        <w:rPr>
          <w:rFonts w:ascii="Times New Roman" w:hAnsi="Times New Roman"/>
          <w:sz w:val="24"/>
        </w:rPr>
        <w:t xml:space="preserve">sīkāku informāciju par summējamiem un nesummējamiem mainīgajiem lielumiem var atrast </w:t>
      </w:r>
      <w:r>
        <w:rPr>
          <w:rFonts w:ascii="Times New Roman" w:hAnsi="Times New Roman"/>
          <w:color w:val="0066FF"/>
          <w:sz w:val="24"/>
        </w:rPr>
        <w:t>Kopsavilkuma piezīmē par summējamiem un nesummējamiem SUR mainīgajiem lielumiem.</w:t>
      </w:r>
    </w:p>
    <w:p w14:paraId="2AC75558" w14:textId="77777777" w:rsidR="004323C0" w:rsidRPr="004323C0" w:rsidRDefault="004323C0" w:rsidP="004323C0">
      <w:pPr>
        <w:pStyle w:val="BodyText"/>
        <w:jc w:val="both"/>
        <w:rPr>
          <w:rFonts w:ascii="Times New Roman" w:hAnsi="Times New Roman" w:cs="Times New Roman"/>
          <w:noProof/>
          <w:sz w:val="24"/>
          <w:szCs w:val="24"/>
        </w:rPr>
      </w:pPr>
    </w:p>
    <w:p w14:paraId="3C21DAA0" w14:textId="77777777" w:rsidR="004323C0" w:rsidRPr="004323C0" w:rsidRDefault="004323C0" w:rsidP="00046BC9">
      <w:pPr>
        <w:pStyle w:val="Heading2"/>
        <w:widowControl/>
        <w:rPr>
          <w:color w:val="auto"/>
        </w:rPr>
      </w:pPr>
      <w:bookmarkStart w:id="61" w:name="_TOC_250014"/>
      <w:bookmarkEnd w:id="61"/>
      <w:r>
        <w:rPr>
          <w:color w:val="auto"/>
        </w:rPr>
        <w:t>Saites</w:t>
      </w:r>
    </w:p>
    <w:p w14:paraId="79CCF4CD" w14:textId="77777777" w:rsidR="004323C0" w:rsidRPr="004323C0" w:rsidRDefault="004323C0" w:rsidP="00046BC9">
      <w:pPr>
        <w:pStyle w:val="ListParagraph"/>
        <w:widowControl/>
        <w:tabs>
          <w:tab w:val="left" w:pos="841"/>
        </w:tabs>
        <w:spacing w:before="0"/>
        <w:ind w:left="0" w:firstLine="0"/>
        <w:rPr>
          <w:rFonts w:ascii="Times New Roman" w:hAnsi="Times New Roman" w:cs="Times New Roman"/>
          <w:b/>
          <w:noProof/>
          <w:sz w:val="24"/>
          <w:szCs w:val="24"/>
        </w:rPr>
      </w:pPr>
    </w:p>
    <w:p w14:paraId="46D86405" w14:textId="77777777" w:rsidR="004323C0" w:rsidRPr="004323C0" w:rsidRDefault="004323C0" w:rsidP="00046BC9">
      <w:pPr>
        <w:pStyle w:val="ListParagraph"/>
        <w:widowControl/>
        <w:numPr>
          <w:ilvl w:val="1"/>
          <w:numId w:val="3"/>
        </w:numPr>
        <w:tabs>
          <w:tab w:val="left" w:pos="567"/>
        </w:tabs>
        <w:spacing w:before="0"/>
        <w:ind w:left="0" w:firstLine="0"/>
        <w:rPr>
          <w:rFonts w:ascii="Times New Roman" w:hAnsi="Times New Roman" w:cs="Times New Roman"/>
          <w:b/>
          <w:noProof/>
          <w:sz w:val="24"/>
          <w:szCs w:val="24"/>
        </w:rPr>
      </w:pPr>
      <w:r>
        <w:rPr>
          <w:rFonts w:ascii="Times New Roman" w:hAnsi="Times New Roman"/>
          <w:sz w:val="24"/>
        </w:rPr>
        <w:t xml:space="preserve">Eiropas Parlamenta un Padomes 2019. gada 27. novembra </w:t>
      </w:r>
      <w:r>
        <w:rPr>
          <w:rFonts w:ascii="Times New Roman" w:hAnsi="Times New Roman"/>
          <w:color w:val="0066FF"/>
          <w:sz w:val="24"/>
        </w:rPr>
        <w:t>Regula (ES) 2019/2152</w:t>
      </w:r>
      <w:r>
        <w:rPr>
          <w:rFonts w:ascii="Times New Roman" w:hAnsi="Times New Roman"/>
          <w:sz w:val="24"/>
        </w:rPr>
        <w:t xml:space="preserve"> par </w:t>
      </w:r>
      <w:r>
        <w:rPr>
          <w:rFonts w:ascii="Times New Roman" w:hAnsi="Times New Roman"/>
          <w:b/>
          <w:sz w:val="24"/>
        </w:rPr>
        <w:t>Eiropas uzņēmējdarbības statistiku (EUS regula)</w:t>
      </w:r>
    </w:p>
    <w:p w14:paraId="7681DDEB" w14:textId="77777777" w:rsidR="004323C0" w:rsidRPr="004323C0" w:rsidRDefault="004323C0" w:rsidP="00046BC9">
      <w:pPr>
        <w:pStyle w:val="ListParagraph"/>
        <w:widowControl/>
        <w:numPr>
          <w:ilvl w:val="1"/>
          <w:numId w:val="3"/>
        </w:numPr>
        <w:tabs>
          <w:tab w:val="left" w:pos="567"/>
        </w:tabs>
        <w:spacing w:before="0"/>
        <w:ind w:left="0" w:firstLine="0"/>
        <w:rPr>
          <w:rFonts w:ascii="Times New Roman" w:hAnsi="Times New Roman" w:cs="Times New Roman"/>
          <w:noProof/>
          <w:sz w:val="24"/>
          <w:szCs w:val="24"/>
        </w:rPr>
      </w:pPr>
      <w:r>
        <w:rPr>
          <w:rFonts w:ascii="Times New Roman" w:hAnsi="Times New Roman"/>
          <w:color w:val="0066FF"/>
          <w:sz w:val="24"/>
        </w:rPr>
        <w:t>Padomes</w:t>
      </w:r>
      <w:r>
        <w:rPr>
          <w:rFonts w:ascii="Times New Roman" w:hAnsi="Times New Roman"/>
          <w:sz w:val="24"/>
        </w:rPr>
        <w:t xml:space="preserve"> 1993. gada 15. marta </w:t>
      </w:r>
      <w:r>
        <w:rPr>
          <w:rFonts w:ascii="Times New Roman" w:hAnsi="Times New Roman"/>
          <w:color w:val="0066FF"/>
          <w:sz w:val="24"/>
        </w:rPr>
        <w:t>Regula (EEK) Nr. 696/93</w:t>
      </w:r>
      <w:r>
        <w:rPr>
          <w:rFonts w:ascii="Times New Roman" w:hAnsi="Times New Roman"/>
          <w:sz w:val="24"/>
        </w:rPr>
        <w:t xml:space="preserve"> par statistikas vienībām ražošanas sistēmas novērošanai un analīzei Kopienā</w:t>
      </w:r>
    </w:p>
    <w:p w14:paraId="6F2B72DC" w14:textId="77777777" w:rsidR="004323C0" w:rsidRPr="004323C0" w:rsidRDefault="004323C0" w:rsidP="00046BC9">
      <w:pPr>
        <w:pStyle w:val="ListParagraph"/>
        <w:widowControl/>
        <w:numPr>
          <w:ilvl w:val="1"/>
          <w:numId w:val="3"/>
        </w:numPr>
        <w:tabs>
          <w:tab w:val="left" w:pos="567"/>
        </w:tabs>
        <w:spacing w:before="0"/>
        <w:ind w:left="0" w:firstLine="0"/>
        <w:rPr>
          <w:rFonts w:ascii="Times New Roman" w:hAnsi="Times New Roman" w:cs="Times New Roman"/>
          <w:noProof/>
          <w:sz w:val="24"/>
          <w:szCs w:val="24"/>
        </w:rPr>
      </w:pPr>
      <w:r>
        <w:rPr>
          <w:rFonts w:ascii="Times New Roman" w:hAnsi="Times New Roman"/>
          <w:i/>
          <w:iCs/>
          <w:sz w:val="24"/>
        </w:rPr>
        <w:t>Statistics Explained</w:t>
      </w:r>
      <w:r>
        <w:rPr>
          <w:rFonts w:ascii="Times New Roman" w:hAnsi="Times New Roman"/>
          <w:sz w:val="24"/>
        </w:rPr>
        <w:t xml:space="preserve"> publicētais raksts “European business statistics manual – statistical units” [Eiropas uzņēmējdarbības statistikas rokasgrāmata. Statistikas vienības]</w:t>
      </w:r>
    </w:p>
    <w:p w14:paraId="70E250BD" w14:textId="77777777" w:rsidR="004323C0" w:rsidRPr="004323C0" w:rsidRDefault="004323C0" w:rsidP="00046BC9">
      <w:pPr>
        <w:pStyle w:val="ListParagraph"/>
        <w:widowControl/>
        <w:numPr>
          <w:ilvl w:val="1"/>
          <w:numId w:val="3"/>
        </w:numPr>
        <w:tabs>
          <w:tab w:val="left" w:pos="567"/>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“Summary note on additive and non-additive SBS variables” [Kopsavilkuma piezīme par summējamiem un nesummējamiem SUR mainīgajiem lielumiem]</w:t>
      </w:r>
    </w:p>
    <w:p w14:paraId="35405560" w14:textId="77777777" w:rsidR="004323C0" w:rsidRPr="004323C0" w:rsidRDefault="004323C0" w:rsidP="004323C0">
      <w:pPr>
        <w:rPr>
          <w:rFonts w:ascii="Times New Roman" w:hAnsi="Times New Roman" w:cs="Times New Roman"/>
          <w:noProof/>
          <w:sz w:val="24"/>
          <w:szCs w:val="24"/>
        </w:rPr>
      </w:pPr>
      <w:r>
        <w:br w:type="page"/>
      </w:r>
    </w:p>
    <w:p w14:paraId="38C2C0F2" w14:textId="00C83082" w:rsidR="004323C0" w:rsidRPr="004323C0" w:rsidRDefault="004323C0" w:rsidP="004323C0">
      <w:pPr>
        <w:pStyle w:val="Heading2"/>
        <w:jc w:val="center"/>
      </w:pPr>
      <w:bookmarkStart w:id="62" w:name="_TOC_250013"/>
      <w:r>
        <w:t xml:space="preserve">4. Datu </w:t>
      </w:r>
      <w:bookmarkEnd w:id="62"/>
      <w:r>
        <w:t>nosūtīšana un validācija</w:t>
      </w:r>
    </w:p>
    <w:p w14:paraId="2270D750" w14:textId="77777777" w:rsidR="004323C0" w:rsidRPr="004323C0" w:rsidRDefault="004323C0" w:rsidP="004323C0">
      <w:pPr>
        <w:pStyle w:val="BodyText"/>
        <w:jc w:val="both"/>
        <w:rPr>
          <w:rFonts w:ascii="Times New Roman" w:hAnsi="Times New Roman" w:cs="Times New Roman"/>
          <w:noProof/>
          <w:color w:val="466DB4"/>
          <w:sz w:val="24"/>
          <w:szCs w:val="24"/>
        </w:rPr>
      </w:pPr>
    </w:p>
    <w:p w14:paraId="5E00DF8B" w14:textId="77777777" w:rsidR="004323C0" w:rsidRPr="004323C0" w:rsidRDefault="004323C0" w:rsidP="004323C0">
      <w:pPr>
        <w:pStyle w:val="Heading2"/>
        <w:rPr>
          <w:color w:val="auto"/>
        </w:rPr>
      </w:pPr>
      <w:bookmarkStart w:id="63" w:name="_TOC_250012"/>
      <w:bookmarkEnd w:id="63"/>
      <w:r>
        <w:rPr>
          <w:color w:val="auto"/>
        </w:rPr>
        <w:t>Ievads</w:t>
      </w:r>
    </w:p>
    <w:p w14:paraId="628CBC46" w14:textId="77777777" w:rsidR="004323C0" w:rsidRPr="004323C0" w:rsidRDefault="004323C0" w:rsidP="004323C0">
      <w:pPr>
        <w:pStyle w:val="BodyText"/>
        <w:jc w:val="both"/>
        <w:rPr>
          <w:rFonts w:ascii="Times New Roman" w:hAnsi="Times New Roman" w:cs="Times New Roman"/>
          <w:noProof/>
          <w:sz w:val="24"/>
          <w:szCs w:val="24"/>
        </w:rPr>
      </w:pPr>
    </w:p>
    <w:p w14:paraId="4C1FAF0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Šajā nodaļā ir aprakstītas to pušu funkcijas un pienākumi, kas piedalās datu pārraidē un validācijā, izklāstīti datu pārraides pamatnoteikumi un pēc tam norādītas minimālās prasības datu validācijai, kas ziņotājām valstīm jāizpilda pirms datu nosūtīšanas </w:t>
      </w:r>
      <w:r>
        <w:rPr>
          <w:rFonts w:ascii="Times New Roman" w:hAnsi="Times New Roman"/>
          <w:i/>
          <w:iCs/>
          <w:sz w:val="24"/>
        </w:rPr>
        <w:t>Eurostat</w:t>
      </w:r>
      <w:r>
        <w:rPr>
          <w:rFonts w:ascii="Times New Roman" w:hAnsi="Times New Roman"/>
          <w:sz w:val="24"/>
        </w:rPr>
        <w:t>.</w:t>
      </w:r>
    </w:p>
    <w:p w14:paraId="768AAB6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Datu validācijas noteikumi ir daļa no EUS kvalitātes pamatnoteikumiem.</w:t>
      </w:r>
    </w:p>
    <w:p w14:paraId="40DF9FE2" w14:textId="77777777" w:rsidR="004323C0" w:rsidRPr="004323C0" w:rsidRDefault="004323C0" w:rsidP="004323C0">
      <w:pPr>
        <w:pStyle w:val="BodyText"/>
        <w:jc w:val="both"/>
        <w:rPr>
          <w:rFonts w:ascii="Times New Roman" w:hAnsi="Times New Roman" w:cs="Times New Roman"/>
          <w:noProof/>
          <w:sz w:val="24"/>
          <w:szCs w:val="24"/>
        </w:rPr>
      </w:pPr>
    </w:p>
    <w:p w14:paraId="5E0583EE" w14:textId="77777777" w:rsidR="004323C0" w:rsidRPr="004323C0" w:rsidRDefault="004323C0" w:rsidP="004323C0">
      <w:pPr>
        <w:pStyle w:val="Heading2"/>
        <w:rPr>
          <w:color w:val="auto"/>
        </w:rPr>
      </w:pPr>
      <w:bookmarkStart w:id="64" w:name="_TOC_250011"/>
      <w:r>
        <w:rPr>
          <w:color w:val="auto"/>
        </w:rPr>
        <w:t>Funkcijas un</w:t>
      </w:r>
      <w:bookmarkEnd w:id="64"/>
      <w:r>
        <w:rPr>
          <w:color w:val="auto"/>
        </w:rPr>
        <w:t xml:space="preserve"> pienākumi</w:t>
      </w:r>
    </w:p>
    <w:p w14:paraId="14A331B5" w14:textId="77777777" w:rsidR="004323C0" w:rsidRPr="004323C0" w:rsidRDefault="004323C0" w:rsidP="004323C0">
      <w:pPr>
        <w:pStyle w:val="BodyText"/>
        <w:jc w:val="both"/>
        <w:rPr>
          <w:rFonts w:ascii="Times New Roman" w:hAnsi="Times New Roman" w:cs="Times New Roman"/>
          <w:noProof/>
          <w:sz w:val="24"/>
          <w:szCs w:val="24"/>
        </w:rPr>
      </w:pPr>
    </w:p>
    <w:p w14:paraId="53B6A3F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Vispārējais funkciju un pienākumu princips nosaka, ka tas, kurš (</w:t>
      </w:r>
      <w:r>
        <w:rPr>
          <w:rFonts w:ascii="Times New Roman" w:hAnsi="Times New Roman"/>
          <w:i/>
          <w:iCs/>
          <w:sz w:val="24"/>
        </w:rPr>
        <w:t>Eurostat</w:t>
      </w:r>
      <w:r>
        <w:rPr>
          <w:rFonts w:ascii="Times New Roman" w:hAnsi="Times New Roman"/>
          <w:sz w:val="24"/>
        </w:rPr>
        <w:t xml:space="preserve"> vai ziņotāja valsts) sagatavo datus, ir atbildīgs arī par to validāciju. Vairumā gadījumu šī validācijas uzdevumu sadale ir skaidra.</w:t>
      </w:r>
    </w:p>
    <w:p w14:paraId="20BD82A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VSI nosūta datus </w:t>
      </w:r>
      <w:r>
        <w:rPr>
          <w:rFonts w:ascii="Times New Roman" w:hAnsi="Times New Roman"/>
          <w:i/>
          <w:iCs/>
          <w:sz w:val="24"/>
        </w:rPr>
        <w:t>Eurostat</w:t>
      </w:r>
      <w:r>
        <w:rPr>
          <w:rFonts w:ascii="Times New Roman" w:hAnsi="Times New Roman"/>
          <w:sz w:val="24"/>
        </w:rPr>
        <w:t xml:space="preserve">, saprotot, ka konfidenciālie dati netiks publicēti. Turklāt informācija par būtiskiem labojumiem, neparedzētiem novērojumiem un pārtrauktām sērijām jānosūta </w:t>
      </w:r>
      <w:r>
        <w:rPr>
          <w:rFonts w:ascii="Times New Roman" w:hAnsi="Times New Roman"/>
          <w:i/>
          <w:iCs/>
          <w:sz w:val="24"/>
        </w:rPr>
        <w:t>Eurostat</w:t>
      </w:r>
      <w:r>
        <w:rPr>
          <w:rFonts w:ascii="Times New Roman" w:hAnsi="Times New Roman"/>
          <w:sz w:val="24"/>
        </w:rPr>
        <w:t xml:space="preserve"> kopā ar VSI datiem, lai palīdzētu </w:t>
      </w:r>
      <w:r>
        <w:rPr>
          <w:rFonts w:ascii="Times New Roman" w:hAnsi="Times New Roman"/>
          <w:i/>
          <w:iCs/>
          <w:sz w:val="24"/>
        </w:rPr>
        <w:t>Eurostat</w:t>
      </w:r>
      <w:r>
        <w:rPr>
          <w:rFonts w:ascii="Times New Roman" w:hAnsi="Times New Roman"/>
          <w:sz w:val="24"/>
        </w:rPr>
        <w:t xml:space="preserve"> apkopot ES līmeņa kopsavilkuma rādītājus. Šo informāciju var nosūtīt </w:t>
      </w:r>
      <w:r>
        <w:rPr>
          <w:rFonts w:ascii="Times New Roman" w:hAnsi="Times New Roman"/>
          <w:i/>
          <w:iCs/>
          <w:sz w:val="24"/>
        </w:rPr>
        <w:t>SDMX-ML COMMENT_OBS</w:t>
      </w:r>
      <w:r>
        <w:rPr>
          <w:rFonts w:ascii="Times New Roman" w:hAnsi="Times New Roman"/>
          <w:sz w:val="24"/>
        </w:rPr>
        <w:t xml:space="preserve"> laukā, </w:t>
      </w:r>
      <w:r>
        <w:rPr>
          <w:rFonts w:ascii="Times New Roman" w:hAnsi="Times New Roman"/>
          <w:i/>
          <w:iCs/>
          <w:sz w:val="24"/>
        </w:rPr>
        <w:t>EDAMIS</w:t>
      </w:r>
      <w:r>
        <w:rPr>
          <w:rFonts w:ascii="Times New Roman" w:hAnsi="Times New Roman"/>
          <w:sz w:val="24"/>
        </w:rPr>
        <w:t xml:space="preserve"> aploksnē vai atsevišķā e-pasta vēstulē.</w:t>
      </w:r>
    </w:p>
    <w:p w14:paraId="214998BC" w14:textId="77777777" w:rsidR="004323C0" w:rsidRPr="004323C0" w:rsidRDefault="004323C0" w:rsidP="004323C0">
      <w:pPr>
        <w:pStyle w:val="BodyText"/>
        <w:jc w:val="both"/>
        <w:rPr>
          <w:rFonts w:ascii="Times New Roman" w:hAnsi="Times New Roman" w:cs="Times New Roman"/>
          <w:noProof/>
          <w:sz w:val="24"/>
          <w:szCs w:val="24"/>
        </w:rPr>
      </w:pPr>
    </w:p>
    <w:p w14:paraId="1F751EE5" w14:textId="77777777" w:rsidR="004323C0" w:rsidRPr="004323C0" w:rsidRDefault="004323C0" w:rsidP="004323C0">
      <w:pPr>
        <w:pStyle w:val="Heading2"/>
        <w:rPr>
          <w:color w:val="auto"/>
        </w:rPr>
      </w:pPr>
      <w:bookmarkStart w:id="65" w:name="_TOC_250010"/>
      <w:r>
        <w:rPr>
          <w:color w:val="auto"/>
        </w:rPr>
        <w:t xml:space="preserve">Datu </w:t>
      </w:r>
      <w:bookmarkEnd w:id="65"/>
      <w:r>
        <w:rPr>
          <w:color w:val="auto"/>
        </w:rPr>
        <w:t>nosūtīšana</w:t>
      </w:r>
    </w:p>
    <w:p w14:paraId="6B2EEC50" w14:textId="77777777" w:rsidR="004323C0" w:rsidRPr="004323C0" w:rsidRDefault="004323C0" w:rsidP="004323C0">
      <w:pPr>
        <w:pStyle w:val="BodyText"/>
        <w:jc w:val="both"/>
        <w:rPr>
          <w:rFonts w:ascii="Times New Roman" w:hAnsi="Times New Roman" w:cs="Times New Roman"/>
          <w:noProof/>
          <w:sz w:val="24"/>
          <w:szCs w:val="24"/>
        </w:rPr>
      </w:pPr>
    </w:p>
    <w:p w14:paraId="022CB0F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Datu nosūtīšanai izmanto gan </w:t>
      </w:r>
      <w:r>
        <w:rPr>
          <w:rFonts w:ascii="Times New Roman" w:hAnsi="Times New Roman"/>
          <w:i/>
          <w:iCs/>
          <w:sz w:val="24"/>
        </w:rPr>
        <w:t>SDMX</w:t>
      </w:r>
      <w:r>
        <w:rPr>
          <w:rFonts w:ascii="Times New Roman" w:hAnsi="Times New Roman"/>
          <w:sz w:val="24"/>
        </w:rPr>
        <w:t> 2.0 (</w:t>
      </w:r>
      <w:r>
        <w:rPr>
          <w:rFonts w:ascii="Times New Roman" w:hAnsi="Times New Roman"/>
          <w:i/>
          <w:iCs/>
          <w:sz w:val="24"/>
        </w:rPr>
        <w:t>COMPACT SDMX</w:t>
      </w:r>
      <w:r>
        <w:rPr>
          <w:rFonts w:ascii="Times New Roman" w:hAnsi="Times New Roman"/>
          <w:sz w:val="24"/>
        </w:rPr>
        <w:t xml:space="preserve">), gan </w:t>
      </w:r>
      <w:r>
        <w:rPr>
          <w:rFonts w:ascii="Times New Roman" w:hAnsi="Times New Roman"/>
          <w:i/>
          <w:iCs/>
          <w:sz w:val="24"/>
        </w:rPr>
        <w:t>SDMX</w:t>
      </w:r>
      <w:r>
        <w:rPr>
          <w:rFonts w:ascii="Times New Roman" w:hAnsi="Times New Roman"/>
          <w:sz w:val="24"/>
        </w:rPr>
        <w:t xml:space="preserve"> 2.1 atbilstoši EUS regulas prasībām. Datus var nosūtīt arī </w:t>
      </w:r>
      <w:r>
        <w:rPr>
          <w:rFonts w:ascii="Times New Roman" w:hAnsi="Times New Roman"/>
          <w:i/>
          <w:iCs/>
          <w:sz w:val="24"/>
        </w:rPr>
        <w:t>SDMX-CSV</w:t>
      </w:r>
      <w:r>
        <w:rPr>
          <w:rFonts w:ascii="Times New Roman" w:hAnsi="Times New Roman"/>
          <w:sz w:val="24"/>
        </w:rPr>
        <w:t xml:space="preserve"> formātā, ievērojot šīs pamatnostādnes.</w:t>
      </w:r>
    </w:p>
    <w:p w14:paraId="078D25BC"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GVĶ īstenošanas regula nosaka, ka pirmajai datu nosūtīšanai ir jānotiek līdz 2025. gada 30. septembrim. Valstis, kuras var nosūtīt datus pirms šā termiņa, tiek mudinātas to darīt. Nosūtot datus, </w:t>
      </w:r>
      <w:r>
        <w:rPr>
          <w:rFonts w:ascii="Times New Roman" w:hAnsi="Times New Roman"/>
          <w:i/>
          <w:iCs/>
          <w:sz w:val="24"/>
        </w:rPr>
        <w:t>Ediflow</w:t>
      </w:r>
      <w:r>
        <w:rPr>
          <w:rFonts w:ascii="Times New Roman" w:hAnsi="Times New Roman"/>
          <w:sz w:val="24"/>
        </w:rPr>
        <w:t xml:space="preserve"> kodi jānorāda, ievērojot </w:t>
      </w:r>
      <w:r>
        <w:rPr>
          <w:rFonts w:ascii="Times New Roman" w:hAnsi="Times New Roman"/>
          <w:color w:val="0066FF"/>
          <w:sz w:val="24"/>
        </w:rPr>
        <w:t>Normatīvtehniskajā dokumentā</w:t>
      </w:r>
      <w:r>
        <w:rPr>
          <w:rFonts w:ascii="Times New Roman" w:hAnsi="Times New Roman"/>
          <w:sz w:val="24"/>
        </w:rPr>
        <w:t xml:space="preserve"> noteikto formātu.</w:t>
      </w:r>
    </w:p>
    <w:p w14:paraId="4CED4D6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Attiecībā uz 10. mainīgo lielumu, kas saistīts ar aktuāliem notikumiem, par kuriem politikas veidotājiem, sabiedrībai un pētniekiem varētu būt ļoti liela īstermiņa interese, tiek ieteikts VSI nosūtīt datus </w:t>
      </w:r>
      <w:r>
        <w:rPr>
          <w:rFonts w:ascii="Times New Roman" w:hAnsi="Times New Roman"/>
          <w:i/>
          <w:iCs/>
          <w:sz w:val="24"/>
        </w:rPr>
        <w:t>Eurostat</w:t>
      </w:r>
      <w:r>
        <w:rPr>
          <w:rFonts w:ascii="Times New Roman" w:hAnsi="Times New Roman"/>
          <w:sz w:val="24"/>
        </w:rPr>
        <w:t xml:space="preserve"> agrāk nekā attiecībā uz citiem mainīgajiem lielumiem, faktiski līdz T+15. Pirmajā pārskata posmā tas būtu jāizdara līdz 2025. gada 31. martam. Šis datu nosūtīšanas termiņš ir brīvprātīgs.</w:t>
      </w:r>
    </w:p>
    <w:p w14:paraId="46BF4A6A" w14:textId="77777777" w:rsidR="004323C0" w:rsidRPr="004323C0" w:rsidRDefault="004323C0" w:rsidP="004323C0">
      <w:pPr>
        <w:pStyle w:val="BodyText"/>
        <w:tabs>
          <w:tab w:val="left" w:leader="dot" w:pos="9072"/>
        </w:tabs>
        <w:jc w:val="both"/>
        <w:rPr>
          <w:rFonts w:ascii="Times New Roman" w:hAnsi="Times New Roman" w:cs="Times New Roman"/>
          <w:b/>
          <w:bCs/>
          <w:noProof/>
          <w:color w:val="4F81BD" w:themeColor="accent1"/>
          <w:sz w:val="24"/>
          <w:szCs w:val="24"/>
        </w:rPr>
      </w:pPr>
      <w:r>
        <w:rPr>
          <w:rFonts w:ascii="Times New Roman" w:hAnsi="Times New Roman"/>
          <w:b/>
          <w:color w:val="4F81BD" w:themeColor="accent1"/>
          <w:sz w:val="24"/>
        </w:rPr>
        <w:tab/>
      </w:r>
    </w:p>
    <w:p w14:paraId="3396A58B"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Kodu saraksts</w:t>
      </w:r>
    </w:p>
    <w:p w14:paraId="3559819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Visi kodu saraksti, datnes struktūra un nepieciešamās datu kopas tiks parādītas </w:t>
      </w:r>
      <w:r>
        <w:rPr>
          <w:rFonts w:ascii="Times New Roman" w:hAnsi="Times New Roman"/>
          <w:i/>
          <w:iCs/>
          <w:sz w:val="24"/>
        </w:rPr>
        <w:t>CIRCABC</w:t>
      </w:r>
      <w:r w:rsidRPr="004323C0">
        <w:rPr>
          <w:rFonts w:ascii="Times New Roman" w:hAnsi="Times New Roman" w:cs="Times New Roman"/>
          <w:noProof/>
          <w:sz w:val="24"/>
          <w:szCs w:val="24"/>
          <w:vertAlign w:val="superscript"/>
        </w:rPr>
        <w:footnoteReference w:id="10"/>
      </w:r>
      <w:r>
        <w:rPr>
          <w:rFonts w:ascii="Times New Roman" w:hAnsi="Times New Roman"/>
          <w:sz w:val="24"/>
        </w:rPr>
        <w:t xml:space="preserve"> GVĶ apsekojuma mapē ar nosaukumu “</w:t>
      </w:r>
      <w:r>
        <w:rPr>
          <w:rFonts w:ascii="Times New Roman" w:hAnsi="Times New Roman"/>
          <w:color w:val="0066FF"/>
          <w:sz w:val="24"/>
        </w:rPr>
        <w:t>Metodiskie dokumenti</w:t>
      </w:r>
      <w:r>
        <w:rPr>
          <w:rFonts w:ascii="Times New Roman" w:hAnsi="Times New Roman"/>
          <w:sz w:val="24"/>
        </w:rPr>
        <w:t>”.</w:t>
      </w:r>
    </w:p>
    <w:p w14:paraId="45CD4B42" w14:textId="77777777" w:rsidR="004323C0" w:rsidRPr="004323C0" w:rsidRDefault="004323C0" w:rsidP="004323C0">
      <w:pPr>
        <w:pStyle w:val="BodyText"/>
        <w:tabs>
          <w:tab w:val="left" w:leader="dot" w:pos="9072"/>
        </w:tabs>
        <w:jc w:val="both"/>
        <w:rPr>
          <w:rFonts w:ascii="Times New Roman" w:hAnsi="Times New Roman" w:cs="Times New Roman"/>
          <w:b/>
          <w:bCs/>
          <w:noProof/>
          <w:color w:val="4F81BD" w:themeColor="accent1"/>
          <w:sz w:val="24"/>
          <w:szCs w:val="24"/>
        </w:rPr>
      </w:pPr>
      <w:r>
        <w:rPr>
          <w:rFonts w:ascii="Times New Roman" w:hAnsi="Times New Roman"/>
          <w:b/>
          <w:color w:val="4F81BD" w:themeColor="accent1"/>
          <w:sz w:val="24"/>
        </w:rPr>
        <w:tab/>
      </w:r>
    </w:p>
    <w:p w14:paraId="6FCCEECD" w14:textId="77777777" w:rsidR="004323C0" w:rsidRPr="004323C0" w:rsidRDefault="004323C0" w:rsidP="004323C0">
      <w:pPr>
        <w:pStyle w:val="BodyText"/>
        <w:jc w:val="both"/>
        <w:rPr>
          <w:rFonts w:ascii="Times New Roman" w:hAnsi="Times New Roman" w:cs="Times New Roman"/>
          <w:noProof/>
          <w:sz w:val="24"/>
          <w:szCs w:val="24"/>
        </w:rPr>
      </w:pPr>
    </w:p>
    <w:p w14:paraId="23F227C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Šajos mācību materiālos ir iekļauta papildu informācija par datu sniegšanu </w:t>
      </w:r>
      <w:r>
        <w:rPr>
          <w:rFonts w:ascii="Times New Roman" w:hAnsi="Times New Roman"/>
          <w:i/>
          <w:iCs/>
          <w:sz w:val="24"/>
        </w:rPr>
        <w:t>EDAMIS</w:t>
      </w:r>
      <w:r>
        <w:rPr>
          <w:rFonts w:ascii="Times New Roman" w:hAnsi="Times New Roman"/>
          <w:sz w:val="24"/>
        </w:rPr>
        <w:t xml:space="preserve"> sistēmā:</w:t>
      </w:r>
    </w:p>
    <w:p w14:paraId="1BED007F" w14:textId="77777777" w:rsidR="004323C0" w:rsidRPr="004323C0" w:rsidRDefault="004323C0" w:rsidP="004323C0">
      <w:pPr>
        <w:pStyle w:val="ListParagraph"/>
        <w:numPr>
          <w:ilvl w:val="1"/>
          <w:numId w:val="3"/>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vispārīga informācija par šo rīku: </w:t>
      </w:r>
      <w:r>
        <w:rPr>
          <w:rFonts w:ascii="Times New Roman" w:hAnsi="Times New Roman"/>
          <w:color w:val="0066FF"/>
          <w:sz w:val="24"/>
        </w:rPr>
        <w:t>https://ec.europa.eu/eurostat/cros/content/edamis_en</w:t>
      </w:r>
    </w:p>
    <w:p w14:paraId="6E38BDA2" w14:textId="77777777" w:rsidR="004323C0" w:rsidRPr="004323C0" w:rsidRDefault="004323C0" w:rsidP="004323C0">
      <w:pPr>
        <w:pStyle w:val="ListParagraph"/>
        <w:numPr>
          <w:ilvl w:val="1"/>
          <w:numId w:val="3"/>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mācību video par pamatfunkcijām: </w:t>
      </w:r>
      <w:r>
        <w:rPr>
          <w:rFonts w:ascii="Times New Roman" w:hAnsi="Times New Roman"/>
          <w:color w:val="0066FF"/>
          <w:sz w:val="24"/>
        </w:rPr>
        <w:t>https://ec.europa.eu/eurostat/cros/content/edamis-0_en</w:t>
      </w:r>
    </w:p>
    <w:p w14:paraId="11CFE438" w14:textId="77777777" w:rsidR="004323C0" w:rsidRPr="004323C0" w:rsidRDefault="004323C0" w:rsidP="004323C0">
      <w:pPr>
        <w:pStyle w:val="ListParagraph"/>
        <w:numPr>
          <w:ilvl w:val="1"/>
          <w:numId w:val="3"/>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BUJ: </w:t>
      </w:r>
      <w:r>
        <w:rPr>
          <w:rFonts w:ascii="Times New Roman" w:hAnsi="Times New Roman"/>
          <w:color w:val="0066FF"/>
          <w:sz w:val="24"/>
        </w:rPr>
        <w:t>https://ec.europa.eu/eurostat/cros/content/faq-1_en</w:t>
      </w:r>
    </w:p>
    <w:p w14:paraId="6F72EF43" w14:textId="77777777" w:rsidR="004323C0" w:rsidRPr="004323C0" w:rsidRDefault="004323C0" w:rsidP="004323C0">
      <w:pPr>
        <w:pStyle w:val="BodyText"/>
        <w:jc w:val="both"/>
        <w:rPr>
          <w:rFonts w:ascii="Times New Roman" w:hAnsi="Times New Roman" w:cs="Times New Roman"/>
          <w:noProof/>
          <w:sz w:val="24"/>
          <w:szCs w:val="24"/>
        </w:rPr>
      </w:pPr>
    </w:p>
    <w:p w14:paraId="2751E304" w14:textId="77777777" w:rsidR="004323C0" w:rsidRPr="004323C0" w:rsidRDefault="004323C0" w:rsidP="004323C0">
      <w:pPr>
        <w:pStyle w:val="Heading2"/>
        <w:rPr>
          <w:color w:val="auto"/>
        </w:rPr>
      </w:pPr>
      <w:bookmarkStart w:id="66" w:name="_TOC_250009"/>
      <w:r>
        <w:rPr>
          <w:color w:val="auto"/>
        </w:rPr>
        <w:t xml:space="preserve">Datu datņu </w:t>
      </w:r>
      <w:bookmarkEnd w:id="66"/>
      <w:r>
        <w:rPr>
          <w:color w:val="auto"/>
        </w:rPr>
        <w:t>validācija</w:t>
      </w:r>
    </w:p>
    <w:p w14:paraId="0B7EC5BB" w14:textId="77777777" w:rsidR="004323C0" w:rsidRPr="004323C0" w:rsidRDefault="004323C0" w:rsidP="004323C0">
      <w:pPr>
        <w:pStyle w:val="BodyText"/>
        <w:jc w:val="both"/>
        <w:rPr>
          <w:rFonts w:ascii="Times New Roman" w:hAnsi="Times New Roman" w:cs="Times New Roman"/>
          <w:noProof/>
          <w:sz w:val="24"/>
          <w:szCs w:val="24"/>
        </w:rPr>
      </w:pPr>
    </w:p>
    <w:p w14:paraId="1974500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GVĶ datnēm piemēro vairākus datu validācijas līmeņus. </w:t>
      </w:r>
      <w:r>
        <w:rPr>
          <w:rFonts w:ascii="Times New Roman" w:hAnsi="Times New Roman"/>
          <w:i/>
          <w:iCs/>
          <w:sz w:val="24"/>
        </w:rPr>
        <w:t>SDMX</w:t>
      </w:r>
      <w:r>
        <w:rPr>
          <w:rFonts w:ascii="Times New Roman" w:hAnsi="Times New Roman"/>
          <w:sz w:val="24"/>
        </w:rPr>
        <w:t xml:space="preserve"> formātos </w:t>
      </w:r>
      <w:r>
        <w:rPr>
          <w:rFonts w:ascii="Times New Roman" w:hAnsi="Times New Roman"/>
          <w:i/>
          <w:iCs/>
          <w:sz w:val="24"/>
        </w:rPr>
        <w:t>Eurostat</w:t>
      </w:r>
      <w:r>
        <w:rPr>
          <w:rFonts w:ascii="Times New Roman" w:hAnsi="Times New Roman"/>
          <w:sz w:val="24"/>
        </w:rPr>
        <w:t xml:space="preserve"> var veikt automātiskas </w:t>
      </w:r>
      <w:r>
        <w:rPr>
          <w:rFonts w:ascii="Times New Roman" w:hAnsi="Times New Roman"/>
          <w:b/>
          <w:sz w:val="24"/>
        </w:rPr>
        <w:t>strukturālās validācijas</w:t>
      </w:r>
      <w:r>
        <w:rPr>
          <w:rFonts w:ascii="Times New Roman" w:hAnsi="Times New Roman"/>
          <w:sz w:val="24"/>
        </w:rPr>
        <w:t xml:space="preserve"> (</w:t>
      </w:r>
      <w:r>
        <w:rPr>
          <w:rFonts w:ascii="Times New Roman" w:hAnsi="Times New Roman"/>
          <w:i/>
          <w:iCs/>
          <w:sz w:val="24"/>
        </w:rPr>
        <w:t>STRUVAL</w:t>
      </w:r>
      <w:r>
        <w:rPr>
          <w:rFonts w:ascii="Times New Roman" w:hAnsi="Times New Roman"/>
          <w:sz w:val="24"/>
        </w:rPr>
        <w:t xml:space="preserve">) un </w:t>
      </w:r>
      <w:r>
        <w:rPr>
          <w:rFonts w:ascii="Times New Roman" w:hAnsi="Times New Roman"/>
          <w:b/>
          <w:sz w:val="24"/>
        </w:rPr>
        <w:t>satura validācijas</w:t>
      </w:r>
      <w:r>
        <w:rPr>
          <w:rFonts w:ascii="Times New Roman" w:hAnsi="Times New Roman"/>
          <w:sz w:val="24"/>
        </w:rPr>
        <w:t xml:space="preserve"> (</w:t>
      </w:r>
      <w:r>
        <w:rPr>
          <w:rFonts w:ascii="Times New Roman" w:hAnsi="Times New Roman"/>
          <w:i/>
          <w:iCs/>
          <w:sz w:val="24"/>
        </w:rPr>
        <w:t>CONVAL</w:t>
      </w:r>
      <w:r>
        <w:rPr>
          <w:rFonts w:ascii="Times New Roman" w:hAnsi="Times New Roman"/>
          <w:sz w:val="24"/>
        </w:rPr>
        <w:t xml:space="preserve">) pārbaudes, izmantojot </w:t>
      </w:r>
      <w:r>
        <w:rPr>
          <w:rFonts w:ascii="Times New Roman" w:hAnsi="Times New Roman"/>
          <w:i/>
          <w:iCs/>
          <w:sz w:val="24"/>
        </w:rPr>
        <w:t>Eurostat</w:t>
      </w:r>
      <w:r>
        <w:rPr>
          <w:rFonts w:ascii="Times New Roman" w:hAnsi="Times New Roman"/>
          <w:sz w:val="24"/>
        </w:rPr>
        <w:t xml:space="preserve"> korporatīvās validācijas infrastruktūru un rīkus. Lai izmantotu šo iespēju, kopīgi validācijas noteikumi tiks formalizēti un ieviesti </w:t>
      </w:r>
      <w:r>
        <w:rPr>
          <w:rFonts w:ascii="Times New Roman" w:hAnsi="Times New Roman"/>
          <w:i/>
          <w:iCs/>
          <w:sz w:val="24"/>
        </w:rPr>
        <w:t>Eurostat</w:t>
      </w:r>
      <w:r>
        <w:rPr>
          <w:rFonts w:ascii="Times New Roman" w:hAnsi="Times New Roman"/>
          <w:sz w:val="24"/>
        </w:rPr>
        <w:t xml:space="preserve"> korporatīvajos validācijas rīkos </w:t>
      </w:r>
      <w:r>
        <w:rPr>
          <w:rFonts w:ascii="Times New Roman" w:hAnsi="Times New Roman"/>
          <w:i/>
          <w:iCs/>
          <w:sz w:val="24"/>
        </w:rPr>
        <w:t>STRUVAL</w:t>
      </w:r>
      <w:r>
        <w:rPr>
          <w:rFonts w:ascii="Times New Roman" w:hAnsi="Times New Roman"/>
          <w:sz w:val="24"/>
        </w:rPr>
        <w:t xml:space="preserve"> un </w:t>
      </w:r>
      <w:r>
        <w:rPr>
          <w:rFonts w:ascii="Times New Roman" w:hAnsi="Times New Roman"/>
          <w:i/>
          <w:iCs/>
          <w:sz w:val="24"/>
        </w:rPr>
        <w:t>CONVAL</w:t>
      </w:r>
      <w:r>
        <w:rPr>
          <w:rFonts w:ascii="Times New Roman" w:hAnsi="Times New Roman"/>
          <w:sz w:val="24"/>
        </w:rPr>
        <w:t xml:space="preserve">. Validācijas rezultāti valstu datu korespondentiem tiek paziņoti, izmantojot </w:t>
      </w:r>
      <w:r>
        <w:rPr>
          <w:rFonts w:ascii="Times New Roman" w:hAnsi="Times New Roman"/>
          <w:i/>
          <w:iCs/>
          <w:sz w:val="24"/>
        </w:rPr>
        <w:t>EDAMIS</w:t>
      </w:r>
      <w:r>
        <w:rPr>
          <w:rFonts w:ascii="Times New Roman" w:hAnsi="Times New Roman"/>
          <w:sz w:val="24"/>
        </w:rPr>
        <w:t xml:space="preserve"> atgriezeniskās saites mehānismu.</w:t>
      </w:r>
    </w:p>
    <w:p w14:paraId="1E2F061F" w14:textId="77777777" w:rsidR="004323C0" w:rsidRPr="004323C0" w:rsidRDefault="004323C0" w:rsidP="004323C0">
      <w:pPr>
        <w:pStyle w:val="BodyText"/>
        <w:jc w:val="both"/>
        <w:rPr>
          <w:rFonts w:ascii="Times New Roman" w:hAnsi="Times New Roman" w:cs="Times New Roman"/>
          <w:noProof/>
          <w:sz w:val="24"/>
          <w:szCs w:val="24"/>
        </w:rPr>
      </w:pPr>
    </w:p>
    <w:p w14:paraId="0D0A841E" w14:textId="77777777" w:rsidR="004323C0" w:rsidRPr="004323C0" w:rsidRDefault="004323C0" w:rsidP="004323C0">
      <w:pPr>
        <w:jc w:val="both"/>
        <w:rPr>
          <w:rFonts w:ascii="Times New Roman" w:hAnsi="Times New Roman" w:cs="Times New Roman"/>
          <w:b/>
          <w:noProof/>
          <w:sz w:val="24"/>
          <w:szCs w:val="24"/>
        </w:rPr>
      </w:pPr>
      <w:r>
        <w:rPr>
          <w:rFonts w:ascii="Times New Roman" w:hAnsi="Times New Roman"/>
          <w:b/>
          <w:i/>
          <w:iCs/>
          <w:color w:val="0066FF"/>
          <w:sz w:val="24"/>
        </w:rPr>
        <w:t>CIRCABC</w:t>
      </w:r>
      <w:r>
        <w:rPr>
          <w:rFonts w:ascii="Times New Roman" w:hAnsi="Times New Roman"/>
          <w:b/>
          <w:color w:val="0066FF"/>
          <w:sz w:val="24"/>
        </w:rPr>
        <w:t xml:space="preserve"> mapē</w:t>
      </w:r>
      <w:r>
        <w:rPr>
          <w:rFonts w:ascii="Times New Roman" w:hAnsi="Times New Roman"/>
          <w:b/>
          <w:sz w:val="24"/>
        </w:rPr>
        <w:t xml:space="preserve"> būs izklāstīti papildu </w:t>
      </w:r>
      <w:r>
        <w:rPr>
          <w:rFonts w:ascii="Times New Roman" w:hAnsi="Times New Roman"/>
          <w:b/>
          <w:i/>
          <w:iCs/>
          <w:sz w:val="24"/>
        </w:rPr>
        <w:t>STRUVAL</w:t>
      </w:r>
      <w:r>
        <w:rPr>
          <w:rFonts w:ascii="Times New Roman" w:hAnsi="Times New Roman"/>
          <w:b/>
          <w:sz w:val="24"/>
        </w:rPr>
        <w:t xml:space="preserve">, </w:t>
      </w:r>
      <w:r>
        <w:rPr>
          <w:rFonts w:ascii="Times New Roman" w:hAnsi="Times New Roman"/>
          <w:b/>
          <w:i/>
          <w:iCs/>
          <w:sz w:val="24"/>
        </w:rPr>
        <w:t>CONVAL</w:t>
      </w:r>
      <w:r>
        <w:rPr>
          <w:rFonts w:ascii="Times New Roman" w:hAnsi="Times New Roman"/>
          <w:b/>
          <w:sz w:val="24"/>
        </w:rPr>
        <w:t xml:space="preserve"> un konsekvences noteikumi par GVĶ apsekojumu.</w:t>
      </w:r>
    </w:p>
    <w:p w14:paraId="677B36DB" w14:textId="77777777" w:rsidR="004323C0" w:rsidRPr="004323C0" w:rsidRDefault="004323C0" w:rsidP="004323C0">
      <w:pPr>
        <w:jc w:val="both"/>
        <w:rPr>
          <w:rFonts w:ascii="Times New Roman" w:hAnsi="Times New Roman" w:cs="Times New Roman"/>
          <w:b/>
          <w:noProof/>
          <w:sz w:val="24"/>
          <w:szCs w:val="24"/>
        </w:rPr>
      </w:pPr>
    </w:p>
    <w:p w14:paraId="7CF46617"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67" w:name="STRUCTURAL_VALIDATION_RULES_(STRUVAL)"/>
      <w:bookmarkEnd w:id="67"/>
      <w:r>
        <w:rPr>
          <w:rFonts w:ascii="Times New Roman" w:hAnsi="Times New Roman"/>
          <w:b/>
          <w:color w:val="466DB4"/>
          <w:sz w:val="24"/>
        </w:rPr>
        <w:t>STRUKTURĀLĀS VALIDĀCIJAS NOTEIKUMI (</w:t>
      </w:r>
      <w:r>
        <w:rPr>
          <w:rFonts w:ascii="Times New Roman" w:hAnsi="Times New Roman"/>
          <w:b/>
          <w:i/>
          <w:iCs/>
          <w:color w:val="466DB4"/>
          <w:sz w:val="24"/>
        </w:rPr>
        <w:t>STRUVAL</w:t>
      </w:r>
      <w:r>
        <w:rPr>
          <w:rFonts w:ascii="Times New Roman" w:hAnsi="Times New Roman"/>
          <w:b/>
          <w:color w:val="466DB4"/>
          <w:sz w:val="24"/>
        </w:rPr>
        <w:t>)</w:t>
      </w:r>
    </w:p>
    <w:p w14:paraId="46FD8E32" w14:textId="77777777" w:rsidR="004323C0" w:rsidRPr="004323C0" w:rsidRDefault="004323C0" w:rsidP="004323C0">
      <w:pPr>
        <w:pStyle w:val="BodyText"/>
        <w:jc w:val="both"/>
        <w:rPr>
          <w:rFonts w:ascii="Times New Roman" w:hAnsi="Times New Roman" w:cs="Times New Roman"/>
          <w:noProof/>
          <w:sz w:val="24"/>
          <w:szCs w:val="24"/>
        </w:rPr>
      </w:pPr>
    </w:p>
    <w:p w14:paraId="0844E82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Ja datne tiek pieņemta, </w:t>
      </w:r>
      <w:r>
        <w:rPr>
          <w:rFonts w:ascii="Times New Roman" w:hAnsi="Times New Roman"/>
          <w:i/>
          <w:iCs/>
          <w:sz w:val="24"/>
        </w:rPr>
        <w:t>STRUVAL</w:t>
      </w:r>
      <w:r>
        <w:rPr>
          <w:rFonts w:ascii="Times New Roman" w:hAnsi="Times New Roman"/>
          <w:sz w:val="24"/>
        </w:rPr>
        <w:t xml:space="preserve"> validācijas ziņojums ir ļoti īss. Ja tiek konstatētas kļūdas, tās sīki apraksta. </w:t>
      </w:r>
      <w:r>
        <w:rPr>
          <w:rFonts w:ascii="Times New Roman" w:hAnsi="Times New Roman"/>
          <w:i/>
          <w:iCs/>
          <w:sz w:val="24"/>
        </w:rPr>
        <w:t>CONVAL</w:t>
      </w:r>
      <w:r>
        <w:rPr>
          <w:rFonts w:ascii="Times New Roman" w:hAnsi="Times New Roman"/>
          <w:sz w:val="24"/>
        </w:rPr>
        <w:t xml:space="preserve"> validācijas ziņojums nav tas pats, kas </w:t>
      </w:r>
      <w:r>
        <w:rPr>
          <w:rFonts w:ascii="Times New Roman" w:hAnsi="Times New Roman"/>
          <w:i/>
          <w:iCs/>
          <w:sz w:val="24"/>
        </w:rPr>
        <w:t>STRUVAL</w:t>
      </w:r>
      <w:r>
        <w:rPr>
          <w:rFonts w:ascii="Times New Roman" w:hAnsi="Times New Roman"/>
          <w:sz w:val="24"/>
        </w:rPr>
        <w:t xml:space="preserve"> ziņojums, un attiecībā uz GVĶ datu failiem tajā var būt ietvertas “kļūdas” vai “informācijas vienumi”.</w:t>
      </w:r>
    </w:p>
    <w:p w14:paraId="568B381F" w14:textId="77777777" w:rsidR="004323C0" w:rsidRPr="004323C0" w:rsidRDefault="004323C0" w:rsidP="004323C0">
      <w:pPr>
        <w:pStyle w:val="ListParagraph"/>
        <w:numPr>
          <w:ilvl w:val="1"/>
          <w:numId w:val="3"/>
        </w:numPr>
        <w:tabs>
          <w:tab w:val="left" w:pos="834"/>
        </w:tabs>
        <w:spacing w:before="0"/>
        <w:ind w:left="284" w:firstLine="0"/>
        <w:rPr>
          <w:rFonts w:ascii="Times New Roman" w:hAnsi="Times New Roman" w:cs="Times New Roman"/>
          <w:noProof/>
          <w:sz w:val="24"/>
          <w:szCs w:val="24"/>
        </w:rPr>
      </w:pPr>
      <w:r>
        <w:rPr>
          <w:rFonts w:ascii="Times New Roman" w:hAnsi="Times New Roman"/>
          <w:b/>
          <w:sz w:val="24"/>
          <w:u w:val="single"/>
        </w:rPr>
        <w:t>Kļūdas</w:t>
      </w:r>
      <w:r>
        <w:rPr>
          <w:rFonts w:ascii="Times New Roman" w:hAnsi="Times New Roman"/>
          <w:sz w:val="24"/>
        </w:rPr>
        <w:t xml:space="preserve">. Kļūdas iekļaušana kļūdas ziņojumā nozīmē, ka nosūtītajā datu failā ir atklāta nopietna datu konsekvences problēma un ka </w:t>
      </w:r>
      <w:r>
        <w:rPr>
          <w:rFonts w:ascii="Times New Roman" w:hAnsi="Times New Roman"/>
          <w:i/>
          <w:iCs/>
          <w:sz w:val="24"/>
        </w:rPr>
        <w:t>Eurostat</w:t>
      </w:r>
      <w:r>
        <w:rPr>
          <w:rFonts w:ascii="Times New Roman" w:hAnsi="Times New Roman"/>
          <w:sz w:val="24"/>
        </w:rPr>
        <w:t xml:space="preserve"> ir noraidījis šo datu failu. Sūtītājam kļūdas ir jāizlabo un </w:t>
      </w:r>
      <w:r>
        <w:rPr>
          <w:rFonts w:ascii="Times New Roman" w:hAnsi="Times New Roman"/>
          <w:i/>
          <w:iCs/>
          <w:sz w:val="24"/>
        </w:rPr>
        <w:t>EDAMIS</w:t>
      </w:r>
      <w:r>
        <w:rPr>
          <w:rFonts w:ascii="Times New Roman" w:hAnsi="Times New Roman"/>
          <w:sz w:val="24"/>
        </w:rPr>
        <w:t xml:space="preserve"> sistēmā jānosūta jauna redakcija.</w:t>
      </w:r>
    </w:p>
    <w:p w14:paraId="35F4E530" w14:textId="77777777" w:rsidR="004323C0" w:rsidRPr="004323C0" w:rsidRDefault="004323C0" w:rsidP="004323C0">
      <w:pPr>
        <w:pStyle w:val="ListParagraph"/>
        <w:numPr>
          <w:ilvl w:val="1"/>
          <w:numId w:val="3"/>
        </w:numPr>
        <w:tabs>
          <w:tab w:val="left" w:pos="839"/>
          <w:tab w:val="left" w:pos="841"/>
        </w:tabs>
        <w:spacing w:before="0"/>
        <w:ind w:left="284" w:firstLine="0"/>
        <w:rPr>
          <w:rFonts w:ascii="Times New Roman" w:hAnsi="Times New Roman" w:cs="Times New Roman"/>
          <w:noProof/>
          <w:sz w:val="24"/>
          <w:szCs w:val="24"/>
        </w:rPr>
      </w:pPr>
      <w:r>
        <w:rPr>
          <w:rFonts w:ascii="Times New Roman" w:hAnsi="Times New Roman"/>
          <w:b/>
          <w:sz w:val="24"/>
          <w:u w:val="single"/>
        </w:rPr>
        <w:t>Informācija</w:t>
      </w:r>
      <w:r>
        <w:rPr>
          <w:rFonts w:ascii="Times New Roman" w:hAnsi="Times New Roman"/>
          <w:sz w:val="24"/>
        </w:rPr>
        <w:t xml:space="preserve"> (brīdinājumi). Informācijas vienumu iekļaušana kļūdu ziņojumā nozīmē, ka paziņotais elements ir aizdomīgs un tam ir jāpievērš papildu uzmanība, taču tam var būt pamatots skaidrojums. Datnes ar informāciju netiek noraidītas, un </w:t>
      </w:r>
      <w:r>
        <w:rPr>
          <w:rFonts w:ascii="Times New Roman" w:hAnsi="Times New Roman"/>
          <w:i/>
          <w:iCs/>
          <w:sz w:val="24"/>
        </w:rPr>
        <w:t>Eurostat</w:t>
      </w:r>
      <w:r>
        <w:rPr>
          <w:rFonts w:ascii="Times New Roman" w:hAnsi="Times New Roman"/>
          <w:sz w:val="24"/>
        </w:rPr>
        <w:t xml:space="preserve"> tās pieņem un apstrādā. Jaunas datnes sūtīšana netiek pieprasīta, taču ziņotājvalstīm ir rūpīgi jāizpēta validācijas rezultāti un jāapsver, vai ir nepieciešama kāda turpmāka rīcība.</w:t>
      </w:r>
    </w:p>
    <w:p w14:paraId="0F0939CF" w14:textId="77777777" w:rsidR="004323C0" w:rsidRPr="004323C0" w:rsidRDefault="004323C0" w:rsidP="004323C0">
      <w:pPr>
        <w:pStyle w:val="BodyText"/>
        <w:jc w:val="both"/>
        <w:rPr>
          <w:rFonts w:ascii="Times New Roman" w:hAnsi="Times New Roman" w:cs="Times New Roman"/>
          <w:noProof/>
          <w:sz w:val="24"/>
          <w:szCs w:val="24"/>
        </w:rPr>
      </w:pPr>
    </w:p>
    <w:p w14:paraId="6FFB65B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Visas GVĶ datu kopas tiek apstiprinātas, kad </w:t>
      </w:r>
      <w:r>
        <w:rPr>
          <w:rFonts w:ascii="Times New Roman" w:hAnsi="Times New Roman"/>
          <w:i/>
          <w:iCs/>
          <w:sz w:val="24"/>
        </w:rPr>
        <w:t>Eurostat</w:t>
      </w:r>
      <w:r>
        <w:rPr>
          <w:rFonts w:ascii="Times New Roman" w:hAnsi="Times New Roman"/>
          <w:sz w:val="24"/>
        </w:rPr>
        <w:t xml:space="preserve"> GVĶ jomas pārvaldnieki ir augšupielādējuši šos datus </w:t>
      </w:r>
      <w:r>
        <w:rPr>
          <w:rFonts w:ascii="Times New Roman" w:hAnsi="Times New Roman"/>
          <w:i/>
          <w:iCs/>
          <w:sz w:val="24"/>
        </w:rPr>
        <w:t>Eurostat</w:t>
      </w:r>
      <w:r>
        <w:rPr>
          <w:rFonts w:ascii="Times New Roman" w:hAnsi="Times New Roman"/>
          <w:sz w:val="24"/>
        </w:rPr>
        <w:t xml:space="preserve"> GVĶ datubāzē. Vissvarīgākais ir tas, ka šo validāciju laikā tiek atkārtoti piemēroti daži </w:t>
      </w:r>
      <w:r>
        <w:rPr>
          <w:rFonts w:ascii="Times New Roman" w:hAnsi="Times New Roman"/>
          <w:i/>
          <w:iCs/>
          <w:sz w:val="24"/>
        </w:rPr>
        <w:t>CONVAL</w:t>
      </w:r>
      <w:r>
        <w:rPr>
          <w:rFonts w:ascii="Times New Roman" w:hAnsi="Times New Roman"/>
          <w:sz w:val="24"/>
        </w:rPr>
        <w:t xml:space="preserve"> noteikumi un jaunie dati salīdzināti ar datiem, kas jau ir datubāzē.</w:t>
      </w:r>
    </w:p>
    <w:p w14:paraId="1A7AA53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Ja iepriekš nosūtītajos datos tiek veikti būtiski labojumi, GVĶ jomas pārvaldnieks sazināsies ar datnes nosūtītāju, lai apstiprinātu izmaiņas.</w:t>
      </w:r>
    </w:p>
    <w:p w14:paraId="6E218A4B"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Visas saņemtās </w:t>
      </w:r>
      <w:r>
        <w:rPr>
          <w:rFonts w:ascii="Times New Roman" w:hAnsi="Times New Roman"/>
          <w:i/>
          <w:iCs/>
          <w:sz w:val="24"/>
        </w:rPr>
        <w:t>SDMX-ML</w:t>
      </w:r>
      <w:r>
        <w:rPr>
          <w:rFonts w:ascii="Times New Roman" w:hAnsi="Times New Roman"/>
          <w:sz w:val="24"/>
        </w:rPr>
        <w:t xml:space="preserve"> un </w:t>
      </w:r>
      <w:r>
        <w:rPr>
          <w:rFonts w:ascii="Times New Roman" w:hAnsi="Times New Roman"/>
          <w:i/>
          <w:iCs/>
          <w:sz w:val="24"/>
        </w:rPr>
        <w:t>SDMX-CSV</w:t>
      </w:r>
      <w:r>
        <w:rPr>
          <w:rFonts w:ascii="Times New Roman" w:hAnsi="Times New Roman"/>
          <w:sz w:val="24"/>
        </w:rPr>
        <w:t xml:space="preserve"> datnes pēc to izsūtīšanas no </w:t>
      </w:r>
      <w:r>
        <w:rPr>
          <w:rFonts w:ascii="Times New Roman" w:hAnsi="Times New Roman"/>
          <w:i/>
          <w:iCs/>
          <w:sz w:val="24"/>
        </w:rPr>
        <w:t>EDAMIS</w:t>
      </w:r>
      <w:r>
        <w:rPr>
          <w:rFonts w:ascii="Times New Roman" w:hAnsi="Times New Roman"/>
          <w:sz w:val="24"/>
        </w:rPr>
        <w:t xml:space="preserve"> sistēmas tiek automātiski pārbaudītas, tās salīdzinot ar DSD </w:t>
      </w:r>
      <w:r>
        <w:rPr>
          <w:rFonts w:ascii="Times New Roman" w:hAnsi="Times New Roman"/>
          <w:i/>
          <w:iCs/>
          <w:sz w:val="24"/>
        </w:rPr>
        <w:t>ESTAT</w:t>
      </w:r>
      <w:r>
        <w:rPr>
          <w:rFonts w:ascii="Times New Roman" w:hAnsi="Times New Roman"/>
          <w:sz w:val="24"/>
        </w:rPr>
        <w:t>+GVĶ+1.0 un konkrēto datu plūsmai raksturīgiem strukturālās validācijas ierobežojumiem. 5. tabulā ir izklāstīti tie strukturālās validācijas noteikumi, kas tiek piemēroti GVĶ datu kopām.</w:t>
      </w:r>
    </w:p>
    <w:p w14:paraId="17C3527D" w14:textId="77777777" w:rsidR="004323C0" w:rsidRPr="004323C0" w:rsidRDefault="004323C0" w:rsidP="004323C0">
      <w:pPr>
        <w:jc w:val="both"/>
        <w:rPr>
          <w:rFonts w:ascii="Times New Roman" w:hAnsi="Times New Roman" w:cs="Times New Roman"/>
          <w:b/>
          <w:noProof/>
          <w:sz w:val="24"/>
          <w:szCs w:val="24"/>
        </w:rPr>
      </w:pPr>
      <w:bookmarkStart w:id="68" w:name="_bookmark15"/>
      <w:bookmarkEnd w:id="68"/>
    </w:p>
    <w:p w14:paraId="3B4046F9" w14:textId="77777777" w:rsidR="004323C0" w:rsidRPr="004323C0" w:rsidRDefault="004323C0" w:rsidP="004323C0">
      <w:pPr>
        <w:jc w:val="both"/>
        <w:rPr>
          <w:rFonts w:ascii="Times New Roman" w:hAnsi="Times New Roman" w:cs="Times New Roman"/>
          <w:b/>
          <w:noProof/>
          <w:sz w:val="24"/>
          <w:szCs w:val="24"/>
        </w:rPr>
      </w:pPr>
      <w:r>
        <w:rPr>
          <w:rFonts w:ascii="Times New Roman" w:hAnsi="Times New Roman"/>
          <w:b/>
          <w:sz w:val="24"/>
        </w:rPr>
        <w:t>5. tabula. Galvenie strukturālās validācijas noteikumi GVĶ datu kopām</w:t>
      </w:r>
    </w:p>
    <w:p w14:paraId="2BEF95D3" w14:textId="77777777" w:rsidR="004323C0" w:rsidRPr="004323C0" w:rsidRDefault="004323C0" w:rsidP="004323C0">
      <w:pPr>
        <w:pStyle w:val="BodyText"/>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83"/>
        <w:gridCol w:w="1337"/>
        <w:gridCol w:w="7111"/>
      </w:tblGrid>
      <w:tr w:rsidR="004323C0" w:rsidRPr="004323C0" w14:paraId="59FA7591" w14:textId="77777777" w:rsidTr="000018C9">
        <w:tc>
          <w:tcPr>
            <w:tcW w:w="374" w:type="pct"/>
            <w:tcBorders>
              <w:top w:val="single" w:sz="4" w:space="0" w:color="466DB4"/>
              <w:bottom w:val="single" w:sz="4" w:space="0" w:color="466DB4"/>
            </w:tcBorders>
            <w:shd w:val="clear" w:color="auto" w:fill="CDDCEF"/>
          </w:tcPr>
          <w:p w14:paraId="2153918D"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Skaits</w:t>
            </w:r>
          </w:p>
        </w:tc>
        <w:tc>
          <w:tcPr>
            <w:tcW w:w="732" w:type="pct"/>
            <w:tcBorders>
              <w:top w:val="single" w:sz="4" w:space="0" w:color="466DB4"/>
              <w:bottom w:val="single" w:sz="4" w:space="0" w:color="466DB4"/>
            </w:tcBorders>
            <w:shd w:val="clear" w:color="auto" w:fill="CDDCEF"/>
          </w:tcPr>
          <w:p w14:paraId="1E039628"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Smaguma pakāpe</w:t>
            </w:r>
          </w:p>
        </w:tc>
        <w:tc>
          <w:tcPr>
            <w:tcW w:w="3894" w:type="pct"/>
            <w:tcBorders>
              <w:top w:val="single" w:sz="4" w:space="0" w:color="466DB4"/>
              <w:bottom w:val="single" w:sz="4" w:space="0" w:color="466DB4"/>
            </w:tcBorders>
            <w:shd w:val="clear" w:color="auto" w:fill="CDDCEF"/>
          </w:tcPr>
          <w:p w14:paraId="0AA43E66"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Noteikuma apraksts</w:t>
            </w:r>
          </w:p>
        </w:tc>
      </w:tr>
      <w:tr w:rsidR="004323C0" w:rsidRPr="004323C0" w14:paraId="3AAC0CF8" w14:textId="77777777" w:rsidTr="000018C9">
        <w:tc>
          <w:tcPr>
            <w:tcW w:w="374" w:type="pct"/>
            <w:tcBorders>
              <w:top w:val="single" w:sz="4" w:space="0" w:color="466DB4"/>
              <w:bottom w:val="single" w:sz="4" w:space="0" w:color="CDDCEF"/>
            </w:tcBorders>
          </w:tcPr>
          <w:p w14:paraId="787D2373"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w:t>
            </w:r>
          </w:p>
        </w:tc>
        <w:tc>
          <w:tcPr>
            <w:tcW w:w="732" w:type="pct"/>
            <w:tcBorders>
              <w:top w:val="single" w:sz="4" w:space="0" w:color="466DB4"/>
              <w:bottom w:val="single" w:sz="4" w:space="0" w:color="CDDCEF"/>
            </w:tcBorders>
          </w:tcPr>
          <w:p w14:paraId="73C5E291"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Kļūda</w:t>
            </w:r>
          </w:p>
        </w:tc>
        <w:tc>
          <w:tcPr>
            <w:tcW w:w="3894" w:type="pct"/>
            <w:tcBorders>
              <w:top w:val="single" w:sz="4" w:space="0" w:color="466DB4"/>
              <w:bottom w:val="single" w:sz="4" w:space="0" w:color="CDDCEF"/>
            </w:tcBorders>
          </w:tcPr>
          <w:p w14:paraId="0991D52E"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 xml:space="preserve">Visas </w:t>
            </w:r>
            <w:r>
              <w:rPr>
                <w:rFonts w:ascii="Times New Roman" w:hAnsi="Times New Roman"/>
                <w:i/>
                <w:iCs/>
                <w:sz w:val="24"/>
              </w:rPr>
              <w:t>SDMX</w:t>
            </w:r>
            <w:r>
              <w:rPr>
                <w:rFonts w:ascii="Times New Roman" w:hAnsi="Times New Roman"/>
                <w:sz w:val="24"/>
              </w:rPr>
              <w:t xml:space="preserve"> formātā nosūtītās datnes validē, salīdzinot tās ar atbilstošo datu struktūras definīciju (DSD) attiecībā uz jēdzienu lietojumu, kodu sarakstiem un konkrētu datu plūsmu ierobežojumiem.</w:t>
            </w:r>
          </w:p>
        </w:tc>
      </w:tr>
      <w:tr w:rsidR="004323C0" w:rsidRPr="004323C0" w14:paraId="4BDE083F" w14:textId="77777777" w:rsidTr="000018C9">
        <w:tc>
          <w:tcPr>
            <w:tcW w:w="374" w:type="pct"/>
            <w:tcBorders>
              <w:top w:val="single" w:sz="4" w:space="0" w:color="CDDCEF"/>
              <w:bottom w:val="single" w:sz="4" w:space="0" w:color="466DB4"/>
            </w:tcBorders>
          </w:tcPr>
          <w:p w14:paraId="757A55F7"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II</w:t>
            </w:r>
          </w:p>
        </w:tc>
        <w:tc>
          <w:tcPr>
            <w:tcW w:w="732" w:type="pct"/>
            <w:tcBorders>
              <w:top w:val="single" w:sz="4" w:space="0" w:color="CDDCEF"/>
              <w:bottom w:val="single" w:sz="4" w:space="0" w:color="466DB4"/>
            </w:tcBorders>
          </w:tcPr>
          <w:p w14:paraId="7140D6B2"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Kļūda</w:t>
            </w:r>
          </w:p>
        </w:tc>
        <w:tc>
          <w:tcPr>
            <w:tcW w:w="3894" w:type="pct"/>
            <w:tcBorders>
              <w:top w:val="single" w:sz="4" w:space="0" w:color="CDDCEF"/>
              <w:bottom w:val="single" w:sz="4" w:space="0" w:color="466DB4"/>
            </w:tcBorders>
          </w:tcPr>
          <w:p w14:paraId="5F794F24"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Vienā datnē nav pieņemamas dažādas vērtības (dubultās vērtības) vienam un tam pašam novērojumam.</w:t>
            </w:r>
          </w:p>
        </w:tc>
      </w:tr>
    </w:tbl>
    <w:p w14:paraId="1FEF2F82"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69" w:name="CONTENT_VALIDATION_RULES_(CONVAL)"/>
      <w:bookmarkEnd w:id="69"/>
    </w:p>
    <w:p w14:paraId="35FE40CE" w14:textId="77777777" w:rsidR="004323C0" w:rsidRPr="004323C0" w:rsidRDefault="004323C0" w:rsidP="006F4801">
      <w:pPr>
        <w:pStyle w:val="BodyText"/>
        <w:keepNext/>
        <w:keepLines/>
        <w:jc w:val="both"/>
        <w:rPr>
          <w:rFonts w:ascii="Times New Roman" w:hAnsi="Times New Roman" w:cs="Times New Roman"/>
          <w:b/>
          <w:bCs/>
          <w:noProof/>
          <w:color w:val="466DB4"/>
          <w:sz w:val="24"/>
          <w:szCs w:val="24"/>
        </w:rPr>
      </w:pPr>
      <w:r>
        <w:rPr>
          <w:rFonts w:ascii="Times New Roman" w:hAnsi="Times New Roman"/>
          <w:b/>
          <w:color w:val="466DB4"/>
          <w:sz w:val="24"/>
        </w:rPr>
        <w:t>SATURA VALIDĀCIJS NOTEIKUMI (</w:t>
      </w:r>
      <w:r>
        <w:rPr>
          <w:rFonts w:ascii="Times New Roman" w:hAnsi="Times New Roman"/>
          <w:b/>
          <w:i/>
          <w:iCs/>
          <w:color w:val="466DB4"/>
          <w:sz w:val="24"/>
        </w:rPr>
        <w:t>CONVAL</w:t>
      </w:r>
      <w:r>
        <w:rPr>
          <w:rFonts w:ascii="Times New Roman" w:hAnsi="Times New Roman"/>
          <w:b/>
          <w:color w:val="466DB4"/>
          <w:sz w:val="24"/>
        </w:rPr>
        <w:t>)</w:t>
      </w:r>
    </w:p>
    <w:p w14:paraId="7608E99D" w14:textId="77777777" w:rsidR="004323C0" w:rsidRPr="004323C0" w:rsidRDefault="004323C0" w:rsidP="006F4801">
      <w:pPr>
        <w:pStyle w:val="BodyText"/>
        <w:keepNext/>
        <w:keepLines/>
        <w:jc w:val="both"/>
        <w:rPr>
          <w:rFonts w:ascii="Times New Roman" w:hAnsi="Times New Roman" w:cs="Times New Roman"/>
          <w:noProof/>
          <w:sz w:val="24"/>
          <w:szCs w:val="24"/>
        </w:rPr>
      </w:pPr>
    </w:p>
    <w:p w14:paraId="4EF71083" w14:textId="77777777" w:rsidR="004323C0" w:rsidRPr="004323C0" w:rsidRDefault="004323C0" w:rsidP="006F4801">
      <w:pPr>
        <w:pStyle w:val="BodyText"/>
        <w:keepNext/>
        <w:keepLines/>
        <w:jc w:val="both"/>
        <w:rPr>
          <w:rFonts w:ascii="Times New Roman" w:hAnsi="Times New Roman" w:cs="Times New Roman"/>
          <w:noProof/>
          <w:sz w:val="24"/>
          <w:szCs w:val="24"/>
        </w:rPr>
      </w:pPr>
      <w:r>
        <w:rPr>
          <w:rFonts w:ascii="Times New Roman" w:hAnsi="Times New Roman"/>
          <w:sz w:val="24"/>
        </w:rPr>
        <w:t>Automātiskie (</w:t>
      </w:r>
      <w:r>
        <w:rPr>
          <w:rFonts w:ascii="Times New Roman" w:hAnsi="Times New Roman"/>
          <w:i/>
          <w:iCs/>
          <w:sz w:val="24"/>
        </w:rPr>
        <w:t>CONVAL</w:t>
      </w:r>
      <w:r>
        <w:rPr>
          <w:rFonts w:ascii="Times New Roman" w:hAnsi="Times New Roman"/>
          <w:sz w:val="24"/>
        </w:rPr>
        <w:t xml:space="preserve">) noteikumi tiek izpildīti uzreiz pēc struktūras validācijas. 6. tabulā ir uzskaitīti daži </w:t>
      </w:r>
      <w:r>
        <w:rPr>
          <w:rFonts w:ascii="Times New Roman" w:hAnsi="Times New Roman"/>
          <w:i/>
          <w:iCs/>
          <w:sz w:val="24"/>
        </w:rPr>
        <w:t>CONVAL</w:t>
      </w:r>
      <w:r>
        <w:rPr>
          <w:rFonts w:ascii="Times New Roman" w:hAnsi="Times New Roman"/>
          <w:sz w:val="24"/>
        </w:rPr>
        <w:t xml:space="preserve"> noteikumi, kas tiek piemēroti GVĶ datu kopām.</w:t>
      </w:r>
    </w:p>
    <w:p w14:paraId="774161C1" w14:textId="77777777" w:rsidR="004323C0" w:rsidRPr="004323C0" w:rsidRDefault="004323C0" w:rsidP="004323C0">
      <w:pPr>
        <w:pStyle w:val="BodyText"/>
        <w:jc w:val="both"/>
        <w:rPr>
          <w:rFonts w:ascii="Times New Roman" w:hAnsi="Times New Roman" w:cs="Times New Roman"/>
          <w:noProof/>
          <w:sz w:val="24"/>
          <w:szCs w:val="24"/>
        </w:rPr>
      </w:pPr>
    </w:p>
    <w:p w14:paraId="22502619" w14:textId="77777777" w:rsidR="004323C0" w:rsidRPr="004323C0" w:rsidRDefault="004323C0" w:rsidP="004323C0">
      <w:pPr>
        <w:jc w:val="both"/>
        <w:rPr>
          <w:rFonts w:ascii="Times New Roman" w:hAnsi="Times New Roman" w:cs="Times New Roman"/>
          <w:b/>
          <w:noProof/>
          <w:sz w:val="24"/>
          <w:szCs w:val="24"/>
        </w:rPr>
      </w:pPr>
      <w:bookmarkStart w:id="70" w:name="_bookmark16"/>
      <w:bookmarkEnd w:id="70"/>
      <w:r>
        <w:rPr>
          <w:rFonts w:ascii="Times New Roman" w:hAnsi="Times New Roman"/>
          <w:b/>
          <w:sz w:val="24"/>
        </w:rPr>
        <w:t xml:space="preserve">6. tabula. </w:t>
      </w:r>
      <w:r>
        <w:rPr>
          <w:rFonts w:ascii="Times New Roman" w:hAnsi="Times New Roman"/>
          <w:b/>
          <w:i/>
          <w:iCs/>
          <w:sz w:val="24"/>
        </w:rPr>
        <w:t>CONVAL</w:t>
      </w:r>
      <w:r>
        <w:rPr>
          <w:rFonts w:ascii="Times New Roman" w:hAnsi="Times New Roman"/>
          <w:b/>
          <w:sz w:val="24"/>
        </w:rPr>
        <w:t xml:space="preserve"> pamatnoteikumi attiecībā uz GVĶ datu kopām</w:t>
      </w:r>
    </w:p>
    <w:p w14:paraId="77D23FA8" w14:textId="77777777" w:rsidR="004323C0" w:rsidRPr="004323C0" w:rsidRDefault="004323C0" w:rsidP="004323C0">
      <w:pPr>
        <w:pStyle w:val="BodyText"/>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83"/>
        <w:gridCol w:w="1494"/>
        <w:gridCol w:w="6954"/>
      </w:tblGrid>
      <w:tr w:rsidR="004323C0" w:rsidRPr="004323C0" w14:paraId="595747F2" w14:textId="77777777" w:rsidTr="000018C9">
        <w:tc>
          <w:tcPr>
            <w:tcW w:w="374" w:type="pct"/>
            <w:tcBorders>
              <w:top w:val="single" w:sz="4" w:space="0" w:color="466DB4"/>
              <w:bottom w:val="single" w:sz="4" w:space="0" w:color="466DB4"/>
            </w:tcBorders>
            <w:shd w:val="clear" w:color="auto" w:fill="CDDCEF"/>
          </w:tcPr>
          <w:p w14:paraId="57E1012C"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Skaits</w:t>
            </w:r>
          </w:p>
        </w:tc>
        <w:tc>
          <w:tcPr>
            <w:tcW w:w="818" w:type="pct"/>
            <w:tcBorders>
              <w:top w:val="single" w:sz="4" w:space="0" w:color="466DB4"/>
              <w:bottom w:val="single" w:sz="4" w:space="0" w:color="466DB4"/>
            </w:tcBorders>
            <w:shd w:val="clear" w:color="auto" w:fill="CDDCEF"/>
          </w:tcPr>
          <w:p w14:paraId="6DF6D99C"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Smaguma pakāpe</w:t>
            </w:r>
          </w:p>
        </w:tc>
        <w:tc>
          <w:tcPr>
            <w:tcW w:w="3808" w:type="pct"/>
            <w:tcBorders>
              <w:top w:val="single" w:sz="4" w:space="0" w:color="466DB4"/>
              <w:bottom w:val="single" w:sz="4" w:space="0" w:color="466DB4"/>
            </w:tcBorders>
            <w:shd w:val="clear" w:color="auto" w:fill="CDDCEF"/>
          </w:tcPr>
          <w:p w14:paraId="320733B4" w14:textId="77777777" w:rsidR="004323C0" w:rsidRPr="004323C0" w:rsidRDefault="004323C0">
            <w:pPr>
              <w:pStyle w:val="TableParagraph"/>
              <w:spacing w:before="0"/>
              <w:jc w:val="both"/>
              <w:rPr>
                <w:rFonts w:ascii="Times New Roman" w:hAnsi="Times New Roman" w:cs="Times New Roman"/>
                <w:b/>
                <w:noProof/>
                <w:sz w:val="24"/>
                <w:szCs w:val="24"/>
              </w:rPr>
            </w:pPr>
            <w:r>
              <w:rPr>
                <w:rFonts w:ascii="Times New Roman" w:hAnsi="Times New Roman"/>
                <w:b/>
                <w:sz w:val="24"/>
              </w:rPr>
              <w:t>Noteikuma apraksts</w:t>
            </w:r>
          </w:p>
        </w:tc>
      </w:tr>
      <w:tr w:rsidR="004323C0" w:rsidRPr="004323C0" w14:paraId="51856FD5" w14:textId="77777777" w:rsidTr="000018C9">
        <w:tc>
          <w:tcPr>
            <w:tcW w:w="374" w:type="pct"/>
            <w:tcBorders>
              <w:top w:val="single" w:sz="4" w:space="0" w:color="466DB4"/>
              <w:bottom w:val="single" w:sz="4" w:space="0" w:color="CDDCEF"/>
            </w:tcBorders>
          </w:tcPr>
          <w:p w14:paraId="046FFAAA"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w:t>
            </w:r>
          </w:p>
        </w:tc>
        <w:tc>
          <w:tcPr>
            <w:tcW w:w="818" w:type="pct"/>
            <w:tcBorders>
              <w:top w:val="single" w:sz="4" w:space="0" w:color="466DB4"/>
              <w:bottom w:val="single" w:sz="4" w:space="0" w:color="CDDCEF"/>
            </w:tcBorders>
          </w:tcPr>
          <w:p w14:paraId="56F006E0"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Informācija</w:t>
            </w:r>
          </w:p>
        </w:tc>
        <w:tc>
          <w:tcPr>
            <w:tcW w:w="3808" w:type="pct"/>
            <w:tcBorders>
              <w:top w:val="single" w:sz="4" w:space="0" w:color="466DB4"/>
              <w:bottom w:val="single" w:sz="4" w:space="0" w:color="CDDCEF"/>
            </w:tcBorders>
          </w:tcPr>
          <w:p w14:paraId="5144A547"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 xml:space="preserve">Vismaz vienas laikrindas rādītājiem, periodiskumam un pēdējam novērošanas periodam jābūt tādam pašam kā identifikācijā </w:t>
            </w:r>
            <w:r>
              <w:rPr>
                <w:rFonts w:ascii="Times New Roman" w:hAnsi="Times New Roman"/>
                <w:i/>
                <w:iCs/>
                <w:sz w:val="24"/>
              </w:rPr>
              <w:t>EDAMIS</w:t>
            </w:r>
            <w:r>
              <w:rPr>
                <w:rFonts w:ascii="Times New Roman" w:hAnsi="Times New Roman"/>
                <w:sz w:val="24"/>
              </w:rPr>
              <w:t xml:space="preserve"> plūsmā.</w:t>
            </w:r>
          </w:p>
        </w:tc>
      </w:tr>
      <w:tr w:rsidR="004323C0" w:rsidRPr="004323C0" w14:paraId="1D1444DD" w14:textId="77777777" w:rsidTr="000018C9">
        <w:tc>
          <w:tcPr>
            <w:tcW w:w="374" w:type="pct"/>
            <w:tcBorders>
              <w:top w:val="single" w:sz="4" w:space="0" w:color="CDDCEF"/>
              <w:bottom w:val="single" w:sz="4" w:space="0" w:color="CDDCEF"/>
            </w:tcBorders>
          </w:tcPr>
          <w:p w14:paraId="07200C75"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II</w:t>
            </w:r>
          </w:p>
        </w:tc>
        <w:tc>
          <w:tcPr>
            <w:tcW w:w="818" w:type="pct"/>
            <w:tcBorders>
              <w:top w:val="single" w:sz="4" w:space="0" w:color="CDDCEF"/>
              <w:bottom w:val="single" w:sz="4" w:space="0" w:color="CDDCEF"/>
            </w:tcBorders>
          </w:tcPr>
          <w:p w14:paraId="738AA251"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Kļūda</w:t>
            </w:r>
          </w:p>
        </w:tc>
        <w:tc>
          <w:tcPr>
            <w:tcW w:w="3808" w:type="pct"/>
            <w:tcBorders>
              <w:top w:val="single" w:sz="4" w:space="0" w:color="CDDCEF"/>
              <w:bottom w:val="single" w:sz="4" w:space="0" w:color="CDDCEF"/>
            </w:tcBorders>
          </w:tcPr>
          <w:p w14:paraId="2881F803"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Vienā datnē nosūtītajā laikrindā nav pieņemami iztrūkstoši novērojumi (nepilnības).</w:t>
            </w:r>
          </w:p>
        </w:tc>
      </w:tr>
      <w:tr w:rsidR="004323C0" w:rsidRPr="004323C0" w14:paraId="626E6512" w14:textId="77777777" w:rsidTr="000018C9">
        <w:tc>
          <w:tcPr>
            <w:tcW w:w="374" w:type="pct"/>
            <w:tcBorders>
              <w:top w:val="single" w:sz="4" w:space="0" w:color="CDDCEF"/>
              <w:bottom w:val="single" w:sz="4" w:space="0" w:color="CDDCEF"/>
            </w:tcBorders>
          </w:tcPr>
          <w:p w14:paraId="2DA2877C"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III</w:t>
            </w:r>
          </w:p>
        </w:tc>
        <w:tc>
          <w:tcPr>
            <w:tcW w:w="818" w:type="pct"/>
            <w:tcBorders>
              <w:top w:val="single" w:sz="4" w:space="0" w:color="CDDCEF"/>
              <w:bottom w:val="single" w:sz="4" w:space="0" w:color="CDDCEF"/>
            </w:tcBorders>
          </w:tcPr>
          <w:p w14:paraId="4F347889"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Kļūda</w:t>
            </w:r>
          </w:p>
        </w:tc>
        <w:tc>
          <w:tcPr>
            <w:tcW w:w="3808" w:type="pct"/>
            <w:tcBorders>
              <w:top w:val="single" w:sz="4" w:space="0" w:color="CDDCEF"/>
              <w:bottom w:val="single" w:sz="4" w:space="0" w:color="CDDCEF"/>
            </w:tcBorders>
          </w:tcPr>
          <w:p w14:paraId="2B010D77"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Katrā datnē ir jābūt vismaz vienam datu ierakstam.</w:t>
            </w:r>
          </w:p>
        </w:tc>
      </w:tr>
      <w:tr w:rsidR="004323C0" w:rsidRPr="004323C0" w14:paraId="1A74DCA3" w14:textId="77777777" w:rsidTr="000018C9">
        <w:tc>
          <w:tcPr>
            <w:tcW w:w="374" w:type="pct"/>
            <w:tcBorders>
              <w:top w:val="single" w:sz="4" w:space="0" w:color="CDDCEF"/>
              <w:bottom w:val="single" w:sz="4" w:space="0" w:color="CDDCEF"/>
            </w:tcBorders>
          </w:tcPr>
          <w:p w14:paraId="40285162"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IV</w:t>
            </w:r>
          </w:p>
        </w:tc>
        <w:tc>
          <w:tcPr>
            <w:tcW w:w="818" w:type="pct"/>
            <w:tcBorders>
              <w:top w:val="single" w:sz="4" w:space="0" w:color="CDDCEF"/>
              <w:bottom w:val="single" w:sz="4" w:space="0" w:color="CDDCEF"/>
            </w:tcBorders>
          </w:tcPr>
          <w:p w14:paraId="65C70161"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Kļūda</w:t>
            </w:r>
          </w:p>
        </w:tc>
        <w:tc>
          <w:tcPr>
            <w:tcW w:w="3808" w:type="pct"/>
            <w:tcBorders>
              <w:top w:val="single" w:sz="4" w:space="0" w:color="CDDCEF"/>
              <w:bottom w:val="single" w:sz="4" w:space="0" w:color="CDDCEF"/>
            </w:tcBorders>
          </w:tcPr>
          <w:p w14:paraId="1E8CCBD8"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Nevienai sērijai vai novērojumiem netiek pieņemtas negatīvas vērtības.</w:t>
            </w:r>
          </w:p>
        </w:tc>
      </w:tr>
      <w:tr w:rsidR="004323C0" w:rsidRPr="004323C0" w14:paraId="0B077FD6" w14:textId="77777777" w:rsidTr="000018C9">
        <w:tc>
          <w:tcPr>
            <w:tcW w:w="374" w:type="pct"/>
            <w:tcBorders>
              <w:top w:val="single" w:sz="4" w:space="0" w:color="CDDCEF"/>
              <w:bottom w:val="single" w:sz="4" w:space="0" w:color="466DB4"/>
            </w:tcBorders>
          </w:tcPr>
          <w:p w14:paraId="1041116A"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V</w:t>
            </w:r>
          </w:p>
        </w:tc>
        <w:tc>
          <w:tcPr>
            <w:tcW w:w="818" w:type="pct"/>
            <w:tcBorders>
              <w:top w:val="single" w:sz="4" w:space="0" w:color="CDDCEF"/>
              <w:bottom w:val="single" w:sz="4" w:space="0" w:color="466DB4"/>
            </w:tcBorders>
          </w:tcPr>
          <w:p w14:paraId="2B45CBD4"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Informācija</w:t>
            </w:r>
          </w:p>
        </w:tc>
        <w:tc>
          <w:tcPr>
            <w:tcW w:w="3808" w:type="pct"/>
            <w:tcBorders>
              <w:top w:val="single" w:sz="4" w:space="0" w:color="CDDCEF"/>
              <w:bottom w:val="single" w:sz="4" w:space="0" w:color="466DB4"/>
            </w:tcBorders>
          </w:tcPr>
          <w:p w14:paraId="2FA93FF6" w14:textId="77777777" w:rsidR="004323C0" w:rsidRPr="004323C0" w:rsidRDefault="004323C0">
            <w:pPr>
              <w:pStyle w:val="TableParagraph"/>
              <w:spacing w:before="0"/>
              <w:jc w:val="both"/>
              <w:rPr>
                <w:rFonts w:ascii="Times New Roman" w:hAnsi="Times New Roman" w:cs="Times New Roman"/>
                <w:noProof/>
                <w:sz w:val="24"/>
                <w:szCs w:val="24"/>
              </w:rPr>
            </w:pPr>
            <w:r>
              <w:rPr>
                <w:rFonts w:ascii="Times New Roman" w:hAnsi="Times New Roman"/>
                <w:sz w:val="24"/>
              </w:rPr>
              <w:t>Pirms datu pieņemšanas ražošanas datubāzē pārbaudiet, vai vērtības nav neparedzēti augstas vai zemas.</w:t>
            </w:r>
          </w:p>
        </w:tc>
      </w:tr>
    </w:tbl>
    <w:p w14:paraId="39BFE273" w14:textId="77777777" w:rsidR="004323C0" w:rsidRPr="004323C0" w:rsidRDefault="004323C0" w:rsidP="004323C0">
      <w:pPr>
        <w:pStyle w:val="BodyText"/>
        <w:jc w:val="both"/>
        <w:rPr>
          <w:rFonts w:ascii="Times New Roman" w:hAnsi="Times New Roman" w:cs="Times New Roman"/>
          <w:b/>
          <w:noProof/>
          <w:sz w:val="24"/>
          <w:szCs w:val="24"/>
        </w:rPr>
      </w:pPr>
    </w:p>
    <w:p w14:paraId="115F27FA"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1" w:name="CONSISTENCY_RULES"/>
      <w:bookmarkEnd w:id="71"/>
      <w:r>
        <w:rPr>
          <w:rFonts w:ascii="Times New Roman" w:hAnsi="Times New Roman"/>
          <w:b/>
          <w:color w:val="466DB4"/>
          <w:sz w:val="24"/>
        </w:rPr>
        <w:t>NOTEIKUMI PAR KONSEKVENCI</w:t>
      </w:r>
    </w:p>
    <w:p w14:paraId="0A8D5F44" w14:textId="77777777" w:rsidR="004323C0" w:rsidRPr="004323C0" w:rsidRDefault="004323C0" w:rsidP="004323C0">
      <w:pPr>
        <w:pStyle w:val="BodyText"/>
        <w:jc w:val="both"/>
        <w:rPr>
          <w:rFonts w:ascii="Times New Roman" w:hAnsi="Times New Roman" w:cs="Times New Roman"/>
          <w:noProof/>
          <w:sz w:val="24"/>
          <w:szCs w:val="24"/>
        </w:rPr>
      </w:pPr>
    </w:p>
    <w:p w14:paraId="6C8C651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Parasti uzņēmumu kopskaitam jābūt vienādam visās tabulās, kurās nevar notikt dubultā uzskaite un kuras attiecas uz noteiktu kopu (piemēram, visi uzņēmumi vai visi uzņēmumi, kas veic starptautisku sagādi).</w:t>
      </w:r>
    </w:p>
    <w:p w14:paraId="610EA50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Pamatdarbības funkcijai (kods CORE_F) un summārajai “uzņēmējdarbības atbalsta funkcijai” (kods SUP_F) summai “nodarbinātība”/“uz ārvalstīm pārceltas darbavietas”/“radītās darbavietas” kopā ir jābūt (CO_SUP_F). Ja nepieciešams, skaitļi ir jāaprēķina.</w:t>
      </w:r>
    </w:p>
    <w:p w14:paraId="09DCF13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Ir nepieciešama vispārēja datu konsekvence visā sērijā. Šī vispārējā konsekvence ir jānodrošina, ja datu aprēķināšanai izmantotā darba datne ir pareizi apstrādāta, lai noteiktu kopējo, un ieraksta neatbildētību.</w:t>
      </w:r>
    </w:p>
    <w:p w14:paraId="7C1E298F" w14:textId="77777777" w:rsidR="004323C0" w:rsidRPr="004323C0" w:rsidRDefault="004323C0" w:rsidP="004323C0">
      <w:pPr>
        <w:rPr>
          <w:rFonts w:ascii="Times New Roman" w:hAnsi="Times New Roman" w:cs="Times New Roman"/>
          <w:noProof/>
          <w:sz w:val="24"/>
          <w:szCs w:val="24"/>
        </w:rPr>
      </w:pPr>
      <w:r>
        <w:br w:type="page"/>
      </w:r>
    </w:p>
    <w:p w14:paraId="61CA91B0" w14:textId="74A098B1" w:rsidR="004323C0" w:rsidRPr="004323C0" w:rsidRDefault="004323C0" w:rsidP="004323C0">
      <w:pPr>
        <w:pStyle w:val="Heading2"/>
        <w:jc w:val="center"/>
      </w:pPr>
      <w:bookmarkStart w:id="72" w:name="5._Dissemination"/>
      <w:bookmarkEnd w:id="72"/>
      <w:r>
        <w:t>5. Izplatīšana</w:t>
      </w:r>
    </w:p>
    <w:p w14:paraId="33440606" w14:textId="77777777" w:rsidR="004323C0" w:rsidRPr="004323C0" w:rsidRDefault="004323C0" w:rsidP="004323C0">
      <w:pPr>
        <w:tabs>
          <w:tab w:val="left" w:pos="2138"/>
        </w:tabs>
        <w:jc w:val="both"/>
        <w:rPr>
          <w:rFonts w:ascii="Times New Roman" w:hAnsi="Times New Roman" w:cs="Times New Roman"/>
          <w:b/>
          <w:noProof/>
          <w:sz w:val="24"/>
          <w:szCs w:val="24"/>
        </w:rPr>
      </w:pPr>
    </w:p>
    <w:p w14:paraId="53A7DC09" w14:textId="77777777" w:rsidR="004323C0" w:rsidRPr="004323C0" w:rsidRDefault="004323C0" w:rsidP="004323C0">
      <w:pPr>
        <w:pStyle w:val="Heading2"/>
        <w:rPr>
          <w:color w:val="auto"/>
        </w:rPr>
      </w:pPr>
      <w:bookmarkStart w:id="73" w:name="_TOC_250008"/>
      <w:bookmarkEnd w:id="73"/>
      <w:r>
        <w:rPr>
          <w:color w:val="auto"/>
        </w:rPr>
        <w:t>Ievads</w:t>
      </w:r>
    </w:p>
    <w:p w14:paraId="69B12686" w14:textId="77777777" w:rsidR="004323C0" w:rsidRPr="004323C0" w:rsidRDefault="004323C0" w:rsidP="004323C0">
      <w:pPr>
        <w:pStyle w:val="BodyText"/>
        <w:jc w:val="both"/>
        <w:rPr>
          <w:rFonts w:ascii="Times New Roman" w:hAnsi="Times New Roman" w:cs="Times New Roman"/>
          <w:noProof/>
          <w:sz w:val="24"/>
          <w:szCs w:val="24"/>
        </w:rPr>
      </w:pPr>
    </w:p>
    <w:p w14:paraId="4C1FDA0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Šajā nodaļā ir aptverta GVĶ datu izplatīšana saskaņā ar EUS regulu un sniegts jaunāko notikumu novērtējums.</w:t>
      </w:r>
    </w:p>
    <w:p w14:paraId="7CFC9908"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i/>
          <w:iCs/>
          <w:sz w:val="24"/>
        </w:rPr>
        <w:t>Eurostat</w:t>
      </w:r>
      <w:r>
        <w:rPr>
          <w:rFonts w:ascii="Times New Roman" w:hAnsi="Times New Roman"/>
          <w:sz w:val="24"/>
        </w:rPr>
        <w:t xml:space="preserve"> GVĶ datiem piemēro tikai tiešsaistes publicēšanas stratēģiju. Platforma </w:t>
      </w:r>
      <w:r>
        <w:rPr>
          <w:rFonts w:ascii="Times New Roman" w:hAnsi="Times New Roman"/>
          <w:i/>
          <w:iCs/>
          <w:sz w:val="24"/>
        </w:rPr>
        <w:t>Statistics Explained</w:t>
      </w:r>
      <w:r>
        <w:rPr>
          <w:rFonts w:ascii="Times New Roman" w:hAnsi="Times New Roman"/>
          <w:sz w:val="24"/>
        </w:rPr>
        <w:t xml:space="preserve"> (</w:t>
      </w:r>
      <w:r>
        <w:rPr>
          <w:rFonts w:ascii="Times New Roman" w:hAnsi="Times New Roman"/>
          <w:i/>
          <w:iCs/>
          <w:sz w:val="24"/>
        </w:rPr>
        <w:t>SE</w:t>
      </w:r>
      <w:r>
        <w:rPr>
          <w:rFonts w:ascii="Times New Roman" w:hAnsi="Times New Roman"/>
          <w:sz w:val="24"/>
        </w:rPr>
        <w:t>) ir galvenais datu izplatīšanas kanāls plašai sabiedrībai.</w:t>
      </w:r>
    </w:p>
    <w:p w14:paraId="0187BB3A" w14:textId="77777777" w:rsidR="004323C0" w:rsidRPr="004323C0" w:rsidRDefault="004323C0" w:rsidP="004323C0">
      <w:pPr>
        <w:pStyle w:val="BodyText"/>
        <w:jc w:val="both"/>
        <w:rPr>
          <w:rFonts w:ascii="Times New Roman" w:hAnsi="Times New Roman" w:cs="Times New Roman"/>
          <w:noProof/>
          <w:sz w:val="24"/>
          <w:szCs w:val="24"/>
        </w:rPr>
      </w:pPr>
    </w:p>
    <w:p w14:paraId="4F264229" w14:textId="77777777" w:rsidR="004323C0" w:rsidRPr="004323C0" w:rsidRDefault="004323C0" w:rsidP="004323C0">
      <w:pPr>
        <w:pStyle w:val="Heading2"/>
        <w:rPr>
          <w:color w:val="auto"/>
        </w:rPr>
      </w:pPr>
      <w:bookmarkStart w:id="74" w:name="_TOC_250007"/>
      <w:r>
        <w:rPr>
          <w:color w:val="auto"/>
        </w:rPr>
        <w:t>GVĶ datu izplatīšanas</w:t>
      </w:r>
      <w:bookmarkEnd w:id="74"/>
      <w:r>
        <w:rPr>
          <w:color w:val="auto"/>
        </w:rPr>
        <w:t xml:space="preserve"> kanāli</w:t>
      </w:r>
    </w:p>
    <w:p w14:paraId="09C5118A" w14:textId="77777777" w:rsidR="004323C0" w:rsidRPr="004323C0" w:rsidRDefault="004323C0" w:rsidP="004323C0">
      <w:pPr>
        <w:pStyle w:val="BodyText"/>
        <w:jc w:val="both"/>
        <w:rPr>
          <w:rFonts w:ascii="Times New Roman" w:hAnsi="Times New Roman" w:cs="Times New Roman"/>
          <w:noProof/>
          <w:sz w:val="24"/>
          <w:szCs w:val="24"/>
        </w:rPr>
      </w:pPr>
    </w:p>
    <w:p w14:paraId="683E96A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GVĶ datus un metodisko informāciju </w:t>
      </w:r>
      <w:r>
        <w:rPr>
          <w:rFonts w:ascii="Times New Roman" w:hAnsi="Times New Roman"/>
          <w:i/>
          <w:iCs/>
          <w:sz w:val="24"/>
        </w:rPr>
        <w:t>Eurostat</w:t>
      </w:r>
      <w:r>
        <w:rPr>
          <w:rFonts w:ascii="Times New Roman" w:hAnsi="Times New Roman"/>
          <w:sz w:val="24"/>
        </w:rPr>
        <w:t xml:space="preserve"> publicē tiešsaistē, izmantojot turpmāk minētās vietnes un kanālus.</w:t>
      </w:r>
    </w:p>
    <w:p w14:paraId="44255A82"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5" w:name="MAIN_GVC_TABLES"/>
      <w:bookmarkEnd w:id="75"/>
    </w:p>
    <w:p w14:paraId="680DF3A8"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GALVENĀS GVĶ TABULAS</w:t>
      </w:r>
    </w:p>
    <w:p w14:paraId="7A496A57" w14:textId="77777777" w:rsidR="004323C0" w:rsidRPr="004323C0" w:rsidRDefault="004323C0" w:rsidP="004323C0">
      <w:pPr>
        <w:pStyle w:val="BodyText"/>
        <w:jc w:val="both"/>
        <w:rPr>
          <w:rFonts w:ascii="Times New Roman" w:hAnsi="Times New Roman" w:cs="Times New Roman"/>
          <w:noProof/>
          <w:sz w:val="24"/>
          <w:szCs w:val="24"/>
        </w:rPr>
      </w:pPr>
    </w:p>
    <w:p w14:paraId="6D81848A"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Visi GVĶ dati tiek parādīti daudzdimensiju datu tabulās </w:t>
      </w:r>
      <w:r>
        <w:rPr>
          <w:rFonts w:ascii="Times New Roman" w:hAnsi="Times New Roman"/>
          <w:i/>
          <w:iCs/>
          <w:color w:val="0066FF"/>
          <w:sz w:val="24"/>
        </w:rPr>
        <w:t>Eurostat</w:t>
      </w:r>
      <w:r>
        <w:rPr>
          <w:rFonts w:ascii="Times New Roman" w:hAnsi="Times New Roman"/>
          <w:color w:val="0066FF"/>
          <w:sz w:val="24"/>
        </w:rPr>
        <w:t xml:space="preserve"> datubāzē</w:t>
      </w:r>
      <w:r>
        <w:rPr>
          <w:rFonts w:ascii="Times New Roman" w:hAnsi="Times New Roman"/>
          <w:sz w:val="24"/>
        </w:rPr>
        <w:t>.</w:t>
      </w:r>
    </w:p>
    <w:p w14:paraId="1CC6829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Datu kokā GVĶ dati tiek parādīti sadaļās “Nozare, tirdzniecība un pakalpojumi”, “Globalizācija uzņēmējdarbības statistikā” un “Globālās vērtību ķēdes un starptautiskā sagādes statistika”. </w:t>
      </w:r>
      <w:r>
        <w:rPr>
          <w:rFonts w:ascii="Times New Roman" w:hAnsi="Times New Roman"/>
          <w:i/>
          <w:iCs/>
          <w:sz w:val="24"/>
        </w:rPr>
        <w:t>Eurostat</w:t>
      </w:r>
      <w:r>
        <w:rPr>
          <w:rFonts w:ascii="Times New Roman" w:hAnsi="Times New Roman"/>
          <w:sz w:val="24"/>
        </w:rPr>
        <w:t xml:space="preserve"> datubāzes datu koks pašlaik tiek pārskatīts.</w:t>
      </w:r>
    </w:p>
    <w:p w14:paraId="068BC5D4"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6" w:name="EUROSTAT_WEBSITE_–_GVC_DEDICATED_SECTION"/>
      <w:bookmarkEnd w:id="76"/>
    </w:p>
    <w:p w14:paraId="3B30FEA1"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i/>
          <w:iCs/>
          <w:color w:val="466DB4"/>
          <w:sz w:val="24"/>
        </w:rPr>
        <w:t>EUROSTAT</w:t>
      </w:r>
      <w:r>
        <w:rPr>
          <w:rFonts w:ascii="Times New Roman" w:hAnsi="Times New Roman"/>
          <w:b/>
          <w:color w:val="466DB4"/>
          <w:sz w:val="24"/>
        </w:rPr>
        <w:t xml:space="preserve"> TĪMEKĻA VIETNE. GVĶ VELTĪTĀ SADAĻA</w:t>
      </w:r>
    </w:p>
    <w:p w14:paraId="61A52B32" w14:textId="77777777" w:rsidR="004323C0" w:rsidRPr="004323C0" w:rsidRDefault="004323C0" w:rsidP="004323C0">
      <w:pPr>
        <w:pStyle w:val="BodyText"/>
        <w:jc w:val="both"/>
        <w:rPr>
          <w:rFonts w:ascii="Times New Roman" w:hAnsi="Times New Roman" w:cs="Times New Roman"/>
          <w:noProof/>
          <w:sz w:val="24"/>
          <w:szCs w:val="24"/>
        </w:rPr>
      </w:pPr>
    </w:p>
    <w:p w14:paraId="18770CA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color w:val="0066FF"/>
          <w:sz w:val="24"/>
        </w:rPr>
        <w:t>Uzņēmējdarbības globalizācijas</w:t>
      </w:r>
      <w:r>
        <w:rPr>
          <w:rFonts w:ascii="Times New Roman" w:hAnsi="Times New Roman"/>
          <w:sz w:val="24"/>
        </w:rPr>
        <w:t xml:space="preserve"> GVĶ sadaļa ir galvenais ieejas punkts visiem GVĶ datiem, metadatiem, metodoloģijai un publikācijām. Šī </w:t>
      </w:r>
      <w:r>
        <w:rPr>
          <w:rFonts w:ascii="Times New Roman" w:hAnsi="Times New Roman"/>
          <w:i/>
          <w:iCs/>
          <w:sz w:val="24"/>
        </w:rPr>
        <w:t>Eurostat</w:t>
      </w:r>
      <w:r>
        <w:rPr>
          <w:rFonts w:ascii="Times New Roman" w:hAnsi="Times New Roman"/>
          <w:sz w:val="24"/>
        </w:rPr>
        <w:t xml:space="preserve"> tīmekļa vietnes daļa ir pieejama angļu, vācu un franču valodā. Vietnes apakšsadaļā par </w:t>
      </w:r>
      <w:r>
        <w:rPr>
          <w:rFonts w:ascii="Times New Roman" w:hAnsi="Times New Roman"/>
          <w:color w:val="0066FF"/>
          <w:sz w:val="24"/>
        </w:rPr>
        <w:t>publikācijām</w:t>
      </w:r>
      <w:r>
        <w:rPr>
          <w:rFonts w:ascii="Times New Roman" w:hAnsi="Times New Roman"/>
          <w:sz w:val="24"/>
        </w:rPr>
        <w:t xml:space="preserve"> ir sniegtas saites uz izplatītajiem paziņojumiem par GVĶ, ziņām un </w:t>
      </w:r>
      <w:r>
        <w:rPr>
          <w:rFonts w:ascii="Times New Roman" w:hAnsi="Times New Roman"/>
          <w:i/>
          <w:iCs/>
          <w:sz w:val="24"/>
        </w:rPr>
        <w:t>Statistics Explained</w:t>
      </w:r>
      <w:r>
        <w:rPr>
          <w:rFonts w:ascii="Times New Roman" w:hAnsi="Times New Roman"/>
          <w:sz w:val="24"/>
        </w:rPr>
        <w:t xml:space="preserve"> rakstiem.</w:t>
      </w:r>
    </w:p>
    <w:p w14:paraId="2A2D6DA9"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7" w:name="GVC_NEWS_ITEMS_AND_RELEASES"/>
      <w:bookmarkEnd w:id="77"/>
    </w:p>
    <w:p w14:paraId="2BD4C410"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GVĶ ZIŅU IZLAIDUMI UN IZPLATĪTIE PAZIŅOJUMI</w:t>
      </w:r>
    </w:p>
    <w:p w14:paraId="1C726139" w14:textId="77777777" w:rsidR="004323C0" w:rsidRPr="004323C0" w:rsidRDefault="004323C0" w:rsidP="004323C0">
      <w:pPr>
        <w:pStyle w:val="BodyText"/>
        <w:jc w:val="both"/>
        <w:rPr>
          <w:rFonts w:ascii="Times New Roman" w:hAnsi="Times New Roman" w:cs="Times New Roman"/>
          <w:noProof/>
          <w:sz w:val="24"/>
          <w:szCs w:val="24"/>
        </w:rPr>
      </w:pPr>
    </w:p>
    <w:p w14:paraId="6B087F27"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Pēc katra apsekojuma </w:t>
      </w:r>
      <w:r>
        <w:rPr>
          <w:rFonts w:ascii="Times New Roman" w:hAnsi="Times New Roman"/>
          <w:i/>
          <w:iCs/>
          <w:sz w:val="24"/>
        </w:rPr>
        <w:t>Eurostat</w:t>
      </w:r>
      <w:r>
        <w:rPr>
          <w:rFonts w:ascii="Times New Roman" w:hAnsi="Times New Roman"/>
          <w:sz w:val="24"/>
        </w:rPr>
        <w:t xml:space="preserve"> publicē ziņu izlaidumu, kurā sniedz GVĶ datus. Var būt vairāk nekā viens ziņu izlaidums saistībā ar izplatītajiem GVĶ datiem, no kuriem katrā var būt pievērsta uzmanība atšķirīgām GVĶ datu kopām. GVĶ ziņās tiek reklamēti jauni izplatīšanas produkti, izplatītie dati un jauni vai atjaunināti </w:t>
      </w:r>
      <w:r>
        <w:rPr>
          <w:rFonts w:ascii="Times New Roman" w:hAnsi="Times New Roman"/>
          <w:i/>
          <w:iCs/>
          <w:sz w:val="24"/>
        </w:rPr>
        <w:t>Statistics Explained</w:t>
      </w:r>
      <w:r>
        <w:rPr>
          <w:rFonts w:ascii="Times New Roman" w:hAnsi="Times New Roman"/>
          <w:sz w:val="24"/>
        </w:rPr>
        <w:t xml:space="preserve"> raksti.</w:t>
      </w:r>
    </w:p>
    <w:p w14:paraId="4002E4E4"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8" w:name="STATISTICS_EXPLAINED_ARTICLES"/>
      <w:bookmarkEnd w:id="78"/>
    </w:p>
    <w:p w14:paraId="4A13E40E"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i/>
          <w:iCs/>
          <w:color w:val="466DB4"/>
          <w:sz w:val="24"/>
        </w:rPr>
        <w:t>STATISTICS EXPLAINED</w:t>
      </w:r>
      <w:r>
        <w:rPr>
          <w:rFonts w:ascii="Times New Roman" w:hAnsi="Times New Roman"/>
          <w:b/>
          <w:color w:val="466DB4"/>
          <w:sz w:val="24"/>
        </w:rPr>
        <w:t xml:space="preserve"> RAKSTI</w:t>
      </w:r>
    </w:p>
    <w:p w14:paraId="7820D622" w14:textId="77777777" w:rsidR="004323C0" w:rsidRPr="004323C0" w:rsidRDefault="004323C0" w:rsidP="004323C0">
      <w:pPr>
        <w:pStyle w:val="BodyText"/>
        <w:jc w:val="both"/>
        <w:rPr>
          <w:rFonts w:ascii="Times New Roman" w:hAnsi="Times New Roman" w:cs="Times New Roman"/>
          <w:noProof/>
          <w:sz w:val="24"/>
          <w:szCs w:val="24"/>
        </w:rPr>
      </w:pPr>
    </w:p>
    <w:p w14:paraId="1EC3C985"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Ikreiz, izplatot GVĶ datus, par to tiek publicēts raksts platformā </w:t>
      </w:r>
      <w:r>
        <w:rPr>
          <w:rFonts w:ascii="Times New Roman" w:hAnsi="Times New Roman"/>
          <w:i/>
          <w:iCs/>
          <w:sz w:val="24"/>
        </w:rPr>
        <w:t>Statistics Explained</w:t>
      </w:r>
      <w:r>
        <w:rPr>
          <w:rFonts w:ascii="Times New Roman" w:hAnsi="Times New Roman"/>
          <w:sz w:val="24"/>
        </w:rPr>
        <w:t xml:space="preserve">. Šajā </w:t>
      </w:r>
      <w:r>
        <w:rPr>
          <w:rFonts w:ascii="Times New Roman" w:hAnsi="Times New Roman"/>
          <w:i/>
          <w:iCs/>
          <w:sz w:val="24"/>
        </w:rPr>
        <w:t>Statistics Explained</w:t>
      </w:r>
      <w:r>
        <w:rPr>
          <w:rFonts w:ascii="Times New Roman" w:hAnsi="Times New Roman"/>
          <w:sz w:val="24"/>
        </w:rPr>
        <w:t xml:space="preserve"> rakstā tiek aprakstīti un dažos gadījumos izskaidroti savāktie dati, izmantojot progresīvas vizualizācijas un rādītājus. Uz konkrētiem izplatītajiem GVĶ datiem var attiekties vairāk nekā viens </w:t>
      </w:r>
      <w:r>
        <w:rPr>
          <w:rFonts w:ascii="Times New Roman" w:hAnsi="Times New Roman"/>
          <w:i/>
          <w:iCs/>
          <w:sz w:val="24"/>
        </w:rPr>
        <w:t>Statistics Explained</w:t>
      </w:r>
      <w:r>
        <w:rPr>
          <w:rFonts w:ascii="Times New Roman" w:hAnsi="Times New Roman"/>
          <w:sz w:val="24"/>
        </w:rPr>
        <w:t xml:space="preserve"> raksts.</w:t>
      </w:r>
    </w:p>
    <w:p w14:paraId="5816ADD6"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79" w:name="GVC_DATA_IN_OTHER_EUROSTAT_PRODUCTS"/>
      <w:bookmarkEnd w:id="79"/>
    </w:p>
    <w:p w14:paraId="7917BF42"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 xml:space="preserve">GVĶ DATI CITOS </w:t>
      </w:r>
      <w:r>
        <w:rPr>
          <w:rFonts w:ascii="Times New Roman" w:hAnsi="Times New Roman"/>
          <w:b/>
          <w:i/>
          <w:iCs/>
          <w:color w:val="466DB4"/>
          <w:sz w:val="24"/>
        </w:rPr>
        <w:t>EUROSTAT</w:t>
      </w:r>
      <w:r>
        <w:rPr>
          <w:rFonts w:ascii="Times New Roman" w:hAnsi="Times New Roman"/>
          <w:b/>
          <w:color w:val="466DB4"/>
          <w:sz w:val="24"/>
        </w:rPr>
        <w:t xml:space="preserve"> PRODUKTOS</w:t>
      </w:r>
    </w:p>
    <w:p w14:paraId="1F1142FC" w14:textId="77777777" w:rsidR="004323C0" w:rsidRPr="004323C0" w:rsidRDefault="004323C0" w:rsidP="004323C0">
      <w:pPr>
        <w:pStyle w:val="BodyText"/>
        <w:jc w:val="both"/>
        <w:rPr>
          <w:rFonts w:ascii="Times New Roman" w:hAnsi="Times New Roman" w:cs="Times New Roman"/>
          <w:noProof/>
          <w:sz w:val="24"/>
          <w:szCs w:val="24"/>
        </w:rPr>
      </w:pPr>
    </w:p>
    <w:p w14:paraId="744388B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Daļu no vecākiem GVĶ datiem ir plānots 2023. gadā publicēt globalizācijas informācijas displejā. Globalizācijas informācijas displejā parādītie dati attiecas uz dažādiem globalizācijas aspektiem, piemēram, GVĶ, ārvalstu saistītajiem uzņēmumiem un ārvalstu kontrolētajiem uzņēmumiem, ārvalstu tiešajām investīcijām un starptautisko preču un pakalpojumu tirdzniecību.</w:t>
      </w:r>
    </w:p>
    <w:p w14:paraId="5DE01BFC" w14:textId="77777777" w:rsidR="004323C0" w:rsidRPr="004323C0" w:rsidRDefault="004323C0" w:rsidP="004323C0">
      <w:pPr>
        <w:pStyle w:val="BodyText"/>
        <w:jc w:val="both"/>
        <w:rPr>
          <w:rFonts w:ascii="Times New Roman" w:hAnsi="Times New Roman" w:cs="Times New Roman"/>
          <w:b/>
          <w:noProof/>
          <w:sz w:val="24"/>
          <w:szCs w:val="24"/>
        </w:rPr>
      </w:pPr>
    </w:p>
    <w:p w14:paraId="799E6E2E" w14:textId="77777777" w:rsidR="004323C0" w:rsidRPr="004323C0" w:rsidRDefault="004323C0" w:rsidP="000018C9">
      <w:pPr>
        <w:pStyle w:val="Heading2"/>
        <w:keepNext/>
        <w:keepLines/>
        <w:rPr>
          <w:color w:val="auto"/>
        </w:rPr>
      </w:pPr>
      <w:bookmarkStart w:id="80" w:name="_TOC_250006"/>
      <w:bookmarkEnd w:id="80"/>
      <w:r>
        <w:rPr>
          <w:color w:val="auto"/>
        </w:rPr>
        <w:t>Saites</w:t>
      </w:r>
    </w:p>
    <w:p w14:paraId="4DF5E088" w14:textId="77777777" w:rsidR="004323C0" w:rsidRPr="004323C0" w:rsidRDefault="004323C0" w:rsidP="000018C9">
      <w:pPr>
        <w:pStyle w:val="ListParagraph"/>
        <w:keepNext/>
        <w:keepLines/>
        <w:tabs>
          <w:tab w:val="left" w:pos="841"/>
        </w:tabs>
        <w:spacing w:before="0"/>
        <w:ind w:left="0" w:firstLine="0"/>
        <w:rPr>
          <w:rFonts w:ascii="Times New Roman" w:hAnsi="Times New Roman" w:cs="Times New Roman"/>
          <w:noProof/>
          <w:sz w:val="24"/>
          <w:szCs w:val="24"/>
        </w:rPr>
      </w:pPr>
    </w:p>
    <w:p w14:paraId="6CB3AB21" w14:textId="77777777" w:rsidR="004323C0" w:rsidRPr="004323C0" w:rsidRDefault="004323C0" w:rsidP="000018C9">
      <w:pPr>
        <w:pStyle w:val="ListParagraph"/>
        <w:keepNext/>
        <w:keepLines/>
        <w:numPr>
          <w:ilvl w:val="0"/>
          <w:numId w:val="2"/>
        </w:numPr>
        <w:tabs>
          <w:tab w:val="left" w:pos="841"/>
        </w:tabs>
        <w:spacing w:before="0"/>
        <w:ind w:left="284" w:firstLine="0"/>
        <w:rPr>
          <w:rFonts w:ascii="Times New Roman" w:hAnsi="Times New Roman" w:cs="Times New Roman"/>
          <w:noProof/>
          <w:sz w:val="24"/>
          <w:szCs w:val="24"/>
        </w:rPr>
      </w:pPr>
      <w:r>
        <w:rPr>
          <w:rFonts w:ascii="Times New Roman" w:hAnsi="Times New Roman"/>
          <w:color w:val="0066FF"/>
          <w:sz w:val="24"/>
        </w:rPr>
        <w:t>Globalizācija uzņēmējdarbības statistikā</w:t>
      </w:r>
      <w:r>
        <w:rPr>
          <w:rFonts w:ascii="Times New Roman" w:hAnsi="Times New Roman"/>
          <w:sz w:val="24"/>
        </w:rPr>
        <w:t xml:space="preserve"> – īpaša sadaļa</w:t>
      </w:r>
    </w:p>
    <w:p w14:paraId="43B8F624" w14:textId="77777777" w:rsidR="004323C0" w:rsidRPr="004323C0" w:rsidRDefault="004323C0" w:rsidP="000018C9">
      <w:pPr>
        <w:pStyle w:val="ListParagraph"/>
        <w:keepNext/>
        <w:keepLines/>
        <w:numPr>
          <w:ilvl w:val="0"/>
          <w:numId w:val="2"/>
        </w:numPr>
        <w:tabs>
          <w:tab w:val="left" w:pos="841"/>
        </w:tabs>
        <w:spacing w:before="0"/>
        <w:ind w:left="284" w:firstLine="0"/>
        <w:rPr>
          <w:rFonts w:ascii="Times New Roman" w:hAnsi="Times New Roman" w:cs="Times New Roman"/>
          <w:noProof/>
          <w:sz w:val="24"/>
          <w:szCs w:val="24"/>
        </w:rPr>
      </w:pPr>
      <w:r>
        <w:rPr>
          <w:rFonts w:ascii="Times New Roman" w:hAnsi="Times New Roman"/>
          <w:color w:val="0066FF"/>
          <w:sz w:val="24"/>
        </w:rPr>
        <w:t>Globālās vērtību ķēdes</w:t>
      </w:r>
      <w:r>
        <w:rPr>
          <w:rFonts w:ascii="Times New Roman" w:hAnsi="Times New Roman"/>
          <w:sz w:val="24"/>
        </w:rPr>
        <w:t xml:space="preserve"> – sadaļa</w:t>
      </w:r>
    </w:p>
    <w:p w14:paraId="29C7A550" w14:textId="77777777" w:rsidR="004323C0" w:rsidRPr="004323C0" w:rsidRDefault="004323C0" w:rsidP="000018C9">
      <w:pPr>
        <w:pStyle w:val="ListParagraph"/>
        <w:keepNext/>
        <w:keepLines/>
        <w:numPr>
          <w:ilvl w:val="0"/>
          <w:numId w:val="2"/>
        </w:numPr>
        <w:tabs>
          <w:tab w:val="left" w:pos="841"/>
        </w:tabs>
        <w:spacing w:before="0"/>
        <w:ind w:left="284" w:firstLine="0"/>
        <w:rPr>
          <w:rFonts w:ascii="Times New Roman" w:hAnsi="Times New Roman" w:cs="Times New Roman"/>
          <w:noProof/>
          <w:sz w:val="24"/>
          <w:szCs w:val="24"/>
        </w:rPr>
      </w:pPr>
      <w:r>
        <w:rPr>
          <w:rFonts w:ascii="Times New Roman" w:hAnsi="Times New Roman"/>
          <w:i/>
          <w:iCs/>
          <w:color w:val="0066FF"/>
          <w:sz w:val="24"/>
        </w:rPr>
        <w:t>Eurostat</w:t>
      </w:r>
      <w:r>
        <w:rPr>
          <w:rFonts w:ascii="Times New Roman" w:hAnsi="Times New Roman"/>
          <w:color w:val="0066FF"/>
          <w:sz w:val="24"/>
        </w:rPr>
        <w:t xml:space="preserve"> datubāze</w:t>
      </w:r>
      <w:r>
        <w:rPr>
          <w:rFonts w:ascii="Times New Roman" w:hAnsi="Times New Roman"/>
          <w:sz w:val="24"/>
        </w:rPr>
        <w:t xml:space="preserve"> – “Rūpniecība, tirdzniecība un pakalpojumi”</w:t>
      </w:r>
      <w:r>
        <w:rPr>
          <w:rFonts w:ascii="Times New Roman" w:hAnsi="Times New Roman"/>
          <w:sz w:val="24"/>
        </w:rPr>
        <w:sym w:font="Wingdings" w:char="F0E0"/>
      </w:r>
      <w:r>
        <w:rPr>
          <w:rFonts w:ascii="Times New Roman" w:hAnsi="Times New Roman"/>
          <w:sz w:val="24"/>
        </w:rPr>
        <w:t xml:space="preserve"> “globalizācija uzņēmējdarbības statistikā” </w:t>
      </w:r>
      <w:r>
        <w:rPr>
          <w:rFonts w:ascii="Times New Roman" w:hAnsi="Times New Roman"/>
          <w:sz w:val="24"/>
        </w:rPr>
        <w:sym w:font="Wingdings" w:char="F0E0"/>
      </w:r>
      <w:r>
        <w:rPr>
          <w:rFonts w:ascii="Times New Roman" w:hAnsi="Times New Roman"/>
          <w:sz w:val="24"/>
        </w:rPr>
        <w:t>“globālās vērtību ķēdes un starptautiskā sagādes statistika”</w:t>
      </w:r>
    </w:p>
    <w:p w14:paraId="6B1DA68E" w14:textId="77777777" w:rsidR="004323C0" w:rsidRPr="004323C0" w:rsidRDefault="004323C0" w:rsidP="000018C9">
      <w:pPr>
        <w:pStyle w:val="ListParagraph"/>
        <w:keepNext/>
        <w:keepLines/>
        <w:numPr>
          <w:ilvl w:val="0"/>
          <w:numId w:val="2"/>
        </w:numPr>
        <w:tabs>
          <w:tab w:val="left" w:pos="841"/>
        </w:tabs>
        <w:spacing w:before="0"/>
        <w:ind w:left="284" w:firstLine="0"/>
        <w:rPr>
          <w:rFonts w:ascii="Times New Roman" w:hAnsi="Times New Roman" w:cs="Times New Roman"/>
          <w:noProof/>
          <w:sz w:val="24"/>
          <w:szCs w:val="24"/>
        </w:rPr>
      </w:pPr>
      <w:r>
        <w:rPr>
          <w:rFonts w:ascii="Times New Roman" w:hAnsi="Times New Roman"/>
          <w:sz w:val="24"/>
        </w:rPr>
        <w:t xml:space="preserve">Raksti platformā </w:t>
      </w:r>
      <w:r>
        <w:rPr>
          <w:rFonts w:ascii="Times New Roman" w:hAnsi="Times New Roman"/>
          <w:i/>
          <w:iCs/>
          <w:sz w:val="24"/>
        </w:rPr>
        <w:t>Statistics Explained</w:t>
      </w:r>
      <w:r>
        <w:rPr>
          <w:rFonts w:ascii="Times New Roman" w:hAnsi="Times New Roman"/>
          <w:sz w:val="24"/>
        </w:rPr>
        <w:t>:</w:t>
      </w:r>
    </w:p>
    <w:p w14:paraId="6B8B9423" w14:textId="77777777" w:rsidR="004323C0" w:rsidRPr="004323C0" w:rsidRDefault="004323C0" w:rsidP="000018C9">
      <w:pPr>
        <w:pStyle w:val="ListParagraph"/>
        <w:keepNext/>
        <w:keepLines/>
        <w:numPr>
          <w:ilvl w:val="1"/>
          <w:numId w:val="2"/>
        </w:numPr>
        <w:tabs>
          <w:tab w:val="left" w:pos="1134"/>
          <w:tab w:val="left" w:pos="1560"/>
        </w:tabs>
        <w:spacing w:before="0"/>
        <w:ind w:left="567" w:firstLine="0"/>
        <w:rPr>
          <w:rFonts w:ascii="Times New Roman" w:hAnsi="Times New Roman" w:cs="Times New Roman"/>
          <w:noProof/>
          <w:color w:val="0066FF"/>
          <w:sz w:val="24"/>
          <w:szCs w:val="24"/>
        </w:rPr>
      </w:pPr>
      <w:r>
        <w:rPr>
          <w:rFonts w:ascii="Times New Roman" w:hAnsi="Times New Roman"/>
          <w:color w:val="0066FF"/>
          <w:sz w:val="24"/>
        </w:rPr>
        <w:t>“International sourcing, business functions and global value chains” [Starptautiskā sagāde, uzņēmējdarbības funkcijas un globālās vērtību ķēdes]</w:t>
      </w:r>
    </w:p>
    <w:p w14:paraId="64BEFAF9" w14:textId="77777777" w:rsidR="004323C0" w:rsidRPr="004323C0" w:rsidRDefault="004323C0" w:rsidP="004323C0">
      <w:pPr>
        <w:pStyle w:val="ListParagraph"/>
        <w:numPr>
          <w:ilvl w:val="1"/>
          <w:numId w:val="2"/>
        </w:numPr>
        <w:tabs>
          <w:tab w:val="left" w:pos="1134"/>
          <w:tab w:val="left" w:pos="1559"/>
          <w:tab w:val="left" w:pos="1561"/>
        </w:tabs>
        <w:spacing w:before="0"/>
        <w:ind w:left="567" w:firstLine="0"/>
        <w:rPr>
          <w:rFonts w:ascii="Times New Roman" w:hAnsi="Times New Roman" w:cs="Times New Roman"/>
          <w:noProof/>
          <w:sz w:val="24"/>
          <w:szCs w:val="24"/>
        </w:rPr>
      </w:pPr>
      <w:r>
        <w:rPr>
          <w:rFonts w:ascii="Times New Roman" w:hAnsi="Times New Roman"/>
          <w:color w:val="0066FF"/>
          <w:sz w:val="24"/>
        </w:rPr>
        <w:t>“Linking statistics on international sourcing with other business statistics” [Starptautiskās sagādes statistikas saistīšana ar citu uzņēmējdarbības statistiku]</w:t>
      </w:r>
      <w:r>
        <w:rPr>
          <w:rFonts w:ascii="Times New Roman" w:hAnsi="Times New Roman"/>
          <w:sz w:val="24"/>
        </w:rPr>
        <w:t xml:space="preserve"> (mikrodatu saistīšanas projekta rezultāti)</w:t>
      </w:r>
    </w:p>
    <w:p w14:paraId="0DAF10D4" w14:textId="77777777" w:rsidR="004323C0" w:rsidRPr="004323C0" w:rsidRDefault="004323C0" w:rsidP="004323C0">
      <w:pPr>
        <w:pStyle w:val="ListParagraph"/>
        <w:numPr>
          <w:ilvl w:val="0"/>
          <w:numId w:val="2"/>
        </w:numPr>
        <w:tabs>
          <w:tab w:val="left" w:pos="841"/>
        </w:tabs>
        <w:spacing w:before="0"/>
        <w:ind w:left="284" w:firstLine="0"/>
        <w:rPr>
          <w:rFonts w:ascii="Times New Roman" w:hAnsi="Times New Roman" w:cs="Times New Roman"/>
          <w:noProof/>
          <w:sz w:val="24"/>
          <w:szCs w:val="24"/>
        </w:rPr>
      </w:pPr>
      <w:r>
        <w:rPr>
          <w:rFonts w:ascii="Times New Roman" w:hAnsi="Times New Roman"/>
          <w:color w:val="0066FF"/>
          <w:sz w:val="24"/>
        </w:rPr>
        <w:t>“Experimental statistics on International sourcing” [Eksperimentālā statistika par starptautisko sagādi]</w:t>
      </w:r>
      <w:r>
        <w:rPr>
          <w:rFonts w:ascii="Times New Roman" w:hAnsi="Times New Roman"/>
          <w:sz w:val="24"/>
        </w:rPr>
        <w:t xml:space="preserve"> (tas attiecas uz četriem brīvprātīgiem GVĶ un starptautiskās sagādes apsekojumiem līdz 2021. gadam)</w:t>
      </w:r>
    </w:p>
    <w:p w14:paraId="10255DD9" w14:textId="77777777" w:rsidR="004323C0" w:rsidRPr="004323C0" w:rsidRDefault="004323C0" w:rsidP="004323C0">
      <w:pPr>
        <w:rPr>
          <w:rFonts w:ascii="Times New Roman" w:hAnsi="Times New Roman" w:cs="Times New Roman"/>
          <w:noProof/>
          <w:sz w:val="24"/>
          <w:szCs w:val="24"/>
        </w:rPr>
      </w:pPr>
      <w:r>
        <w:br w:type="page"/>
      </w:r>
    </w:p>
    <w:p w14:paraId="5A0560A4" w14:textId="77777777" w:rsidR="004323C0" w:rsidRPr="004323C0" w:rsidRDefault="004323C0" w:rsidP="004323C0">
      <w:pPr>
        <w:pStyle w:val="Heading2"/>
        <w:jc w:val="center"/>
      </w:pPr>
      <w:bookmarkStart w:id="81" w:name="_TOC_250005"/>
      <w:r>
        <w:t>6. Metadatu un kvalitātes ziņojuma nosūtīšana</w:t>
      </w:r>
      <w:bookmarkEnd w:id="81"/>
    </w:p>
    <w:p w14:paraId="1B595FDA" w14:textId="77777777" w:rsidR="004323C0" w:rsidRPr="004323C0" w:rsidRDefault="004323C0" w:rsidP="004323C0">
      <w:pPr>
        <w:pStyle w:val="BodyText"/>
        <w:jc w:val="both"/>
        <w:rPr>
          <w:rFonts w:ascii="Times New Roman" w:hAnsi="Times New Roman" w:cs="Times New Roman"/>
          <w:noProof/>
          <w:color w:val="466DB4"/>
          <w:sz w:val="24"/>
          <w:szCs w:val="24"/>
        </w:rPr>
      </w:pPr>
    </w:p>
    <w:p w14:paraId="4EBEF3BA" w14:textId="77777777" w:rsidR="004323C0" w:rsidRPr="004323C0" w:rsidRDefault="004323C0" w:rsidP="004323C0">
      <w:pPr>
        <w:pStyle w:val="Heading2"/>
        <w:rPr>
          <w:color w:val="auto"/>
        </w:rPr>
      </w:pPr>
      <w:bookmarkStart w:id="82" w:name="_TOC_250004"/>
      <w:bookmarkEnd w:id="82"/>
      <w:r>
        <w:rPr>
          <w:color w:val="auto"/>
        </w:rPr>
        <w:t>Ievads</w:t>
      </w:r>
    </w:p>
    <w:p w14:paraId="0E9915FE" w14:textId="77777777" w:rsidR="004323C0" w:rsidRPr="004323C0" w:rsidRDefault="004323C0" w:rsidP="004323C0">
      <w:pPr>
        <w:pStyle w:val="BodyText"/>
        <w:jc w:val="both"/>
        <w:rPr>
          <w:rFonts w:ascii="Times New Roman" w:hAnsi="Times New Roman" w:cs="Times New Roman"/>
          <w:noProof/>
          <w:sz w:val="24"/>
          <w:szCs w:val="24"/>
        </w:rPr>
      </w:pPr>
    </w:p>
    <w:p w14:paraId="21ED6893"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EUS Vispārīgajā īstenošanas regulā un GVĶ īstenošanas regulā ir noteikts, ka dalībvalstīm reizi trijos gados ir jāsniedz kvalitātes un metadatu ziņojumi GVĶ statistikai. Šajā nodaļā ir sniegti valstu trīsgadu GVĶ metadatu ziņojumi saskaņā ar EUS regulu.</w:t>
      </w:r>
    </w:p>
    <w:p w14:paraId="2BD184D4"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Kvalitātes un metadatu ziņojumu struktūrai un saturam ir jāizmanto jaunākie </w:t>
      </w:r>
      <w:r>
        <w:rPr>
          <w:rFonts w:ascii="Times New Roman" w:hAnsi="Times New Roman"/>
          <w:color w:val="0066FF"/>
          <w:sz w:val="24"/>
        </w:rPr>
        <w:t>Eiropas Statistikas sistēmas (ESS) standarti</w:t>
      </w:r>
      <w:r>
        <w:rPr>
          <w:rFonts w:ascii="Times New Roman" w:hAnsi="Times New Roman"/>
          <w:sz w:val="24"/>
        </w:rPr>
        <w:t>.</w:t>
      </w:r>
    </w:p>
    <w:p w14:paraId="1FE1800D" w14:textId="77777777" w:rsidR="004323C0" w:rsidRPr="004323C0" w:rsidRDefault="004323C0" w:rsidP="004323C0">
      <w:pPr>
        <w:pStyle w:val="BodyText"/>
        <w:jc w:val="both"/>
        <w:rPr>
          <w:rFonts w:ascii="Times New Roman" w:hAnsi="Times New Roman" w:cs="Times New Roman"/>
          <w:noProof/>
          <w:sz w:val="24"/>
          <w:szCs w:val="24"/>
        </w:rPr>
      </w:pPr>
    </w:p>
    <w:p w14:paraId="28FA2DB1" w14:textId="77777777" w:rsidR="004323C0" w:rsidRPr="004323C0" w:rsidRDefault="004323C0" w:rsidP="004323C0">
      <w:pPr>
        <w:pStyle w:val="Heading2"/>
        <w:rPr>
          <w:color w:val="auto"/>
        </w:rPr>
      </w:pPr>
      <w:bookmarkStart w:id="83" w:name="_TOC_250003"/>
      <w:r>
        <w:rPr>
          <w:color w:val="auto"/>
        </w:rPr>
        <w:t>Valstu metadati GVĶ</w:t>
      </w:r>
      <w:bookmarkEnd w:id="83"/>
      <w:r>
        <w:rPr>
          <w:color w:val="auto"/>
        </w:rPr>
        <w:t xml:space="preserve"> statistikai</w:t>
      </w:r>
    </w:p>
    <w:p w14:paraId="20B7B745" w14:textId="77777777" w:rsidR="004323C0" w:rsidRPr="004323C0" w:rsidRDefault="004323C0" w:rsidP="004323C0">
      <w:pPr>
        <w:pStyle w:val="BodyText"/>
        <w:jc w:val="both"/>
        <w:rPr>
          <w:rFonts w:ascii="Times New Roman" w:hAnsi="Times New Roman" w:cs="Times New Roman"/>
          <w:noProof/>
          <w:sz w:val="24"/>
          <w:szCs w:val="24"/>
        </w:rPr>
      </w:pPr>
    </w:p>
    <w:p w14:paraId="42FE8EFC"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GVĶ metadatu pārskatu apkopošana tiek veikta, izmantojot ESS </w:t>
      </w:r>
      <w:r>
        <w:rPr>
          <w:rFonts w:ascii="Times New Roman" w:hAnsi="Times New Roman"/>
          <w:i/>
          <w:iCs/>
          <w:sz w:val="24"/>
        </w:rPr>
        <w:t>Metadata Handler</w:t>
      </w:r>
      <w:r>
        <w:rPr>
          <w:rFonts w:ascii="Times New Roman" w:hAnsi="Times New Roman"/>
          <w:sz w:val="24"/>
        </w:rPr>
        <w:t xml:space="preserve"> rīku.</w:t>
      </w:r>
    </w:p>
    <w:p w14:paraId="3AC026E0"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84" w:name="METADATA_FLOWS"/>
      <w:bookmarkEnd w:id="84"/>
    </w:p>
    <w:p w14:paraId="78A0243B"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METADATU PLŪSMAS</w:t>
      </w:r>
    </w:p>
    <w:p w14:paraId="329AE8DD" w14:textId="77777777" w:rsidR="004323C0" w:rsidRPr="004323C0" w:rsidRDefault="004323C0" w:rsidP="004323C0">
      <w:pPr>
        <w:pStyle w:val="BodyText"/>
        <w:jc w:val="both"/>
        <w:rPr>
          <w:rFonts w:ascii="Times New Roman" w:hAnsi="Times New Roman" w:cs="Times New Roman"/>
          <w:noProof/>
          <w:sz w:val="24"/>
          <w:szCs w:val="24"/>
        </w:rPr>
      </w:pPr>
    </w:p>
    <w:p w14:paraId="7BE442D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Metadatu ziņošana saskaņā ar EUS regulu atbildīs datu nosūtīšanas struktūrai </w:t>
      </w:r>
      <w:r>
        <w:rPr>
          <w:rFonts w:ascii="Times New Roman" w:hAnsi="Times New Roman"/>
          <w:i/>
          <w:iCs/>
          <w:sz w:val="24"/>
        </w:rPr>
        <w:t>EDAMIS</w:t>
      </w:r>
      <w:r>
        <w:rPr>
          <w:rFonts w:ascii="Times New Roman" w:hAnsi="Times New Roman"/>
          <w:sz w:val="24"/>
        </w:rPr>
        <w:t xml:space="preserve"> sistēmas GVĶ datu kopās, kuru nosaukumi noteikti </w:t>
      </w:r>
      <w:r>
        <w:rPr>
          <w:rFonts w:ascii="Times New Roman" w:hAnsi="Times New Roman"/>
          <w:color w:val="0066FF"/>
          <w:sz w:val="24"/>
        </w:rPr>
        <w:t>Normatīvtehniskajā dokumentā</w:t>
      </w:r>
      <w:r>
        <w:rPr>
          <w:rFonts w:ascii="Times New Roman" w:hAnsi="Times New Roman"/>
          <w:sz w:val="24"/>
        </w:rPr>
        <w:t>.</w:t>
      </w:r>
    </w:p>
    <w:p w14:paraId="7EE458A3" w14:textId="77777777" w:rsidR="004323C0" w:rsidRPr="004323C0" w:rsidRDefault="004323C0" w:rsidP="004323C0">
      <w:pPr>
        <w:pStyle w:val="BodyText"/>
        <w:jc w:val="both"/>
        <w:rPr>
          <w:rFonts w:ascii="Times New Roman" w:hAnsi="Times New Roman" w:cs="Times New Roman"/>
          <w:b/>
          <w:bCs/>
          <w:noProof/>
          <w:color w:val="466DB4"/>
          <w:sz w:val="24"/>
          <w:szCs w:val="24"/>
        </w:rPr>
      </w:pPr>
      <w:bookmarkStart w:id="85" w:name="TRANSMISSION_DEADLINE"/>
      <w:bookmarkEnd w:id="85"/>
    </w:p>
    <w:p w14:paraId="19296A37" w14:textId="77777777" w:rsidR="004323C0" w:rsidRPr="004323C0" w:rsidRDefault="004323C0" w:rsidP="004323C0">
      <w:pPr>
        <w:pStyle w:val="BodyText"/>
        <w:jc w:val="both"/>
        <w:rPr>
          <w:rFonts w:ascii="Times New Roman" w:hAnsi="Times New Roman" w:cs="Times New Roman"/>
          <w:b/>
          <w:bCs/>
          <w:noProof/>
          <w:color w:val="466DB4"/>
          <w:sz w:val="24"/>
          <w:szCs w:val="24"/>
        </w:rPr>
      </w:pPr>
      <w:r>
        <w:rPr>
          <w:rFonts w:ascii="Times New Roman" w:hAnsi="Times New Roman"/>
          <w:b/>
          <w:color w:val="466DB4"/>
          <w:sz w:val="24"/>
        </w:rPr>
        <w:t>NOSŪTĪŠANAS TERMIŅŠ</w:t>
      </w:r>
    </w:p>
    <w:p w14:paraId="64DC8357" w14:textId="77777777" w:rsidR="004323C0" w:rsidRPr="004323C0" w:rsidRDefault="004323C0" w:rsidP="004323C0">
      <w:pPr>
        <w:pStyle w:val="BodyText"/>
        <w:jc w:val="both"/>
        <w:rPr>
          <w:rFonts w:ascii="Times New Roman" w:hAnsi="Times New Roman" w:cs="Times New Roman"/>
          <w:noProof/>
          <w:sz w:val="24"/>
          <w:szCs w:val="24"/>
        </w:rPr>
      </w:pPr>
    </w:p>
    <w:p w14:paraId="7AA785C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EUS Vispārīgās īstenošanas regulas 11. panta 2. punktā ir noteikts, ka dalībvalstis iesniedz Komisijai (</w:t>
      </w:r>
      <w:r>
        <w:rPr>
          <w:rFonts w:ascii="Times New Roman" w:hAnsi="Times New Roman"/>
          <w:i/>
          <w:iCs/>
          <w:sz w:val="24"/>
        </w:rPr>
        <w:t>Eurostat</w:t>
      </w:r>
      <w:r>
        <w:rPr>
          <w:rFonts w:ascii="Times New Roman" w:hAnsi="Times New Roman"/>
          <w:sz w:val="24"/>
        </w:rPr>
        <w:t>) metadatu ziņojumus par uzņēmējdarbības statistiku, kas nosūtīta ar periodiskumu, kāds noteikts EUS regulas 17. panta 4. punktā, vēlākais divus mēnešus pēc pēdējā datu nosūtīšanas termiņa, kas noteikts statistikai, uz kuru attiecas ziņojums (T+21).</w:t>
      </w:r>
    </w:p>
    <w:p w14:paraId="07C34590"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Metadati jānosūta </w:t>
      </w:r>
      <w:r>
        <w:rPr>
          <w:rFonts w:ascii="Times New Roman" w:hAnsi="Times New Roman"/>
          <w:i/>
          <w:iCs/>
          <w:sz w:val="24"/>
        </w:rPr>
        <w:t>Eurostat</w:t>
      </w:r>
      <w:r>
        <w:rPr>
          <w:rFonts w:ascii="Times New Roman" w:hAnsi="Times New Roman"/>
          <w:sz w:val="24"/>
        </w:rPr>
        <w:t xml:space="preserve"> ar periodiskumu T+23. Tas nozīmē, ka par pirmo pārskata posmu (2021.–2023. gads) metadati ir jānosūta </w:t>
      </w:r>
      <w:r>
        <w:rPr>
          <w:rFonts w:ascii="Times New Roman" w:hAnsi="Times New Roman"/>
          <w:i/>
          <w:iCs/>
          <w:sz w:val="24"/>
        </w:rPr>
        <w:t>Eurostat</w:t>
      </w:r>
      <w:r>
        <w:rPr>
          <w:rFonts w:ascii="Times New Roman" w:hAnsi="Times New Roman"/>
          <w:sz w:val="24"/>
        </w:rPr>
        <w:t xml:space="preserve"> vēlākais līdz </w:t>
      </w:r>
      <w:r>
        <w:rPr>
          <w:rFonts w:ascii="Times New Roman" w:hAnsi="Times New Roman"/>
          <w:b/>
          <w:sz w:val="24"/>
        </w:rPr>
        <w:t>2025. gada 30. novembrim</w:t>
      </w:r>
      <w:r>
        <w:rPr>
          <w:rFonts w:ascii="Times New Roman" w:hAnsi="Times New Roman"/>
          <w:sz w:val="24"/>
        </w:rPr>
        <w:t>.</w:t>
      </w:r>
    </w:p>
    <w:p w14:paraId="69504FF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Metadatu datnes var nosūtīt arī agrāk.</w:t>
      </w:r>
    </w:p>
    <w:p w14:paraId="4917DE51" w14:textId="77777777" w:rsidR="004323C0" w:rsidRPr="004323C0" w:rsidRDefault="004323C0" w:rsidP="004323C0">
      <w:pPr>
        <w:pStyle w:val="BodyText"/>
        <w:jc w:val="both"/>
        <w:rPr>
          <w:rFonts w:ascii="Times New Roman" w:hAnsi="Times New Roman" w:cs="Times New Roman"/>
          <w:noProof/>
          <w:sz w:val="24"/>
          <w:szCs w:val="24"/>
        </w:rPr>
      </w:pPr>
    </w:p>
    <w:p w14:paraId="33B89661" w14:textId="77777777" w:rsidR="004323C0" w:rsidRPr="004323C0" w:rsidRDefault="004323C0" w:rsidP="004323C0">
      <w:pPr>
        <w:pStyle w:val="Heading2"/>
        <w:rPr>
          <w:color w:val="auto"/>
        </w:rPr>
      </w:pPr>
      <w:bookmarkStart w:id="86" w:name="_TOC_250002"/>
      <w:r>
        <w:rPr>
          <w:i/>
          <w:iCs/>
          <w:color w:val="auto"/>
        </w:rPr>
        <w:t>Eurostat</w:t>
      </w:r>
      <w:r>
        <w:rPr>
          <w:color w:val="auto"/>
        </w:rPr>
        <w:t xml:space="preserve"> metadatu </w:t>
      </w:r>
      <w:bookmarkEnd w:id="86"/>
      <w:r>
        <w:rPr>
          <w:color w:val="auto"/>
        </w:rPr>
        <w:t>datne</w:t>
      </w:r>
    </w:p>
    <w:p w14:paraId="4B6DCF9E" w14:textId="77777777" w:rsidR="004323C0" w:rsidRPr="004323C0" w:rsidRDefault="004323C0" w:rsidP="004323C0">
      <w:pPr>
        <w:pStyle w:val="BodyText"/>
        <w:jc w:val="both"/>
        <w:rPr>
          <w:rFonts w:ascii="Times New Roman" w:hAnsi="Times New Roman" w:cs="Times New Roman"/>
          <w:noProof/>
          <w:sz w:val="24"/>
          <w:szCs w:val="24"/>
        </w:rPr>
      </w:pPr>
    </w:p>
    <w:p w14:paraId="4EC2CC12"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i/>
          <w:iCs/>
          <w:sz w:val="24"/>
        </w:rPr>
        <w:t>Eurostat</w:t>
      </w:r>
      <w:r>
        <w:rPr>
          <w:rFonts w:ascii="Times New Roman" w:hAnsi="Times New Roman"/>
          <w:sz w:val="24"/>
        </w:rPr>
        <w:t xml:space="preserve"> publicē vienu metadatu datni attiecībā uz visu GVĶ jomu. Līdzīgi kā valstu metadatu datnes, arī šī datne atrodas ESS </w:t>
      </w:r>
      <w:r>
        <w:rPr>
          <w:rFonts w:ascii="Times New Roman" w:hAnsi="Times New Roman"/>
          <w:i/>
          <w:iCs/>
          <w:sz w:val="24"/>
        </w:rPr>
        <w:t>Metadata Handler</w:t>
      </w:r>
      <w:r>
        <w:rPr>
          <w:rFonts w:ascii="Times New Roman" w:hAnsi="Times New Roman"/>
          <w:sz w:val="24"/>
        </w:rPr>
        <w:t xml:space="preserve"> rīkā.</w:t>
      </w:r>
    </w:p>
    <w:p w14:paraId="221BA90E"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Valstu metadatu datnes ir pievienotas </w:t>
      </w:r>
      <w:r>
        <w:rPr>
          <w:rFonts w:ascii="Times New Roman" w:hAnsi="Times New Roman"/>
          <w:i/>
          <w:iCs/>
          <w:sz w:val="24"/>
        </w:rPr>
        <w:t>Eurostat</w:t>
      </w:r>
      <w:r>
        <w:rPr>
          <w:rFonts w:ascii="Times New Roman" w:hAnsi="Times New Roman"/>
          <w:sz w:val="24"/>
        </w:rPr>
        <w:t xml:space="preserve"> datnei kā pielikumi.</w:t>
      </w:r>
    </w:p>
    <w:p w14:paraId="1A3141C0" w14:textId="77777777" w:rsidR="004323C0" w:rsidRPr="004323C0" w:rsidRDefault="004323C0" w:rsidP="004323C0">
      <w:pPr>
        <w:pStyle w:val="BodyText"/>
        <w:jc w:val="both"/>
        <w:rPr>
          <w:rFonts w:ascii="Times New Roman" w:hAnsi="Times New Roman" w:cs="Times New Roman"/>
          <w:noProof/>
          <w:sz w:val="24"/>
          <w:szCs w:val="24"/>
        </w:rPr>
      </w:pPr>
    </w:p>
    <w:p w14:paraId="6EB4170C" w14:textId="77777777" w:rsidR="004323C0" w:rsidRPr="004323C0" w:rsidRDefault="004323C0" w:rsidP="004323C0">
      <w:pPr>
        <w:pStyle w:val="Heading2"/>
        <w:rPr>
          <w:color w:val="auto"/>
        </w:rPr>
      </w:pPr>
      <w:bookmarkStart w:id="87" w:name="_TOC_250001"/>
      <w:r>
        <w:rPr>
          <w:color w:val="auto"/>
        </w:rPr>
        <w:t>Kvalitātes ziņojuma nosūtīšana</w:t>
      </w:r>
      <w:bookmarkEnd w:id="87"/>
    </w:p>
    <w:p w14:paraId="0DE51F53" w14:textId="77777777" w:rsidR="004323C0" w:rsidRPr="004323C0" w:rsidRDefault="004323C0" w:rsidP="004323C0">
      <w:pPr>
        <w:pStyle w:val="BodyText"/>
        <w:jc w:val="both"/>
        <w:rPr>
          <w:rFonts w:ascii="Times New Roman" w:hAnsi="Times New Roman" w:cs="Times New Roman"/>
          <w:noProof/>
          <w:sz w:val="24"/>
          <w:szCs w:val="24"/>
        </w:rPr>
      </w:pPr>
    </w:p>
    <w:p w14:paraId="29EF5F49"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Pamatojoties uz GVĶ īstenošanas regulu, dalībvalstīm ir jānosūta trīs gadu kvalitātes ziņojums par GVĶ tematu 24 mēnešu laikā pēc pārskata posma pēdējā gada beigām (T+24). Tas faktiski nozīmē to, ka par pirmo pārskata posmu (2021.–2023. gads) kvalitātes ziņojumi ir jānosūta </w:t>
      </w:r>
      <w:r>
        <w:rPr>
          <w:rFonts w:ascii="Times New Roman" w:hAnsi="Times New Roman"/>
          <w:i/>
          <w:iCs/>
          <w:sz w:val="24"/>
        </w:rPr>
        <w:t>Eurostat</w:t>
      </w:r>
      <w:r>
        <w:rPr>
          <w:rFonts w:ascii="Times New Roman" w:hAnsi="Times New Roman"/>
          <w:sz w:val="24"/>
        </w:rPr>
        <w:t xml:space="preserve"> vēlākais līdz </w:t>
      </w:r>
      <w:r>
        <w:rPr>
          <w:rFonts w:ascii="Times New Roman" w:hAnsi="Times New Roman"/>
          <w:b/>
          <w:sz w:val="24"/>
        </w:rPr>
        <w:t>2025. gada 31. decembrim</w:t>
      </w:r>
      <w:r>
        <w:rPr>
          <w:rFonts w:ascii="Times New Roman" w:hAnsi="Times New Roman"/>
          <w:sz w:val="24"/>
        </w:rPr>
        <w:t>.</w:t>
      </w:r>
    </w:p>
    <w:p w14:paraId="5F274CD5" w14:textId="77777777" w:rsidR="004323C0" w:rsidRPr="004323C0" w:rsidRDefault="004323C0" w:rsidP="004323C0">
      <w:pPr>
        <w:pStyle w:val="BodyText"/>
        <w:jc w:val="both"/>
        <w:rPr>
          <w:rFonts w:ascii="Times New Roman" w:hAnsi="Times New Roman" w:cs="Times New Roman"/>
          <w:b/>
          <w:noProof/>
          <w:sz w:val="24"/>
          <w:szCs w:val="24"/>
        </w:rPr>
      </w:pPr>
    </w:p>
    <w:p w14:paraId="01BB7501" w14:textId="77777777" w:rsidR="004323C0" w:rsidRPr="004323C0" w:rsidRDefault="004323C0" w:rsidP="004323C0">
      <w:pPr>
        <w:pStyle w:val="BodyText"/>
        <w:jc w:val="both"/>
        <w:rPr>
          <w:rFonts w:ascii="Times New Roman" w:hAnsi="Times New Roman" w:cs="Times New Roman"/>
          <w:noProof/>
          <w:sz w:val="24"/>
          <w:szCs w:val="24"/>
        </w:rPr>
      </w:pPr>
      <w:r>
        <w:rPr>
          <w:rFonts w:ascii="Times New Roman" w:hAnsi="Times New Roman"/>
          <w:sz w:val="24"/>
        </w:rPr>
        <w:t xml:space="preserve">Kvalitātes ziņojumi ir jāsagatavo, ievērojot jaunākos </w:t>
      </w:r>
      <w:r>
        <w:rPr>
          <w:rFonts w:ascii="Times New Roman" w:hAnsi="Times New Roman"/>
          <w:color w:val="0066FF"/>
          <w:sz w:val="24"/>
        </w:rPr>
        <w:t>ESS Kvalitātes ziņojumu standartus</w:t>
      </w:r>
      <w:r>
        <w:rPr>
          <w:rFonts w:ascii="Times New Roman" w:hAnsi="Times New Roman"/>
          <w:sz w:val="24"/>
        </w:rPr>
        <w:t>.</w:t>
      </w:r>
    </w:p>
    <w:p w14:paraId="0F8450E0" w14:textId="77777777" w:rsidR="004323C0" w:rsidRPr="004323C0" w:rsidRDefault="004323C0" w:rsidP="004323C0">
      <w:pPr>
        <w:pStyle w:val="BodyText"/>
        <w:jc w:val="both"/>
        <w:rPr>
          <w:rFonts w:ascii="Times New Roman" w:hAnsi="Times New Roman" w:cs="Times New Roman"/>
          <w:noProof/>
          <w:sz w:val="24"/>
          <w:szCs w:val="24"/>
        </w:rPr>
      </w:pPr>
    </w:p>
    <w:p w14:paraId="621F6CFA" w14:textId="77777777" w:rsidR="004323C0" w:rsidRPr="004323C0" w:rsidRDefault="004323C0" w:rsidP="004323C0">
      <w:pPr>
        <w:pStyle w:val="Heading2"/>
        <w:rPr>
          <w:color w:val="auto"/>
        </w:rPr>
      </w:pPr>
      <w:bookmarkStart w:id="88" w:name="_TOC_250000"/>
      <w:bookmarkEnd w:id="88"/>
      <w:r>
        <w:rPr>
          <w:color w:val="auto"/>
        </w:rPr>
        <w:t>Saites</w:t>
      </w:r>
    </w:p>
    <w:p w14:paraId="6AA4AE3A" w14:textId="77777777" w:rsidR="004323C0" w:rsidRPr="004323C0" w:rsidRDefault="004323C0" w:rsidP="004323C0">
      <w:pPr>
        <w:pStyle w:val="ListParagraph"/>
        <w:tabs>
          <w:tab w:val="left" w:pos="841"/>
        </w:tabs>
        <w:spacing w:before="0"/>
        <w:ind w:left="0" w:firstLine="0"/>
        <w:rPr>
          <w:rFonts w:ascii="Times New Roman" w:hAnsi="Times New Roman" w:cs="Times New Roman"/>
          <w:noProof/>
          <w:color w:val="0066FF"/>
          <w:sz w:val="24"/>
          <w:szCs w:val="24"/>
        </w:rPr>
      </w:pPr>
    </w:p>
    <w:p w14:paraId="4ABCC721" w14:textId="77777777" w:rsidR="004323C0" w:rsidRPr="004323C0" w:rsidRDefault="004323C0" w:rsidP="004323C0">
      <w:pPr>
        <w:pStyle w:val="ListParagraph"/>
        <w:numPr>
          <w:ilvl w:val="0"/>
          <w:numId w:val="2"/>
        </w:numPr>
        <w:tabs>
          <w:tab w:val="left" w:pos="567"/>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 xml:space="preserve">ESS </w:t>
      </w:r>
      <w:r>
        <w:rPr>
          <w:rFonts w:ascii="Times New Roman" w:hAnsi="Times New Roman"/>
          <w:i/>
          <w:iCs/>
          <w:color w:val="0066FF"/>
          <w:sz w:val="24"/>
        </w:rPr>
        <w:t>Metadata Handler</w:t>
      </w:r>
      <w:r>
        <w:rPr>
          <w:rFonts w:ascii="Times New Roman" w:hAnsi="Times New Roman"/>
          <w:color w:val="0066FF"/>
          <w:sz w:val="24"/>
        </w:rPr>
        <w:t xml:space="preserve"> rīks</w:t>
      </w:r>
    </w:p>
    <w:p w14:paraId="47301195" w14:textId="77777777" w:rsidR="004323C0" w:rsidRPr="004323C0" w:rsidRDefault="004323C0" w:rsidP="004323C0">
      <w:pPr>
        <w:pStyle w:val="ListParagraph"/>
        <w:numPr>
          <w:ilvl w:val="0"/>
          <w:numId w:val="2"/>
        </w:numPr>
        <w:tabs>
          <w:tab w:val="left" w:pos="567"/>
        </w:tabs>
        <w:spacing w:before="0"/>
        <w:ind w:left="0" w:firstLine="0"/>
        <w:rPr>
          <w:rFonts w:ascii="Times New Roman" w:hAnsi="Times New Roman" w:cs="Times New Roman"/>
          <w:noProof/>
          <w:color w:val="0066FF"/>
          <w:sz w:val="24"/>
          <w:szCs w:val="24"/>
        </w:rPr>
      </w:pPr>
      <w:r>
        <w:rPr>
          <w:rFonts w:ascii="Times New Roman" w:hAnsi="Times New Roman"/>
          <w:color w:val="0066FF"/>
          <w:sz w:val="24"/>
        </w:rPr>
        <w:t>ESS Kvalitātes ziņojumu standarti</w:t>
      </w:r>
    </w:p>
    <w:p w14:paraId="1A1F5DBE" w14:textId="77777777" w:rsidR="004323C0" w:rsidRPr="004323C0" w:rsidRDefault="004323C0" w:rsidP="004323C0">
      <w:pPr>
        <w:pStyle w:val="ListParagraph"/>
        <w:numPr>
          <w:ilvl w:val="0"/>
          <w:numId w:val="2"/>
        </w:numPr>
        <w:tabs>
          <w:tab w:val="left" w:pos="567"/>
        </w:tabs>
        <w:spacing w:before="0"/>
        <w:ind w:left="0" w:firstLine="0"/>
        <w:rPr>
          <w:rFonts w:ascii="Times New Roman" w:hAnsi="Times New Roman" w:cs="Times New Roman"/>
          <w:noProof/>
          <w:sz w:val="24"/>
          <w:szCs w:val="24"/>
        </w:rPr>
      </w:pPr>
      <w:r>
        <w:rPr>
          <w:rFonts w:ascii="Times New Roman" w:hAnsi="Times New Roman"/>
          <w:i/>
          <w:iCs/>
          <w:color w:val="0066FF"/>
          <w:sz w:val="24"/>
        </w:rPr>
        <w:t>Eurostat</w:t>
      </w:r>
      <w:r>
        <w:rPr>
          <w:rFonts w:ascii="Times New Roman" w:hAnsi="Times New Roman"/>
          <w:color w:val="0066FF"/>
          <w:sz w:val="24"/>
        </w:rPr>
        <w:t xml:space="preserve"> GVĶ metadatu datne</w:t>
      </w:r>
      <w:r>
        <w:rPr>
          <w:rFonts w:ascii="Times New Roman" w:hAnsi="Times New Roman"/>
          <w:sz w:val="24"/>
        </w:rPr>
        <w:t xml:space="preserve"> – (tā pašlaik attiecas uz brīvprātīgajiem GVĶ apsekojumiem)</w:t>
      </w:r>
    </w:p>
    <w:p w14:paraId="405C08FB" w14:textId="77777777" w:rsidR="004323C0" w:rsidRPr="004323C0" w:rsidRDefault="004323C0" w:rsidP="004323C0">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4323C0" w:rsidRPr="004323C0" w14:paraId="66D0D8BF" w14:textId="77777777">
        <w:tc>
          <w:tcPr>
            <w:tcW w:w="5000" w:type="pct"/>
          </w:tcPr>
          <w:p w14:paraId="25D15F8D"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SAZIŅA AR ES</w:t>
            </w:r>
          </w:p>
          <w:p w14:paraId="6C4B59F2" w14:textId="77777777" w:rsidR="004323C0" w:rsidRPr="004323C0" w:rsidRDefault="004323C0">
            <w:pPr>
              <w:pStyle w:val="BodyText"/>
              <w:jc w:val="both"/>
              <w:rPr>
                <w:rFonts w:ascii="Times New Roman" w:hAnsi="Times New Roman" w:cs="Times New Roman"/>
                <w:b/>
                <w:noProof/>
                <w:sz w:val="24"/>
                <w:szCs w:val="24"/>
              </w:rPr>
            </w:pPr>
          </w:p>
          <w:p w14:paraId="21C67BD2"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Personiski</w:t>
            </w:r>
          </w:p>
          <w:p w14:paraId="5688F823" w14:textId="77777777" w:rsidR="004323C0" w:rsidRPr="004323C0" w:rsidRDefault="004323C0">
            <w:pPr>
              <w:pStyle w:val="BodyText"/>
              <w:jc w:val="both"/>
              <w:rPr>
                <w:rFonts w:ascii="Times New Roman" w:hAnsi="Times New Roman" w:cs="Times New Roman"/>
                <w:noProof/>
                <w:sz w:val="24"/>
                <w:szCs w:val="24"/>
              </w:rPr>
            </w:pPr>
            <w:r>
              <w:rPr>
                <w:rFonts w:ascii="Times New Roman" w:hAnsi="Times New Roman"/>
                <w:sz w:val="24"/>
              </w:rPr>
              <w:t>Eiropas Savienībā ir simtiem “Europe Direct” informācijas centru. Sev tuvākā centra adresi jūs varat atrast tīmekļa vietnē https://europa.eu/european-union/contact_en.</w:t>
            </w:r>
          </w:p>
          <w:p w14:paraId="5FA4302D" w14:textId="77777777" w:rsidR="004323C0" w:rsidRPr="004323C0" w:rsidRDefault="004323C0">
            <w:pPr>
              <w:pStyle w:val="BodyText"/>
              <w:jc w:val="both"/>
              <w:rPr>
                <w:rFonts w:ascii="Times New Roman" w:hAnsi="Times New Roman" w:cs="Times New Roman"/>
                <w:noProof/>
                <w:sz w:val="24"/>
                <w:szCs w:val="24"/>
              </w:rPr>
            </w:pPr>
          </w:p>
          <w:p w14:paraId="38D929E8"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Pa tālruni vai e-pastu</w:t>
            </w:r>
          </w:p>
          <w:p w14:paraId="7E2970E9" w14:textId="77777777" w:rsidR="004323C0" w:rsidRPr="004323C0" w:rsidRDefault="004323C0">
            <w:pPr>
              <w:pStyle w:val="BodyText"/>
              <w:jc w:val="both"/>
              <w:rPr>
                <w:rFonts w:ascii="Times New Roman" w:hAnsi="Times New Roman" w:cs="Times New Roman"/>
                <w:noProof/>
                <w:sz w:val="24"/>
                <w:szCs w:val="24"/>
              </w:rPr>
            </w:pPr>
            <w:r>
              <w:rPr>
                <w:rFonts w:ascii="Times New Roman" w:hAnsi="Times New Roman"/>
                <w:sz w:val="24"/>
              </w:rPr>
              <w:t>“Europe Direct” dienests atbildēs jums uz jautājumiem par Eiropas Savienību. Jūs varat sazināties ar dienestu:</w:t>
            </w:r>
          </w:p>
          <w:p w14:paraId="16DD8D5D" w14:textId="77777777" w:rsidR="004323C0" w:rsidRPr="004323C0" w:rsidRDefault="004323C0">
            <w:pPr>
              <w:pStyle w:val="BodyText"/>
              <w:numPr>
                <w:ilvl w:val="0"/>
                <w:numId w:val="27"/>
              </w:numPr>
              <w:tabs>
                <w:tab w:val="left" w:pos="864"/>
              </w:tabs>
              <w:ind w:left="284" w:hanging="11"/>
              <w:jc w:val="both"/>
              <w:rPr>
                <w:rFonts w:ascii="Times New Roman" w:hAnsi="Times New Roman" w:cs="Times New Roman"/>
                <w:noProof/>
                <w:sz w:val="24"/>
                <w:szCs w:val="24"/>
              </w:rPr>
            </w:pPr>
            <w:r>
              <w:rPr>
                <w:rFonts w:ascii="Times New Roman" w:hAnsi="Times New Roman"/>
                <w:sz w:val="24"/>
              </w:rPr>
              <w:t>pa bezmaksas tālruni 00 800 6 7 8 9 10 11 (noteikti sakaru operatori var piemērot maksu par šiem zvaniem),</w:t>
            </w:r>
          </w:p>
          <w:p w14:paraId="4C84DFDB" w14:textId="77777777" w:rsidR="004323C0" w:rsidRPr="004323C0" w:rsidRDefault="004323C0">
            <w:pPr>
              <w:pStyle w:val="BodyText"/>
              <w:numPr>
                <w:ilvl w:val="0"/>
                <w:numId w:val="27"/>
              </w:numPr>
              <w:tabs>
                <w:tab w:val="left" w:pos="864"/>
              </w:tabs>
              <w:ind w:left="284" w:hanging="11"/>
              <w:jc w:val="both"/>
              <w:rPr>
                <w:rFonts w:ascii="Times New Roman" w:hAnsi="Times New Roman" w:cs="Times New Roman"/>
                <w:noProof/>
                <w:sz w:val="24"/>
                <w:szCs w:val="24"/>
              </w:rPr>
            </w:pPr>
            <w:r>
              <w:rPr>
                <w:rFonts w:ascii="Times New Roman" w:hAnsi="Times New Roman"/>
                <w:sz w:val="24"/>
              </w:rPr>
              <w:t>pa parasto tālruni +32 22999696 vai</w:t>
            </w:r>
          </w:p>
          <w:p w14:paraId="208CC1CE" w14:textId="77777777" w:rsidR="004323C0" w:rsidRPr="004323C0" w:rsidRDefault="004323C0">
            <w:pPr>
              <w:pStyle w:val="BodyText"/>
              <w:numPr>
                <w:ilvl w:val="0"/>
                <w:numId w:val="27"/>
              </w:numPr>
              <w:tabs>
                <w:tab w:val="left" w:pos="864"/>
              </w:tabs>
              <w:ind w:left="284" w:hanging="11"/>
              <w:jc w:val="both"/>
              <w:rPr>
                <w:rFonts w:ascii="Times New Roman" w:hAnsi="Times New Roman" w:cs="Times New Roman"/>
                <w:noProof/>
                <w:sz w:val="24"/>
                <w:szCs w:val="24"/>
              </w:rPr>
            </w:pPr>
            <w:r>
              <w:rPr>
                <w:rFonts w:ascii="Times New Roman" w:hAnsi="Times New Roman"/>
                <w:sz w:val="24"/>
              </w:rPr>
              <w:t>pa e-pastu caur https://europa.eu/european-union/contact_en</w:t>
            </w:r>
            <w:r>
              <w:rPr>
                <w:rFonts w:ascii="Times New Roman" w:hAnsi="Times New Roman"/>
                <w:i/>
                <w:iCs/>
                <w:sz w:val="24"/>
              </w:rPr>
              <w:t>.</w:t>
            </w:r>
          </w:p>
          <w:p w14:paraId="52F3CF3B" w14:textId="77777777" w:rsidR="004323C0" w:rsidRPr="004323C0" w:rsidRDefault="004323C0">
            <w:pPr>
              <w:pStyle w:val="BodyText"/>
              <w:jc w:val="both"/>
              <w:rPr>
                <w:rFonts w:ascii="Times New Roman" w:hAnsi="Times New Roman" w:cs="Times New Roman"/>
                <w:noProof/>
                <w:sz w:val="24"/>
                <w:szCs w:val="24"/>
              </w:rPr>
            </w:pPr>
          </w:p>
          <w:p w14:paraId="6E61EAA4"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INFORMĀCIJAS IEGŪŠANA PAR ES</w:t>
            </w:r>
          </w:p>
          <w:p w14:paraId="3D73781C" w14:textId="77777777" w:rsidR="004323C0" w:rsidRPr="004323C0" w:rsidRDefault="004323C0">
            <w:pPr>
              <w:pStyle w:val="BodyText"/>
              <w:jc w:val="both"/>
              <w:rPr>
                <w:rFonts w:ascii="Times New Roman" w:hAnsi="Times New Roman" w:cs="Times New Roman"/>
                <w:b/>
                <w:noProof/>
                <w:sz w:val="24"/>
                <w:szCs w:val="24"/>
              </w:rPr>
            </w:pPr>
          </w:p>
          <w:p w14:paraId="11D39E9F"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Tiešsaistē</w:t>
            </w:r>
          </w:p>
          <w:p w14:paraId="7E78E212" w14:textId="77777777" w:rsidR="004323C0" w:rsidRPr="004323C0" w:rsidRDefault="004323C0">
            <w:pPr>
              <w:pStyle w:val="BodyText"/>
              <w:jc w:val="both"/>
              <w:rPr>
                <w:rFonts w:ascii="Times New Roman" w:hAnsi="Times New Roman" w:cs="Times New Roman"/>
                <w:noProof/>
                <w:sz w:val="24"/>
                <w:szCs w:val="24"/>
              </w:rPr>
            </w:pPr>
            <w:r>
              <w:rPr>
                <w:rFonts w:ascii="Times New Roman" w:hAnsi="Times New Roman"/>
                <w:sz w:val="24"/>
              </w:rPr>
              <w:t>Informācija par Eiropas Savienību visās ES oficiālajās valodās ir pieejama Eiropas tīmekļa vietnē: https://europa.eu/european-union/index_en.</w:t>
            </w:r>
          </w:p>
          <w:p w14:paraId="7E85C219" w14:textId="77777777" w:rsidR="004323C0" w:rsidRPr="004323C0" w:rsidRDefault="004323C0">
            <w:pPr>
              <w:pStyle w:val="BodyText"/>
              <w:jc w:val="both"/>
              <w:rPr>
                <w:rFonts w:ascii="Times New Roman" w:hAnsi="Times New Roman" w:cs="Times New Roman"/>
                <w:noProof/>
                <w:sz w:val="24"/>
                <w:szCs w:val="24"/>
              </w:rPr>
            </w:pPr>
          </w:p>
          <w:p w14:paraId="6C743922"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ES publikācijas</w:t>
            </w:r>
          </w:p>
          <w:p w14:paraId="41C0B786" w14:textId="77777777" w:rsidR="004323C0" w:rsidRPr="004323C0" w:rsidRDefault="004323C0">
            <w:pPr>
              <w:pStyle w:val="BodyText"/>
              <w:jc w:val="both"/>
              <w:rPr>
                <w:rFonts w:ascii="Times New Roman" w:hAnsi="Times New Roman" w:cs="Times New Roman"/>
                <w:noProof/>
                <w:sz w:val="24"/>
                <w:szCs w:val="24"/>
              </w:rPr>
            </w:pPr>
            <w:r>
              <w:rPr>
                <w:rFonts w:ascii="Times New Roman" w:hAnsi="Times New Roman"/>
                <w:sz w:val="24"/>
              </w:rPr>
              <w:t xml:space="preserve">Bezmaksas un maksas ES publikācijas jūs varat lejupielādēt vai pasūtīt šādā tīmekļa vietnē: https://op.europa.eu/en/publications. Bezmaksas publikāciju kopijas lielākā skaitā var iegūt, sazinoties ar </w:t>
            </w:r>
            <w:r>
              <w:rPr>
                <w:rFonts w:ascii="Times New Roman" w:hAnsi="Times New Roman"/>
                <w:i/>
                <w:iCs/>
                <w:sz w:val="24"/>
              </w:rPr>
              <w:t>Europe Direct</w:t>
            </w:r>
            <w:r>
              <w:rPr>
                <w:rFonts w:ascii="Times New Roman" w:hAnsi="Times New Roman"/>
                <w:sz w:val="24"/>
              </w:rPr>
              <w:t xml:space="preserve"> dienestu vai savu vietējo informācijas centru (skat. tīmekļa vietni https://europa.eu/european-union/contact_en).</w:t>
            </w:r>
          </w:p>
          <w:p w14:paraId="194D785B" w14:textId="77777777" w:rsidR="004323C0" w:rsidRPr="004323C0" w:rsidRDefault="004323C0">
            <w:pPr>
              <w:pStyle w:val="BodyText"/>
              <w:jc w:val="both"/>
              <w:rPr>
                <w:rFonts w:ascii="Times New Roman" w:hAnsi="Times New Roman" w:cs="Times New Roman"/>
                <w:noProof/>
                <w:sz w:val="24"/>
                <w:szCs w:val="24"/>
              </w:rPr>
            </w:pPr>
          </w:p>
          <w:p w14:paraId="4C0F0B62"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ES tiesību akti un saistītie dokumenti</w:t>
            </w:r>
          </w:p>
          <w:p w14:paraId="78347DA6" w14:textId="77777777" w:rsidR="004323C0" w:rsidRPr="004323C0" w:rsidRDefault="004323C0">
            <w:pPr>
              <w:pStyle w:val="BodyText"/>
              <w:jc w:val="both"/>
              <w:rPr>
                <w:rFonts w:ascii="Times New Roman" w:hAnsi="Times New Roman" w:cs="Times New Roman"/>
                <w:noProof/>
                <w:sz w:val="24"/>
                <w:szCs w:val="24"/>
              </w:rPr>
            </w:pPr>
            <w:r>
              <w:rPr>
                <w:rFonts w:ascii="Times New Roman" w:hAnsi="Times New Roman"/>
                <w:sz w:val="24"/>
              </w:rPr>
              <w:t>ES juridiskā informācija, tostarp visi ES tiesību akti kopš 1952. gada visās oficiālajās valodās, ir pieejama ES tiesību elektroniskās datubāzes tīmekļa vietnē: http://eur-lex.europa.eu.</w:t>
            </w:r>
          </w:p>
          <w:p w14:paraId="10C53B59" w14:textId="77777777" w:rsidR="004323C0" w:rsidRPr="004323C0" w:rsidRDefault="004323C0">
            <w:pPr>
              <w:pStyle w:val="BodyText"/>
              <w:jc w:val="both"/>
              <w:rPr>
                <w:rFonts w:ascii="Times New Roman" w:hAnsi="Times New Roman" w:cs="Times New Roman"/>
                <w:noProof/>
                <w:sz w:val="24"/>
                <w:szCs w:val="24"/>
              </w:rPr>
            </w:pPr>
          </w:p>
          <w:p w14:paraId="79828A7D" w14:textId="77777777" w:rsidR="004323C0" w:rsidRPr="004323C0" w:rsidRDefault="004323C0">
            <w:pPr>
              <w:jc w:val="both"/>
              <w:rPr>
                <w:rFonts w:ascii="Times New Roman" w:hAnsi="Times New Roman" w:cs="Times New Roman"/>
                <w:b/>
                <w:noProof/>
                <w:sz w:val="24"/>
                <w:szCs w:val="24"/>
              </w:rPr>
            </w:pPr>
            <w:r>
              <w:rPr>
                <w:rFonts w:ascii="Times New Roman" w:hAnsi="Times New Roman"/>
                <w:b/>
                <w:sz w:val="24"/>
              </w:rPr>
              <w:t>ES atvērtie dati</w:t>
            </w:r>
          </w:p>
          <w:p w14:paraId="2007D05A" w14:textId="77777777" w:rsidR="004323C0" w:rsidRPr="004323C0" w:rsidRDefault="004323C0">
            <w:pPr>
              <w:pStyle w:val="BodyText"/>
              <w:jc w:val="both"/>
              <w:rPr>
                <w:rFonts w:ascii="Times New Roman" w:hAnsi="Times New Roman" w:cs="Times New Roman"/>
                <w:noProof/>
                <w:sz w:val="24"/>
                <w:szCs w:val="24"/>
              </w:rPr>
            </w:pPr>
            <w:r>
              <w:rPr>
                <w:rFonts w:ascii="Times New Roman" w:hAnsi="Times New Roman"/>
                <w:sz w:val="24"/>
              </w:rPr>
              <w:t>ES atvērto datu portāls (http://data.europa.eu/euodp/en/data) nodrošina piekļuvi ES datu kopām. Datus var lejuplādēt un izmantot bez maksas komerciāliem un nekomerciāliem nolūkiem.</w:t>
            </w:r>
          </w:p>
        </w:tc>
      </w:tr>
    </w:tbl>
    <w:p w14:paraId="7517FF3C" w14:textId="77777777" w:rsidR="004323C0" w:rsidRPr="004323C0" w:rsidRDefault="004323C0" w:rsidP="004323C0">
      <w:pPr>
        <w:pStyle w:val="BodyText"/>
        <w:jc w:val="both"/>
        <w:rPr>
          <w:rFonts w:ascii="Times New Roman" w:hAnsi="Times New Roman" w:cs="Times New Roman"/>
          <w:noProof/>
          <w:sz w:val="24"/>
          <w:szCs w:val="24"/>
        </w:rPr>
      </w:pPr>
    </w:p>
    <w:p w14:paraId="34A7978F" w14:textId="77777777" w:rsidR="004323C0" w:rsidRPr="004323C0" w:rsidRDefault="004323C0" w:rsidP="004323C0">
      <w:pPr>
        <w:rPr>
          <w:rFonts w:ascii="Times New Roman" w:hAnsi="Times New Roman" w:cs="Times New Roman"/>
          <w:noProof/>
          <w:sz w:val="24"/>
          <w:szCs w:val="24"/>
        </w:rPr>
      </w:pPr>
      <w:r>
        <w:br w:type="page"/>
      </w:r>
    </w:p>
    <w:p w14:paraId="1C6E1F0B" w14:textId="77777777" w:rsidR="004323C0" w:rsidRPr="004323C0" w:rsidRDefault="004323C0" w:rsidP="004323C0">
      <w:pPr>
        <w:pStyle w:val="BodyText"/>
        <w:jc w:val="both"/>
        <w:rPr>
          <w:rFonts w:ascii="Times New Roman" w:hAnsi="Times New Roman" w:cs="Times New Roman"/>
          <w:noProof/>
          <w:sz w:val="24"/>
          <w:szCs w:val="24"/>
        </w:rPr>
      </w:pPr>
    </w:p>
    <w:p w14:paraId="47A9B785" w14:textId="77777777" w:rsidR="004323C0" w:rsidRPr="004323C0" w:rsidRDefault="004323C0" w:rsidP="004323C0">
      <w:pPr>
        <w:jc w:val="both"/>
        <w:rPr>
          <w:rFonts w:ascii="Times New Roman" w:hAnsi="Times New Roman" w:cs="Times New Roman"/>
          <w:noProof/>
          <w:sz w:val="24"/>
          <w:szCs w:val="24"/>
        </w:rPr>
      </w:pPr>
    </w:p>
    <w:p w14:paraId="54F250F1" w14:textId="77777777" w:rsidR="004323C0" w:rsidRPr="004323C0" w:rsidRDefault="004323C0" w:rsidP="004323C0">
      <w:pPr>
        <w:pStyle w:val="BodyText"/>
        <w:jc w:val="both"/>
        <w:rPr>
          <w:rFonts w:ascii="Times New Roman" w:hAnsi="Times New Roman" w:cs="Times New Roman"/>
          <w:noProof/>
          <w:sz w:val="24"/>
          <w:szCs w:val="24"/>
        </w:rPr>
      </w:pPr>
    </w:p>
    <w:p w14:paraId="6F180F68" w14:textId="77777777" w:rsidR="004323C0" w:rsidRPr="004323C0" w:rsidRDefault="004323C0" w:rsidP="004323C0">
      <w:pPr>
        <w:pStyle w:val="BodyText"/>
        <w:jc w:val="both"/>
        <w:rPr>
          <w:rFonts w:ascii="Times New Roman" w:hAnsi="Times New Roman" w:cs="Times New Roman"/>
          <w:noProof/>
          <w:sz w:val="24"/>
          <w:szCs w:val="24"/>
        </w:rPr>
      </w:pPr>
    </w:p>
    <w:p w14:paraId="0913EB2A" w14:textId="77777777" w:rsidR="004323C0" w:rsidRPr="004323C0" w:rsidRDefault="004323C0" w:rsidP="004323C0">
      <w:pPr>
        <w:pStyle w:val="BodyText"/>
        <w:jc w:val="both"/>
        <w:rPr>
          <w:rFonts w:ascii="Times New Roman" w:hAnsi="Times New Roman" w:cs="Times New Roman"/>
          <w:noProof/>
          <w:sz w:val="24"/>
          <w:szCs w:val="24"/>
        </w:rPr>
      </w:pPr>
    </w:p>
    <w:p w14:paraId="5C3170C4" w14:textId="77777777" w:rsidR="004323C0" w:rsidRPr="004323C0" w:rsidRDefault="004323C0" w:rsidP="004323C0">
      <w:pPr>
        <w:jc w:val="both"/>
        <w:rPr>
          <w:rFonts w:ascii="Times New Roman" w:hAnsi="Times New Roman" w:cs="Times New Roman"/>
          <w:b/>
          <w:noProof/>
          <w:sz w:val="28"/>
          <w:szCs w:val="28"/>
        </w:rPr>
      </w:pPr>
      <w:r>
        <w:rPr>
          <w:rFonts w:ascii="Times New Roman" w:hAnsi="Times New Roman"/>
          <w:b/>
          <w:sz w:val="28"/>
        </w:rPr>
        <w:t>Rokasgrāmata Eiropas uzņēmējdarbības statistikas apkopotājiem par globālajām vērtību ķēdēm</w:t>
      </w:r>
    </w:p>
    <w:p w14:paraId="6FBFE61E" w14:textId="77777777" w:rsidR="004323C0" w:rsidRPr="004323C0" w:rsidRDefault="004323C0" w:rsidP="004323C0">
      <w:pPr>
        <w:jc w:val="both"/>
        <w:rPr>
          <w:rFonts w:ascii="Times New Roman" w:hAnsi="Times New Roman" w:cs="Times New Roman"/>
          <w:i/>
          <w:noProof/>
          <w:sz w:val="24"/>
          <w:szCs w:val="24"/>
        </w:rPr>
      </w:pPr>
    </w:p>
    <w:p w14:paraId="2FEC01B7" w14:textId="77777777" w:rsidR="004323C0" w:rsidRPr="004323C0" w:rsidRDefault="004323C0" w:rsidP="004323C0">
      <w:pPr>
        <w:jc w:val="both"/>
        <w:rPr>
          <w:rFonts w:ascii="Times New Roman" w:hAnsi="Times New Roman" w:cs="Times New Roman"/>
          <w:i/>
          <w:noProof/>
          <w:sz w:val="24"/>
          <w:szCs w:val="24"/>
        </w:rPr>
      </w:pPr>
      <w:r>
        <w:rPr>
          <w:rFonts w:ascii="Times New Roman" w:hAnsi="Times New Roman"/>
          <w:i/>
          <w:sz w:val="24"/>
        </w:rPr>
        <w:t>Šīs publikācijas mērķis ir sniegt Eiropas statistikas apkopotājiem par globālajām vērtību ķēdēm (GVĶ) skaidrojumus par to, kā piemērot ES tiesību normas. Rokasgrāmata, kurā sniegti konkrēti piemēri, skaidrs formulējums un definīcijas, ir paredzēta kā praktisks atsauces dokuments tām valstu statistikas iestādēm, kas nodarbojas ar Eiropas GVĶ statistikas apkopošanu.</w:t>
      </w:r>
    </w:p>
    <w:p w14:paraId="0C0A83DA" w14:textId="77777777" w:rsidR="004323C0" w:rsidRPr="004323C0" w:rsidRDefault="004323C0" w:rsidP="004323C0">
      <w:pPr>
        <w:pStyle w:val="BodyText"/>
        <w:jc w:val="both"/>
        <w:rPr>
          <w:rFonts w:ascii="Times New Roman" w:hAnsi="Times New Roman" w:cs="Times New Roman"/>
          <w:noProof/>
          <w:sz w:val="24"/>
          <w:szCs w:val="24"/>
        </w:rPr>
      </w:pPr>
    </w:p>
    <w:p w14:paraId="0A7108C8" w14:textId="77777777" w:rsidR="004323C0" w:rsidRPr="004323C0" w:rsidRDefault="004323C0" w:rsidP="004323C0">
      <w:pPr>
        <w:pStyle w:val="BodyText"/>
        <w:jc w:val="both"/>
        <w:rPr>
          <w:rFonts w:ascii="Times New Roman" w:hAnsi="Times New Roman" w:cs="Times New Roman"/>
          <w:noProof/>
          <w:sz w:val="24"/>
          <w:szCs w:val="24"/>
        </w:rPr>
      </w:pPr>
    </w:p>
    <w:p w14:paraId="2D6A982E" w14:textId="77777777" w:rsidR="004323C0" w:rsidRPr="004323C0" w:rsidRDefault="004323C0" w:rsidP="004323C0">
      <w:pPr>
        <w:jc w:val="both"/>
        <w:rPr>
          <w:rFonts w:ascii="Times New Roman" w:hAnsi="Times New Roman" w:cs="Times New Roman"/>
          <w:b/>
          <w:noProof/>
          <w:sz w:val="24"/>
          <w:szCs w:val="24"/>
        </w:rPr>
      </w:pPr>
      <w:r>
        <w:rPr>
          <w:rFonts w:ascii="Times New Roman" w:hAnsi="Times New Roman"/>
          <w:b/>
          <w:sz w:val="24"/>
        </w:rPr>
        <w:t>Plašāka informācija ir pieejama</w:t>
      </w:r>
    </w:p>
    <w:p w14:paraId="6D5CE70A" w14:textId="77777777" w:rsidR="004323C0" w:rsidRPr="004323C0" w:rsidRDefault="004323C0" w:rsidP="004323C0">
      <w:pPr>
        <w:jc w:val="both"/>
        <w:rPr>
          <w:rFonts w:ascii="Times New Roman" w:hAnsi="Times New Roman" w:cs="Times New Roman"/>
          <w:b/>
          <w:noProof/>
          <w:sz w:val="24"/>
          <w:szCs w:val="24"/>
        </w:rPr>
      </w:pPr>
      <w:r>
        <w:rPr>
          <w:rFonts w:ascii="Times New Roman" w:hAnsi="Times New Roman"/>
          <w:b/>
          <w:sz w:val="24"/>
        </w:rPr>
        <w:t>https://ec.europa.eu/eurostat/</w:t>
      </w:r>
    </w:p>
    <w:sectPr w:rsidR="004323C0" w:rsidRPr="004323C0" w:rsidSect="00B0710E">
      <w:headerReference w:type="default" r:id="rId21"/>
      <w:footerReference w:type="default" r:id="rId22"/>
      <w:headerReference w:type="first" r:id="rId23"/>
      <w:footerReference w:type="first" r:id="rId2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914E" w14:textId="77777777" w:rsidR="00494976" w:rsidRPr="004323C0" w:rsidRDefault="00494976">
      <w:pPr>
        <w:rPr>
          <w:noProof/>
        </w:rPr>
      </w:pPr>
      <w:r w:rsidRPr="004323C0">
        <w:rPr>
          <w:noProof/>
        </w:rPr>
        <w:separator/>
      </w:r>
    </w:p>
  </w:endnote>
  <w:endnote w:type="continuationSeparator" w:id="0">
    <w:p w14:paraId="016E14CC" w14:textId="77777777" w:rsidR="00494976" w:rsidRPr="004323C0" w:rsidRDefault="00494976">
      <w:pPr>
        <w:rPr>
          <w:noProof/>
        </w:rPr>
      </w:pPr>
      <w:r w:rsidRPr="004323C0">
        <w:rPr>
          <w:noProof/>
        </w:rPr>
        <w:continuationSeparator/>
      </w:r>
    </w:p>
  </w:endnote>
  <w:endnote w:type="continuationNotice" w:id="1">
    <w:p w14:paraId="347C45FD" w14:textId="77777777" w:rsidR="00494976" w:rsidRDefault="00494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84E2" w14:textId="409F8D90" w:rsidR="005B391A" w:rsidRPr="009C04EC" w:rsidRDefault="005B391A" w:rsidP="005B391A">
    <w:pPr>
      <w:pStyle w:val="Header"/>
      <w:tabs>
        <w:tab w:val="left" w:pos="9072"/>
      </w:tabs>
      <w:rPr>
        <w:rStyle w:val="PageNumber"/>
        <w:rFonts w:ascii="Times New Roman" w:hAnsi="Times New Roman" w:cs="Times New Roman"/>
        <w:noProof/>
        <w:sz w:val="20"/>
        <w:szCs w:val="20"/>
        <w:u w:val="single"/>
        <w:lang w:val="en-US"/>
      </w:rPr>
    </w:pPr>
  </w:p>
  <w:p w14:paraId="10B7A760" w14:textId="77777777" w:rsidR="005B391A" w:rsidRPr="009C04EC" w:rsidRDefault="005B391A" w:rsidP="005B391A">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09CB61C" w14:textId="77777777" w:rsidR="005B391A" w:rsidRPr="009C04EC" w:rsidRDefault="005B391A" w:rsidP="005B391A">
    <w:pPr>
      <w:pStyle w:val="Header"/>
      <w:tabs>
        <w:tab w:val="right" w:pos="9072"/>
      </w:tabs>
      <w:rPr>
        <w:rStyle w:val="PageNumber"/>
        <w:rFonts w:ascii="Times New Roman" w:hAnsi="Times New Roman" w:cs="Times New Roman"/>
        <w:noProof/>
        <w:sz w:val="20"/>
        <w:szCs w:val="20"/>
        <w:u w:val="single"/>
        <w:lang w:val="en-US"/>
      </w:rPr>
    </w:pPr>
  </w:p>
  <w:p w14:paraId="409DA0DA" w14:textId="5C0942B1" w:rsidR="005B391A" w:rsidRPr="005B391A" w:rsidRDefault="005B391A" w:rsidP="005B391A">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p w14:paraId="3B1761DE" w14:textId="77777777" w:rsidR="00B02A11" w:rsidRDefault="00B02A1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B230" w14:textId="77777777" w:rsidR="00F5579E" w:rsidRPr="00A678C6" w:rsidRDefault="00F5579E" w:rsidP="00F5579E">
    <w:pPr>
      <w:tabs>
        <w:tab w:val="right" w:pos="9072"/>
      </w:tabs>
      <w:rPr>
        <w:rFonts w:ascii="Times New Roman" w:hAnsi="Times New Roman" w:cs="Times New Roman"/>
        <w:noProof/>
        <w:sz w:val="20"/>
        <w:szCs w:val="20"/>
        <w:u w:val="single"/>
        <w:lang w:val="en-US"/>
      </w:rPr>
    </w:pPr>
    <w:r w:rsidRPr="00A678C6">
      <w:rPr>
        <w:rFonts w:ascii="Times New Roman" w:hAnsi="Times New Roman" w:cs="Times New Roman"/>
        <w:noProof/>
        <w:sz w:val="20"/>
        <w:szCs w:val="20"/>
        <w:u w:val="single"/>
        <w:lang w:val="en-US"/>
      </w:rPr>
      <w:tab/>
    </w:r>
  </w:p>
  <w:p w14:paraId="28FBB222" w14:textId="77777777" w:rsidR="00F5579E" w:rsidRPr="00A678C6" w:rsidRDefault="00F5579E" w:rsidP="00F5579E">
    <w:pPr>
      <w:tabs>
        <w:tab w:val="center" w:pos="4153"/>
        <w:tab w:val="right" w:pos="8306"/>
        <w:tab w:val="left" w:pos="9072"/>
      </w:tabs>
      <w:rPr>
        <w:rFonts w:ascii="Times New Roman" w:hAnsi="Times New Roman" w:cs="Times New Roman"/>
        <w:noProof/>
        <w:sz w:val="20"/>
        <w:szCs w:val="20"/>
        <w:u w:val="single"/>
        <w:lang w:val="en-US"/>
      </w:rPr>
    </w:pPr>
  </w:p>
  <w:p w14:paraId="3F737841" w14:textId="4ACFB91F" w:rsidR="004323C0" w:rsidRPr="00F5579E" w:rsidRDefault="00F5579E" w:rsidP="00F5579E">
    <w:pPr>
      <w:tabs>
        <w:tab w:val="center" w:pos="4153"/>
        <w:tab w:val="right" w:pos="8306"/>
      </w:tabs>
      <w:rPr>
        <w:rFonts w:ascii="Times New Roman" w:hAnsi="Times New Roman" w:cs="Times New Roman"/>
        <w:noProof/>
        <w:sz w:val="20"/>
        <w:szCs w:val="20"/>
        <w:lang w:val="en-US"/>
      </w:rPr>
    </w:pPr>
    <w:r w:rsidRPr="00A678C6">
      <w:rPr>
        <w:rFonts w:ascii="Times New Roman" w:hAnsi="Times New Roman" w:cs="Times New Roman"/>
        <w:noProof/>
        <w:sz w:val="20"/>
        <w:szCs w:val="20"/>
        <w:lang w:val="en-US"/>
      </w:rPr>
      <w:t xml:space="preserve">Tulkojums </w:t>
    </w:r>
    <w:r w:rsidRPr="00A678C6">
      <w:rPr>
        <w:rFonts w:ascii="Times New Roman" w:hAnsi="Times New Roman" w:cs="Times New Roman"/>
        <w:noProof/>
        <w:sz w:val="20"/>
        <w:szCs w:val="20"/>
        <w:lang w:val="en-US"/>
      </w:rPr>
      <w:fldChar w:fldCharType="begin"/>
    </w:r>
    <w:r w:rsidRPr="00A678C6">
      <w:rPr>
        <w:rFonts w:ascii="Times New Roman" w:hAnsi="Times New Roman" w:cs="Times New Roman"/>
        <w:noProof/>
        <w:sz w:val="20"/>
        <w:szCs w:val="20"/>
        <w:lang w:val="en-US"/>
      </w:rPr>
      <w:instrText>symbol 211 \f "Symbol" \s 9</w:instrText>
    </w:r>
    <w:r w:rsidRPr="00A678C6">
      <w:rPr>
        <w:rFonts w:ascii="Times New Roman" w:hAnsi="Times New Roman" w:cs="Times New Roman"/>
        <w:noProof/>
        <w:sz w:val="20"/>
        <w:szCs w:val="20"/>
        <w:lang w:val="en-US"/>
      </w:rPr>
      <w:fldChar w:fldCharType="separate"/>
    </w:r>
    <w:r w:rsidRPr="00A678C6">
      <w:rPr>
        <w:rFonts w:ascii="Times New Roman" w:hAnsi="Times New Roman" w:cs="Times New Roman"/>
        <w:noProof/>
        <w:sz w:val="20"/>
        <w:szCs w:val="20"/>
        <w:lang w:val="en-US"/>
      </w:rPr>
      <w:t>Ó</w:t>
    </w:r>
    <w:r w:rsidRPr="00A678C6">
      <w:rPr>
        <w:rFonts w:ascii="Times New Roman" w:hAnsi="Times New Roman" w:cs="Times New Roman"/>
        <w:noProof/>
        <w:sz w:val="20"/>
        <w:szCs w:val="20"/>
        <w:lang w:val="en-US"/>
      </w:rPr>
      <w:fldChar w:fldCharType="end"/>
    </w:r>
    <w:r w:rsidRPr="00A678C6">
      <w:rPr>
        <w:rFonts w:ascii="Times New Roman" w:hAnsi="Times New Roman" w:cs="Times New Roman"/>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05A1" w14:textId="77777777" w:rsidR="00494976" w:rsidRPr="004323C0" w:rsidRDefault="00494976">
      <w:pPr>
        <w:rPr>
          <w:noProof/>
        </w:rPr>
      </w:pPr>
      <w:r w:rsidRPr="004323C0">
        <w:rPr>
          <w:noProof/>
        </w:rPr>
        <w:separator/>
      </w:r>
    </w:p>
  </w:footnote>
  <w:footnote w:type="continuationSeparator" w:id="0">
    <w:p w14:paraId="0D1CE5C9" w14:textId="77777777" w:rsidR="00494976" w:rsidRPr="004323C0" w:rsidRDefault="00494976">
      <w:pPr>
        <w:rPr>
          <w:noProof/>
        </w:rPr>
      </w:pPr>
      <w:r w:rsidRPr="004323C0">
        <w:rPr>
          <w:noProof/>
        </w:rPr>
        <w:continuationSeparator/>
      </w:r>
    </w:p>
  </w:footnote>
  <w:footnote w:type="continuationNotice" w:id="1">
    <w:p w14:paraId="53F0AA66" w14:textId="77777777" w:rsidR="00494976" w:rsidRDefault="00494976"/>
  </w:footnote>
  <w:footnote w:id="2">
    <w:p w14:paraId="2DC0F9AD" w14:textId="77777777" w:rsidR="004323C0" w:rsidRPr="004323C0" w:rsidRDefault="004323C0" w:rsidP="004323C0">
      <w:pPr>
        <w:jc w:val="both"/>
        <w:rPr>
          <w:rFonts w:ascii="Times New Roman" w:hAnsi="Times New Roman" w:cs="Times New Roman"/>
          <w:noProof/>
          <w:sz w:val="20"/>
          <w:szCs w:val="20"/>
        </w:rPr>
      </w:pPr>
      <w:r>
        <w:rPr>
          <w:rStyle w:val="FootnoteReference"/>
          <w:noProof/>
        </w:rPr>
        <w:footnoteRef/>
      </w:r>
      <w:r>
        <w:t> </w:t>
      </w:r>
      <w:r>
        <w:rPr>
          <w:rFonts w:ascii="Times New Roman" w:hAnsi="Times New Roman"/>
          <w:sz w:val="20"/>
        </w:rPr>
        <w:t xml:space="preserve">Skat. </w:t>
      </w:r>
      <w:r>
        <w:rPr>
          <w:rFonts w:ascii="Times New Roman" w:hAnsi="Times New Roman"/>
          <w:color w:val="0066FF"/>
          <w:sz w:val="20"/>
        </w:rPr>
        <w:t>Eiropas uzņēmējdarbības statistikas rokasgrāmatas</w:t>
      </w:r>
      <w:r>
        <w:rPr>
          <w:rFonts w:ascii="Times New Roman" w:hAnsi="Times New Roman"/>
          <w:sz w:val="20"/>
        </w:rPr>
        <w:t xml:space="preserve"> 2.4. nodaļu.</w:t>
      </w:r>
    </w:p>
  </w:footnote>
  <w:footnote w:id="3">
    <w:p w14:paraId="5F372668" w14:textId="77777777" w:rsidR="004323C0" w:rsidRPr="004323C0" w:rsidRDefault="004323C0" w:rsidP="004323C0">
      <w:pPr>
        <w:pStyle w:val="FootnoteText"/>
        <w:rPr>
          <w:noProof/>
        </w:rPr>
      </w:pPr>
      <w:r>
        <w:rPr>
          <w:rStyle w:val="FootnoteReference"/>
          <w:noProof/>
        </w:rPr>
        <w:footnoteRef/>
      </w:r>
      <w:r>
        <w:t> </w:t>
      </w:r>
      <w:r>
        <w:rPr>
          <w:rFonts w:ascii="Times New Roman" w:hAnsi="Times New Roman"/>
        </w:rPr>
        <w:t>Šīs kategorijas nozīme mainās atkarībā no jautājuma. Ja jautājums ietver Apvienoto Karalisti kā atsevišķu kategoriju, tad to neiekļauj kategorijā “citas Eiropas valstis”. Ja jautājums neietver Apvienoto Karalisti kā atsevišķu kategoriju, tad to iekļauj kategorijā “citas Eiropas valstis”.</w:t>
      </w:r>
    </w:p>
  </w:footnote>
  <w:footnote w:id="4">
    <w:p w14:paraId="61C94556" w14:textId="77777777" w:rsidR="004323C0" w:rsidRPr="004323C0" w:rsidRDefault="004323C0" w:rsidP="004323C0">
      <w:pPr>
        <w:pStyle w:val="FootnoteText"/>
        <w:rPr>
          <w:noProof/>
        </w:rPr>
      </w:pPr>
      <w:r>
        <w:rPr>
          <w:rStyle w:val="FootnoteReference"/>
          <w:noProof/>
        </w:rPr>
        <w:footnoteRef/>
      </w:r>
      <w:r>
        <w:t> </w:t>
      </w:r>
      <w:r>
        <w:rPr>
          <w:rFonts w:ascii="Times New Roman" w:hAnsi="Times New Roman"/>
        </w:rPr>
        <w:t>Tas attiecas uz uzņēmumu, kas ir apsekojuma respondents.</w:t>
      </w:r>
    </w:p>
  </w:footnote>
  <w:footnote w:id="5">
    <w:p w14:paraId="0175E11E" w14:textId="77777777" w:rsidR="004323C0" w:rsidRPr="004323C0" w:rsidRDefault="004323C0" w:rsidP="004323C0">
      <w:pPr>
        <w:jc w:val="both"/>
        <w:rPr>
          <w:rFonts w:ascii="Times New Roman" w:hAnsi="Times New Roman" w:cs="Times New Roman"/>
          <w:noProof/>
          <w:sz w:val="20"/>
          <w:szCs w:val="20"/>
        </w:rPr>
      </w:pPr>
      <w:r>
        <w:rPr>
          <w:rStyle w:val="FootnoteReference"/>
          <w:noProof/>
        </w:rPr>
        <w:footnoteRef/>
      </w:r>
      <w:r>
        <w:t> </w:t>
      </w:r>
      <w:r>
        <w:rPr>
          <w:rFonts w:ascii="Times New Roman" w:hAnsi="Times New Roman"/>
          <w:sz w:val="20"/>
        </w:rPr>
        <w:t xml:space="preserve">Vairāk informācijas var atrast </w:t>
      </w:r>
      <w:r>
        <w:rPr>
          <w:rFonts w:ascii="Times New Roman" w:hAnsi="Times New Roman"/>
          <w:i/>
          <w:iCs/>
          <w:sz w:val="20"/>
        </w:rPr>
        <w:t>Statistics Explained</w:t>
      </w:r>
      <w:r>
        <w:rPr>
          <w:rFonts w:ascii="Times New Roman" w:hAnsi="Times New Roman"/>
          <w:sz w:val="20"/>
        </w:rPr>
        <w:t xml:space="preserve"> rakstā “European business statistics manual – statistical units” [</w:t>
      </w:r>
      <w:r>
        <w:rPr>
          <w:rFonts w:ascii="Times New Roman" w:hAnsi="Times New Roman"/>
          <w:color w:val="0066FF"/>
          <w:sz w:val="20"/>
        </w:rPr>
        <w:t>Eiropas uzņēmējdarbības statistikas rokasgrāmata. Statistikas vienības</w:t>
      </w:r>
      <w:r>
        <w:rPr>
          <w:rFonts w:ascii="Times New Roman" w:hAnsi="Times New Roman"/>
          <w:sz w:val="20"/>
        </w:rPr>
        <w:t>].</w:t>
      </w:r>
    </w:p>
  </w:footnote>
  <w:footnote w:id="6">
    <w:p w14:paraId="2249EC74" w14:textId="77777777" w:rsidR="004323C0" w:rsidRPr="004323C0" w:rsidRDefault="004323C0" w:rsidP="004323C0">
      <w:pPr>
        <w:pStyle w:val="FootnoteText"/>
        <w:rPr>
          <w:noProof/>
        </w:rPr>
      </w:pPr>
      <w:r>
        <w:rPr>
          <w:rStyle w:val="FootnoteReference"/>
          <w:noProof/>
        </w:rPr>
        <w:footnoteRef/>
      </w:r>
      <w:r>
        <w:t> </w:t>
      </w:r>
      <w:r>
        <w:rPr>
          <w:rFonts w:ascii="Times New Roman" w:hAnsi="Times New Roman"/>
        </w:rPr>
        <w:t>Padomes 1993. gada 15. marta Regula (EEK) Nr. 696/93 par statistikas vienībām (SV), II C pielikuma 4. paskaidrojums.</w:t>
      </w:r>
    </w:p>
  </w:footnote>
  <w:footnote w:id="7">
    <w:p w14:paraId="0900EC98" w14:textId="77777777" w:rsidR="004323C0" w:rsidRPr="004323C0" w:rsidRDefault="004323C0" w:rsidP="004323C0">
      <w:pPr>
        <w:jc w:val="both"/>
        <w:rPr>
          <w:rFonts w:ascii="Times New Roman" w:hAnsi="Times New Roman" w:cs="Times New Roman"/>
          <w:noProof/>
          <w:sz w:val="20"/>
          <w:szCs w:val="20"/>
        </w:rPr>
      </w:pPr>
      <w:r>
        <w:rPr>
          <w:rStyle w:val="FootnoteReference"/>
          <w:noProof/>
        </w:rPr>
        <w:footnoteRef/>
      </w:r>
      <w:r>
        <w:t> </w:t>
      </w:r>
      <w:r>
        <w:rPr>
          <w:rFonts w:ascii="Times New Roman" w:hAnsi="Times New Roman"/>
          <w:sz w:val="20"/>
        </w:rPr>
        <w:t>Šis ir tas pats mainīgais lielums, kas ir iepriekšējais mainīgais lielums V16110 (nodarbinātās personas), kurš izmantots gan SUR, gan iepriekšējos starptautiskās sagādes apsekojumos. Vienīgās izmaiņas veiktas mainīgā lieluma nosaukumā.</w:t>
      </w:r>
    </w:p>
  </w:footnote>
  <w:footnote w:id="8">
    <w:p w14:paraId="03814905" w14:textId="77777777" w:rsidR="004323C0" w:rsidRPr="004323C0" w:rsidRDefault="004323C0" w:rsidP="004323C0">
      <w:pPr>
        <w:pStyle w:val="FootnoteText"/>
        <w:rPr>
          <w:noProof/>
        </w:rPr>
      </w:pPr>
      <w:r>
        <w:rPr>
          <w:rStyle w:val="FootnoteReference"/>
          <w:noProof/>
        </w:rPr>
        <w:footnoteRef/>
      </w:r>
      <w:r>
        <w:t> </w:t>
      </w:r>
      <w:r>
        <w:rPr>
          <w:rFonts w:ascii="Times New Roman" w:hAnsi="Times New Roman"/>
        </w:rPr>
        <w:t>Pilnīgi dati ir objektīvi dati, kurus var pārbaudīt (t. i., to pareizību var pierādīt un/vai tos var atrast uzņēmuma grāmatvedības uzskaitē vai citā dokumentācijā).</w:t>
      </w:r>
    </w:p>
  </w:footnote>
  <w:footnote w:id="9">
    <w:p w14:paraId="11DAECB8" w14:textId="77777777" w:rsidR="004323C0" w:rsidRPr="004323C0" w:rsidRDefault="004323C0" w:rsidP="004323C0">
      <w:pPr>
        <w:pStyle w:val="FootnoteText"/>
        <w:rPr>
          <w:noProof/>
        </w:rPr>
      </w:pPr>
      <w:r>
        <w:rPr>
          <w:rStyle w:val="FootnoteReference"/>
          <w:noProof/>
        </w:rPr>
        <w:footnoteRef/>
      </w:r>
      <w:r>
        <w:t> </w:t>
      </w:r>
      <w:r>
        <w:rPr>
          <w:rFonts w:ascii="Times New Roman" w:hAnsi="Times New Roman"/>
        </w:rPr>
        <w:t>Netiešie dati ir subjektīvi dati, kurus nevar faktiski pārbaudīt (piemēram, respondentu motivācija, nodomi un viedokļi).</w:t>
      </w:r>
    </w:p>
  </w:footnote>
  <w:footnote w:id="10">
    <w:p w14:paraId="16B80AE7" w14:textId="77777777" w:rsidR="004323C0" w:rsidRPr="004323C0" w:rsidRDefault="004323C0" w:rsidP="004323C0">
      <w:pPr>
        <w:pStyle w:val="FootnoteText"/>
        <w:rPr>
          <w:noProof/>
        </w:rPr>
      </w:pPr>
      <w:r>
        <w:rPr>
          <w:rStyle w:val="FootnoteReference"/>
          <w:noProof/>
        </w:rPr>
        <w:footnoteRef/>
      </w:r>
      <w:r>
        <w:t> </w:t>
      </w:r>
      <w:r>
        <w:rPr>
          <w:rFonts w:ascii="Times New Roman" w:hAnsi="Times New Roman"/>
        </w:rPr>
        <w:t>Šis saīsinājums nozīmē “Komunikācijas un informācijas resursu centrs valsts pārvaldei, uzņēmumiem un pilsoņiem”.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DBE2" w14:textId="77777777" w:rsidR="003916E1" w:rsidRPr="009C04EC" w:rsidRDefault="003916E1" w:rsidP="003916E1">
    <w:pPr>
      <w:pStyle w:val="Header"/>
      <w:rPr>
        <w:rStyle w:val="PageNumber"/>
        <w:noProof/>
        <w:sz w:val="18"/>
        <w:szCs w:val="18"/>
        <w:u w:val="single"/>
        <w:lang w:val="en-US"/>
      </w:rPr>
    </w:pPr>
  </w:p>
  <w:p w14:paraId="36EA3DA6" w14:textId="77777777" w:rsidR="003916E1" w:rsidRPr="009C04EC" w:rsidRDefault="003916E1" w:rsidP="003916E1">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534BED42" w14:textId="77777777" w:rsidR="003916E1" w:rsidRPr="00EF1EB5" w:rsidRDefault="003916E1" w:rsidP="003916E1">
    <w:pPr>
      <w:pStyle w:val="Header"/>
    </w:pPr>
  </w:p>
  <w:p w14:paraId="3B1761DD" w14:textId="77777777" w:rsidR="00B02A11" w:rsidRDefault="00B02A1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46C8" w14:textId="77777777" w:rsidR="00CE269A" w:rsidRPr="009C04EC" w:rsidRDefault="00CE269A" w:rsidP="00CE269A">
    <w:pPr>
      <w:pStyle w:val="Header"/>
      <w:pBdr>
        <w:bottom w:val="single" w:sz="12" w:space="1" w:color="auto"/>
      </w:pBdr>
      <w:rPr>
        <w:noProof/>
        <w:sz w:val="18"/>
        <w:szCs w:val="18"/>
        <w:lang w:val="en-US"/>
      </w:rPr>
    </w:pPr>
  </w:p>
  <w:p w14:paraId="5B10E1CB" w14:textId="77777777" w:rsidR="004323C0" w:rsidRDefault="00432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AFCA1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75pt;visibility:visible" o:bullet="t">
        <v:imagedata r:id="rId1" o:title=""/>
        <o:lock v:ext="edit" aspectratio="f"/>
      </v:shape>
    </w:pict>
  </w:numPicBullet>
  <w:abstractNum w:abstractNumId="0" w15:restartNumberingAfterBreak="0">
    <w:nsid w:val="01C50A84"/>
    <w:multiLevelType w:val="hybridMultilevel"/>
    <w:tmpl w:val="1C7E70CA"/>
    <w:lvl w:ilvl="0" w:tplc="640CB520">
      <w:numFmt w:val="bullet"/>
      <w:lvlText w:val="o"/>
      <w:lvlJc w:val="left"/>
      <w:pPr>
        <w:ind w:left="2421" w:hanging="361"/>
      </w:pPr>
      <w:rPr>
        <w:rFonts w:ascii="Courier New" w:eastAsia="Courier New" w:hAnsi="Courier New" w:cs="Courier New" w:hint="default"/>
        <w:b w:val="0"/>
        <w:bCs w:val="0"/>
        <w:i w:val="0"/>
        <w:iCs w:val="0"/>
        <w:spacing w:val="0"/>
        <w:w w:val="99"/>
        <w:position w:val="1"/>
        <w:sz w:val="19"/>
        <w:szCs w:val="19"/>
        <w:lang w:val="en-US" w:eastAsia="en-US" w:bidi="ar-SA"/>
      </w:rPr>
    </w:lvl>
    <w:lvl w:ilvl="1" w:tplc="03287DBE">
      <w:numFmt w:val="bullet"/>
      <w:lvlText w:val="•"/>
      <w:lvlJc w:val="left"/>
      <w:pPr>
        <w:ind w:left="3367" w:hanging="361"/>
      </w:pPr>
      <w:rPr>
        <w:rFonts w:hint="default"/>
        <w:lang w:val="en-US" w:eastAsia="en-US" w:bidi="ar-SA"/>
      </w:rPr>
    </w:lvl>
    <w:lvl w:ilvl="2" w:tplc="4DFE8B7A">
      <w:numFmt w:val="bullet"/>
      <w:lvlText w:val="•"/>
      <w:lvlJc w:val="left"/>
      <w:pPr>
        <w:ind w:left="4315" w:hanging="361"/>
      </w:pPr>
      <w:rPr>
        <w:rFonts w:hint="default"/>
        <w:lang w:val="en-US" w:eastAsia="en-US" w:bidi="ar-SA"/>
      </w:rPr>
    </w:lvl>
    <w:lvl w:ilvl="3" w:tplc="6D4446E0">
      <w:numFmt w:val="bullet"/>
      <w:lvlText w:val="•"/>
      <w:lvlJc w:val="left"/>
      <w:pPr>
        <w:ind w:left="5263" w:hanging="361"/>
      </w:pPr>
      <w:rPr>
        <w:rFonts w:hint="default"/>
        <w:lang w:val="en-US" w:eastAsia="en-US" w:bidi="ar-SA"/>
      </w:rPr>
    </w:lvl>
    <w:lvl w:ilvl="4" w:tplc="8544FFCC">
      <w:numFmt w:val="bullet"/>
      <w:lvlText w:val="•"/>
      <w:lvlJc w:val="left"/>
      <w:pPr>
        <w:ind w:left="6211" w:hanging="361"/>
      </w:pPr>
      <w:rPr>
        <w:rFonts w:hint="default"/>
        <w:lang w:val="en-US" w:eastAsia="en-US" w:bidi="ar-SA"/>
      </w:rPr>
    </w:lvl>
    <w:lvl w:ilvl="5" w:tplc="E070B93A">
      <w:numFmt w:val="bullet"/>
      <w:lvlText w:val="•"/>
      <w:lvlJc w:val="left"/>
      <w:pPr>
        <w:ind w:left="7159" w:hanging="361"/>
      </w:pPr>
      <w:rPr>
        <w:rFonts w:hint="default"/>
        <w:lang w:val="en-US" w:eastAsia="en-US" w:bidi="ar-SA"/>
      </w:rPr>
    </w:lvl>
    <w:lvl w:ilvl="6" w:tplc="60BA3E7C">
      <w:numFmt w:val="bullet"/>
      <w:lvlText w:val="•"/>
      <w:lvlJc w:val="left"/>
      <w:pPr>
        <w:ind w:left="8107" w:hanging="361"/>
      </w:pPr>
      <w:rPr>
        <w:rFonts w:hint="default"/>
        <w:lang w:val="en-US" w:eastAsia="en-US" w:bidi="ar-SA"/>
      </w:rPr>
    </w:lvl>
    <w:lvl w:ilvl="7" w:tplc="9394150E">
      <w:numFmt w:val="bullet"/>
      <w:lvlText w:val="•"/>
      <w:lvlJc w:val="left"/>
      <w:pPr>
        <w:ind w:left="9055" w:hanging="361"/>
      </w:pPr>
      <w:rPr>
        <w:rFonts w:hint="default"/>
        <w:lang w:val="en-US" w:eastAsia="en-US" w:bidi="ar-SA"/>
      </w:rPr>
    </w:lvl>
    <w:lvl w:ilvl="8" w:tplc="412EE6F0">
      <w:numFmt w:val="bullet"/>
      <w:lvlText w:val="•"/>
      <w:lvlJc w:val="left"/>
      <w:pPr>
        <w:ind w:left="10003" w:hanging="361"/>
      </w:pPr>
      <w:rPr>
        <w:rFonts w:hint="default"/>
        <w:lang w:val="en-US" w:eastAsia="en-US" w:bidi="ar-SA"/>
      </w:rPr>
    </w:lvl>
  </w:abstractNum>
  <w:abstractNum w:abstractNumId="1" w15:restartNumberingAfterBreak="0">
    <w:nsid w:val="0A4B1A98"/>
    <w:multiLevelType w:val="hybridMultilevel"/>
    <w:tmpl w:val="BB70503E"/>
    <w:lvl w:ilvl="0" w:tplc="DAAEE142">
      <w:numFmt w:val="bullet"/>
      <w:lvlText w:val="–"/>
      <w:lvlJc w:val="left"/>
      <w:pPr>
        <w:ind w:left="278" w:hanging="167"/>
      </w:pPr>
      <w:rPr>
        <w:rFonts w:ascii="Arial" w:eastAsia="Arial" w:hAnsi="Arial" w:cs="Arial" w:hint="default"/>
        <w:b w:val="0"/>
        <w:bCs w:val="0"/>
        <w:i w:val="0"/>
        <w:iCs w:val="0"/>
        <w:spacing w:val="0"/>
        <w:w w:val="99"/>
        <w:sz w:val="20"/>
        <w:szCs w:val="20"/>
        <w:lang w:val="en-US" w:eastAsia="en-US" w:bidi="ar-SA"/>
      </w:rPr>
    </w:lvl>
    <w:lvl w:ilvl="1" w:tplc="2C3AFAF4">
      <w:numFmt w:val="bullet"/>
      <w:lvlText w:val="•"/>
      <w:lvlJc w:val="left"/>
      <w:pPr>
        <w:ind w:left="1222" w:hanging="167"/>
      </w:pPr>
      <w:rPr>
        <w:rFonts w:hint="default"/>
        <w:lang w:val="en-US" w:eastAsia="en-US" w:bidi="ar-SA"/>
      </w:rPr>
    </w:lvl>
    <w:lvl w:ilvl="2" w:tplc="0860B484">
      <w:numFmt w:val="bullet"/>
      <w:lvlText w:val="•"/>
      <w:lvlJc w:val="left"/>
      <w:pPr>
        <w:ind w:left="2165" w:hanging="167"/>
      </w:pPr>
      <w:rPr>
        <w:rFonts w:hint="default"/>
        <w:lang w:val="en-US" w:eastAsia="en-US" w:bidi="ar-SA"/>
      </w:rPr>
    </w:lvl>
    <w:lvl w:ilvl="3" w:tplc="A1E080C6">
      <w:numFmt w:val="bullet"/>
      <w:lvlText w:val="•"/>
      <w:lvlJc w:val="left"/>
      <w:pPr>
        <w:ind w:left="3107" w:hanging="167"/>
      </w:pPr>
      <w:rPr>
        <w:rFonts w:hint="default"/>
        <w:lang w:val="en-US" w:eastAsia="en-US" w:bidi="ar-SA"/>
      </w:rPr>
    </w:lvl>
    <w:lvl w:ilvl="4" w:tplc="C00E5D1E">
      <w:numFmt w:val="bullet"/>
      <w:lvlText w:val="•"/>
      <w:lvlJc w:val="left"/>
      <w:pPr>
        <w:ind w:left="4050" w:hanging="167"/>
      </w:pPr>
      <w:rPr>
        <w:rFonts w:hint="default"/>
        <w:lang w:val="en-US" w:eastAsia="en-US" w:bidi="ar-SA"/>
      </w:rPr>
    </w:lvl>
    <w:lvl w:ilvl="5" w:tplc="C19856D8">
      <w:numFmt w:val="bullet"/>
      <w:lvlText w:val="•"/>
      <w:lvlJc w:val="left"/>
      <w:pPr>
        <w:ind w:left="4992" w:hanging="167"/>
      </w:pPr>
      <w:rPr>
        <w:rFonts w:hint="default"/>
        <w:lang w:val="en-US" w:eastAsia="en-US" w:bidi="ar-SA"/>
      </w:rPr>
    </w:lvl>
    <w:lvl w:ilvl="6" w:tplc="244266CE">
      <w:numFmt w:val="bullet"/>
      <w:lvlText w:val="•"/>
      <w:lvlJc w:val="left"/>
      <w:pPr>
        <w:ind w:left="5935" w:hanging="167"/>
      </w:pPr>
      <w:rPr>
        <w:rFonts w:hint="default"/>
        <w:lang w:val="en-US" w:eastAsia="en-US" w:bidi="ar-SA"/>
      </w:rPr>
    </w:lvl>
    <w:lvl w:ilvl="7" w:tplc="7F5A28CC">
      <w:numFmt w:val="bullet"/>
      <w:lvlText w:val="•"/>
      <w:lvlJc w:val="left"/>
      <w:pPr>
        <w:ind w:left="6877" w:hanging="167"/>
      </w:pPr>
      <w:rPr>
        <w:rFonts w:hint="default"/>
        <w:lang w:val="en-US" w:eastAsia="en-US" w:bidi="ar-SA"/>
      </w:rPr>
    </w:lvl>
    <w:lvl w:ilvl="8" w:tplc="7C184654">
      <w:numFmt w:val="bullet"/>
      <w:lvlText w:val="•"/>
      <w:lvlJc w:val="left"/>
      <w:pPr>
        <w:ind w:left="7820" w:hanging="167"/>
      </w:pPr>
      <w:rPr>
        <w:rFonts w:hint="default"/>
        <w:lang w:val="en-US" w:eastAsia="en-US" w:bidi="ar-SA"/>
      </w:rPr>
    </w:lvl>
  </w:abstractNum>
  <w:abstractNum w:abstractNumId="2" w15:restartNumberingAfterBreak="0">
    <w:nsid w:val="0F7666D3"/>
    <w:multiLevelType w:val="hybridMultilevel"/>
    <w:tmpl w:val="F96640EC"/>
    <w:lvl w:ilvl="0" w:tplc="2E8C2F44">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C30AD9BA">
      <w:numFmt w:val="bullet"/>
      <w:lvlText w:val="•"/>
      <w:lvlJc w:val="left"/>
      <w:pPr>
        <w:ind w:left="1727" w:hanging="361"/>
      </w:pPr>
      <w:rPr>
        <w:rFonts w:hint="default"/>
        <w:lang w:val="en-US" w:eastAsia="en-US" w:bidi="ar-SA"/>
      </w:rPr>
    </w:lvl>
    <w:lvl w:ilvl="2" w:tplc="694E54B8">
      <w:numFmt w:val="bullet"/>
      <w:lvlText w:val="•"/>
      <w:lvlJc w:val="left"/>
      <w:pPr>
        <w:ind w:left="2615" w:hanging="361"/>
      </w:pPr>
      <w:rPr>
        <w:rFonts w:hint="default"/>
        <w:lang w:val="en-US" w:eastAsia="en-US" w:bidi="ar-SA"/>
      </w:rPr>
    </w:lvl>
    <w:lvl w:ilvl="3" w:tplc="B12C697E">
      <w:numFmt w:val="bullet"/>
      <w:lvlText w:val="•"/>
      <w:lvlJc w:val="left"/>
      <w:pPr>
        <w:ind w:left="3503" w:hanging="361"/>
      </w:pPr>
      <w:rPr>
        <w:rFonts w:hint="default"/>
        <w:lang w:val="en-US" w:eastAsia="en-US" w:bidi="ar-SA"/>
      </w:rPr>
    </w:lvl>
    <w:lvl w:ilvl="4" w:tplc="9768DF70">
      <w:numFmt w:val="bullet"/>
      <w:lvlText w:val="•"/>
      <w:lvlJc w:val="left"/>
      <w:pPr>
        <w:ind w:left="4391" w:hanging="361"/>
      </w:pPr>
      <w:rPr>
        <w:rFonts w:hint="default"/>
        <w:lang w:val="en-US" w:eastAsia="en-US" w:bidi="ar-SA"/>
      </w:rPr>
    </w:lvl>
    <w:lvl w:ilvl="5" w:tplc="6BCCE098">
      <w:numFmt w:val="bullet"/>
      <w:lvlText w:val="•"/>
      <w:lvlJc w:val="left"/>
      <w:pPr>
        <w:ind w:left="5279" w:hanging="361"/>
      </w:pPr>
      <w:rPr>
        <w:rFonts w:hint="default"/>
        <w:lang w:val="en-US" w:eastAsia="en-US" w:bidi="ar-SA"/>
      </w:rPr>
    </w:lvl>
    <w:lvl w:ilvl="6" w:tplc="A3AC878E">
      <w:numFmt w:val="bullet"/>
      <w:lvlText w:val="•"/>
      <w:lvlJc w:val="left"/>
      <w:pPr>
        <w:ind w:left="6167" w:hanging="361"/>
      </w:pPr>
      <w:rPr>
        <w:rFonts w:hint="default"/>
        <w:lang w:val="en-US" w:eastAsia="en-US" w:bidi="ar-SA"/>
      </w:rPr>
    </w:lvl>
    <w:lvl w:ilvl="7" w:tplc="E9784502">
      <w:numFmt w:val="bullet"/>
      <w:lvlText w:val="•"/>
      <w:lvlJc w:val="left"/>
      <w:pPr>
        <w:ind w:left="7055" w:hanging="361"/>
      </w:pPr>
      <w:rPr>
        <w:rFonts w:hint="default"/>
        <w:lang w:val="en-US" w:eastAsia="en-US" w:bidi="ar-SA"/>
      </w:rPr>
    </w:lvl>
    <w:lvl w:ilvl="8" w:tplc="EA3A51F0">
      <w:numFmt w:val="bullet"/>
      <w:lvlText w:val="•"/>
      <w:lvlJc w:val="left"/>
      <w:pPr>
        <w:ind w:left="7943" w:hanging="361"/>
      </w:pPr>
      <w:rPr>
        <w:rFonts w:hint="default"/>
        <w:lang w:val="en-US" w:eastAsia="en-US" w:bidi="ar-SA"/>
      </w:rPr>
    </w:lvl>
  </w:abstractNum>
  <w:abstractNum w:abstractNumId="3" w15:restartNumberingAfterBreak="0">
    <w:nsid w:val="14344AD3"/>
    <w:multiLevelType w:val="hybridMultilevel"/>
    <w:tmpl w:val="89B43464"/>
    <w:lvl w:ilvl="0" w:tplc="498026D8">
      <w:start w:val="1"/>
      <w:numFmt w:val="upperLetter"/>
      <w:lvlText w:val="%1."/>
      <w:lvlJc w:val="left"/>
      <w:pPr>
        <w:ind w:left="404" w:hanging="284"/>
      </w:pPr>
      <w:rPr>
        <w:rFonts w:ascii="Arial" w:eastAsia="Arial" w:hAnsi="Arial" w:cs="Arial" w:hint="default"/>
        <w:b/>
        <w:bCs/>
        <w:i w:val="0"/>
        <w:iCs w:val="0"/>
        <w:color w:val="466DB4"/>
        <w:spacing w:val="-2"/>
        <w:w w:val="100"/>
        <w:sz w:val="22"/>
        <w:szCs w:val="22"/>
        <w:lang w:val="en-US" w:eastAsia="en-US" w:bidi="ar-SA"/>
      </w:rPr>
    </w:lvl>
    <w:lvl w:ilvl="1" w:tplc="77F452A4">
      <w:numFmt w:val="bullet"/>
      <w:lvlText w:val=""/>
      <w:lvlJc w:val="left"/>
      <w:pPr>
        <w:ind w:left="841" w:hanging="361"/>
      </w:pPr>
      <w:rPr>
        <w:rFonts w:ascii="Symbol" w:eastAsia="Symbol" w:hAnsi="Symbol" w:cs="Symbol" w:hint="default"/>
        <w:b w:val="0"/>
        <w:bCs w:val="0"/>
        <w:i w:val="0"/>
        <w:iCs w:val="0"/>
        <w:color w:val="466DB4"/>
        <w:spacing w:val="0"/>
        <w:w w:val="99"/>
        <w:sz w:val="19"/>
        <w:szCs w:val="19"/>
        <w:lang w:val="en-US" w:eastAsia="en-US" w:bidi="ar-SA"/>
      </w:rPr>
    </w:lvl>
    <w:lvl w:ilvl="2" w:tplc="AFF8435C">
      <w:numFmt w:val="bullet"/>
      <w:lvlText w:val="•"/>
      <w:lvlJc w:val="left"/>
      <w:pPr>
        <w:ind w:left="1826" w:hanging="361"/>
      </w:pPr>
      <w:rPr>
        <w:rFonts w:hint="default"/>
        <w:lang w:val="en-US" w:eastAsia="en-US" w:bidi="ar-SA"/>
      </w:rPr>
    </w:lvl>
    <w:lvl w:ilvl="3" w:tplc="71CAD9EA">
      <w:numFmt w:val="bullet"/>
      <w:lvlText w:val="•"/>
      <w:lvlJc w:val="left"/>
      <w:pPr>
        <w:ind w:left="2813" w:hanging="361"/>
      </w:pPr>
      <w:rPr>
        <w:rFonts w:hint="default"/>
        <w:lang w:val="en-US" w:eastAsia="en-US" w:bidi="ar-SA"/>
      </w:rPr>
    </w:lvl>
    <w:lvl w:ilvl="4" w:tplc="76D07AFA">
      <w:numFmt w:val="bullet"/>
      <w:lvlText w:val="•"/>
      <w:lvlJc w:val="left"/>
      <w:pPr>
        <w:ind w:left="3799" w:hanging="361"/>
      </w:pPr>
      <w:rPr>
        <w:rFonts w:hint="default"/>
        <w:lang w:val="en-US" w:eastAsia="en-US" w:bidi="ar-SA"/>
      </w:rPr>
    </w:lvl>
    <w:lvl w:ilvl="5" w:tplc="6654034C">
      <w:numFmt w:val="bullet"/>
      <w:lvlText w:val="•"/>
      <w:lvlJc w:val="left"/>
      <w:pPr>
        <w:ind w:left="4786" w:hanging="361"/>
      </w:pPr>
      <w:rPr>
        <w:rFonts w:hint="default"/>
        <w:lang w:val="en-US" w:eastAsia="en-US" w:bidi="ar-SA"/>
      </w:rPr>
    </w:lvl>
    <w:lvl w:ilvl="6" w:tplc="B472FDDA">
      <w:numFmt w:val="bullet"/>
      <w:lvlText w:val="•"/>
      <w:lvlJc w:val="left"/>
      <w:pPr>
        <w:ind w:left="5772" w:hanging="361"/>
      </w:pPr>
      <w:rPr>
        <w:rFonts w:hint="default"/>
        <w:lang w:val="en-US" w:eastAsia="en-US" w:bidi="ar-SA"/>
      </w:rPr>
    </w:lvl>
    <w:lvl w:ilvl="7" w:tplc="26585CE0">
      <w:numFmt w:val="bullet"/>
      <w:lvlText w:val="•"/>
      <w:lvlJc w:val="left"/>
      <w:pPr>
        <w:ind w:left="6759" w:hanging="361"/>
      </w:pPr>
      <w:rPr>
        <w:rFonts w:hint="default"/>
        <w:lang w:val="en-US" w:eastAsia="en-US" w:bidi="ar-SA"/>
      </w:rPr>
    </w:lvl>
    <w:lvl w:ilvl="8" w:tplc="81984C02">
      <w:numFmt w:val="bullet"/>
      <w:lvlText w:val="•"/>
      <w:lvlJc w:val="left"/>
      <w:pPr>
        <w:ind w:left="7746" w:hanging="361"/>
      </w:pPr>
      <w:rPr>
        <w:rFonts w:hint="default"/>
        <w:lang w:val="en-US" w:eastAsia="en-US" w:bidi="ar-SA"/>
      </w:rPr>
    </w:lvl>
  </w:abstractNum>
  <w:abstractNum w:abstractNumId="4" w15:restartNumberingAfterBreak="0">
    <w:nsid w:val="153F406B"/>
    <w:multiLevelType w:val="hybridMultilevel"/>
    <w:tmpl w:val="F398BE4A"/>
    <w:lvl w:ilvl="0" w:tplc="BFF0EA4A">
      <w:start w:val="1"/>
      <w:numFmt w:val="upperLetter"/>
      <w:lvlText w:val="%1."/>
      <w:lvlJc w:val="left"/>
      <w:pPr>
        <w:ind w:left="841" w:hanging="360"/>
      </w:pPr>
      <w:rPr>
        <w:rFonts w:ascii="Arial" w:eastAsia="Arial" w:hAnsi="Arial" w:cs="Arial" w:hint="default"/>
        <w:b w:val="0"/>
        <w:bCs w:val="0"/>
        <w:i w:val="0"/>
        <w:iCs w:val="0"/>
        <w:spacing w:val="0"/>
        <w:w w:val="99"/>
        <w:sz w:val="19"/>
        <w:szCs w:val="19"/>
        <w:lang w:val="en-US" w:eastAsia="en-US" w:bidi="ar-SA"/>
      </w:rPr>
    </w:lvl>
    <w:lvl w:ilvl="1" w:tplc="CA4C81CA">
      <w:numFmt w:val="bullet"/>
      <w:lvlText w:val="•"/>
      <w:lvlJc w:val="left"/>
      <w:pPr>
        <w:ind w:left="1727" w:hanging="360"/>
      </w:pPr>
      <w:rPr>
        <w:rFonts w:hint="default"/>
        <w:lang w:val="en-US" w:eastAsia="en-US" w:bidi="ar-SA"/>
      </w:rPr>
    </w:lvl>
    <w:lvl w:ilvl="2" w:tplc="A4306544">
      <w:numFmt w:val="bullet"/>
      <w:lvlText w:val="•"/>
      <w:lvlJc w:val="left"/>
      <w:pPr>
        <w:ind w:left="2615" w:hanging="360"/>
      </w:pPr>
      <w:rPr>
        <w:rFonts w:hint="default"/>
        <w:lang w:val="en-US" w:eastAsia="en-US" w:bidi="ar-SA"/>
      </w:rPr>
    </w:lvl>
    <w:lvl w:ilvl="3" w:tplc="61D22902">
      <w:numFmt w:val="bullet"/>
      <w:lvlText w:val="•"/>
      <w:lvlJc w:val="left"/>
      <w:pPr>
        <w:ind w:left="3503" w:hanging="360"/>
      </w:pPr>
      <w:rPr>
        <w:rFonts w:hint="default"/>
        <w:lang w:val="en-US" w:eastAsia="en-US" w:bidi="ar-SA"/>
      </w:rPr>
    </w:lvl>
    <w:lvl w:ilvl="4" w:tplc="8FE01D32">
      <w:numFmt w:val="bullet"/>
      <w:lvlText w:val="•"/>
      <w:lvlJc w:val="left"/>
      <w:pPr>
        <w:ind w:left="4391" w:hanging="360"/>
      </w:pPr>
      <w:rPr>
        <w:rFonts w:hint="default"/>
        <w:lang w:val="en-US" w:eastAsia="en-US" w:bidi="ar-SA"/>
      </w:rPr>
    </w:lvl>
    <w:lvl w:ilvl="5" w:tplc="8EF85D9C">
      <w:numFmt w:val="bullet"/>
      <w:lvlText w:val="•"/>
      <w:lvlJc w:val="left"/>
      <w:pPr>
        <w:ind w:left="5279" w:hanging="360"/>
      </w:pPr>
      <w:rPr>
        <w:rFonts w:hint="default"/>
        <w:lang w:val="en-US" w:eastAsia="en-US" w:bidi="ar-SA"/>
      </w:rPr>
    </w:lvl>
    <w:lvl w:ilvl="6" w:tplc="95A8EF94">
      <w:numFmt w:val="bullet"/>
      <w:lvlText w:val="•"/>
      <w:lvlJc w:val="left"/>
      <w:pPr>
        <w:ind w:left="6167" w:hanging="360"/>
      </w:pPr>
      <w:rPr>
        <w:rFonts w:hint="default"/>
        <w:lang w:val="en-US" w:eastAsia="en-US" w:bidi="ar-SA"/>
      </w:rPr>
    </w:lvl>
    <w:lvl w:ilvl="7" w:tplc="B3FE9510">
      <w:numFmt w:val="bullet"/>
      <w:lvlText w:val="•"/>
      <w:lvlJc w:val="left"/>
      <w:pPr>
        <w:ind w:left="7055" w:hanging="360"/>
      </w:pPr>
      <w:rPr>
        <w:rFonts w:hint="default"/>
        <w:lang w:val="en-US" w:eastAsia="en-US" w:bidi="ar-SA"/>
      </w:rPr>
    </w:lvl>
    <w:lvl w:ilvl="8" w:tplc="FCE6CE82">
      <w:numFmt w:val="bullet"/>
      <w:lvlText w:val="•"/>
      <w:lvlJc w:val="left"/>
      <w:pPr>
        <w:ind w:left="7943" w:hanging="360"/>
      </w:pPr>
      <w:rPr>
        <w:rFonts w:hint="default"/>
        <w:lang w:val="en-US" w:eastAsia="en-US" w:bidi="ar-SA"/>
      </w:rPr>
    </w:lvl>
  </w:abstractNum>
  <w:abstractNum w:abstractNumId="5" w15:restartNumberingAfterBreak="0">
    <w:nsid w:val="16852217"/>
    <w:multiLevelType w:val="hybridMultilevel"/>
    <w:tmpl w:val="287EDE20"/>
    <w:lvl w:ilvl="0" w:tplc="EBC81BC6">
      <w:start w:val="1"/>
      <w:numFmt w:val="decimal"/>
      <w:lvlText w:val="%1."/>
      <w:lvlJc w:val="left"/>
      <w:pPr>
        <w:ind w:left="481" w:hanging="360"/>
      </w:pPr>
      <w:rPr>
        <w:rFonts w:ascii="Arial" w:eastAsia="Arial" w:hAnsi="Arial" w:cs="Arial" w:hint="default"/>
        <w:b w:val="0"/>
        <w:bCs w:val="0"/>
        <w:i w:val="0"/>
        <w:iCs w:val="0"/>
        <w:spacing w:val="0"/>
        <w:w w:val="99"/>
        <w:sz w:val="19"/>
        <w:szCs w:val="19"/>
        <w:lang w:val="en-US" w:eastAsia="en-US" w:bidi="ar-SA"/>
      </w:rPr>
    </w:lvl>
    <w:lvl w:ilvl="1" w:tplc="CF98B914">
      <w:numFmt w:val="bullet"/>
      <w:lvlText w:val=""/>
      <w:lvlJc w:val="left"/>
      <w:pPr>
        <w:ind w:left="841" w:hanging="361"/>
      </w:pPr>
      <w:rPr>
        <w:rFonts w:ascii="Symbol" w:eastAsia="Symbol" w:hAnsi="Symbol" w:cs="Symbol" w:hint="default"/>
        <w:b w:val="0"/>
        <w:bCs w:val="0"/>
        <w:i w:val="0"/>
        <w:iCs w:val="0"/>
        <w:color w:val="466DB4"/>
        <w:spacing w:val="0"/>
        <w:w w:val="99"/>
        <w:sz w:val="19"/>
        <w:szCs w:val="19"/>
        <w:lang w:val="en-US" w:eastAsia="en-US" w:bidi="ar-SA"/>
      </w:rPr>
    </w:lvl>
    <w:lvl w:ilvl="2" w:tplc="B2AE6B38">
      <w:numFmt w:val="bullet"/>
      <w:lvlText w:val="o"/>
      <w:lvlJc w:val="left"/>
      <w:pPr>
        <w:ind w:left="1202" w:hanging="241"/>
      </w:pPr>
      <w:rPr>
        <w:rFonts w:ascii="Courier New" w:eastAsia="Courier New" w:hAnsi="Courier New" w:cs="Courier New" w:hint="default"/>
        <w:b w:val="0"/>
        <w:bCs w:val="0"/>
        <w:i w:val="0"/>
        <w:iCs w:val="0"/>
        <w:spacing w:val="0"/>
        <w:w w:val="99"/>
        <w:sz w:val="19"/>
        <w:szCs w:val="19"/>
        <w:lang w:val="en-US" w:eastAsia="en-US" w:bidi="ar-SA"/>
      </w:rPr>
    </w:lvl>
    <w:lvl w:ilvl="3" w:tplc="E138D070">
      <w:numFmt w:val="bullet"/>
      <w:lvlText w:val="•"/>
      <w:lvlJc w:val="left"/>
      <w:pPr>
        <w:ind w:left="2264" w:hanging="241"/>
      </w:pPr>
      <w:rPr>
        <w:rFonts w:hint="default"/>
        <w:lang w:val="en-US" w:eastAsia="en-US" w:bidi="ar-SA"/>
      </w:rPr>
    </w:lvl>
    <w:lvl w:ilvl="4" w:tplc="0180CE86">
      <w:numFmt w:val="bullet"/>
      <w:lvlText w:val="•"/>
      <w:lvlJc w:val="left"/>
      <w:pPr>
        <w:ind w:left="3329" w:hanging="241"/>
      </w:pPr>
      <w:rPr>
        <w:rFonts w:hint="default"/>
        <w:lang w:val="en-US" w:eastAsia="en-US" w:bidi="ar-SA"/>
      </w:rPr>
    </w:lvl>
    <w:lvl w:ilvl="5" w:tplc="7004D87A">
      <w:numFmt w:val="bullet"/>
      <w:lvlText w:val="•"/>
      <w:lvlJc w:val="left"/>
      <w:pPr>
        <w:ind w:left="4394" w:hanging="241"/>
      </w:pPr>
      <w:rPr>
        <w:rFonts w:hint="default"/>
        <w:lang w:val="en-US" w:eastAsia="en-US" w:bidi="ar-SA"/>
      </w:rPr>
    </w:lvl>
    <w:lvl w:ilvl="6" w:tplc="389C1C70">
      <w:numFmt w:val="bullet"/>
      <w:lvlText w:val="•"/>
      <w:lvlJc w:val="left"/>
      <w:pPr>
        <w:ind w:left="5459" w:hanging="241"/>
      </w:pPr>
      <w:rPr>
        <w:rFonts w:hint="default"/>
        <w:lang w:val="en-US" w:eastAsia="en-US" w:bidi="ar-SA"/>
      </w:rPr>
    </w:lvl>
    <w:lvl w:ilvl="7" w:tplc="43F80BDE">
      <w:numFmt w:val="bullet"/>
      <w:lvlText w:val="•"/>
      <w:lvlJc w:val="left"/>
      <w:pPr>
        <w:ind w:left="6524" w:hanging="241"/>
      </w:pPr>
      <w:rPr>
        <w:rFonts w:hint="default"/>
        <w:lang w:val="en-US" w:eastAsia="en-US" w:bidi="ar-SA"/>
      </w:rPr>
    </w:lvl>
    <w:lvl w:ilvl="8" w:tplc="C2A487A2">
      <w:numFmt w:val="bullet"/>
      <w:lvlText w:val="•"/>
      <w:lvlJc w:val="left"/>
      <w:pPr>
        <w:ind w:left="7589" w:hanging="241"/>
      </w:pPr>
      <w:rPr>
        <w:rFonts w:hint="default"/>
        <w:lang w:val="en-US" w:eastAsia="en-US" w:bidi="ar-SA"/>
      </w:rPr>
    </w:lvl>
  </w:abstractNum>
  <w:abstractNum w:abstractNumId="6" w15:restartNumberingAfterBreak="0">
    <w:nsid w:val="20895C20"/>
    <w:multiLevelType w:val="hybridMultilevel"/>
    <w:tmpl w:val="E648D3A4"/>
    <w:lvl w:ilvl="0" w:tplc="31A6FC52">
      <w:numFmt w:val="bullet"/>
      <w:lvlText w:val="-"/>
      <w:lvlJc w:val="left"/>
      <w:pPr>
        <w:ind w:left="720" w:hanging="360"/>
      </w:pPr>
      <w:rPr>
        <w:rFonts w:ascii="Arial" w:eastAsia="Arial" w:hAnsi="Arial" w:cs="Arial" w:hint="default"/>
        <w:b w:val="0"/>
        <w:bCs w:val="0"/>
        <w:i w:val="0"/>
        <w:iCs w:val="0"/>
        <w:spacing w:val="0"/>
        <w:w w:val="99"/>
        <w:sz w:val="19"/>
        <w:szCs w:val="19"/>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B336CF"/>
    <w:multiLevelType w:val="hybridMultilevel"/>
    <w:tmpl w:val="CFDE2374"/>
    <w:lvl w:ilvl="0" w:tplc="61F69164">
      <w:start w:val="1"/>
      <w:numFmt w:val="decimal"/>
      <w:lvlText w:val="%1."/>
      <w:lvlJc w:val="left"/>
      <w:pPr>
        <w:ind w:left="841" w:hanging="360"/>
      </w:pPr>
      <w:rPr>
        <w:rFonts w:ascii="Arial" w:eastAsia="Arial" w:hAnsi="Arial" w:cs="Arial" w:hint="default"/>
        <w:b w:val="0"/>
        <w:bCs w:val="0"/>
        <w:i w:val="0"/>
        <w:iCs w:val="0"/>
        <w:spacing w:val="0"/>
        <w:w w:val="99"/>
        <w:sz w:val="19"/>
        <w:szCs w:val="19"/>
        <w:lang w:val="en-US" w:eastAsia="en-US" w:bidi="ar-SA"/>
      </w:rPr>
    </w:lvl>
    <w:lvl w:ilvl="1" w:tplc="1C3C8440">
      <w:numFmt w:val="bullet"/>
      <w:lvlText w:val="•"/>
      <w:lvlJc w:val="left"/>
      <w:pPr>
        <w:ind w:left="1727" w:hanging="360"/>
      </w:pPr>
      <w:rPr>
        <w:rFonts w:hint="default"/>
        <w:lang w:val="en-US" w:eastAsia="en-US" w:bidi="ar-SA"/>
      </w:rPr>
    </w:lvl>
    <w:lvl w:ilvl="2" w:tplc="21226A4A">
      <w:numFmt w:val="bullet"/>
      <w:lvlText w:val="•"/>
      <w:lvlJc w:val="left"/>
      <w:pPr>
        <w:ind w:left="2615" w:hanging="360"/>
      </w:pPr>
      <w:rPr>
        <w:rFonts w:hint="default"/>
        <w:lang w:val="en-US" w:eastAsia="en-US" w:bidi="ar-SA"/>
      </w:rPr>
    </w:lvl>
    <w:lvl w:ilvl="3" w:tplc="0F8CC32C">
      <w:numFmt w:val="bullet"/>
      <w:lvlText w:val="•"/>
      <w:lvlJc w:val="left"/>
      <w:pPr>
        <w:ind w:left="3503" w:hanging="360"/>
      </w:pPr>
      <w:rPr>
        <w:rFonts w:hint="default"/>
        <w:lang w:val="en-US" w:eastAsia="en-US" w:bidi="ar-SA"/>
      </w:rPr>
    </w:lvl>
    <w:lvl w:ilvl="4" w:tplc="24763DB8">
      <w:numFmt w:val="bullet"/>
      <w:lvlText w:val="•"/>
      <w:lvlJc w:val="left"/>
      <w:pPr>
        <w:ind w:left="4391" w:hanging="360"/>
      </w:pPr>
      <w:rPr>
        <w:rFonts w:hint="default"/>
        <w:lang w:val="en-US" w:eastAsia="en-US" w:bidi="ar-SA"/>
      </w:rPr>
    </w:lvl>
    <w:lvl w:ilvl="5" w:tplc="1D30FA9A">
      <w:numFmt w:val="bullet"/>
      <w:lvlText w:val="•"/>
      <w:lvlJc w:val="left"/>
      <w:pPr>
        <w:ind w:left="5279" w:hanging="360"/>
      </w:pPr>
      <w:rPr>
        <w:rFonts w:hint="default"/>
        <w:lang w:val="en-US" w:eastAsia="en-US" w:bidi="ar-SA"/>
      </w:rPr>
    </w:lvl>
    <w:lvl w:ilvl="6" w:tplc="AC107AF6">
      <w:numFmt w:val="bullet"/>
      <w:lvlText w:val="•"/>
      <w:lvlJc w:val="left"/>
      <w:pPr>
        <w:ind w:left="6167" w:hanging="360"/>
      </w:pPr>
      <w:rPr>
        <w:rFonts w:hint="default"/>
        <w:lang w:val="en-US" w:eastAsia="en-US" w:bidi="ar-SA"/>
      </w:rPr>
    </w:lvl>
    <w:lvl w:ilvl="7" w:tplc="B3264AB6">
      <w:numFmt w:val="bullet"/>
      <w:lvlText w:val="•"/>
      <w:lvlJc w:val="left"/>
      <w:pPr>
        <w:ind w:left="7055" w:hanging="360"/>
      </w:pPr>
      <w:rPr>
        <w:rFonts w:hint="default"/>
        <w:lang w:val="en-US" w:eastAsia="en-US" w:bidi="ar-SA"/>
      </w:rPr>
    </w:lvl>
    <w:lvl w:ilvl="8" w:tplc="B2B2C97C">
      <w:numFmt w:val="bullet"/>
      <w:lvlText w:val="•"/>
      <w:lvlJc w:val="left"/>
      <w:pPr>
        <w:ind w:left="7943" w:hanging="360"/>
      </w:pPr>
      <w:rPr>
        <w:rFonts w:hint="default"/>
        <w:lang w:val="en-US" w:eastAsia="en-US" w:bidi="ar-SA"/>
      </w:rPr>
    </w:lvl>
  </w:abstractNum>
  <w:abstractNum w:abstractNumId="8" w15:restartNumberingAfterBreak="0">
    <w:nsid w:val="23B45C9C"/>
    <w:multiLevelType w:val="hybridMultilevel"/>
    <w:tmpl w:val="480AFC76"/>
    <w:lvl w:ilvl="0" w:tplc="D7380018">
      <w:start w:val="1"/>
      <w:numFmt w:val="decimal"/>
      <w:lvlText w:val="%1)"/>
      <w:lvlJc w:val="left"/>
      <w:pPr>
        <w:ind w:left="2422" w:hanging="361"/>
      </w:pPr>
      <w:rPr>
        <w:rFonts w:ascii="Arial" w:eastAsia="Arial" w:hAnsi="Arial" w:cs="Arial" w:hint="default"/>
        <w:b w:val="0"/>
        <w:bCs w:val="0"/>
        <w:i w:val="0"/>
        <w:iCs w:val="0"/>
        <w:spacing w:val="0"/>
        <w:w w:val="99"/>
        <w:sz w:val="19"/>
        <w:szCs w:val="19"/>
        <w:lang w:val="en-US" w:eastAsia="en-US" w:bidi="ar-SA"/>
      </w:rPr>
    </w:lvl>
    <w:lvl w:ilvl="1" w:tplc="070257C6">
      <w:numFmt w:val="bullet"/>
      <w:lvlText w:val="•"/>
      <w:lvlJc w:val="left"/>
      <w:pPr>
        <w:ind w:left="3367" w:hanging="361"/>
      </w:pPr>
      <w:rPr>
        <w:rFonts w:hint="default"/>
        <w:lang w:val="en-US" w:eastAsia="en-US" w:bidi="ar-SA"/>
      </w:rPr>
    </w:lvl>
    <w:lvl w:ilvl="2" w:tplc="AA6092A0">
      <w:numFmt w:val="bullet"/>
      <w:lvlText w:val="•"/>
      <w:lvlJc w:val="left"/>
      <w:pPr>
        <w:ind w:left="4315" w:hanging="361"/>
      </w:pPr>
      <w:rPr>
        <w:rFonts w:hint="default"/>
        <w:lang w:val="en-US" w:eastAsia="en-US" w:bidi="ar-SA"/>
      </w:rPr>
    </w:lvl>
    <w:lvl w:ilvl="3" w:tplc="A5D8B986">
      <w:numFmt w:val="bullet"/>
      <w:lvlText w:val="•"/>
      <w:lvlJc w:val="left"/>
      <w:pPr>
        <w:ind w:left="5263" w:hanging="361"/>
      </w:pPr>
      <w:rPr>
        <w:rFonts w:hint="default"/>
        <w:lang w:val="en-US" w:eastAsia="en-US" w:bidi="ar-SA"/>
      </w:rPr>
    </w:lvl>
    <w:lvl w:ilvl="4" w:tplc="DE6A1428">
      <w:numFmt w:val="bullet"/>
      <w:lvlText w:val="•"/>
      <w:lvlJc w:val="left"/>
      <w:pPr>
        <w:ind w:left="6211" w:hanging="361"/>
      </w:pPr>
      <w:rPr>
        <w:rFonts w:hint="default"/>
        <w:lang w:val="en-US" w:eastAsia="en-US" w:bidi="ar-SA"/>
      </w:rPr>
    </w:lvl>
    <w:lvl w:ilvl="5" w:tplc="B8784568">
      <w:numFmt w:val="bullet"/>
      <w:lvlText w:val="•"/>
      <w:lvlJc w:val="left"/>
      <w:pPr>
        <w:ind w:left="7159" w:hanging="361"/>
      </w:pPr>
      <w:rPr>
        <w:rFonts w:hint="default"/>
        <w:lang w:val="en-US" w:eastAsia="en-US" w:bidi="ar-SA"/>
      </w:rPr>
    </w:lvl>
    <w:lvl w:ilvl="6" w:tplc="22D6D252">
      <w:numFmt w:val="bullet"/>
      <w:lvlText w:val="•"/>
      <w:lvlJc w:val="left"/>
      <w:pPr>
        <w:ind w:left="8107" w:hanging="361"/>
      </w:pPr>
      <w:rPr>
        <w:rFonts w:hint="default"/>
        <w:lang w:val="en-US" w:eastAsia="en-US" w:bidi="ar-SA"/>
      </w:rPr>
    </w:lvl>
    <w:lvl w:ilvl="7" w:tplc="39EA1C16">
      <w:numFmt w:val="bullet"/>
      <w:lvlText w:val="•"/>
      <w:lvlJc w:val="left"/>
      <w:pPr>
        <w:ind w:left="9055" w:hanging="361"/>
      </w:pPr>
      <w:rPr>
        <w:rFonts w:hint="default"/>
        <w:lang w:val="en-US" w:eastAsia="en-US" w:bidi="ar-SA"/>
      </w:rPr>
    </w:lvl>
    <w:lvl w:ilvl="8" w:tplc="023AA890">
      <w:numFmt w:val="bullet"/>
      <w:lvlText w:val="•"/>
      <w:lvlJc w:val="left"/>
      <w:pPr>
        <w:ind w:left="10003" w:hanging="361"/>
      </w:pPr>
      <w:rPr>
        <w:rFonts w:hint="default"/>
        <w:lang w:val="en-US" w:eastAsia="en-US" w:bidi="ar-SA"/>
      </w:rPr>
    </w:lvl>
  </w:abstractNum>
  <w:abstractNum w:abstractNumId="9" w15:restartNumberingAfterBreak="0">
    <w:nsid w:val="2C3E72E9"/>
    <w:multiLevelType w:val="hybridMultilevel"/>
    <w:tmpl w:val="295E5630"/>
    <w:lvl w:ilvl="0" w:tplc="C8A8702A">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60A04816">
      <w:numFmt w:val="bullet"/>
      <w:lvlText w:val="•"/>
      <w:lvlJc w:val="left"/>
      <w:pPr>
        <w:ind w:left="1727" w:hanging="361"/>
      </w:pPr>
      <w:rPr>
        <w:rFonts w:hint="default"/>
        <w:lang w:val="en-US" w:eastAsia="en-US" w:bidi="ar-SA"/>
      </w:rPr>
    </w:lvl>
    <w:lvl w:ilvl="2" w:tplc="CD584E90">
      <w:numFmt w:val="bullet"/>
      <w:lvlText w:val="•"/>
      <w:lvlJc w:val="left"/>
      <w:pPr>
        <w:ind w:left="2615" w:hanging="361"/>
      </w:pPr>
      <w:rPr>
        <w:rFonts w:hint="default"/>
        <w:lang w:val="en-US" w:eastAsia="en-US" w:bidi="ar-SA"/>
      </w:rPr>
    </w:lvl>
    <w:lvl w:ilvl="3" w:tplc="49C0E108">
      <w:numFmt w:val="bullet"/>
      <w:lvlText w:val="•"/>
      <w:lvlJc w:val="left"/>
      <w:pPr>
        <w:ind w:left="3503" w:hanging="361"/>
      </w:pPr>
      <w:rPr>
        <w:rFonts w:hint="default"/>
        <w:lang w:val="en-US" w:eastAsia="en-US" w:bidi="ar-SA"/>
      </w:rPr>
    </w:lvl>
    <w:lvl w:ilvl="4" w:tplc="7916C500">
      <w:numFmt w:val="bullet"/>
      <w:lvlText w:val="•"/>
      <w:lvlJc w:val="left"/>
      <w:pPr>
        <w:ind w:left="4391" w:hanging="361"/>
      </w:pPr>
      <w:rPr>
        <w:rFonts w:hint="default"/>
        <w:lang w:val="en-US" w:eastAsia="en-US" w:bidi="ar-SA"/>
      </w:rPr>
    </w:lvl>
    <w:lvl w:ilvl="5" w:tplc="272045D8">
      <w:numFmt w:val="bullet"/>
      <w:lvlText w:val="•"/>
      <w:lvlJc w:val="left"/>
      <w:pPr>
        <w:ind w:left="5279" w:hanging="361"/>
      </w:pPr>
      <w:rPr>
        <w:rFonts w:hint="default"/>
        <w:lang w:val="en-US" w:eastAsia="en-US" w:bidi="ar-SA"/>
      </w:rPr>
    </w:lvl>
    <w:lvl w:ilvl="6" w:tplc="EF8C5A2A">
      <w:numFmt w:val="bullet"/>
      <w:lvlText w:val="•"/>
      <w:lvlJc w:val="left"/>
      <w:pPr>
        <w:ind w:left="6167" w:hanging="361"/>
      </w:pPr>
      <w:rPr>
        <w:rFonts w:hint="default"/>
        <w:lang w:val="en-US" w:eastAsia="en-US" w:bidi="ar-SA"/>
      </w:rPr>
    </w:lvl>
    <w:lvl w:ilvl="7" w:tplc="87AA0E0A">
      <w:numFmt w:val="bullet"/>
      <w:lvlText w:val="•"/>
      <w:lvlJc w:val="left"/>
      <w:pPr>
        <w:ind w:left="7055" w:hanging="361"/>
      </w:pPr>
      <w:rPr>
        <w:rFonts w:hint="default"/>
        <w:lang w:val="en-US" w:eastAsia="en-US" w:bidi="ar-SA"/>
      </w:rPr>
    </w:lvl>
    <w:lvl w:ilvl="8" w:tplc="1A766D94">
      <w:numFmt w:val="bullet"/>
      <w:lvlText w:val="•"/>
      <w:lvlJc w:val="left"/>
      <w:pPr>
        <w:ind w:left="7943" w:hanging="361"/>
      </w:pPr>
      <w:rPr>
        <w:rFonts w:hint="default"/>
        <w:lang w:val="en-US" w:eastAsia="en-US" w:bidi="ar-SA"/>
      </w:rPr>
    </w:lvl>
  </w:abstractNum>
  <w:abstractNum w:abstractNumId="10" w15:restartNumberingAfterBreak="0">
    <w:nsid w:val="309A51BE"/>
    <w:multiLevelType w:val="hybridMultilevel"/>
    <w:tmpl w:val="48E4E826"/>
    <w:lvl w:ilvl="0" w:tplc="962EF92C">
      <w:start w:val="1"/>
      <w:numFmt w:val="decimal"/>
      <w:lvlText w:val="%1."/>
      <w:lvlJc w:val="left"/>
      <w:pPr>
        <w:ind w:left="2267" w:hanging="567"/>
      </w:pPr>
      <w:rPr>
        <w:rFonts w:ascii="Arial" w:eastAsia="Arial" w:hAnsi="Arial" w:cs="Arial" w:hint="default"/>
        <w:b/>
        <w:bCs/>
        <w:i w:val="0"/>
        <w:iCs w:val="0"/>
        <w:spacing w:val="-1"/>
        <w:w w:val="100"/>
        <w:sz w:val="22"/>
        <w:szCs w:val="22"/>
        <w:lang w:val="en-US" w:eastAsia="en-US" w:bidi="ar-SA"/>
      </w:rPr>
    </w:lvl>
    <w:lvl w:ilvl="1" w:tplc="D7F6BB6E">
      <w:numFmt w:val="bullet"/>
      <w:lvlText w:val="•"/>
      <w:lvlJc w:val="left"/>
      <w:pPr>
        <w:ind w:left="3223" w:hanging="567"/>
      </w:pPr>
      <w:rPr>
        <w:rFonts w:hint="default"/>
        <w:lang w:val="en-US" w:eastAsia="en-US" w:bidi="ar-SA"/>
      </w:rPr>
    </w:lvl>
    <w:lvl w:ilvl="2" w:tplc="1430C970">
      <w:numFmt w:val="bullet"/>
      <w:lvlText w:val="•"/>
      <w:lvlJc w:val="left"/>
      <w:pPr>
        <w:ind w:left="4187" w:hanging="567"/>
      </w:pPr>
      <w:rPr>
        <w:rFonts w:hint="default"/>
        <w:lang w:val="en-US" w:eastAsia="en-US" w:bidi="ar-SA"/>
      </w:rPr>
    </w:lvl>
    <w:lvl w:ilvl="3" w:tplc="84262608">
      <w:numFmt w:val="bullet"/>
      <w:lvlText w:val="•"/>
      <w:lvlJc w:val="left"/>
      <w:pPr>
        <w:ind w:left="5151" w:hanging="567"/>
      </w:pPr>
      <w:rPr>
        <w:rFonts w:hint="default"/>
        <w:lang w:val="en-US" w:eastAsia="en-US" w:bidi="ar-SA"/>
      </w:rPr>
    </w:lvl>
    <w:lvl w:ilvl="4" w:tplc="6472D6E8">
      <w:numFmt w:val="bullet"/>
      <w:lvlText w:val="•"/>
      <w:lvlJc w:val="left"/>
      <w:pPr>
        <w:ind w:left="6115" w:hanging="567"/>
      </w:pPr>
      <w:rPr>
        <w:rFonts w:hint="default"/>
        <w:lang w:val="en-US" w:eastAsia="en-US" w:bidi="ar-SA"/>
      </w:rPr>
    </w:lvl>
    <w:lvl w:ilvl="5" w:tplc="29C4BDD8">
      <w:numFmt w:val="bullet"/>
      <w:lvlText w:val="•"/>
      <w:lvlJc w:val="left"/>
      <w:pPr>
        <w:ind w:left="7079" w:hanging="567"/>
      </w:pPr>
      <w:rPr>
        <w:rFonts w:hint="default"/>
        <w:lang w:val="en-US" w:eastAsia="en-US" w:bidi="ar-SA"/>
      </w:rPr>
    </w:lvl>
    <w:lvl w:ilvl="6" w:tplc="88443E44">
      <w:numFmt w:val="bullet"/>
      <w:lvlText w:val="•"/>
      <w:lvlJc w:val="left"/>
      <w:pPr>
        <w:ind w:left="8043" w:hanging="567"/>
      </w:pPr>
      <w:rPr>
        <w:rFonts w:hint="default"/>
        <w:lang w:val="en-US" w:eastAsia="en-US" w:bidi="ar-SA"/>
      </w:rPr>
    </w:lvl>
    <w:lvl w:ilvl="7" w:tplc="4BDE15BE">
      <w:numFmt w:val="bullet"/>
      <w:lvlText w:val="•"/>
      <w:lvlJc w:val="left"/>
      <w:pPr>
        <w:ind w:left="9007" w:hanging="567"/>
      </w:pPr>
      <w:rPr>
        <w:rFonts w:hint="default"/>
        <w:lang w:val="en-US" w:eastAsia="en-US" w:bidi="ar-SA"/>
      </w:rPr>
    </w:lvl>
    <w:lvl w:ilvl="8" w:tplc="8A3A52E4">
      <w:numFmt w:val="bullet"/>
      <w:lvlText w:val="•"/>
      <w:lvlJc w:val="left"/>
      <w:pPr>
        <w:ind w:left="9971" w:hanging="567"/>
      </w:pPr>
      <w:rPr>
        <w:rFonts w:hint="default"/>
        <w:lang w:val="en-US" w:eastAsia="en-US" w:bidi="ar-SA"/>
      </w:rPr>
    </w:lvl>
  </w:abstractNum>
  <w:abstractNum w:abstractNumId="11" w15:restartNumberingAfterBreak="0">
    <w:nsid w:val="35C17133"/>
    <w:multiLevelType w:val="hybridMultilevel"/>
    <w:tmpl w:val="FB98B7C0"/>
    <w:lvl w:ilvl="0" w:tplc="EE969FE4">
      <w:numFmt w:val="bullet"/>
      <w:lvlText w:val=""/>
      <w:lvlJc w:val="left"/>
      <w:pPr>
        <w:ind w:left="841" w:hanging="361"/>
      </w:pPr>
      <w:rPr>
        <w:rFonts w:ascii="Symbol" w:eastAsia="Symbol" w:hAnsi="Symbol" w:cs="Symbol" w:hint="default"/>
        <w:b w:val="0"/>
        <w:bCs w:val="0"/>
        <w:i w:val="0"/>
        <w:iCs w:val="0"/>
        <w:color w:val="466DB4"/>
        <w:spacing w:val="0"/>
        <w:w w:val="99"/>
        <w:sz w:val="19"/>
        <w:szCs w:val="19"/>
        <w:lang w:val="en-US" w:eastAsia="en-US" w:bidi="ar-SA"/>
      </w:rPr>
    </w:lvl>
    <w:lvl w:ilvl="1" w:tplc="861EC112">
      <w:numFmt w:val="bullet"/>
      <w:lvlText w:val="o"/>
      <w:lvlJc w:val="left"/>
      <w:pPr>
        <w:ind w:left="1561" w:hanging="361"/>
      </w:pPr>
      <w:rPr>
        <w:rFonts w:ascii="Courier New" w:eastAsia="Courier New" w:hAnsi="Courier New" w:cs="Courier New" w:hint="default"/>
        <w:b w:val="0"/>
        <w:bCs w:val="0"/>
        <w:i w:val="0"/>
        <w:iCs w:val="0"/>
        <w:spacing w:val="0"/>
        <w:w w:val="99"/>
        <w:position w:val="1"/>
        <w:sz w:val="19"/>
        <w:szCs w:val="19"/>
        <w:lang w:val="en-US" w:eastAsia="en-US" w:bidi="ar-SA"/>
      </w:rPr>
    </w:lvl>
    <w:lvl w:ilvl="2" w:tplc="87182F72">
      <w:numFmt w:val="bullet"/>
      <w:lvlText w:val="•"/>
      <w:lvlJc w:val="left"/>
      <w:pPr>
        <w:ind w:left="2466" w:hanging="361"/>
      </w:pPr>
      <w:rPr>
        <w:rFonts w:hint="default"/>
        <w:lang w:val="en-US" w:eastAsia="en-US" w:bidi="ar-SA"/>
      </w:rPr>
    </w:lvl>
    <w:lvl w:ilvl="3" w:tplc="6D6A110A">
      <w:numFmt w:val="bullet"/>
      <w:lvlText w:val="•"/>
      <w:lvlJc w:val="left"/>
      <w:pPr>
        <w:ind w:left="3373" w:hanging="361"/>
      </w:pPr>
      <w:rPr>
        <w:rFonts w:hint="default"/>
        <w:lang w:val="en-US" w:eastAsia="en-US" w:bidi="ar-SA"/>
      </w:rPr>
    </w:lvl>
    <w:lvl w:ilvl="4" w:tplc="2EEA22CE">
      <w:numFmt w:val="bullet"/>
      <w:lvlText w:val="•"/>
      <w:lvlJc w:val="left"/>
      <w:pPr>
        <w:ind w:left="4279" w:hanging="361"/>
      </w:pPr>
      <w:rPr>
        <w:rFonts w:hint="default"/>
        <w:lang w:val="en-US" w:eastAsia="en-US" w:bidi="ar-SA"/>
      </w:rPr>
    </w:lvl>
    <w:lvl w:ilvl="5" w:tplc="8898D71A">
      <w:numFmt w:val="bullet"/>
      <w:lvlText w:val="•"/>
      <w:lvlJc w:val="left"/>
      <w:pPr>
        <w:ind w:left="5186" w:hanging="361"/>
      </w:pPr>
      <w:rPr>
        <w:rFonts w:hint="default"/>
        <w:lang w:val="en-US" w:eastAsia="en-US" w:bidi="ar-SA"/>
      </w:rPr>
    </w:lvl>
    <w:lvl w:ilvl="6" w:tplc="A0C4FE60">
      <w:numFmt w:val="bullet"/>
      <w:lvlText w:val="•"/>
      <w:lvlJc w:val="left"/>
      <w:pPr>
        <w:ind w:left="6092" w:hanging="361"/>
      </w:pPr>
      <w:rPr>
        <w:rFonts w:hint="default"/>
        <w:lang w:val="en-US" w:eastAsia="en-US" w:bidi="ar-SA"/>
      </w:rPr>
    </w:lvl>
    <w:lvl w:ilvl="7" w:tplc="58BA2B94">
      <w:numFmt w:val="bullet"/>
      <w:lvlText w:val="•"/>
      <w:lvlJc w:val="left"/>
      <w:pPr>
        <w:ind w:left="6999" w:hanging="361"/>
      </w:pPr>
      <w:rPr>
        <w:rFonts w:hint="default"/>
        <w:lang w:val="en-US" w:eastAsia="en-US" w:bidi="ar-SA"/>
      </w:rPr>
    </w:lvl>
    <w:lvl w:ilvl="8" w:tplc="21DE8F2C">
      <w:numFmt w:val="bullet"/>
      <w:lvlText w:val="•"/>
      <w:lvlJc w:val="left"/>
      <w:pPr>
        <w:ind w:left="7906" w:hanging="361"/>
      </w:pPr>
      <w:rPr>
        <w:rFonts w:hint="default"/>
        <w:lang w:val="en-US" w:eastAsia="en-US" w:bidi="ar-SA"/>
      </w:rPr>
    </w:lvl>
  </w:abstractNum>
  <w:abstractNum w:abstractNumId="12" w15:restartNumberingAfterBreak="0">
    <w:nsid w:val="380D0ADF"/>
    <w:multiLevelType w:val="hybridMultilevel"/>
    <w:tmpl w:val="6A0A67DC"/>
    <w:lvl w:ilvl="0" w:tplc="DE5AA91E">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92B6C4B4">
      <w:numFmt w:val="bullet"/>
      <w:lvlText w:val="•"/>
      <w:lvlJc w:val="left"/>
      <w:pPr>
        <w:ind w:left="1727" w:hanging="361"/>
      </w:pPr>
      <w:rPr>
        <w:rFonts w:hint="default"/>
        <w:lang w:val="en-US" w:eastAsia="en-US" w:bidi="ar-SA"/>
      </w:rPr>
    </w:lvl>
    <w:lvl w:ilvl="2" w:tplc="A4F8546C">
      <w:numFmt w:val="bullet"/>
      <w:lvlText w:val="•"/>
      <w:lvlJc w:val="left"/>
      <w:pPr>
        <w:ind w:left="2615" w:hanging="361"/>
      </w:pPr>
      <w:rPr>
        <w:rFonts w:hint="default"/>
        <w:lang w:val="en-US" w:eastAsia="en-US" w:bidi="ar-SA"/>
      </w:rPr>
    </w:lvl>
    <w:lvl w:ilvl="3" w:tplc="19C63578">
      <w:numFmt w:val="bullet"/>
      <w:lvlText w:val="•"/>
      <w:lvlJc w:val="left"/>
      <w:pPr>
        <w:ind w:left="3503" w:hanging="361"/>
      </w:pPr>
      <w:rPr>
        <w:rFonts w:hint="default"/>
        <w:lang w:val="en-US" w:eastAsia="en-US" w:bidi="ar-SA"/>
      </w:rPr>
    </w:lvl>
    <w:lvl w:ilvl="4" w:tplc="9BEAC86E">
      <w:numFmt w:val="bullet"/>
      <w:lvlText w:val="•"/>
      <w:lvlJc w:val="left"/>
      <w:pPr>
        <w:ind w:left="4391" w:hanging="361"/>
      </w:pPr>
      <w:rPr>
        <w:rFonts w:hint="default"/>
        <w:lang w:val="en-US" w:eastAsia="en-US" w:bidi="ar-SA"/>
      </w:rPr>
    </w:lvl>
    <w:lvl w:ilvl="5" w:tplc="C3E48272">
      <w:numFmt w:val="bullet"/>
      <w:lvlText w:val="•"/>
      <w:lvlJc w:val="left"/>
      <w:pPr>
        <w:ind w:left="5279" w:hanging="361"/>
      </w:pPr>
      <w:rPr>
        <w:rFonts w:hint="default"/>
        <w:lang w:val="en-US" w:eastAsia="en-US" w:bidi="ar-SA"/>
      </w:rPr>
    </w:lvl>
    <w:lvl w:ilvl="6" w:tplc="B3D81A54">
      <w:numFmt w:val="bullet"/>
      <w:lvlText w:val="•"/>
      <w:lvlJc w:val="left"/>
      <w:pPr>
        <w:ind w:left="6167" w:hanging="361"/>
      </w:pPr>
      <w:rPr>
        <w:rFonts w:hint="default"/>
        <w:lang w:val="en-US" w:eastAsia="en-US" w:bidi="ar-SA"/>
      </w:rPr>
    </w:lvl>
    <w:lvl w:ilvl="7" w:tplc="5A2A874A">
      <w:numFmt w:val="bullet"/>
      <w:lvlText w:val="•"/>
      <w:lvlJc w:val="left"/>
      <w:pPr>
        <w:ind w:left="7055" w:hanging="361"/>
      </w:pPr>
      <w:rPr>
        <w:rFonts w:hint="default"/>
        <w:lang w:val="en-US" w:eastAsia="en-US" w:bidi="ar-SA"/>
      </w:rPr>
    </w:lvl>
    <w:lvl w:ilvl="8" w:tplc="C0B8D6BC">
      <w:numFmt w:val="bullet"/>
      <w:lvlText w:val="•"/>
      <w:lvlJc w:val="left"/>
      <w:pPr>
        <w:ind w:left="7943" w:hanging="361"/>
      </w:pPr>
      <w:rPr>
        <w:rFonts w:hint="default"/>
        <w:lang w:val="en-US" w:eastAsia="en-US" w:bidi="ar-SA"/>
      </w:rPr>
    </w:lvl>
  </w:abstractNum>
  <w:abstractNum w:abstractNumId="13" w15:restartNumberingAfterBreak="0">
    <w:nsid w:val="39C02A82"/>
    <w:multiLevelType w:val="multilevel"/>
    <w:tmpl w:val="F1E6A56A"/>
    <w:lvl w:ilvl="0">
      <w:start w:val="1"/>
      <w:numFmt w:val="decimal"/>
      <w:lvlText w:val="%1"/>
      <w:lvlJc w:val="left"/>
      <w:pPr>
        <w:ind w:left="2431" w:hanging="370"/>
      </w:pPr>
      <w:rPr>
        <w:rFonts w:hint="default"/>
        <w:lang w:val="en-US" w:eastAsia="en-US" w:bidi="ar-SA"/>
      </w:rPr>
    </w:lvl>
    <w:lvl w:ilvl="1">
      <w:start w:val="1"/>
      <w:numFmt w:val="decimal"/>
      <w:lvlText w:val="%1.%2."/>
      <w:lvlJc w:val="left"/>
      <w:pPr>
        <w:ind w:left="2431" w:hanging="370"/>
      </w:pPr>
      <w:rPr>
        <w:rFonts w:ascii="Arial" w:eastAsia="Arial" w:hAnsi="Arial" w:cs="Arial" w:hint="default"/>
        <w:b w:val="0"/>
        <w:bCs w:val="0"/>
        <w:i w:val="0"/>
        <w:iCs w:val="0"/>
        <w:spacing w:val="0"/>
        <w:w w:val="99"/>
        <w:sz w:val="19"/>
        <w:szCs w:val="19"/>
        <w:lang w:val="en-US" w:eastAsia="en-US" w:bidi="ar-SA"/>
      </w:rPr>
    </w:lvl>
    <w:lvl w:ilvl="2">
      <w:numFmt w:val="bullet"/>
      <w:lvlText w:val="•"/>
      <w:lvlJc w:val="left"/>
      <w:pPr>
        <w:ind w:left="4331" w:hanging="370"/>
      </w:pPr>
      <w:rPr>
        <w:rFonts w:hint="default"/>
        <w:lang w:val="en-US" w:eastAsia="en-US" w:bidi="ar-SA"/>
      </w:rPr>
    </w:lvl>
    <w:lvl w:ilvl="3">
      <w:numFmt w:val="bullet"/>
      <w:lvlText w:val="•"/>
      <w:lvlJc w:val="left"/>
      <w:pPr>
        <w:ind w:left="5277" w:hanging="370"/>
      </w:pPr>
      <w:rPr>
        <w:rFonts w:hint="default"/>
        <w:lang w:val="en-US" w:eastAsia="en-US" w:bidi="ar-SA"/>
      </w:rPr>
    </w:lvl>
    <w:lvl w:ilvl="4">
      <w:numFmt w:val="bullet"/>
      <w:lvlText w:val="•"/>
      <w:lvlJc w:val="left"/>
      <w:pPr>
        <w:ind w:left="6223" w:hanging="370"/>
      </w:pPr>
      <w:rPr>
        <w:rFonts w:hint="default"/>
        <w:lang w:val="en-US" w:eastAsia="en-US" w:bidi="ar-SA"/>
      </w:rPr>
    </w:lvl>
    <w:lvl w:ilvl="5">
      <w:numFmt w:val="bullet"/>
      <w:lvlText w:val="•"/>
      <w:lvlJc w:val="left"/>
      <w:pPr>
        <w:ind w:left="7169" w:hanging="370"/>
      </w:pPr>
      <w:rPr>
        <w:rFonts w:hint="default"/>
        <w:lang w:val="en-US" w:eastAsia="en-US" w:bidi="ar-SA"/>
      </w:rPr>
    </w:lvl>
    <w:lvl w:ilvl="6">
      <w:numFmt w:val="bullet"/>
      <w:lvlText w:val="•"/>
      <w:lvlJc w:val="left"/>
      <w:pPr>
        <w:ind w:left="8115" w:hanging="370"/>
      </w:pPr>
      <w:rPr>
        <w:rFonts w:hint="default"/>
        <w:lang w:val="en-US" w:eastAsia="en-US" w:bidi="ar-SA"/>
      </w:rPr>
    </w:lvl>
    <w:lvl w:ilvl="7">
      <w:numFmt w:val="bullet"/>
      <w:lvlText w:val="•"/>
      <w:lvlJc w:val="left"/>
      <w:pPr>
        <w:ind w:left="9061" w:hanging="370"/>
      </w:pPr>
      <w:rPr>
        <w:rFonts w:hint="default"/>
        <w:lang w:val="en-US" w:eastAsia="en-US" w:bidi="ar-SA"/>
      </w:rPr>
    </w:lvl>
    <w:lvl w:ilvl="8">
      <w:numFmt w:val="bullet"/>
      <w:lvlText w:val="•"/>
      <w:lvlJc w:val="left"/>
      <w:pPr>
        <w:ind w:left="10007" w:hanging="370"/>
      </w:pPr>
      <w:rPr>
        <w:rFonts w:hint="default"/>
        <w:lang w:val="en-US" w:eastAsia="en-US" w:bidi="ar-SA"/>
      </w:rPr>
    </w:lvl>
  </w:abstractNum>
  <w:abstractNum w:abstractNumId="14" w15:restartNumberingAfterBreak="0">
    <w:nsid w:val="3F736880"/>
    <w:multiLevelType w:val="hybridMultilevel"/>
    <w:tmpl w:val="6BC27714"/>
    <w:lvl w:ilvl="0" w:tplc="B8B467F0">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EAF41C72">
      <w:numFmt w:val="bullet"/>
      <w:lvlText w:val="•"/>
      <w:lvlJc w:val="left"/>
      <w:pPr>
        <w:ind w:left="1727" w:hanging="361"/>
      </w:pPr>
      <w:rPr>
        <w:rFonts w:hint="default"/>
        <w:lang w:val="en-US" w:eastAsia="en-US" w:bidi="ar-SA"/>
      </w:rPr>
    </w:lvl>
    <w:lvl w:ilvl="2" w:tplc="923EE688">
      <w:numFmt w:val="bullet"/>
      <w:lvlText w:val="•"/>
      <w:lvlJc w:val="left"/>
      <w:pPr>
        <w:ind w:left="2615" w:hanging="361"/>
      </w:pPr>
      <w:rPr>
        <w:rFonts w:hint="default"/>
        <w:lang w:val="en-US" w:eastAsia="en-US" w:bidi="ar-SA"/>
      </w:rPr>
    </w:lvl>
    <w:lvl w:ilvl="3" w:tplc="6BBA452C">
      <w:numFmt w:val="bullet"/>
      <w:lvlText w:val="•"/>
      <w:lvlJc w:val="left"/>
      <w:pPr>
        <w:ind w:left="3503" w:hanging="361"/>
      </w:pPr>
      <w:rPr>
        <w:rFonts w:hint="default"/>
        <w:lang w:val="en-US" w:eastAsia="en-US" w:bidi="ar-SA"/>
      </w:rPr>
    </w:lvl>
    <w:lvl w:ilvl="4" w:tplc="F69442A4">
      <w:numFmt w:val="bullet"/>
      <w:lvlText w:val="•"/>
      <w:lvlJc w:val="left"/>
      <w:pPr>
        <w:ind w:left="4391" w:hanging="361"/>
      </w:pPr>
      <w:rPr>
        <w:rFonts w:hint="default"/>
        <w:lang w:val="en-US" w:eastAsia="en-US" w:bidi="ar-SA"/>
      </w:rPr>
    </w:lvl>
    <w:lvl w:ilvl="5" w:tplc="EBCECA98">
      <w:numFmt w:val="bullet"/>
      <w:lvlText w:val="•"/>
      <w:lvlJc w:val="left"/>
      <w:pPr>
        <w:ind w:left="5279" w:hanging="361"/>
      </w:pPr>
      <w:rPr>
        <w:rFonts w:hint="default"/>
        <w:lang w:val="en-US" w:eastAsia="en-US" w:bidi="ar-SA"/>
      </w:rPr>
    </w:lvl>
    <w:lvl w:ilvl="6" w:tplc="CEAAF870">
      <w:numFmt w:val="bullet"/>
      <w:lvlText w:val="•"/>
      <w:lvlJc w:val="left"/>
      <w:pPr>
        <w:ind w:left="6167" w:hanging="361"/>
      </w:pPr>
      <w:rPr>
        <w:rFonts w:hint="default"/>
        <w:lang w:val="en-US" w:eastAsia="en-US" w:bidi="ar-SA"/>
      </w:rPr>
    </w:lvl>
    <w:lvl w:ilvl="7" w:tplc="6F04605E">
      <w:numFmt w:val="bullet"/>
      <w:lvlText w:val="•"/>
      <w:lvlJc w:val="left"/>
      <w:pPr>
        <w:ind w:left="7055" w:hanging="361"/>
      </w:pPr>
      <w:rPr>
        <w:rFonts w:hint="default"/>
        <w:lang w:val="en-US" w:eastAsia="en-US" w:bidi="ar-SA"/>
      </w:rPr>
    </w:lvl>
    <w:lvl w:ilvl="8" w:tplc="908CF674">
      <w:numFmt w:val="bullet"/>
      <w:lvlText w:val="•"/>
      <w:lvlJc w:val="left"/>
      <w:pPr>
        <w:ind w:left="7943" w:hanging="361"/>
      </w:pPr>
      <w:rPr>
        <w:rFonts w:hint="default"/>
        <w:lang w:val="en-US" w:eastAsia="en-US" w:bidi="ar-SA"/>
      </w:rPr>
    </w:lvl>
  </w:abstractNum>
  <w:abstractNum w:abstractNumId="15" w15:restartNumberingAfterBreak="0">
    <w:nsid w:val="42991F1D"/>
    <w:multiLevelType w:val="multilevel"/>
    <w:tmpl w:val="8196FAA8"/>
    <w:lvl w:ilvl="0">
      <w:start w:val="1"/>
      <w:numFmt w:val="decimal"/>
      <w:lvlText w:val="%1"/>
      <w:lvlJc w:val="left"/>
      <w:pPr>
        <w:ind w:left="2245" w:hanging="1044"/>
      </w:pPr>
      <w:rPr>
        <w:rFonts w:hint="default"/>
        <w:lang w:val="en-US" w:eastAsia="en-US" w:bidi="ar-SA"/>
      </w:rPr>
    </w:lvl>
    <w:lvl w:ilvl="1">
      <w:start w:val="1"/>
      <w:numFmt w:val="decimal"/>
      <w:lvlText w:val="%1.%2."/>
      <w:lvlJc w:val="left"/>
      <w:pPr>
        <w:ind w:left="2245" w:hanging="1044"/>
        <w:jc w:val="right"/>
      </w:pPr>
      <w:rPr>
        <w:rFonts w:hint="default"/>
        <w:spacing w:val="-1"/>
        <w:w w:val="100"/>
        <w:lang w:val="en-US" w:eastAsia="en-US" w:bidi="ar-SA"/>
      </w:rPr>
    </w:lvl>
    <w:lvl w:ilvl="2">
      <w:numFmt w:val="bullet"/>
      <w:lvlText w:val=""/>
      <w:lvlJc w:val="left"/>
      <w:pPr>
        <w:ind w:left="841" w:hanging="361"/>
      </w:pPr>
      <w:rPr>
        <w:rFonts w:ascii="Symbol" w:eastAsia="Symbol" w:hAnsi="Symbol" w:cs="Symbol" w:hint="default"/>
        <w:b w:val="0"/>
        <w:bCs w:val="0"/>
        <w:i w:val="0"/>
        <w:iCs w:val="0"/>
        <w:color w:val="466DB4"/>
        <w:spacing w:val="0"/>
        <w:w w:val="99"/>
        <w:sz w:val="19"/>
        <w:szCs w:val="19"/>
        <w:lang w:val="en-US" w:eastAsia="en-US" w:bidi="ar-SA"/>
      </w:rPr>
    </w:lvl>
    <w:lvl w:ilvl="3">
      <w:numFmt w:val="bullet"/>
      <w:lvlText w:val="•"/>
      <w:lvlJc w:val="left"/>
      <w:pPr>
        <w:ind w:left="3902" w:hanging="361"/>
      </w:pPr>
      <w:rPr>
        <w:rFonts w:hint="default"/>
        <w:lang w:val="en-US" w:eastAsia="en-US" w:bidi="ar-SA"/>
      </w:rPr>
    </w:lvl>
    <w:lvl w:ilvl="4">
      <w:numFmt w:val="bullet"/>
      <w:lvlText w:val="•"/>
      <w:lvlJc w:val="left"/>
      <w:pPr>
        <w:ind w:left="4733" w:hanging="361"/>
      </w:pPr>
      <w:rPr>
        <w:rFonts w:hint="default"/>
        <w:lang w:val="en-US" w:eastAsia="en-US" w:bidi="ar-SA"/>
      </w:rPr>
    </w:lvl>
    <w:lvl w:ilvl="5">
      <w:numFmt w:val="bullet"/>
      <w:lvlText w:val="•"/>
      <w:lvlJc w:val="left"/>
      <w:pPr>
        <w:ind w:left="5564" w:hanging="361"/>
      </w:pPr>
      <w:rPr>
        <w:rFonts w:hint="default"/>
        <w:lang w:val="en-US" w:eastAsia="en-US" w:bidi="ar-SA"/>
      </w:rPr>
    </w:lvl>
    <w:lvl w:ilvl="6">
      <w:numFmt w:val="bullet"/>
      <w:lvlText w:val="•"/>
      <w:lvlJc w:val="left"/>
      <w:pPr>
        <w:ind w:left="6395" w:hanging="361"/>
      </w:pPr>
      <w:rPr>
        <w:rFonts w:hint="default"/>
        <w:lang w:val="en-US" w:eastAsia="en-US" w:bidi="ar-SA"/>
      </w:rPr>
    </w:lvl>
    <w:lvl w:ilvl="7">
      <w:numFmt w:val="bullet"/>
      <w:lvlText w:val="•"/>
      <w:lvlJc w:val="left"/>
      <w:pPr>
        <w:ind w:left="7226" w:hanging="361"/>
      </w:pPr>
      <w:rPr>
        <w:rFonts w:hint="default"/>
        <w:lang w:val="en-US" w:eastAsia="en-US" w:bidi="ar-SA"/>
      </w:rPr>
    </w:lvl>
    <w:lvl w:ilvl="8">
      <w:numFmt w:val="bullet"/>
      <w:lvlText w:val="•"/>
      <w:lvlJc w:val="left"/>
      <w:pPr>
        <w:ind w:left="8057" w:hanging="361"/>
      </w:pPr>
      <w:rPr>
        <w:rFonts w:hint="default"/>
        <w:lang w:val="en-US" w:eastAsia="en-US" w:bidi="ar-SA"/>
      </w:rPr>
    </w:lvl>
  </w:abstractNum>
  <w:abstractNum w:abstractNumId="16" w15:restartNumberingAfterBreak="0">
    <w:nsid w:val="44634070"/>
    <w:multiLevelType w:val="hybridMultilevel"/>
    <w:tmpl w:val="9A0C4C2A"/>
    <w:lvl w:ilvl="0" w:tplc="4B080312">
      <w:start w:val="1"/>
      <w:numFmt w:val="decimal"/>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0AD2796C">
      <w:numFmt w:val="bullet"/>
      <w:lvlText w:val="•"/>
      <w:lvlJc w:val="left"/>
      <w:pPr>
        <w:ind w:left="1727" w:hanging="361"/>
      </w:pPr>
      <w:rPr>
        <w:rFonts w:hint="default"/>
        <w:lang w:val="en-US" w:eastAsia="en-US" w:bidi="ar-SA"/>
      </w:rPr>
    </w:lvl>
    <w:lvl w:ilvl="2" w:tplc="BD54F28A">
      <w:numFmt w:val="bullet"/>
      <w:lvlText w:val="•"/>
      <w:lvlJc w:val="left"/>
      <w:pPr>
        <w:ind w:left="2615" w:hanging="361"/>
      </w:pPr>
      <w:rPr>
        <w:rFonts w:hint="default"/>
        <w:lang w:val="en-US" w:eastAsia="en-US" w:bidi="ar-SA"/>
      </w:rPr>
    </w:lvl>
    <w:lvl w:ilvl="3" w:tplc="228A4BC2">
      <w:numFmt w:val="bullet"/>
      <w:lvlText w:val="•"/>
      <w:lvlJc w:val="left"/>
      <w:pPr>
        <w:ind w:left="3503" w:hanging="361"/>
      </w:pPr>
      <w:rPr>
        <w:rFonts w:hint="default"/>
        <w:lang w:val="en-US" w:eastAsia="en-US" w:bidi="ar-SA"/>
      </w:rPr>
    </w:lvl>
    <w:lvl w:ilvl="4" w:tplc="A1EC6318">
      <w:numFmt w:val="bullet"/>
      <w:lvlText w:val="•"/>
      <w:lvlJc w:val="left"/>
      <w:pPr>
        <w:ind w:left="4391" w:hanging="361"/>
      </w:pPr>
      <w:rPr>
        <w:rFonts w:hint="default"/>
        <w:lang w:val="en-US" w:eastAsia="en-US" w:bidi="ar-SA"/>
      </w:rPr>
    </w:lvl>
    <w:lvl w:ilvl="5" w:tplc="18C45FE4">
      <w:numFmt w:val="bullet"/>
      <w:lvlText w:val="•"/>
      <w:lvlJc w:val="left"/>
      <w:pPr>
        <w:ind w:left="5279" w:hanging="361"/>
      </w:pPr>
      <w:rPr>
        <w:rFonts w:hint="default"/>
        <w:lang w:val="en-US" w:eastAsia="en-US" w:bidi="ar-SA"/>
      </w:rPr>
    </w:lvl>
    <w:lvl w:ilvl="6" w:tplc="04B8884E">
      <w:numFmt w:val="bullet"/>
      <w:lvlText w:val="•"/>
      <w:lvlJc w:val="left"/>
      <w:pPr>
        <w:ind w:left="6167" w:hanging="361"/>
      </w:pPr>
      <w:rPr>
        <w:rFonts w:hint="default"/>
        <w:lang w:val="en-US" w:eastAsia="en-US" w:bidi="ar-SA"/>
      </w:rPr>
    </w:lvl>
    <w:lvl w:ilvl="7" w:tplc="8B0E31CA">
      <w:numFmt w:val="bullet"/>
      <w:lvlText w:val="•"/>
      <w:lvlJc w:val="left"/>
      <w:pPr>
        <w:ind w:left="7055" w:hanging="361"/>
      </w:pPr>
      <w:rPr>
        <w:rFonts w:hint="default"/>
        <w:lang w:val="en-US" w:eastAsia="en-US" w:bidi="ar-SA"/>
      </w:rPr>
    </w:lvl>
    <w:lvl w:ilvl="8" w:tplc="9C0E6618">
      <w:numFmt w:val="bullet"/>
      <w:lvlText w:val="•"/>
      <w:lvlJc w:val="left"/>
      <w:pPr>
        <w:ind w:left="7943" w:hanging="361"/>
      </w:pPr>
      <w:rPr>
        <w:rFonts w:hint="default"/>
        <w:lang w:val="en-US" w:eastAsia="en-US" w:bidi="ar-SA"/>
      </w:rPr>
    </w:lvl>
  </w:abstractNum>
  <w:abstractNum w:abstractNumId="17" w15:restartNumberingAfterBreak="0">
    <w:nsid w:val="474850DB"/>
    <w:multiLevelType w:val="hybridMultilevel"/>
    <w:tmpl w:val="4E86F33E"/>
    <w:lvl w:ilvl="0" w:tplc="39ECA1E8">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BE347600">
      <w:numFmt w:val="bullet"/>
      <w:lvlText w:val="•"/>
      <w:lvlJc w:val="left"/>
      <w:pPr>
        <w:ind w:left="1727" w:hanging="361"/>
      </w:pPr>
      <w:rPr>
        <w:rFonts w:hint="default"/>
        <w:lang w:val="en-US" w:eastAsia="en-US" w:bidi="ar-SA"/>
      </w:rPr>
    </w:lvl>
    <w:lvl w:ilvl="2" w:tplc="67F4962A">
      <w:numFmt w:val="bullet"/>
      <w:lvlText w:val="•"/>
      <w:lvlJc w:val="left"/>
      <w:pPr>
        <w:ind w:left="2615" w:hanging="361"/>
      </w:pPr>
      <w:rPr>
        <w:rFonts w:hint="default"/>
        <w:lang w:val="en-US" w:eastAsia="en-US" w:bidi="ar-SA"/>
      </w:rPr>
    </w:lvl>
    <w:lvl w:ilvl="3" w:tplc="555C18DE">
      <w:numFmt w:val="bullet"/>
      <w:lvlText w:val="•"/>
      <w:lvlJc w:val="left"/>
      <w:pPr>
        <w:ind w:left="3503" w:hanging="361"/>
      </w:pPr>
      <w:rPr>
        <w:rFonts w:hint="default"/>
        <w:lang w:val="en-US" w:eastAsia="en-US" w:bidi="ar-SA"/>
      </w:rPr>
    </w:lvl>
    <w:lvl w:ilvl="4" w:tplc="4328E134">
      <w:numFmt w:val="bullet"/>
      <w:lvlText w:val="•"/>
      <w:lvlJc w:val="left"/>
      <w:pPr>
        <w:ind w:left="4391" w:hanging="361"/>
      </w:pPr>
      <w:rPr>
        <w:rFonts w:hint="default"/>
        <w:lang w:val="en-US" w:eastAsia="en-US" w:bidi="ar-SA"/>
      </w:rPr>
    </w:lvl>
    <w:lvl w:ilvl="5" w:tplc="2EF84F52">
      <w:numFmt w:val="bullet"/>
      <w:lvlText w:val="•"/>
      <w:lvlJc w:val="left"/>
      <w:pPr>
        <w:ind w:left="5279" w:hanging="361"/>
      </w:pPr>
      <w:rPr>
        <w:rFonts w:hint="default"/>
        <w:lang w:val="en-US" w:eastAsia="en-US" w:bidi="ar-SA"/>
      </w:rPr>
    </w:lvl>
    <w:lvl w:ilvl="6" w:tplc="72F465FA">
      <w:numFmt w:val="bullet"/>
      <w:lvlText w:val="•"/>
      <w:lvlJc w:val="left"/>
      <w:pPr>
        <w:ind w:left="6167" w:hanging="361"/>
      </w:pPr>
      <w:rPr>
        <w:rFonts w:hint="default"/>
        <w:lang w:val="en-US" w:eastAsia="en-US" w:bidi="ar-SA"/>
      </w:rPr>
    </w:lvl>
    <w:lvl w:ilvl="7" w:tplc="A1548FC2">
      <w:numFmt w:val="bullet"/>
      <w:lvlText w:val="•"/>
      <w:lvlJc w:val="left"/>
      <w:pPr>
        <w:ind w:left="7055" w:hanging="361"/>
      </w:pPr>
      <w:rPr>
        <w:rFonts w:hint="default"/>
        <w:lang w:val="en-US" w:eastAsia="en-US" w:bidi="ar-SA"/>
      </w:rPr>
    </w:lvl>
    <w:lvl w:ilvl="8" w:tplc="B05C6294">
      <w:numFmt w:val="bullet"/>
      <w:lvlText w:val="•"/>
      <w:lvlJc w:val="left"/>
      <w:pPr>
        <w:ind w:left="7943" w:hanging="361"/>
      </w:pPr>
      <w:rPr>
        <w:rFonts w:hint="default"/>
        <w:lang w:val="en-US" w:eastAsia="en-US" w:bidi="ar-SA"/>
      </w:rPr>
    </w:lvl>
  </w:abstractNum>
  <w:abstractNum w:abstractNumId="18" w15:restartNumberingAfterBreak="0">
    <w:nsid w:val="4FE24C14"/>
    <w:multiLevelType w:val="hybridMultilevel"/>
    <w:tmpl w:val="9F921AEE"/>
    <w:lvl w:ilvl="0" w:tplc="A26A2382">
      <w:start w:val="1"/>
      <w:numFmt w:val="decimal"/>
      <w:lvlText w:val="%1)"/>
      <w:lvlJc w:val="left"/>
      <w:pPr>
        <w:ind w:left="2421" w:hanging="361"/>
      </w:pPr>
      <w:rPr>
        <w:rFonts w:ascii="Arial" w:eastAsia="Arial" w:hAnsi="Arial" w:cs="Arial" w:hint="default"/>
        <w:b w:val="0"/>
        <w:bCs w:val="0"/>
        <w:i w:val="0"/>
        <w:iCs w:val="0"/>
        <w:spacing w:val="0"/>
        <w:w w:val="99"/>
        <w:sz w:val="19"/>
        <w:szCs w:val="19"/>
        <w:lang w:val="en-US" w:eastAsia="en-US" w:bidi="ar-SA"/>
      </w:rPr>
    </w:lvl>
    <w:lvl w:ilvl="1" w:tplc="7AB63D0A">
      <w:numFmt w:val="bullet"/>
      <w:lvlText w:val="•"/>
      <w:lvlJc w:val="left"/>
      <w:pPr>
        <w:ind w:left="3367" w:hanging="361"/>
      </w:pPr>
      <w:rPr>
        <w:rFonts w:hint="default"/>
        <w:lang w:val="en-US" w:eastAsia="en-US" w:bidi="ar-SA"/>
      </w:rPr>
    </w:lvl>
    <w:lvl w:ilvl="2" w:tplc="16946A8A">
      <w:numFmt w:val="bullet"/>
      <w:lvlText w:val="•"/>
      <w:lvlJc w:val="left"/>
      <w:pPr>
        <w:ind w:left="4315" w:hanging="361"/>
      </w:pPr>
      <w:rPr>
        <w:rFonts w:hint="default"/>
        <w:lang w:val="en-US" w:eastAsia="en-US" w:bidi="ar-SA"/>
      </w:rPr>
    </w:lvl>
    <w:lvl w:ilvl="3" w:tplc="966C5094">
      <w:numFmt w:val="bullet"/>
      <w:lvlText w:val="•"/>
      <w:lvlJc w:val="left"/>
      <w:pPr>
        <w:ind w:left="5263" w:hanging="361"/>
      </w:pPr>
      <w:rPr>
        <w:rFonts w:hint="default"/>
        <w:lang w:val="en-US" w:eastAsia="en-US" w:bidi="ar-SA"/>
      </w:rPr>
    </w:lvl>
    <w:lvl w:ilvl="4" w:tplc="A1388A86">
      <w:numFmt w:val="bullet"/>
      <w:lvlText w:val="•"/>
      <w:lvlJc w:val="left"/>
      <w:pPr>
        <w:ind w:left="6211" w:hanging="361"/>
      </w:pPr>
      <w:rPr>
        <w:rFonts w:hint="default"/>
        <w:lang w:val="en-US" w:eastAsia="en-US" w:bidi="ar-SA"/>
      </w:rPr>
    </w:lvl>
    <w:lvl w:ilvl="5" w:tplc="A608E9F0">
      <w:numFmt w:val="bullet"/>
      <w:lvlText w:val="•"/>
      <w:lvlJc w:val="left"/>
      <w:pPr>
        <w:ind w:left="7159" w:hanging="361"/>
      </w:pPr>
      <w:rPr>
        <w:rFonts w:hint="default"/>
        <w:lang w:val="en-US" w:eastAsia="en-US" w:bidi="ar-SA"/>
      </w:rPr>
    </w:lvl>
    <w:lvl w:ilvl="6" w:tplc="3210FB38">
      <w:numFmt w:val="bullet"/>
      <w:lvlText w:val="•"/>
      <w:lvlJc w:val="left"/>
      <w:pPr>
        <w:ind w:left="8107" w:hanging="361"/>
      </w:pPr>
      <w:rPr>
        <w:rFonts w:hint="default"/>
        <w:lang w:val="en-US" w:eastAsia="en-US" w:bidi="ar-SA"/>
      </w:rPr>
    </w:lvl>
    <w:lvl w:ilvl="7" w:tplc="1AF8108E">
      <w:numFmt w:val="bullet"/>
      <w:lvlText w:val="•"/>
      <w:lvlJc w:val="left"/>
      <w:pPr>
        <w:ind w:left="9055" w:hanging="361"/>
      </w:pPr>
      <w:rPr>
        <w:rFonts w:hint="default"/>
        <w:lang w:val="en-US" w:eastAsia="en-US" w:bidi="ar-SA"/>
      </w:rPr>
    </w:lvl>
    <w:lvl w:ilvl="8" w:tplc="79C27556">
      <w:numFmt w:val="bullet"/>
      <w:lvlText w:val="•"/>
      <w:lvlJc w:val="left"/>
      <w:pPr>
        <w:ind w:left="10003" w:hanging="361"/>
      </w:pPr>
      <w:rPr>
        <w:rFonts w:hint="default"/>
        <w:lang w:val="en-US" w:eastAsia="en-US" w:bidi="ar-SA"/>
      </w:rPr>
    </w:lvl>
  </w:abstractNum>
  <w:abstractNum w:abstractNumId="19" w15:restartNumberingAfterBreak="0">
    <w:nsid w:val="514B700F"/>
    <w:multiLevelType w:val="hybridMultilevel"/>
    <w:tmpl w:val="9E6635CE"/>
    <w:lvl w:ilvl="0" w:tplc="705E4E3A">
      <w:start w:val="1"/>
      <w:numFmt w:val="bullet"/>
      <w:lvlText w:val=""/>
      <w:lvlJc w:val="left"/>
      <w:pPr>
        <w:tabs>
          <w:tab w:val="num" w:pos="720"/>
        </w:tabs>
        <w:ind w:left="720" w:hanging="360"/>
      </w:pPr>
      <w:rPr>
        <w:rFonts w:ascii="Symbol" w:hAnsi="Symbol" w:hint="default"/>
      </w:rPr>
    </w:lvl>
    <w:lvl w:ilvl="1" w:tplc="7E8052D4" w:tentative="1">
      <w:start w:val="1"/>
      <w:numFmt w:val="bullet"/>
      <w:lvlText w:val=""/>
      <w:lvlJc w:val="left"/>
      <w:pPr>
        <w:tabs>
          <w:tab w:val="num" w:pos="1440"/>
        </w:tabs>
        <w:ind w:left="1440" w:hanging="360"/>
      </w:pPr>
      <w:rPr>
        <w:rFonts w:ascii="Symbol" w:hAnsi="Symbol" w:hint="default"/>
      </w:rPr>
    </w:lvl>
    <w:lvl w:ilvl="2" w:tplc="034482C8" w:tentative="1">
      <w:start w:val="1"/>
      <w:numFmt w:val="bullet"/>
      <w:lvlText w:val=""/>
      <w:lvlJc w:val="left"/>
      <w:pPr>
        <w:tabs>
          <w:tab w:val="num" w:pos="2160"/>
        </w:tabs>
        <w:ind w:left="2160" w:hanging="360"/>
      </w:pPr>
      <w:rPr>
        <w:rFonts w:ascii="Symbol" w:hAnsi="Symbol" w:hint="default"/>
      </w:rPr>
    </w:lvl>
    <w:lvl w:ilvl="3" w:tplc="A8AA2856" w:tentative="1">
      <w:start w:val="1"/>
      <w:numFmt w:val="bullet"/>
      <w:lvlText w:val=""/>
      <w:lvlJc w:val="left"/>
      <w:pPr>
        <w:tabs>
          <w:tab w:val="num" w:pos="2880"/>
        </w:tabs>
        <w:ind w:left="2880" w:hanging="360"/>
      </w:pPr>
      <w:rPr>
        <w:rFonts w:ascii="Symbol" w:hAnsi="Symbol" w:hint="default"/>
      </w:rPr>
    </w:lvl>
    <w:lvl w:ilvl="4" w:tplc="E35E2AAA" w:tentative="1">
      <w:start w:val="1"/>
      <w:numFmt w:val="bullet"/>
      <w:lvlText w:val=""/>
      <w:lvlJc w:val="left"/>
      <w:pPr>
        <w:tabs>
          <w:tab w:val="num" w:pos="3600"/>
        </w:tabs>
        <w:ind w:left="3600" w:hanging="360"/>
      </w:pPr>
      <w:rPr>
        <w:rFonts w:ascii="Symbol" w:hAnsi="Symbol" w:hint="default"/>
      </w:rPr>
    </w:lvl>
    <w:lvl w:ilvl="5" w:tplc="108C515C" w:tentative="1">
      <w:start w:val="1"/>
      <w:numFmt w:val="bullet"/>
      <w:lvlText w:val=""/>
      <w:lvlJc w:val="left"/>
      <w:pPr>
        <w:tabs>
          <w:tab w:val="num" w:pos="4320"/>
        </w:tabs>
        <w:ind w:left="4320" w:hanging="360"/>
      </w:pPr>
      <w:rPr>
        <w:rFonts w:ascii="Symbol" w:hAnsi="Symbol" w:hint="default"/>
      </w:rPr>
    </w:lvl>
    <w:lvl w:ilvl="6" w:tplc="C07E2EA6" w:tentative="1">
      <w:start w:val="1"/>
      <w:numFmt w:val="bullet"/>
      <w:lvlText w:val=""/>
      <w:lvlJc w:val="left"/>
      <w:pPr>
        <w:tabs>
          <w:tab w:val="num" w:pos="5040"/>
        </w:tabs>
        <w:ind w:left="5040" w:hanging="360"/>
      </w:pPr>
      <w:rPr>
        <w:rFonts w:ascii="Symbol" w:hAnsi="Symbol" w:hint="default"/>
      </w:rPr>
    </w:lvl>
    <w:lvl w:ilvl="7" w:tplc="EC180904" w:tentative="1">
      <w:start w:val="1"/>
      <w:numFmt w:val="bullet"/>
      <w:lvlText w:val=""/>
      <w:lvlJc w:val="left"/>
      <w:pPr>
        <w:tabs>
          <w:tab w:val="num" w:pos="5760"/>
        </w:tabs>
        <w:ind w:left="5760" w:hanging="360"/>
      </w:pPr>
      <w:rPr>
        <w:rFonts w:ascii="Symbol" w:hAnsi="Symbol" w:hint="default"/>
      </w:rPr>
    </w:lvl>
    <w:lvl w:ilvl="8" w:tplc="456CA72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33F439F"/>
    <w:multiLevelType w:val="hybridMultilevel"/>
    <w:tmpl w:val="BFB40092"/>
    <w:lvl w:ilvl="0" w:tplc="19320612">
      <w:numFmt w:val="bullet"/>
      <w:lvlText w:val=""/>
      <w:lvlJc w:val="left"/>
      <w:pPr>
        <w:ind w:left="841" w:hanging="361"/>
      </w:pPr>
      <w:rPr>
        <w:rFonts w:ascii="Symbol" w:eastAsia="Symbol" w:hAnsi="Symbol" w:cs="Symbol" w:hint="default"/>
        <w:b w:val="0"/>
        <w:bCs w:val="0"/>
        <w:i w:val="0"/>
        <w:iCs w:val="0"/>
        <w:color w:val="466DB4"/>
        <w:spacing w:val="0"/>
        <w:w w:val="99"/>
        <w:sz w:val="19"/>
        <w:szCs w:val="19"/>
        <w:lang w:val="en-US" w:eastAsia="en-US" w:bidi="ar-SA"/>
      </w:rPr>
    </w:lvl>
    <w:lvl w:ilvl="1" w:tplc="37E0FBFE">
      <w:numFmt w:val="bullet"/>
      <w:lvlText w:val="•"/>
      <w:lvlJc w:val="left"/>
      <w:pPr>
        <w:ind w:left="1727" w:hanging="361"/>
      </w:pPr>
      <w:rPr>
        <w:rFonts w:hint="default"/>
        <w:lang w:val="en-US" w:eastAsia="en-US" w:bidi="ar-SA"/>
      </w:rPr>
    </w:lvl>
    <w:lvl w:ilvl="2" w:tplc="E4A63722">
      <w:numFmt w:val="bullet"/>
      <w:lvlText w:val="•"/>
      <w:lvlJc w:val="left"/>
      <w:pPr>
        <w:ind w:left="2615" w:hanging="361"/>
      </w:pPr>
      <w:rPr>
        <w:rFonts w:hint="default"/>
        <w:lang w:val="en-US" w:eastAsia="en-US" w:bidi="ar-SA"/>
      </w:rPr>
    </w:lvl>
    <w:lvl w:ilvl="3" w:tplc="8F4C0300">
      <w:numFmt w:val="bullet"/>
      <w:lvlText w:val="•"/>
      <w:lvlJc w:val="left"/>
      <w:pPr>
        <w:ind w:left="3503" w:hanging="361"/>
      </w:pPr>
      <w:rPr>
        <w:rFonts w:hint="default"/>
        <w:lang w:val="en-US" w:eastAsia="en-US" w:bidi="ar-SA"/>
      </w:rPr>
    </w:lvl>
    <w:lvl w:ilvl="4" w:tplc="7794EA98">
      <w:numFmt w:val="bullet"/>
      <w:lvlText w:val="•"/>
      <w:lvlJc w:val="left"/>
      <w:pPr>
        <w:ind w:left="4391" w:hanging="361"/>
      </w:pPr>
      <w:rPr>
        <w:rFonts w:hint="default"/>
        <w:lang w:val="en-US" w:eastAsia="en-US" w:bidi="ar-SA"/>
      </w:rPr>
    </w:lvl>
    <w:lvl w:ilvl="5" w:tplc="6C789468">
      <w:numFmt w:val="bullet"/>
      <w:lvlText w:val="•"/>
      <w:lvlJc w:val="left"/>
      <w:pPr>
        <w:ind w:left="5279" w:hanging="361"/>
      </w:pPr>
      <w:rPr>
        <w:rFonts w:hint="default"/>
        <w:lang w:val="en-US" w:eastAsia="en-US" w:bidi="ar-SA"/>
      </w:rPr>
    </w:lvl>
    <w:lvl w:ilvl="6" w:tplc="EEBA0BFA">
      <w:numFmt w:val="bullet"/>
      <w:lvlText w:val="•"/>
      <w:lvlJc w:val="left"/>
      <w:pPr>
        <w:ind w:left="6167" w:hanging="361"/>
      </w:pPr>
      <w:rPr>
        <w:rFonts w:hint="default"/>
        <w:lang w:val="en-US" w:eastAsia="en-US" w:bidi="ar-SA"/>
      </w:rPr>
    </w:lvl>
    <w:lvl w:ilvl="7" w:tplc="C082DB1C">
      <w:numFmt w:val="bullet"/>
      <w:lvlText w:val="•"/>
      <w:lvlJc w:val="left"/>
      <w:pPr>
        <w:ind w:left="7055" w:hanging="361"/>
      </w:pPr>
      <w:rPr>
        <w:rFonts w:hint="default"/>
        <w:lang w:val="en-US" w:eastAsia="en-US" w:bidi="ar-SA"/>
      </w:rPr>
    </w:lvl>
    <w:lvl w:ilvl="8" w:tplc="42E22604">
      <w:numFmt w:val="bullet"/>
      <w:lvlText w:val="•"/>
      <w:lvlJc w:val="left"/>
      <w:pPr>
        <w:ind w:left="7943" w:hanging="361"/>
      </w:pPr>
      <w:rPr>
        <w:rFonts w:hint="default"/>
        <w:lang w:val="en-US" w:eastAsia="en-US" w:bidi="ar-SA"/>
      </w:rPr>
    </w:lvl>
  </w:abstractNum>
  <w:abstractNum w:abstractNumId="21" w15:restartNumberingAfterBreak="0">
    <w:nsid w:val="66910D52"/>
    <w:multiLevelType w:val="hybridMultilevel"/>
    <w:tmpl w:val="6414BD9A"/>
    <w:lvl w:ilvl="0" w:tplc="31A6FC52">
      <w:numFmt w:val="bullet"/>
      <w:lvlText w:val="-"/>
      <w:lvlJc w:val="left"/>
      <w:pPr>
        <w:ind w:left="296" w:hanging="116"/>
      </w:pPr>
      <w:rPr>
        <w:rFonts w:ascii="Arial" w:eastAsia="Arial" w:hAnsi="Arial" w:cs="Arial" w:hint="default"/>
        <w:b w:val="0"/>
        <w:bCs w:val="0"/>
        <w:i w:val="0"/>
        <w:iCs w:val="0"/>
        <w:spacing w:val="0"/>
        <w:w w:val="99"/>
        <w:sz w:val="19"/>
        <w:szCs w:val="19"/>
        <w:lang w:val="en-US" w:eastAsia="en-US" w:bidi="ar-SA"/>
      </w:rPr>
    </w:lvl>
    <w:lvl w:ilvl="1" w:tplc="9DCAD1B6">
      <w:numFmt w:val="bullet"/>
      <w:lvlText w:val="•"/>
      <w:lvlJc w:val="left"/>
      <w:pPr>
        <w:ind w:left="930" w:hanging="116"/>
      </w:pPr>
      <w:rPr>
        <w:rFonts w:hint="default"/>
        <w:lang w:val="en-US" w:eastAsia="en-US" w:bidi="ar-SA"/>
      </w:rPr>
    </w:lvl>
    <w:lvl w:ilvl="2" w:tplc="AF48E592">
      <w:numFmt w:val="bullet"/>
      <w:lvlText w:val="•"/>
      <w:lvlJc w:val="left"/>
      <w:pPr>
        <w:ind w:left="1561" w:hanging="116"/>
      </w:pPr>
      <w:rPr>
        <w:rFonts w:hint="default"/>
        <w:lang w:val="en-US" w:eastAsia="en-US" w:bidi="ar-SA"/>
      </w:rPr>
    </w:lvl>
    <w:lvl w:ilvl="3" w:tplc="A1245390">
      <w:numFmt w:val="bullet"/>
      <w:lvlText w:val="•"/>
      <w:lvlJc w:val="left"/>
      <w:pPr>
        <w:ind w:left="2191" w:hanging="116"/>
      </w:pPr>
      <w:rPr>
        <w:rFonts w:hint="default"/>
        <w:lang w:val="en-US" w:eastAsia="en-US" w:bidi="ar-SA"/>
      </w:rPr>
    </w:lvl>
    <w:lvl w:ilvl="4" w:tplc="2078E5F0">
      <w:numFmt w:val="bullet"/>
      <w:lvlText w:val="•"/>
      <w:lvlJc w:val="left"/>
      <w:pPr>
        <w:ind w:left="2822" w:hanging="116"/>
      </w:pPr>
      <w:rPr>
        <w:rFonts w:hint="default"/>
        <w:lang w:val="en-US" w:eastAsia="en-US" w:bidi="ar-SA"/>
      </w:rPr>
    </w:lvl>
    <w:lvl w:ilvl="5" w:tplc="B3A43B3A">
      <w:numFmt w:val="bullet"/>
      <w:lvlText w:val="•"/>
      <w:lvlJc w:val="left"/>
      <w:pPr>
        <w:ind w:left="3453" w:hanging="116"/>
      </w:pPr>
      <w:rPr>
        <w:rFonts w:hint="default"/>
        <w:lang w:val="en-US" w:eastAsia="en-US" w:bidi="ar-SA"/>
      </w:rPr>
    </w:lvl>
    <w:lvl w:ilvl="6" w:tplc="A9F4806E">
      <w:numFmt w:val="bullet"/>
      <w:lvlText w:val="•"/>
      <w:lvlJc w:val="left"/>
      <w:pPr>
        <w:ind w:left="4083" w:hanging="116"/>
      </w:pPr>
      <w:rPr>
        <w:rFonts w:hint="default"/>
        <w:lang w:val="en-US" w:eastAsia="en-US" w:bidi="ar-SA"/>
      </w:rPr>
    </w:lvl>
    <w:lvl w:ilvl="7" w:tplc="92A418CE">
      <w:numFmt w:val="bullet"/>
      <w:lvlText w:val="•"/>
      <w:lvlJc w:val="left"/>
      <w:pPr>
        <w:ind w:left="4714" w:hanging="116"/>
      </w:pPr>
      <w:rPr>
        <w:rFonts w:hint="default"/>
        <w:lang w:val="en-US" w:eastAsia="en-US" w:bidi="ar-SA"/>
      </w:rPr>
    </w:lvl>
    <w:lvl w:ilvl="8" w:tplc="DAA47DF0">
      <w:numFmt w:val="bullet"/>
      <w:lvlText w:val="•"/>
      <w:lvlJc w:val="left"/>
      <w:pPr>
        <w:ind w:left="5344" w:hanging="116"/>
      </w:pPr>
      <w:rPr>
        <w:rFonts w:hint="default"/>
        <w:lang w:val="en-US" w:eastAsia="en-US" w:bidi="ar-SA"/>
      </w:rPr>
    </w:lvl>
  </w:abstractNum>
  <w:abstractNum w:abstractNumId="22" w15:restartNumberingAfterBreak="0">
    <w:nsid w:val="6A767790"/>
    <w:multiLevelType w:val="hybridMultilevel"/>
    <w:tmpl w:val="60CE44CC"/>
    <w:lvl w:ilvl="0" w:tplc="C6AA15D4">
      <w:numFmt w:val="bullet"/>
      <w:lvlText w:val="-"/>
      <w:lvlJc w:val="left"/>
      <w:pPr>
        <w:ind w:left="296" w:hanging="116"/>
      </w:pPr>
      <w:rPr>
        <w:rFonts w:ascii="Arial" w:eastAsia="Arial" w:hAnsi="Arial" w:cs="Arial" w:hint="default"/>
        <w:b w:val="0"/>
        <w:bCs w:val="0"/>
        <w:i w:val="0"/>
        <w:iCs w:val="0"/>
        <w:spacing w:val="0"/>
        <w:w w:val="99"/>
        <w:sz w:val="19"/>
        <w:szCs w:val="19"/>
        <w:lang w:val="en-US" w:eastAsia="en-US" w:bidi="ar-SA"/>
      </w:rPr>
    </w:lvl>
    <w:lvl w:ilvl="1" w:tplc="C69626A4">
      <w:numFmt w:val="bullet"/>
      <w:lvlText w:val="•"/>
      <w:lvlJc w:val="left"/>
      <w:pPr>
        <w:ind w:left="930" w:hanging="116"/>
      </w:pPr>
      <w:rPr>
        <w:rFonts w:hint="default"/>
        <w:lang w:val="en-US" w:eastAsia="en-US" w:bidi="ar-SA"/>
      </w:rPr>
    </w:lvl>
    <w:lvl w:ilvl="2" w:tplc="A47A663C">
      <w:numFmt w:val="bullet"/>
      <w:lvlText w:val="•"/>
      <w:lvlJc w:val="left"/>
      <w:pPr>
        <w:ind w:left="1561" w:hanging="116"/>
      </w:pPr>
      <w:rPr>
        <w:rFonts w:hint="default"/>
        <w:lang w:val="en-US" w:eastAsia="en-US" w:bidi="ar-SA"/>
      </w:rPr>
    </w:lvl>
    <w:lvl w:ilvl="3" w:tplc="6248B972">
      <w:numFmt w:val="bullet"/>
      <w:lvlText w:val="•"/>
      <w:lvlJc w:val="left"/>
      <w:pPr>
        <w:ind w:left="2191" w:hanging="116"/>
      </w:pPr>
      <w:rPr>
        <w:rFonts w:hint="default"/>
        <w:lang w:val="en-US" w:eastAsia="en-US" w:bidi="ar-SA"/>
      </w:rPr>
    </w:lvl>
    <w:lvl w:ilvl="4" w:tplc="E3245CA8">
      <w:numFmt w:val="bullet"/>
      <w:lvlText w:val="•"/>
      <w:lvlJc w:val="left"/>
      <w:pPr>
        <w:ind w:left="2822" w:hanging="116"/>
      </w:pPr>
      <w:rPr>
        <w:rFonts w:hint="default"/>
        <w:lang w:val="en-US" w:eastAsia="en-US" w:bidi="ar-SA"/>
      </w:rPr>
    </w:lvl>
    <w:lvl w:ilvl="5" w:tplc="36829266">
      <w:numFmt w:val="bullet"/>
      <w:lvlText w:val="•"/>
      <w:lvlJc w:val="left"/>
      <w:pPr>
        <w:ind w:left="3453" w:hanging="116"/>
      </w:pPr>
      <w:rPr>
        <w:rFonts w:hint="default"/>
        <w:lang w:val="en-US" w:eastAsia="en-US" w:bidi="ar-SA"/>
      </w:rPr>
    </w:lvl>
    <w:lvl w:ilvl="6" w:tplc="C17665CE">
      <w:numFmt w:val="bullet"/>
      <w:lvlText w:val="•"/>
      <w:lvlJc w:val="left"/>
      <w:pPr>
        <w:ind w:left="4083" w:hanging="116"/>
      </w:pPr>
      <w:rPr>
        <w:rFonts w:hint="default"/>
        <w:lang w:val="en-US" w:eastAsia="en-US" w:bidi="ar-SA"/>
      </w:rPr>
    </w:lvl>
    <w:lvl w:ilvl="7" w:tplc="0894982A">
      <w:numFmt w:val="bullet"/>
      <w:lvlText w:val="•"/>
      <w:lvlJc w:val="left"/>
      <w:pPr>
        <w:ind w:left="4714" w:hanging="116"/>
      </w:pPr>
      <w:rPr>
        <w:rFonts w:hint="default"/>
        <w:lang w:val="en-US" w:eastAsia="en-US" w:bidi="ar-SA"/>
      </w:rPr>
    </w:lvl>
    <w:lvl w:ilvl="8" w:tplc="EBB650F6">
      <w:numFmt w:val="bullet"/>
      <w:lvlText w:val="•"/>
      <w:lvlJc w:val="left"/>
      <w:pPr>
        <w:ind w:left="5344" w:hanging="116"/>
      </w:pPr>
      <w:rPr>
        <w:rFonts w:hint="default"/>
        <w:lang w:val="en-US" w:eastAsia="en-US" w:bidi="ar-SA"/>
      </w:rPr>
    </w:lvl>
  </w:abstractNum>
  <w:abstractNum w:abstractNumId="23" w15:restartNumberingAfterBreak="0">
    <w:nsid w:val="71422F71"/>
    <w:multiLevelType w:val="hybridMultilevel"/>
    <w:tmpl w:val="57F86074"/>
    <w:lvl w:ilvl="0" w:tplc="C83C53CE">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84C6FE2A">
      <w:start w:val="1"/>
      <w:numFmt w:val="decimal"/>
      <w:lvlText w:val="%2)"/>
      <w:lvlJc w:val="left"/>
      <w:pPr>
        <w:ind w:left="1201" w:hanging="361"/>
      </w:pPr>
      <w:rPr>
        <w:rFonts w:ascii="Arial" w:eastAsia="Arial" w:hAnsi="Arial" w:cs="Arial" w:hint="default"/>
        <w:b w:val="0"/>
        <w:bCs w:val="0"/>
        <w:i w:val="0"/>
        <w:iCs w:val="0"/>
        <w:spacing w:val="0"/>
        <w:w w:val="99"/>
        <w:sz w:val="19"/>
        <w:szCs w:val="19"/>
        <w:lang w:val="en-US" w:eastAsia="en-US" w:bidi="ar-SA"/>
      </w:rPr>
    </w:lvl>
    <w:lvl w:ilvl="2" w:tplc="3ADEAF62">
      <w:numFmt w:val="bullet"/>
      <w:lvlText w:val="•"/>
      <w:lvlJc w:val="left"/>
      <w:pPr>
        <w:ind w:left="2146" w:hanging="361"/>
      </w:pPr>
      <w:rPr>
        <w:rFonts w:hint="default"/>
        <w:lang w:val="en-US" w:eastAsia="en-US" w:bidi="ar-SA"/>
      </w:rPr>
    </w:lvl>
    <w:lvl w:ilvl="3" w:tplc="C4E63318">
      <w:numFmt w:val="bullet"/>
      <w:lvlText w:val="•"/>
      <w:lvlJc w:val="left"/>
      <w:pPr>
        <w:ind w:left="3093" w:hanging="361"/>
      </w:pPr>
      <w:rPr>
        <w:rFonts w:hint="default"/>
        <w:lang w:val="en-US" w:eastAsia="en-US" w:bidi="ar-SA"/>
      </w:rPr>
    </w:lvl>
    <w:lvl w:ilvl="4" w:tplc="6ACEC628">
      <w:numFmt w:val="bullet"/>
      <w:lvlText w:val="•"/>
      <w:lvlJc w:val="left"/>
      <w:pPr>
        <w:ind w:left="4039" w:hanging="361"/>
      </w:pPr>
      <w:rPr>
        <w:rFonts w:hint="default"/>
        <w:lang w:val="en-US" w:eastAsia="en-US" w:bidi="ar-SA"/>
      </w:rPr>
    </w:lvl>
    <w:lvl w:ilvl="5" w:tplc="8E32AC42">
      <w:numFmt w:val="bullet"/>
      <w:lvlText w:val="•"/>
      <w:lvlJc w:val="left"/>
      <w:pPr>
        <w:ind w:left="4986" w:hanging="361"/>
      </w:pPr>
      <w:rPr>
        <w:rFonts w:hint="default"/>
        <w:lang w:val="en-US" w:eastAsia="en-US" w:bidi="ar-SA"/>
      </w:rPr>
    </w:lvl>
    <w:lvl w:ilvl="6" w:tplc="0B7275BA">
      <w:numFmt w:val="bullet"/>
      <w:lvlText w:val="•"/>
      <w:lvlJc w:val="left"/>
      <w:pPr>
        <w:ind w:left="5932" w:hanging="361"/>
      </w:pPr>
      <w:rPr>
        <w:rFonts w:hint="default"/>
        <w:lang w:val="en-US" w:eastAsia="en-US" w:bidi="ar-SA"/>
      </w:rPr>
    </w:lvl>
    <w:lvl w:ilvl="7" w:tplc="012AF08C">
      <w:numFmt w:val="bullet"/>
      <w:lvlText w:val="•"/>
      <w:lvlJc w:val="left"/>
      <w:pPr>
        <w:ind w:left="6879" w:hanging="361"/>
      </w:pPr>
      <w:rPr>
        <w:rFonts w:hint="default"/>
        <w:lang w:val="en-US" w:eastAsia="en-US" w:bidi="ar-SA"/>
      </w:rPr>
    </w:lvl>
    <w:lvl w:ilvl="8" w:tplc="C3A66272">
      <w:numFmt w:val="bullet"/>
      <w:lvlText w:val="•"/>
      <w:lvlJc w:val="left"/>
      <w:pPr>
        <w:ind w:left="7826" w:hanging="361"/>
      </w:pPr>
      <w:rPr>
        <w:rFonts w:hint="default"/>
        <w:lang w:val="en-US" w:eastAsia="en-US" w:bidi="ar-SA"/>
      </w:rPr>
    </w:lvl>
  </w:abstractNum>
  <w:abstractNum w:abstractNumId="24" w15:restartNumberingAfterBreak="0">
    <w:nsid w:val="73BE1DFE"/>
    <w:multiLevelType w:val="hybridMultilevel"/>
    <w:tmpl w:val="9D3CA8A2"/>
    <w:lvl w:ilvl="0" w:tplc="D2CC8624">
      <w:numFmt w:val="bullet"/>
      <w:lvlText w:val=""/>
      <w:lvlJc w:val="left"/>
      <w:pPr>
        <w:ind w:left="2421" w:hanging="361"/>
      </w:pPr>
      <w:rPr>
        <w:rFonts w:ascii="Symbol" w:eastAsia="Symbol" w:hAnsi="Symbol" w:cs="Symbol" w:hint="default"/>
        <w:b w:val="0"/>
        <w:bCs w:val="0"/>
        <w:i w:val="0"/>
        <w:iCs w:val="0"/>
        <w:color w:val="466DB4"/>
        <w:spacing w:val="0"/>
        <w:w w:val="99"/>
        <w:sz w:val="19"/>
        <w:szCs w:val="19"/>
        <w:lang w:val="en-US" w:eastAsia="en-US" w:bidi="ar-SA"/>
      </w:rPr>
    </w:lvl>
    <w:lvl w:ilvl="1" w:tplc="B776A9CE">
      <w:numFmt w:val="bullet"/>
      <w:lvlText w:val="•"/>
      <w:lvlJc w:val="left"/>
      <w:pPr>
        <w:ind w:left="3367" w:hanging="361"/>
      </w:pPr>
      <w:rPr>
        <w:rFonts w:hint="default"/>
        <w:lang w:val="en-US" w:eastAsia="en-US" w:bidi="ar-SA"/>
      </w:rPr>
    </w:lvl>
    <w:lvl w:ilvl="2" w:tplc="B774842E">
      <w:numFmt w:val="bullet"/>
      <w:lvlText w:val="•"/>
      <w:lvlJc w:val="left"/>
      <w:pPr>
        <w:ind w:left="4315" w:hanging="361"/>
      </w:pPr>
      <w:rPr>
        <w:rFonts w:hint="default"/>
        <w:lang w:val="en-US" w:eastAsia="en-US" w:bidi="ar-SA"/>
      </w:rPr>
    </w:lvl>
    <w:lvl w:ilvl="3" w:tplc="753CEA40">
      <w:numFmt w:val="bullet"/>
      <w:lvlText w:val="•"/>
      <w:lvlJc w:val="left"/>
      <w:pPr>
        <w:ind w:left="5263" w:hanging="361"/>
      </w:pPr>
      <w:rPr>
        <w:rFonts w:hint="default"/>
        <w:lang w:val="en-US" w:eastAsia="en-US" w:bidi="ar-SA"/>
      </w:rPr>
    </w:lvl>
    <w:lvl w:ilvl="4" w:tplc="24D0C1DC">
      <w:numFmt w:val="bullet"/>
      <w:lvlText w:val="•"/>
      <w:lvlJc w:val="left"/>
      <w:pPr>
        <w:ind w:left="6211" w:hanging="361"/>
      </w:pPr>
      <w:rPr>
        <w:rFonts w:hint="default"/>
        <w:lang w:val="en-US" w:eastAsia="en-US" w:bidi="ar-SA"/>
      </w:rPr>
    </w:lvl>
    <w:lvl w:ilvl="5" w:tplc="BD0AB828">
      <w:numFmt w:val="bullet"/>
      <w:lvlText w:val="•"/>
      <w:lvlJc w:val="left"/>
      <w:pPr>
        <w:ind w:left="7159" w:hanging="361"/>
      </w:pPr>
      <w:rPr>
        <w:rFonts w:hint="default"/>
        <w:lang w:val="en-US" w:eastAsia="en-US" w:bidi="ar-SA"/>
      </w:rPr>
    </w:lvl>
    <w:lvl w:ilvl="6" w:tplc="4A0C3052">
      <w:numFmt w:val="bullet"/>
      <w:lvlText w:val="•"/>
      <w:lvlJc w:val="left"/>
      <w:pPr>
        <w:ind w:left="8107" w:hanging="361"/>
      </w:pPr>
      <w:rPr>
        <w:rFonts w:hint="default"/>
        <w:lang w:val="en-US" w:eastAsia="en-US" w:bidi="ar-SA"/>
      </w:rPr>
    </w:lvl>
    <w:lvl w:ilvl="7" w:tplc="3B3CDCB0">
      <w:numFmt w:val="bullet"/>
      <w:lvlText w:val="•"/>
      <w:lvlJc w:val="left"/>
      <w:pPr>
        <w:ind w:left="9055" w:hanging="361"/>
      </w:pPr>
      <w:rPr>
        <w:rFonts w:hint="default"/>
        <w:lang w:val="en-US" w:eastAsia="en-US" w:bidi="ar-SA"/>
      </w:rPr>
    </w:lvl>
    <w:lvl w:ilvl="8" w:tplc="039CD4F2">
      <w:numFmt w:val="bullet"/>
      <w:lvlText w:val="•"/>
      <w:lvlJc w:val="left"/>
      <w:pPr>
        <w:ind w:left="10003" w:hanging="361"/>
      </w:pPr>
      <w:rPr>
        <w:rFonts w:hint="default"/>
        <w:lang w:val="en-US" w:eastAsia="en-US" w:bidi="ar-SA"/>
      </w:rPr>
    </w:lvl>
  </w:abstractNum>
  <w:abstractNum w:abstractNumId="25" w15:restartNumberingAfterBreak="0">
    <w:nsid w:val="741E015D"/>
    <w:multiLevelType w:val="hybridMultilevel"/>
    <w:tmpl w:val="07BE4D4C"/>
    <w:lvl w:ilvl="0" w:tplc="C96A8D96">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145C4ED2">
      <w:start w:val="1"/>
      <w:numFmt w:val="upperLetter"/>
      <w:lvlText w:val="%2."/>
      <w:lvlJc w:val="left"/>
      <w:pPr>
        <w:ind w:left="841" w:hanging="360"/>
      </w:pPr>
      <w:rPr>
        <w:rFonts w:ascii="Arial" w:eastAsia="Arial" w:hAnsi="Arial" w:cs="Arial" w:hint="default"/>
        <w:b w:val="0"/>
        <w:bCs w:val="0"/>
        <w:i w:val="0"/>
        <w:iCs w:val="0"/>
        <w:spacing w:val="0"/>
        <w:w w:val="99"/>
        <w:sz w:val="19"/>
        <w:szCs w:val="19"/>
        <w:lang w:val="en-US" w:eastAsia="en-US" w:bidi="ar-SA"/>
      </w:rPr>
    </w:lvl>
    <w:lvl w:ilvl="2" w:tplc="484E5EAA">
      <w:numFmt w:val="bullet"/>
      <w:lvlText w:val="•"/>
      <w:lvlJc w:val="left"/>
      <w:pPr>
        <w:ind w:left="2615" w:hanging="360"/>
      </w:pPr>
      <w:rPr>
        <w:rFonts w:hint="default"/>
        <w:lang w:val="en-US" w:eastAsia="en-US" w:bidi="ar-SA"/>
      </w:rPr>
    </w:lvl>
    <w:lvl w:ilvl="3" w:tplc="2AB02196">
      <w:numFmt w:val="bullet"/>
      <w:lvlText w:val="•"/>
      <w:lvlJc w:val="left"/>
      <w:pPr>
        <w:ind w:left="3503" w:hanging="360"/>
      </w:pPr>
      <w:rPr>
        <w:rFonts w:hint="default"/>
        <w:lang w:val="en-US" w:eastAsia="en-US" w:bidi="ar-SA"/>
      </w:rPr>
    </w:lvl>
    <w:lvl w:ilvl="4" w:tplc="BEF2C916">
      <w:numFmt w:val="bullet"/>
      <w:lvlText w:val="•"/>
      <w:lvlJc w:val="left"/>
      <w:pPr>
        <w:ind w:left="4391" w:hanging="360"/>
      </w:pPr>
      <w:rPr>
        <w:rFonts w:hint="default"/>
        <w:lang w:val="en-US" w:eastAsia="en-US" w:bidi="ar-SA"/>
      </w:rPr>
    </w:lvl>
    <w:lvl w:ilvl="5" w:tplc="F3222AE8">
      <w:numFmt w:val="bullet"/>
      <w:lvlText w:val="•"/>
      <w:lvlJc w:val="left"/>
      <w:pPr>
        <w:ind w:left="5279" w:hanging="360"/>
      </w:pPr>
      <w:rPr>
        <w:rFonts w:hint="default"/>
        <w:lang w:val="en-US" w:eastAsia="en-US" w:bidi="ar-SA"/>
      </w:rPr>
    </w:lvl>
    <w:lvl w:ilvl="6" w:tplc="8FBCB146">
      <w:numFmt w:val="bullet"/>
      <w:lvlText w:val="•"/>
      <w:lvlJc w:val="left"/>
      <w:pPr>
        <w:ind w:left="6167" w:hanging="360"/>
      </w:pPr>
      <w:rPr>
        <w:rFonts w:hint="default"/>
        <w:lang w:val="en-US" w:eastAsia="en-US" w:bidi="ar-SA"/>
      </w:rPr>
    </w:lvl>
    <w:lvl w:ilvl="7" w:tplc="58E82F5C">
      <w:numFmt w:val="bullet"/>
      <w:lvlText w:val="•"/>
      <w:lvlJc w:val="left"/>
      <w:pPr>
        <w:ind w:left="7055" w:hanging="360"/>
      </w:pPr>
      <w:rPr>
        <w:rFonts w:hint="default"/>
        <w:lang w:val="en-US" w:eastAsia="en-US" w:bidi="ar-SA"/>
      </w:rPr>
    </w:lvl>
    <w:lvl w:ilvl="8" w:tplc="4E86C6BA">
      <w:numFmt w:val="bullet"/>
      <w:lvlText w:val="•"/>
      <w:lvlJc w:val="left"/>
      <w:pPr>
        <w:ind w:left="7943" w:hanging="360"/>
      </w:pPr>
      <w:rPr>
        <w:rFonts w:hint="default"/>
        <w:lang w:val="en-US" w:eastAsia="en-US" w:bidi="ar-SA"/>
      </w:rPr>
    </w:lvl>
  </w:abstractNum>
  <w:abstractNum w:abstractNumId="26" w15:restartNumberingAfterBreak="0">
    <w:nsid w:val="75715264"/>
    <w:multiLevelType w:val="hybridMultilevel"/>
    <w:tmpl w:val="0810B86E"/>
    <w:lvl w:ilvl="0" w:tplc="F3B27442">
      <w:numFmt w:val="bullet"/>
      <w:lvlText w:val=""/>
      <w:lvlJc w:val="left"/>
      <w:pPr>
        <w:ind w:left="2270" w:hanging="286"/>
      </w:pPr>
      <w:rPr>
        <w:rFonts w:ascii="Symbol" w:eastAsia="Symbol" w:hAnsi="Symbol" w:cs="Symbol" w:hint="default"/>
        <w:b w:val="0"/>
        <w:bCs w:val="0"/>
        <w:i w:val="0"/>
        <w:iCs w:val="0"/>
        <w:color w:val="466DB4"/>
        <w:spacing w:val="0"/>
        <w:w w:val="99"/>
        <w:sz w:val="19"/>
        <w:szCs w:val="19"/>
        <w:lang w:val="en-US" w:eastAsia="en-US" w:bidi="ar-SA"/>
      </w:rPr>
    </w:lvl>
    <w:lvl w:ilvl="1" w:tplc="77F42D8E">
      <w:numFmt w:val="bullet"/>
      <w:lvlText w:val="•"/>
      <w:lvlJc w:val="left"/>
      <w:pPr>
        <w:ind w:left="3241" w:hanging="286"/>
      </w:pPr>
      <w:rPr>
        <w:rFonts w:hint="default"/>
        <w:lang w:val="en-US" w:eastAsia="en-US" w:bidi="ar-SA"/>
      </w:rPr>
    </w:lvl>
    <w:lvl w:ilvl="2" w:tplc="1FDEF434">
      <w:numFmt w:val="bullet"/>
      <w:lvlText w:val="•"/>
      <w:lvlJc w:val="left"/>
      <w:pPr>
        <w:ind w:left="4203" w:hanging="286"/>
      </w:pPr>
      <w:rPr>
        <w:rFonts w:hint="default"/>
        <w:lang w:val="en-US" w:eastAsia="en-US" w:bidi="ar-SA"/>
      </w:rPr>
    </w:lvl>
    <w:lvl w:ilvl="3" w:tplc="041A9BE4">
      <w:numFmt w:val="bullet"/>
      <w:lvlText w:val="•"/>
      <w:lvlJc w:val="left"/>
      <w:pPr>
        <w:ind w:left="5165" w:hanging="286"/>
      </w:pPr>
      <w:rPr>
        <w:rFonts w:hint="default"/>
        <w:lang w:val="en-US" w:eastAsia="en-US" w:bidi="ar-SA"/>
      </w:rPr>
    </w:lvl>
    <w:lvl w:ilvl="4" w:tplc="01E619B8">
      <w:numFmt w:val="bullet"/>
      <w:lvlText w:val="•"/>
      <w:lvlJc w:val="left"/>
      <w:pPr>
        <w:ind w:left="6127" w:hanging="286"/>
      </w:pPr>
      <w:rPr>
        <w:rFonts w:hint="default"/>
        <w:lang w:val="en-US" w:eastAsia="en-US" w:bidi="ar-SA"/>
      </w:rPr>
    </w:lvl>
    <w:lvl w:ilvl="5" w:tplc="F87C3D0C">
      <w:numFmt w:val="bullet"/>
      <w:lvlText w:val="•"/>
      <w:lvlJc w:val="left"/>
      <w:pPr>
        <w:ind w:left="7089" w:hanging="286"/>
      </w:pPr>
      <w:rPr>
        <w:rFonts w:hint="default"/>
        <w:lang w:val="en-US" w:eastAsia="en-US" w:bidi="ar-SA"/>
      </w:rPr>
    </w:lvl>
    <w:lvl w:ilvl="6" w:tplc="4C66571A">
      <w:numFmt w:val="bullet"/>
      <w:lvlText w:val="•"/>
      <w:lvlJc w:val="left"/>
      <w:pPr>
        <w:ind w:left="8051" w:hanging="286"/>
      </w:pPr>
      <w:rPr>
        <w:rFonts w:hint="default"/>
        <w:lang w:val="en-US" w:eastAsia="en-US" w:bidi="ar-SA"/>
      </w:rPr>
    </w:lvl>
    <w:lvl w:ilvl="7" w:tplc="EDA0CA9E">
      <w:numFmt w:val="bullet"/>
      <w:lvlText w:val="•"/>
      <w:lvlJc w:val="left"/>
      <w:pPr>
        <w:ind w:left="9013" w:hanging="286"/>
      </w:pPr>
      <w:rPr>
        <w:rFonts w:hint="default"/>
        <w:lang w:val="en-US" w:eastAsia="en-US" w:bidi="ar-SA"/>
      </w:rPr>
    </w:lvl>
    <w:lvl w:ilvl="8" w:tplc="B39843CA">
      <w:numFmt w:val="bullet"/>
      <w:lvlText w:val="•"/>
      <w:lvlJc w:val="left"/>
      <w:pPr>
        <w:ind w:left="9975" w:hanging="286"/>
      </w:pPr>
      <w:rPr>
        <w:rFonts w:hint="default"/>
        <w:lang w:val="en-US" w:eastAsia="en-US" w:bidi="ar-SA"/>
      </w:rPr>
    </w:lvl>
  </w:abstractNum>
  <w:abstractNum w:abstractNumId="27" w15:restartNumberingAfterBreak="0">
    <w:nsid w:val="7D741F27"/>
    <w:multiLevelType w:val="hybridMultilevel"/>
    <w:tmpl w:val="89BEDCD4"/>
    <w:lvl w:ilvl="0" w:tplc="37982948">
      <w:start w:val="1"/>
      <w:numFmt w:val="lowerLetter"/>
      <w:lvlText w:val="%1)"/>
      <w:lvlJc w:val="left"/>
      <w:pPr>
        <w:ind w:left="841" w:hanging="361"/>
      </w:pPr>
      <w:rPr>
        <w:rFonts w:ascii="Arial" w:eastAsia="Arial" w:hAnsi="Arial" w:cs="Arial" w:hint="default"/>
        <w:b w:val="0"/>
        <w:bCs w:val="0"/>
        <w:i w:val="0"/>
        <w:iCs w:val="0"/>
        <w:spacing w:val="0"/>
        <w:w w:val="99"/>
        <w:sz w:val="19"/>
        <w:szCs w:val="19"/>
        <w:lang w:val="en-US" w:eastAsia="en-US" w:bidi="ar-SA"/>
      </w:rPr>
    </w:lvl>
    <w:lvl w:ilvl="1" w:tplc="2166B1A4">
      <w:numFmt w:val="bullet"/>
      <w:lvlText w:val="•"/>
      <w:lvlJc w:val="left"/>
      <w:pPr>
        <w:ind w:left="1727" w:hanging="361"/>
      </w:pPr>
      <w:rPr>
        <w:rFonts w:hint="default"/>
        <w:lang w:val="en-US" w:eastAsia="en-US" w:bidi="ar-SA"/>
      </w:rPr>
    </w:lvl>
    <w:lvl w:ilvl="2" w:tplc="8F54F7FC">
      <w:numFmt w:val="bullet"/>
      <w:lvlText w:val="•"/>
      <w:lvlJc w:val="left"/>
      <w:pPr>
        <w:ind w:left="2615" w:hanging="361"/>
      </w:pPr>
      <w:rPr>
        <w:rFonts w:hint="default"/>
        <w:lang w:val="en-US" w:eastAsia="en-US" w:bidi="ar-SA"/>
      </w:rPr>
    </w:lvl>
    <w:lvl w:ilvl="3" w:tplc="21E6EBC8">
      <w:numFmt w:val="bullet"/>
      <w:lvlText w:val="•"/>
      <w:lvlJc w:val="left"/>
      <w:pPr>
        <w:ind w:left="3503" w:hanging="361"/>
      </w:pPr>
      <w:rPr>
        <w:rFonts w:hint="default"/>
        <w:lang w:val="en-US" w:eastAsia="en-US" w:bidi="ar-SA"/>
      </w:rPr>
    </w:lvl>
    <w:lvl w:ilvl="4" w:tplc="EA24F472">
      <w:numFmt w:val="bullet"/>
      <w:lvlText w:val="•"/>
      <w:lvlJc w:val="left"/>
      <w:pPr>
        <w:ind w:left="4391" w:hanging="361"/>
      </w:pPr>
      <w:rPr>
        <w:rFonts w:hint="default"/>
        <w:lang w:val="en-US" w:eastAsia="en-US" w:bidi="ar-SA"/>
      </w:rPr>
    </w:lvl>
    <w:lvl w:ilvl="5" w:tplc="7FCAEB30">
      <w:numFmt w:val="bullet"/>
      <w:lvlText w:val="•"/>
      <w:lvlJc w:val="left"/>
      <w:pPr>
        <w:ind w:left="5279" w:hanging="361"/>
      </w:pPr>
      <w:rPr>
        <w:rFonts w:hint="default"/>
        <w:lang w:val="en-US" w:eastAsia="en-US" w:bidi="ar-SA"/>
      </w:rPr>
    </w:lvl>
    <w:lvl w:ilvl="6" w:tplc="3468C860">
      <w:numFmt w:val="bullet"/>
      <w:lvlText w:val="•"/>
      <w:lvlJc w:val="left"/>
      <w:pPr>
        <w:ind w:left="6167" w:hanging="361"/>
      </w:pPr>
      <w:rPr>
        <w:rFonts w:hint="default"/>
        <w:lang w:val="en-US" w:eastAsia="en-US" w:bidi="ar-SA"/>
      </w:rPr>
    </w:lvl>
    <w:lvl w:ilvl="7" w:tplc="8EDC2CC6">
      <w:numFmt w:val="bullet"/>
      <w:lvlText w:val="•"/>
      <w:lvlJc w:val="left"/>
      <w:pPr>
        <w:ind w:left="7055" w:hanging="361"/>
      </w:pPr>
      <w:rPr>
        <w:rFonts w:hint="default"/>
        <w:lang w:val="en-US" w:eastAsia="en-US" w:bidi="ar-SA"/>
      </w:rPr>
    </w:lvl>
    <w:lvl w:ilvl="8" w:tplc="25B05BDC">
      <w:numFmt w:val="bullet"/>
      <w:lvlText w:val="•"/>
      <w:lvlJc w:val="left"/>
      <w:pPr>
        <w:ind w:left="7943" w:hanging="361"/>
      </w:pPr>
      <w:rPr>
        <w:rFonts w:hint="default"/>
        <w:lang w:val="en-US" w:eastAsia="en-US" w:bidi="ar-SA"/>
      </w:rPr>
    </w:lvl>
  </w:abstractNum>
  <w:num w:numId="1" w16cid:durableId="672032593">
    <w:abstractNumId w:val="1"/>
  </w:num>
  <w:num w:numId="2" w16cid:durableId="1078554075">
    <w:abstractNumId w:val="11"/>
  </w:num>
  <w:num w:numId="3" w16cid:durableId="390737176">
    <w:abstractNumId w:val="5"/>
  </w:num>
  <w:num w:numId="4" w16cid:durableId="1307467248">
    <w:abstractNumId w:val="16"/>
  </w:num>
  <w:num w:numId="5" w16cid:durableId="1399936544">
    <w:abstractNumId w:val="3"/>
  </w:num>
  <w:num w:numId="6" w16cid:durableId="738750402">
    <w:abstractNumId w:val="7"/>
  </w:num>
  <w:num w:numId="7" w16cid:durableId="823089956">
    <w:abstractNumId w:val="4"/>
  </w:num>
  <w:num w:numId="8" w16cid:durableId="1145047887">
    <w:abstractNumId w:val="25"/>
  </w:num>
  <w:num w:numId="9" w16cid:durableId="401299920">
    <w:abstractNumId w:val="27"/>
  </w:num>
  <w:num w:numId="10" w16cid:durableId="812869011">
    <w:abstractNumId w:val="9"/>
  </w:num>
  <w:num w:numId="11" w16cid:durableId="138768225">
    <w:abstractNumId w:val="2"/>
  </w:num>
  <w:num w:numId="12" w16cid:durableId="1825243382">
    <w:abstractNumId w:val="12"/>
  </w:num>
  <w:num w:numId="13" w16cid:durableId="1416439643">
    <w:abstractNumId w:val="23"/>
  </w:num>
  <w:num w:numId="14" w16cid:durableId="900411005">
    <w:abstractNumId w:val="14"/>
  </w:num>
  <w:num w:numId="15" w16cid:durableId="1601642382">
    <w:abstractNumId w:val="17"/>
  </w:num>
  <w:num w:numId="16" w16cid:durableId="2146652838">
    <w:abstractNumId w:val="20"/>
  </w:num>
  <w:num w:numId="17" w16cid:durableId="1667198540">
    <w:abstractNumId w:val="15"/>
  </w:num>
  <w:num w:numId="18" w16cid:durableId="552735906">
    <w:abstractNumId w:val="13"/>
  </w:num>
  <w:num w:numId="19" w16cid:durableId="760878292">
    <w:abstractNumId w:val="22"/>
  </w:num>
  <w:num w:numId="20" w16cid:durableId="1008479468">
    <w:abstractNumId w:val="21"/>
  </w:num>
  <w:num w:numId="21" w16cid:durableId="306664391">
    <w:abstractNumId w:val="0"/>
  </w:num>
  <w:num w:numId="22" w16cid:durableId="599603123">
    <w:abstractNumId w:val="24"/>
  </w:num>
  <w:num w:numId="23" w16cid:durableId="1222982389">
    <w:abstractNumId w:val="18"/>
  </w:num>
  <w:num w:numId="24" w16cid:durableId="2009283664">
    <w:abstractNumId w:val="8"/>
  </w:num>
  <w:num w:numId="25" w16cid:durableId="424234147">
    <w:abstractNumId w:val="26"/>
  </w:num>
  <w:num w:numId="26" w16cid:durableId="682822132">
    <w:abstractNumId w:val="10"/>
  </w:num>
  <w:num w:numId="27" w16cid:durableId="1614435781">
    <w:abstractNumId w:val="6"/>
  </w:num>
  <w:num w:numId="28" w16cid:durableId="421417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02A11"/>
    <w:rsid w:val="000018C9"/>
    <w:rsid w:val="00046BC9"/>
    <w:rsid w:val="00073A2D"/>
    <w:rsid w:val="0007768E"/>
    <w:rsid w:val="00086421"/>
    <w:rsid w:val="000A2D0F"/>
    <w:rsid w:val="000F1E8F"/>
    <w:rsid w:val="000F35AB"/>
    <w:rsid w:val="000F6985"/>
    <w:rsid w:val="00122097"/>
    <w:rsid w:val="0013224B"/>
    <w:rsid w:val="001367E1"/>
    <w:rsid w:val="00155EFA"/>
    <w:rsid w:val="001843FB"/>
    <w:rsid w:val="001F1633"/>
    <w:rsid w:val="002133A8"/>
    <w:rsid w:val="00223805"/>
    <w:rsid w:val="00230B54"/>
    <w:rsid w:val="0024100E"/>
    <w:rsid w:val="00243F46"/>
    <w:rsid w:val="00251DAB"/>
    <w:rsid w:val="00256B33"/>
    <w:rsid w:val="00294116"/>
    <w:rsid w:val="00296CD1"/>
    <w:rsid w:val="00304119"/>
    <w:rsid w:val="00321C6F"/>
    <w:rsid w:val="0035217B"/>
    <w:rsid w:val="0037590B"/>
    <w:rsid w:val="003916E1"/>
    <w:rsid w:val="00392180"/>
    <w:rsid w:val="003A16C4"/>
    <w:rsid w:val="003D73DF"/>
    <w:rsid w:val="003F79F1"/>
    <w:rsid w:val="00410204"/>
    <w:rsid w:val="004301CB"/>
    <w:rsid w:val="004323C0"/>
    <w:rsid w:val="00445C78"/>
    <w:rsid w:val="004475B0"/>
    <w:rsid w:val="00460EB3"/>
    <w:rsid w:val="00464E8B"/>
    <w:rsid w:val="004836E6"/>
    <w:rsid w:val="00494976"/>
    <w:rsid w:val="004F0971"/>
    <w:rsid w:val="00521B0D"/>
    <w:rsid w:val="00535BBD"/>
    <w:rsid w:val="00586F88"/>
    <w:rsid w:val="005B391A"/>
    <w:rsid w:val="005C02B8"/>
    <w:rsid w:val="005F5CBC"/>
    <w:rsid w:val="00600696"/>
    <w:rsid w:val="00655E64"/>
    <w:rsid w:val="00677FDE"/>
    <w:rsid w:val="006A5198"/>
    <w:rsid w:val="006B5C05"/>
    <w:rsid w:val="006C0BD5"/>
    <w:rsid w:val="006D21BC"/>
    <w:rsid w:val="006D3075"/>
    <w:rsid w:val="006F4801"/>
    <w:rsid w:val="00725EDD"/>
    <w:rsid w:val="007430A5"/>
    <w:rsid w:val="00743B9A"/>
    <w:rsid w:val="00755E62"/>
    <w:rsid w:val="0078635E"/>
    <w:rsid w:val="007B23D0"/>
    <w:rsid w:val="007B5EBA"/>
    <w:rsid w:val="007D48F0"/>
    <w:rsid w:val="007E02D5"/>
    <w:rsid w:val="007F3A77"/>
    <w:rsid w:val="008128E0"/>
    <w:rsid w:val="008534BB"/>
    <w:rsid w:val="00882446"/>
    <w:rsid w:val="008A63A2"/>
    <w:rsid w:val="008B10E6"/>
    <w:rsid w:val="008E1622"/>
    <w:rsid w:val="008F2BEA"/>
    <w:rsid w:val="00911668"/>
    <w:rsid w:val="00914420"/>
    <w:rsid w:val="00916D8B"/>
    <w:rsid w:val="00926BB0"/>
    <w:rsid w:val="00960404"/>
    <w:rsid w:val="00962468"/>
    <w:rsid w:val="009774C5"/>
    <w:rsid w:val="009A4872"/>
    <w:rsid w:val="009C03DC"/>
    <w:rsid w:val="009F1571"/>
    <w:rsid w:val="00A03A35"/>
    <w:rsid w:val="00A12DF3"/>
    <w:rsid w:val="00A13863"/>
    <w:rsid w:val="00A43BA1"/>
    <w:rsid w:val="00AF3DB5"/>
    <w:rsid w:val="00AF720B"/>
    <w:rsid w:val="00B02A11"/>
    <w:rsid w:val="00B0710E"/>
    <w:rsid w:val="00B62DA7"/>
    <w:rsid w:val="00B85772"/>
    <w:rsid w:val="00BC0CB8"/>
    <w:rsid w:val="00BC5108"/>
    <w:rsid w:val="00C21E94"/>
    <w:rsid w:val="00C260FA"/>
    <w:rsid w:val="00C57868"/>
    <w:rsid w:val="00C654F5"/>
    <w:rsid w:val="00C65FA0"/>
    <w:rsid w:val="00C82075"/>
    <w:rsid w:val="00C97970"/>
    <w:rsid w:val="00CA1173"/>
    <w:rsid w:val="00CB2B1D"/>
    <w:rsid w:val="00CC2304"/>
    <w:rsid w:val="00CE269A"/>
    <w:rsid w:val="00CF71B9"/>
    <w:rsid w:val="00D162CE"/>
    <w:rsid w:val="00D264D4"/>
    <w:rsid w:val="00D70DE8"/>
    <w:rsid w:val="00D71DD7"/>
    <w:rsid w:val="00D75E71"/>
    <w:rsid w:val="00D94E8E"/>
    <w:rsid w:val="00DA1D6D"/>
    <w:rsid w:val="00DA3FD3"/>
    <w:rsid w:val="00E03B5E"/>
    <w:rsid w:val="00E217E9"/>
    <w:rsid w:val="00E23851"/>
    <w:rsid w:val="00E66EF7"/>
    <w:rsid w:val="00EA5E21"/>
    <w:rsid w:val="00EB5711"/>
    <w:rsid w:val="00EC4482"/>
    <w:rsid w:val="00F22463"/>
    <w:rsid w:val="00F5579E"/>
    <w:rsid w:val="00F62B09"/>
    <w:rsid w:val="00F7611C"/>
    <w:rsid w:val="00F77211"/>
    <w:rsid w:val="00F96BCB"/>
    <w:rsid w:val="00FA248B"/>
    <w:rsid w:val="00FA769A"/>
    <w:rsid w:val="00FE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7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625" w:lineRule="exact"/>
      <w:outlineLvl w:val="0"/>
    </w:pPr>
    <w:rPr>
      <w:b/>
      <w:bCs/>
      <w:sz w:val="56"/>
      <w:szCs w:val="56"/>
    </w:rPr>
  </w:style>
  <w:style w:type="paragraph" w:styleId="Heading2">
    <w:name w:val="heading 2"/>
    <w:basedOn w:val="Normal"/>
    <w:uiPriority w:val="9"/>
    <w:unhideWhenUsed/>
    <w:qFormat/>
    <w:rsid w:val="00FA248B"/>
    <w:pPr>
      <w:jc w:val="both"/>
      <w:outlineLvl w:val="1"/>
    </w:pPr>
    <w:rPr>
      <w:rFonts w:ascii="Times New Roman" w:hAnsi="Times New Roman" w:cs="Times New Roman"/>
      <w:b/>
      <w:bCs/>
      <w:noProof/>
      <w:color w:val="4F81BD" w:themeColor="accent1"/>
      <w:sz w:val="28"/>
      <w:szCs w:val="28"/>
    </w:rPr>
  </w:style>
  <w:style w:type="paragraph" w:styleId="Heading3">
    <w:name w:val="heading 3"/>
    <w:basedOn w:val="Normal"/>
    <w:uiPriority w:val="9"/>
    <w:unhideWhenUsed/>
    <w:qFormat/>
    <w:pPr>
      <w:spacing w:before="9"/>
      <w:ind w:left="397"/>
      <w:outlineLvl w:val="2"/>
    </w:pPr>
    <w:rPr>
      <w:rFonts w:ascii="Calibri" w:eastAsia="Calibri" w:hAnsi="Calibri" w:cs="Calibri"/>
      <w:b/>
      <w:bCs/>
      <w:sz w:val="28"/>
      <w:szCs w:val="28"/>
    </w:rPr>
  </w:style>
  <w:style w:type="paragraph" w:styleId="Heading4">
    <w:name w:val="heading 4"/>
    <w:basedOn w:val="Normal"/>
    <w:uiPriority w:val="9"/>
    <w:unhideWhenUsed/>
    <w:qFormat/>
    <w:pPr>
      <w:spacing w:before="111"/>
      <w:ind w:left="397"/>
      <w:outlineLvl w:val="3"/>
    </w:pPr>
    <w:rPr>
      <w:rFonts w:ascii="Calibri" w:eastAsia="Calibri" w:hAnsi="Calibri" w:cs="Calibri"/>
      <w:b/>
      <w:bCs/>
      <w:sz w:val="24"/>
      <w:szCs w:val="24"/>
    </w:rPr>
  </w:style>
  <w:style w:type="paragraph" w:styleId="Heading5">
    <w:name w:val="heading 5"/>
    <w:basedOn w:val="Normal"/>
    <w:uiPriority w:val="9"/>
    <w:unhideWhenUsed/>
    <w:qFormat/>
    <w:pPr>
      <w:spacing w:before="188"/>
      <w:ind w:left="121"/>
      <w:outlineLvl w:val="4"/>
    </w:pPr>
    <w:rPr>
      <w:b/>
      <w:bCs/>
    </w:rPr>
  </w:style>
  <w:style w:type="paragraph" w:styleId="Heading6">
    <w:name w:val="heading 6"/>
    <w:basedOn w:val="Normal"/>
    <w:uiPriority w:val="9"/>
    <w:unhideWhenUsed/>
    <w:qFormat/>
    <w:pPr>
      <w:ind w:left="549"/>
      <w:outlineLvl w:val="5"/>
    </w:pPr>
    <w:rPr>
      <w:b/>
      <w:bCs/>
    </w:rPr>
  </w:style>
  <w:style w:type="paragraph" w:styleId="Heading7">
    <w:name w:val="heading 7"/>
    <w:basedOn w:val="Normal"/>
    <w:uiPriority w:val="1"/>
    <w:qFormat/>
    <w:pPr>
      <w:spacing w:before="13"/>
      <w:ind w:left="60"/>
      <w:outlineLvl w:val="6"/>
    </w:pPr>
  </w:style>
  <w:style w:type="paragraph" w:styleId="Heading8">
    <w:name w:val="heading 8"/>
    <w:basedOn w:val="Normal"/>
    <w:uiPriority w:val="1"/>
    <w:qFormat/>
    <w:pPr>
      <w:ind w:left="112"/>
      <w:outlineLvl w:val="7"/>
    </w:pPr>
    <w:rPr>
      <w:b/>
      <w:bCs/>
      <w:sz w:val="20"/>
      <w:szCs w:val="20"/>
    </w:rPr>
  </w:style>
  <w:style w:type="paragraph" w:styleId="Heading9">
    <w:name w:val="heading 9"/>
    <w:basedOn w:val="Normal"/>
    <w:uiPriority w:val="1"/>
    <w:qFormat/>
    <w:pPr>
      <w:spacing w:before="10"/>
      <w:ind w:left="112"/>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2"/>
      <w:ind w:left="2267" w:hanging="566"/>
    </w:pPr>
    <w:rPr>
      <w:b/>
      <w:bCs/>
    </w:rPr>
  </w:style>
  <w:style w:type="paragraph" w:styleId="TOC2">
    <w:name w:val="toc 2"/>
    <w:basedOn w:val="Normal"/>
    <w:uiPriority w:val="1"/>
    <w:qFormat/>
    <w:pPr>
      <w:spacing w:before="94"/>
      <w:ind w:left="2268"/>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15"/>
      <w:ind w:left="841" w:hanging="361"/>
      <w:jc w:val="both"/>
    </w:pPr>
  </w:style>
  <w:style w:type="paragraph" w:customStyle="1" w:styleId="TableParagraph">
    <w:name w:val="Table Paragraph"/>
    <w:basedOn w:val="Normal"/>
    <w:uiPriority w:val="1"/>
    <w:qFormat/>
    <w:pPr>
      <w:spacing w:before="59"/>
    </w:pPr>
  </w:style>
  <w:style w:type="paragraph" w:styleId="Header">
    <w:name w:val="header"/>
    <w:basedOn w:val="Normal"/>
    <w:link w:val="HeaderChar"/>
    <w:unhideWhenUsed/>
    <w:rsid w:val="00C260FA"/>
    <w:pPr>
      <w:tabs>
        <w:tab w:val="center" w:pos="4153"/>
        <w:tab w:val="right" w:pos="8306"/>
      </w:tabs>
    </w:pPr>
  </w:style>
  <w:style w:type="character" w:customStyle="1" w:styleId="HeaderChar">
    <w:name w:val="Header Char"/>
    <w:basedOn w:val="DefaultParagraphFont"/>
    <w:link w:val="Header"/>
    <w:uiPriority w:val="99"/>
    <w:rsid w:val="00C260FA"/>
    <w:rPr>
      <w:rFonts w:ascii="Arial" w:eastAsia="Arial" w:hAnsi="Arial" w:cs="Arial"/>
    </w:rPr>
  </w:style>
  <w:style w:type="paragraph" w:styleId="Footer">
    <w:name w:val="footer"/>
    <w:basedOn w:val="Normal"/>
    <w:link w:val="FooterChar"/>
    <w:uiPriority w:val="99"/>
    <w:unhideWhenUsed/>
    <w:rsid w:val="00C260FA"/>
    <w:pPr>
      <w:tabs>
        <w:tab w:val="center" w:pos="4153"/>
        <w:tab w:val="right" w:pos="8306"/>
      </w:tabs>
    </w:pPr>
  </w:style>
  <w:style w:type="character" w:customStyle="1" w:styleId="FooterChar">
    <w:name w:val="Footer Char"/>
    <w:basedOn w:val="DefaultParagraphFont"/>
    <w:link w:val="Footer"/>
    <w:uiPriority w:val="99"/>
    <w:rsid w:val="00C260FA"/>
    <w:rPr>
      <w:rFonts w:ascii="Arial" w:eastAsia="Arial" w:hAnsi="Arial" w:cs="Arial"/>
    </w:rPr>
  </w:style>
  <w:style w:type="table" w:styleId="TableGrid">
    <w:name w:val="Table Grid"/>
    <w:basedOn w:val="TableNormal"/>
    <w:uiPriority w:val="39"/>
    <w:rsid w:val="007F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16C4"/>
    <w:rPr>
      <w:sz w:val="20"/>
      <w:szCs w:val="20"/>
    </w:rPr>
  </w:style>
  <w:style w:type="character" w:customStyle="1" w:styleId="FootnoteTextChar">
    <w:name w:val="Footnote Text Char"/>
    <w:basedOn w:val="DefaultParagraphFont"/>
    <w:link w:val="FootnoteText"/>
    <w:uiPriority w:val="99"/>
    <w:semiHidden/>
    <w:rsid w:val="003A16C4"/>
    <w:rPr>
      <w:rFonts w:ascii="Arial" w:eastAsia="Arial" w:hAnsi="Arial" w:cs="Arial"/>
      <w:sz w:val="20"/>
      <w:szCs w:val="20"/>
    </w:rPr>
  </w:style>
  <w:style w:type="character" w:styleId="FootnoteReference">
    <w:name w:val="footnote reference"/>
    <w:basedOn w:val="DefaultParagraphFont"/>
    <w:uiPriority w:val="99"/>
    <w:semiHidden/>
    <w:unhideWhenUsed/>
    <w:rsid w:val="003A16C4"/>
    <w:rPr>
      <w:vertAlign w:val="superscript"/>
    </w:rPr>
  </w:style>
  <w:style w:type="character" w:styleId="PageNumber">
    <w:name w:val="page number"/>
    <w:basedOn w:val="DefaultParagraphFont"/>
    <w:semiHidden/>
    <w:rsid w:val="0039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0B9526D-8F88-4D27-83B6-3D1D74810E66}">
  <ds:schemaRefs>
    <ds:schemaRef ds:uri="http://schemas.openxmlformats.org/officeDocument/2006/bibliography"/>
  </ds:schemaRefs>
</ds:datastoreItem>
</file>

<file path=customXml/itemProps2.xml><?xml version="1.0" encoding="utf-8"?>
<ds:datastoreItem xmlns:ds="http://schemas.openxmlformats.org/officeDocument/2006/customXml" ds:itemID="{84F8B81E-B94B-4832-AA28-B6D9DA5DB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CA13C-4D6D-44EA-AE59-761F876E79F6}">
  <ds:schemaRefs>
    <ds:schemaRef ds:uri="http://schemas.microsoft.com/sharepoint/v3/contenttype/forms"/>
  </ds:schemaRefs>
</ds:datastoreItem>
</file>

<file path=customXml/itemProps4.xml><?xml version="1.0" encoding="utf-8"?>
<ds:datastoreItem xmlns:ds="http://schemas.openxmlformats.org/officeDocument/2006/customXml" ds:itemID="{CC23BC66-692B-4765-9BDF-AE5C327D294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15973</Words>
  <Characters>91052</Characters>
  <Application>Microsoft Office Word</Application>
  <DocSecurity>4</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2024-04-24T23:14:00Z</dcterms:created>
  <dcterms:modified xsi:type="dcterms:W3CDTF">2024-10-29T12:20:00Z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