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5084" w14:textId="0289528A" w:rsidR="000303A1" w:rsidRPr="00381D4B" w:rsidRDefault="00E86A70" w:rsidP="008E7976">
      <w:pPr>
        <w:jc w:val="right"/>
        <w:rPr>
          <w:rFonts w:ascii="Times New Roman" w:hAnsi="Times New Roman"/>
          <w:noProof/>
          <w:sz w:val="24"/>
        </w:rPr>
      </w:pPr>
      <w:r w:rsidRPr="00FF07EF">
        <w:rPr>
          <w:rFonts w:ascii="Times New Roman" w:hAnsi="Times New Roman" w:cs="Times New Roman"/>
          <w:noProof/>
          <w:sz w:val="24"/>
        </w:rPr>
        <w:drawing>
          <wp:inline distT="0" distB="0" distL="0" distR="0" wp14:anchorId="69301F18" wp14:editId="43FCAEC0">
            <wp:extent cx="2428240" cy="823037"/>
            <wp:effectExtent l="0" t="0" r="0" b="0"/>
            <wp:docPr id="49883328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33281" name="Picture 1" descr="A blue and white logo&#10;&#10;Description automatically generated"/>
                    <pic:cNvPicPr/>
                  </pic:nvPicPr>
                  <pic:blipFill rotWithShape="1">
                    <a:blip r:embed="rId10"/>
                    <a:srcRect l="1164" b="4095"/>
                    <a:stretch/>
                  </pic:blipFill>
                  <pic:spPr bwMode="auto">
                    <a:xfrm>
                      <a:off x="0" y="0"/>
                      <a:ext cx="2448210" cy="829806"/>
                    </a:xfrm>
                    <a:prstGeom prst="rect">
                      <a:avLst/>
                    </a:prstGeom>
                    <a:ln>
                      <a:noFill/>
                    </a:ln>
                    <a:extLst>
                      <a:ext uri="{53640926-AAD7-44D8-BBD7-CCE9431645EC}">
                        <a14:shadowObscured xmlns:a14="http://schemas.microsoft.com/office/drawing/2010/main"/>
                      </a:ext>
                    </a:extLst>
                  </pic:spPr>
                </pic:pic>
              </a:graphicData>
            </a:graphic>
          </wp:inline>
        </w:drawing>
      </w:r>
    </w:p>
    <w:p w14:paraId="763DCE90" w14:textId="77777777" w:rsidR="000303A1" w:rsidRPr="00381D4B" w:rsidRDefault="000303A1" w:rsidP="00381D4B">
      <w:pPr>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80" w:firstRow="0" w:lastRow="0" w:firstColumn="1" w:lastColumn="0" w:noHBand="0" w:noVBand="1"/>
      </w:tblPr>
      <w:tblGrid>
        <w:gridCol w:w="2437"/>
        <w:gridCol w:w="2127"/>
        <w:gridCol w:w="2282"/>
        <w:gridCol w:w="2282"/>
      </w:tblGrid>
      <w:tr w:rsidR="005F7FCE" w:rsidRPr="00FB2F98" w14:paraId="568C3AE6" w14:textId="77777777" w:rsidTr="00FB2F98">
        <w:tc>
          <w:tcPr>
            <w:tcW w:w="1335" w:type="pct"/>
          </w:tcPr>
          <w:p w14:paraId="382F1E0B" w14:textId="4417363B" w:rsidR="005F7FCE" w:rsidRPr="00FB2F98" w:rsidRDefault="005F7FCE" w:rsidP="00381D4B">
            <w:pPr>
              <w:jc w:val="both"/>
              <w:rPr>
                <w:rFonts w:ascii="Times New Roman" w:hAnsi="Times New Roman"/>
                <w:noProof/>
                <w:sz w:val="20"/>
                <w:szCs w:val="18"/>
              </w:rPr>
            </w:pPr>
            <w:r>
              <w:rPr>
                <w:rFonts w:ascii="Times New Roman" w:hAnsi="Times New Roman"/>
                <w:b/>
                <w:sz w:val="20"/>
              </w:rPr>
              <w:t>MINISTRU VIETNIEKI</w:t>
            </w:r>
          </w:p>
        </w:tc>
        <w:tc>
          <w:tcPr>
            <w:tcW w:w="1165" w:type="pct"/>
          </w:tcPr>
          <w:p w14:paraId="02A05E1F" w14:textId="72116E62" w:rsidR="005F7FCE" w:rsidRPr="00FB2F98" w:rsidRDefault="005F7FCE" w:rsidP="00FB2F98">
            <w:pPr>
              <w:jc w:val="center"/>
              <w:rPr>
                <w:rFonts w:ascii="Times New Roman" w:hAnsi="Times New Roman"/>
                <w:noProof/>
                <w:sz w:val="20"/>
                <w:szCs w:val="18"/>
              </w:rPr>
            </w:pPr>
            <w:r>
              <w:rPr>
                <w:rFonts w:ascii="Times New Roman" w:hAnsi="Times New Roman"/>
                <w:sz w:val="20"/>
              </w:rPr>
              <w:t>Ieteikumi</w:t>
            </w:r>
          </w:p>
        </w:tc>
        <w:tc>
          <w:tcPr>
            <w:tcW w:w="1250" w:type="pct"/>
          </w:tcPr>
          <w:p w14:paraId="5D4781BC" w14:textId="56ABA822" w:rsidR="005F7FCE" w:rsidRPr="00FB2F98" w:rsidRDefault="005F7FCE" w:rsidP="00FB2F98">
            <w:pPr>
              <w:jc w:val="center"/>
              <w:rPr>
                <w:rFonts w:ascii="Times New Roman" w:hAnsi="Times New Roman"/>
                <w:noProof/>
                <w:sz w:val="20"/>
                <w:szCs w:val="18"/>
              </w:rPr>
            </w:pPr>
            <w:r>
              <w:rPr>
                <w:rFonts w:ascii="Times New Roman" w:hAnsi="Times New Roman"/>
                <w:b/>
                <w:sz w:val="20"/>
              </w:rPr>
              <w:t>CM/Rec(2024)2</w:t>
            </w:r>
          </w:p>
        </w:tc>
        <w:tc>
          <w:tcPr>
            <w:tcW w:w="1250" w:type="pct"/>
          </w:tcPr>
          <w:p w14:paraId="1B48E52A" w14:textId="4EEE4735" w:rsidR="005F7FCE" w:rsidRPr="00FB2F98" w:rsidRDefault="005F7FCE" w:rsidP="00FB2F98">
            <w:pPr>
              <w:jc w:val="right"/>
              <w:rPr>
                <w:rFonts w:ascii="Times New Roman" w:hAnsi="Times New Roman"/>
                <w:noProof/>
                <w:sz w:val="20"/>
                <w:szCs w:val="18"/>
              </w:rPr>
            </w:pPr>
            <w:r>
              <w:rPr>
                <w:rFonts w:ascii="Times New Roman" w:hAnsi="Times New Roman"/>
                <w:sz w:val="20"/>
              </w:rPr>
              <w:t>2024. gada 5. aprīlis</w:t>
            </w:r>
          </w:p>
        </w:tc>
      </w:tr>
    </w:tbl>
    <w:p w14:paraId="3C2A58C2" w14:textId="77777777" w:rsidR="000303A1" w:rsidRDefault="000303A1" w:rsidP="00381D4B">
      <w:pPr>
        <w:jc w:val="both"/>
        <w:rPr>
          <w:rFonts w:ascii="Times New Roman" w:hAnsi="Times New Roman"/>
          <w:noProof/>
          <w:sz w:val="24"/>
        </w:rPr>
      </w:pPr>
    </w:p>
    <w:p w14:paraId="27AD5058" w14:textId="73B47B3D" w:rsidR="000303A1" w:rsidRPr="00381D4B" w:rsidRDefault="00FB2F98" w:rsidP="00381D4B">
      <w:pPr>
        <w:jc w:val="both"/>
        <w:rPr>
          <w:rFonts w:ascii="Times New Roman" w:hAnsi="Times New Roman"/>
          <w:noProof/>
          <w:sz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6DE8CA98" wp14:editId="1A0D4E78">
                <wp:simplePos x="0" y="0"/>
                <wp:positionH relativeFrom="column">
                  <wp:posOffset>-5716</wp:posOffset>
                </wp:positionH>
                <wp:positionV relativeFrom="paragraph">
                  <wp:posOffset>121285</wp:posOffset>
                </wp:positionV>
                <wp:extent cx="5766435" cy="0"/>
                <wp:effectExtent l="0" t="0" r="0" b="0"/>
                <wp:wrapNone/>
                <wp:docPr id="515232304" name="Straight Connector 3"/>
                <wp:cNvGraphicFramePr/>
                <a:graphic xmlns:a="http://schemas.openxmlformats.org/drawingml/2006/main">
                  <a:graphicData uri="http://schemas.microsoft.com/office/word/2010/wordprocessingShape">
                    <wps:wsp>
                      <wps:cNvCnPr/>
                      <wps:spPr>
                        <a:xfrm>
                          <a:off x="0" y="0"/>
                          <a:ext cx="5766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CCA6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5pt" to="453.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" strokecolor="black [3040]"/>
            </w:pict>
          </mc:Fallback>
        </mc:AlternateContent>
      </w:r>
    </w:p>
    <w:p w14:paraId="16FC360E" w14:textId="4643F263" w:rsidR="000303A1" w:rsidRPr="00FB2F98" w:rsidRDefault="000303A1" w:rsidP="006E4E6B">
      <w:pPr>
        <w:rPr>
          <w:rFonts w:ascii="Times New Roman" w:hAnsi="Times New Roman"/>
          <w:b/>
          <w:noProof/>
          <w:sz w:val="28"/>
          <w:szCs w:val="24"/>
        </w:rPr>
      </w:pPr>
      <w:r>
        <w:rPr>
          <w:rFonts w:ascii="Times New Roman" w:hAnsi="Times New Roman"/>
          <w:b/>
          <w:sz w:val="28"/>
        </w:rPr>
        <w:t>Ministru komitejas Ieteikums CM/Rec(2024)2 dalībvalstīm par cīņu pret stratēģiskas tiesvedības izmantošanu pret sabiedrības līdzdalību (</w:t>
      </w:r>
      <w:r>
        <w:rPr>
          <w:rFonts w:ascii="Times New Roman" w:hAnsi="Times New Roman"/>
          <w:b/>
          <w:i/>
          <w:iCs/>
          <w:sz w:val="28"/>
        </w:rPr>
        <w:t>SLAPP</w:t>
      </w:r>
      <w:r>
        <w:rPr>
          <w:rFonts w:ascii="Times New Roman" w:hAnsi="Times New Roman"/>
          <w:b/>
          <w:sz w:val="28"/>
        </w:rPr>
        <w:t>)</w:t>
      </w:r>
    </w:p>
    <w:p w14:paraId="74E951FA" w14:textId="77777777" w:rsidR="00FB2F98" w:rsidRPr="00381D4B" w:rsidRDefault="00FB2F98" w:rsidP="006E4E6B">
      <w:pPr>
        <w:rPr>
          <w:rFonts w:ascii="Times New Roman" w:hAnsi="Times New Roman"/>
          <w:b/>
          <w:noProof/>
          <w:sz w:val="24"/>
        </w:rPr>
      </w:pPr>
    </w:p>
    <w:p w14:paraId="64B27978" w14:textId="77777777" w:rsidR="000303A1" w:rsidRPr="00381D4B" w:rsidRDefault="000303A1" w:rsidP="006E4E6B">
      <w:pPr>
        <w:rPr>
          <w:rFonts w:ascii="Times New Roman" w:hAnsi="Times New Roman"/>
          <w:i/>
          <w:noProof/>
          <w:sz w:val="24"/>
        </w:rPr>
      </w:pPr>
      <w:r>
        <w:rPr>
          <w:rFonts w:ascii="Times New Roman" w:hAnsi="Times New Roman"/>
          <w:i/>
          <w:sz w:val="24"/>
        </w:rPr>
        <w:t>(Pieņēmusi Ministru komiteja 2024. gada 5. aprīlī ministru vietnieku 1494. sanāksmē)</w:t>
      </w:r>
    </w:p>
    <w:p w14:paraId="2DEAEE40" w14:textId="7D18FD6C" w:rsidR="000303A1" w:rsidRPr="00381D4B" w:rsidRDefault="00FB2F98" w:rsidP="00381D4B">
      <w:pPr>
        <w:jc w:val="both"/>
        <w:rPr>
          <w:rFonts w:ascii="Times New Roman" w:hAnsi="Times New Roman"/>
          <w:i/>
          <w:noProof/>
          <w:sz w:val="24"/>
        </w:rPr>
      </w:pPr>
      <w:r>
        <w:rPr>
          <w:rFonts w:ascii="Times New Roman" w:hAnsi="Times New Roman"/>
          <w:noProof/>
          <w:sz w:val="24"/>
        </w:rPr>
        <mc:AlternateContent>
          <mc:Choice Requires="wps">
            <w:drawing>
              <wp:anchor distT="0" distB="0" distL="114300" distR="114300" simplePos="0" relativeHeight="251661312" behindDoc="0" locked="0" layoutInCell="1" allowOverlap="1" wp14:anchorId="42BF1D3B" wp14:editId="6CAEA393">
                <wp:simplePos x="0" y="0"/>
                <wp:positionH relativeFrom="column">
                  <wp:posOffset>-7620</wp:posOffset>
                </wp:positionH>
                <wp:positionV relativeFrom="paragraph">
                  <wp:posOffset>75565</wp:posOffset>
                </wp:positionV>
                <wp:extent cx="5766435" cy="0"/>
                <wp:effectExtent l="0" t="0" r="0" b="0"/>
                <wp:wrapNone/>
                <wp:docPr id="1530344544" name="Straight Connector 3"/>
                <wp:cNvGraphicFramePr/>
                <a:graphic xmlns:a="http://schemas.openxmlformats.org/drawingml/2006/main">
                  <a:graphicData uri="http://schemas.microsoft.com/office/word/2010/wordprocessingShape">
                    <wps:wsp>
                      <wps:cNvCnPr/>
                      <wps:spPr>
                        <a:xfrm>
                          <a:off x="0" y="0"/>
                          <a:ext cx="5766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F916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5pt" to="453.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" strokecolor="black [3040]"/>
            </w:pict>
          </mc:Fallback>
        </mc:AlternateContent>
      </w:r>
    </w:p>
    <w:p w14:paraId="28C2D82E" w14:textId="77777777" w:rsidR="000303A1" w:rsidRPr="00381D4B" w:rsidRDefault="000303A1" w:rsidP="00381D4B">
      <w:pPr>
        <w:jc w:val="both"/>
        <w:rPr>
          <w:rFonts w:ascii="Times New Roman" w:hAnsi="Times New Roman"/>
          <w:i/>
          <w:noProof/>
          <w:sz w:val="24"/>
        </w:rPr>
      </w:pPr>
    </w:p>
    <w:p w14:paraId="55EC28C3" w14:textId="77777777" w:rsidR="000303A1" w:rsidRDefault="000303A1" w:rsidP="00381D4B">
      <w:pPr>
        <w:jc w:val="both"/>
        <w:rPr>
          <w:rFonts w:ascii="Times New Roman" w:hAnsi="Times New Roman"/>
          <w:noProof/>
          <w:sz w:val="24"/>
        </w:rPr>
      </w:pPr>
      <w:r>
        <w:rPr>
          <w:rFonts w:ascii="Times New Roman" w:hAnsi="Times New Roman"/>
          <w:sz w:val="24"/>
        </w:rPr>
        <w:t xml:space="preserve">Ministru komiteja, ievērojot </w:t>
      </w:r>
      <w:hyperlink r:id="rId11">
        <w:r>
          <w:rPr>
            <w:rFonts w:ascii="Times New Roman" w:hAnsi="Times New Roman"/>
            <w:sz w:val="24"/>
          </w:rPr>
          <w:t>Eiropas Padomes Statūtu</w:t>
        </w:r>
      </w:hyperlink>
      <w:r>
        <w:rPr>
          <w:rFonts w:ascii="Times New Roman" w:hAnsi="Times New Roman"/>
          <w:sz w:val="24"/>
        </w:rPr>
        <w:t xml:space="preserve"> 15. panta b) punktu (ELS Nr. 1),</w:t>
      </w:r>
    </w:p>
    <w:p w14:paraId="6821AC46" w14:textId="77777777" w:rsidR="006E4E6B" w:rsidRPr="00381D4B" w:rsidRDefault="006E4E6B" w:rsidP="00381D4B">
      <w:pPr>
        <w:jc w:val="both"/>
        <w:rPr>
          <w:rFonts w:ascii="Times New Roman" w:hAnsi="Times New Roman"/>
          <w:noProof/>
          <w:sz w:val="24"/>
        </w:rPr>
      </w:pPr>
    </w:p>
    <w:p w14:paraId="5FE4A8B0" w14:textId="77777777" w:rsidR="000303A1" w:rsidRPr="00381D4B" w:rsidRDefault="000303A1" w:rsidP="00381D4B">
      <w:pPr>
        <w:jc w:val="both"/>
        <w:rPr>
          <w:rFonts w:ascii="Times New Roman" w:hAnsi="Times New Roman"/>
          <w:noProof/>
          <w:sz w:val="24"/>
        </w:rPr>
      </w:pPr>
      <w:r>
        <w:rPr>
          <w:rFonts w:ascii="Times New Roman" w:hAnsi="Times New Roman"/>
          <w:sz w:val="24"/>
        </w:rPr>
        <w:t xml:space="preserve">ņemot vērā to, ka Eiropas Padomes mērķis ir panākt tās dalībvalstu lielāku vienotību, lai aizsargātu un stiprinātu tos ideālus un principus, kas veido to kopīgo mantojumu, </w:t>
      </w:r>
      <w:r>
        <w:rPr>
          <w:rFonts w:ascii="Times New Roman" w:hAnsi="Times New Roman"/>
          <w:i/>
          <w:iCs/>
          <w:sz w:val="24"/>
        </w:rPr>
        <w:t>inter alia</w:t>
      </w:r>
      <w:r>
        <w:rPr>
          <w:rFonts w:ascii="Times New Roman" w:hAnsi="Times New Roman"/>
          <w:sz w:val="24"/>
        </w:rPr>
        <w:t xml:space="preserve"> veicinot kopīgas politikas un standartu īstenošanu;</w:t>
      </w:r>
    </w:p>
    <w:p w14:paraId="62285EB2" w14:textId="77777777" w:rsidR="000303A1" w:rsidRPr="00381D4B" w:rsidRDefault="000303A1" w:rsidP="00381D4B">
      <w:pPr>
        <w:jc w:val="both"/>
        <w:rPr>
          <w:rFonts w:ascii="Times New Roman" w:hAnsi="Times New Roman"/>
          <w:noProof/>
          <w:sz w:val="24"/>
        </w:rPr>
      </w:pPr>
    </w:p>
    <w:p w14:paraId="41C5CF0C" w14:textId="77777777" w:rsidR="000303A1" w:rsidRPr="00381D4B" w:rsidRDefault="000303A1" w:rsidP="00381D4B">
      <w:pPr>
        <w:jc w:val="both"/>
        <w:rPr>
          <w:rFonts w:ascii="Times New Roman" w:hAnsi="Times New Roman"/>
          <w:noProof/>
          <w:sz w:val="24"/>
        </w:rPr>
      </w:pPr>
      <w:r>
        <w:rPr>
          <w:rFonts w:ascii="Times New Roman" w:hAnsi="Times New Roman"/>
          <w:sz w:val="24"/>
        </w:rPr>
        <w:t xml:space="preserve">atgādinot dalībvalstu apņemšanos nodrošināt tiesības uz vārda brīvību un informāciju, kas ir garantētas </w:t>
      </w:r>
      <w:hyperlink r:id="rId12">
        <w:r>
          <w:rPr>
            <w:rFonts w:ascii="Times New Roman" w:hAnsi="Times New Roman"/>
            <w:sz w:val="24"/>
          </w:rPr>
          <w:t>Cilvēktiesību un pamatbrīvību aizsardzības konvencijas</w:t>
        </w:r>
      </w:hyperlink>
      <w:r>
        <w:rPr>
          <w:rFonts w:ascii="Times New Roman" w:hAnsi="Times New Roman"/>
          <w:sz w:val="24"/>
        </w:rPr>
        <w:t xml:space="preserve"> (ELS Nr. 5, turpmāk – “Konvencija”) 10. pantā un skaidrotas Eiropas Cilvēktiesību tiesas (turpmāk – “Tiesa”) praksē,</w:t>
      </w:r>
    </w:p>
    <w:p w14:paraId="5CA4C6EA" w14:textId="77777777" w:rsidR="000303A1" w:rsidRPr="00381D4B" w:rsidRDefault="000303A1" w:rsidP="00381D4B">
      <w:pPr>
        <w:jc w:val="both"/>
        <w:rPr>
          <w:rFonts w:ascii="Times New Roman" w:hAnsi="Times New Roman"/>
          <w:noProof/>
          <w:sz w:val="24"/>
        </w:rPr>
      </w:pPr>
    </w:p>
    <w:p w14:paraId="386FEAC1" w14:textId="77777777" w:rsidR="000303A1" w:rsidRDefault="000303A1" w:rsidP="00381D4B">
      <w:pPr>
        <w:jc w:val="both"/>
        <w:rPr>
          <w:rFonts w:ascii="Times New Roman" w:hAnsi="Times New Roman"/>
          <w:noProof/>
          <w:sz w:val="24"/>
        </w:rPr>
      </w:pPr>
      <w:r>
        <w:rPr>
          <w:rFonts w:ascii="Times New Roman" w:hAnsi="Times New Roman"/>
          <w:sz w:val="24"/>
        </w:rPr>
        <w:t>atgādinot arī par citu Konvencijā garantētu tiesību, tostarp tiesību uz taisnīgu tiesu (6. pants), tiesību uz privātās un ģimenes dzīves neaizskaramību (8. pants), tiesību uz pulcēšanās un biedrošanās brīvību (11. pants) un tiesību uz efektīvu tiesisko aizsardzību (13. pants), vienlīdz būtisko nozīmi;</w:t>
      </w:r>
    </w:p>
    <w:p w14:paraId="642E7ACC" w14:textId="77777777" w:rsidR="00C53A3C" w:rsidRPr="00381D4B" w:rsidRDefault="00C53A3C" w:rsidP="00381D4B">
      <w:pPr>
        <w:jc w:val="both"/>
        <w:rPr>
          <w:rFonts w:ascii="Times New Roman" w:hAnsi="Times New Roman"/>
          <w:noProof/>
          <w:sz w:val="24"/>
        </w:rPr>
      </w:pPr>
    </w:p>
    <w:p w14:paraId="388DCF99" w14:textId="77777777" w:rsidR="000303A1" w:rsidRPr="00381D4B" w:rsidRDefault="000303A1" w:rsidP="00381D4B">
      <w:pPr>
        <w:jc w:val="both"/>
        <w:rPr>
          <w:rFonts w:ascii="Times New Roman" w:hAnsi="Times New Roman"/>
          <w:noProof/>
          <w:sz w:val="24"/>
        </w:rPr>
      </w:pPr>
      <w:r>
        <w:rPr>
          <w:rFonts w:ascii="Times New Roman" w:hAnsi="Times New Roman"/>
          <w:sz w:val="24"/>
        </w:rPr>
        <w:t>atgādinot un vēlreiz apstiprinot, ka dalībvalstīm papildus pienākumam atturēties no iejaukšanās tiesībās uz vārda brīvību ir arī pienākums nodrošināt drošu un labvēlīgu vidi, kurā ikviena persona var nebaidoties iesaistīties sabiedriskās diskusijās, pat ja šīs personas viedoklis ir pretrunā oficiālo iestāžu vai ievērojamu sabiedrības daļu aizstāvētajam viedoklim;</w:t>
      </w:r>
    </w:p>
    <w:p w14:paraId="3361E01F" w14:textId="77777777" w:rsidR="000303A1" w:rsidRPr="00381D4B" w:rsidRDefault="000303A1" w:rsidP="00381D4B">
      <w:pPr>
        <w:jc w:val="both"/>
        <w:rPr>
          <w:rFonts w:ascii="Times New Roman" w:hAnsi="Times New Roman"/>
          <w:noProof/>
          <w:sz w:val="24"/>
        </w:rPr>
      </w:pPr>
    </w:p>
    <w:p w14:paraId="4CDFE04D" w14:textId="77777777" w:rsidR="000303A1" w:rsidRPr="00381D4B" w:rsidRDefault="000303A1" w:rsidP="00381D4B">
      <w:pPr>
        <w:jc w:val="both"/>
        <w:rPr>
          <w:rFonts w:ascii="Times New Roman" w:hAnsi="Times New Roman"/>
          <w:noProof/>
          <w:sz w:val="24"/>
        </w:rPr>
      </w:pPr>
      <w:r>
        <w:rPr>
          <w:rFonts w:ascii="Times New Roman" w:hAnsi="Times New Roman"/>
          <w:sz w:val="24"/>
        </w:rPr>
        <w:t>atkārtoti uzsverot, ka brīvas vēlēšanas un vārda brīvība, jo īpaši politisko debašu brīvība, kopā veido jebkuras demokrātiskas sistēmas pamatu, un tāpēc ir maz iespēju ierobežot politiska viedokļa paušanu vai diskusijas par sabiedrībai svarīgiem jautājumiem;</w:t>
      </w:r>
    </w:p>
    <w:p w14:paraId="43ACB80C" w14:textId="77777777" w:rsidR="000303A1" w:rsidRPr="00381D4B" w:rsidRDefault="000303A1" w:rsidP="00381D4B">
      <w:pPr>
        <w:jc w:val="both"/>
        <w:rPr>
          <w:rFonts w:ascii="Times New Roman" w:hAnsi="Times New Roman"/>
          <w:noProof/>
          <w:sz w:val="24"/>
        </w:rPr>
      </w:pPr>
    </w:p>
    <w:p w14:paraId="541D888A" w14:textId="77777777" w:rsidR="000303A1" w:rsidRPr="00381D4B" w:rsidRDefault="000303A1" w:rsidP="00381D4B">
      <w:pPr>
        <w:jc w:val="both"/>
        <w:rPr>
          <w:rFonts w:ascii="Times New Roman" w:hAnsi="Times New Roman"/>
          <w:noProof/>
          <w:sz w:val="24"/>
        </w:rPr>
      </w:pPr>
      <w:r>
        <w:rPr>
          <w:rFonts w:ascii="Times New Roman" w:hAnsi="Times New Roman"/>
          <w:sz w:val="24"/>
        </w:rPr>
        <w:t>uzsverot, ka sabiedrības intereses ir jāsaprot plaši, jo tās ietver visus jautājumus, kas ietekmē un skar sabiedrību, tostarp strīdīgus jautājumus, un ka sabiedrībai ir tiesības tikt informētai par sabiedrībai svarīgiem jautājumiem, un žurnālistu un mediju uzdevums ir sniegt informāciju un atspoguļot idejas par šiem jautājumiem;</w:t>
      </w:r>
    </w:p>
    <w:p w14:paraId="0C0BEA5B" w14:textId="77777777" w:rsidR="000303A1" w:rsidRPr="00381D4B" w:rsidRDefault="000303A1" w:rsidP="00381D4B">
      <w:pPr>
        <w:jc w:val="both"/>
        <w:rPr>
          <w:rFonts w:ascii="Times New Roman" w:hAnsi="Times New Roman"/>
          <w:noProof/>
          <w:sz w:val="24"/>
        </w:rPr>
      </w:pPr>
    </w:p>
    <w:p w14:paraId="402A5ED4" w14:textId="77777777" w:rsidR="000303A1" w:rsidRPr="00381D4B" w:rsidRDefault="000303A1" w:rsidP="005B1B20">
      <w:pPr>
        <w:widowControl/>
        <w:jc w:val="both"/>
        <w:rPr>
          <w:rFonts w:ascii="Times New Roman" w:hAnsi="Times New Roman"/>
          <w:noProof/>
          <w:sz w:val="24"/>
        </w:rPr>
      </w:pPr>
      <w:r>
        <w:rPr>
          <w:rFonts w:ascii="Times New Roman" w:hAnsi="Times New Roman"/>
          <w:sz w:val="24"/>
        </w:rPr>
        <w:t>uzsverot, ka daudzveidīgu viedokļu un perspektīvu, tostarp minoritāšu un citu vairākuma viedoklim neatbilstošu viedokļu, iekļaušana ir svarīga, lai nodrošinātu plurālistiskas sabiedriskās diskusijas un zinošu un aktīvu pilsoņu kopumu;</w:t>
      </w:r>
    </w:p>
    <w:p w14:paraId="3484C694" w14:textId="77777777" w:rsidR="000303A1" w:rsidRPr="00381D4B" w:rsidRDefault="000303A1" w:rsidP="005B1B20">
      <w:pPr>
        <w:widowControl/>
        <w:jc w:val="both"/>
        <w:rPr>
          <w:rFonts w:ascii="Times New Roman" w:hAnsi="Times New Roman"/>
          <w:noProof/>
          <w:sz w:val="24"/>
        </w:rPr>
      </w:pPr>
      <w:r>
        <w:rPr>
          <w:rFonts w:ascii="Times New Roman" w:hAnsi="Times New Roman"/>
          <w:sz w:val="24"/>
        </w:rPr>
        <w:t>apzinoties, ka politisko, finansiālo un citu varas formu asimetrija sabiedrībā var radīt nevienlīdzību sabiedriskās diskusijās un ka varas un privilēģiju nepareiza un ļaunprātīga izmantošana, piedraudot ar tiesvedību vai vēršoties tiesā, lai vajātu, iebiedētu vai apklusinātu minoritāti vai kritikas paudējus, atturoši ietekmē sabiedrības līdzdalību;</w:t>
      </w:r>
    </w:p>
    <w:p w14:paraId="64C2F441" w14:textId="77777777" w:rsidR="000303A1" w:rsidRPr="00381D4B" w:rsidRDefault="000303A1" w:rsidP="00381D4B">
      <w:pPr>
        <w:jc w:val="both"/>
        <w:rPr>
          <w:rFonts w:ascii="Times New Roman" w:hAnsi="Times New Roman"/>
          <w:noProof/>
          <w:sz w:val="24"/>
        </w:rPr>
      </w:pPr>
    </w:p>
    <w:p w14:paraId="14450F13" w14:textId="2AD3672C" w:rsidR="00381D4B" w:rsidRPr="00381D4B" w:rsidRDefault="000303A1" w:rsidP="00381D4B">
      <w:pPr>
        <w:jc w:val="both"/>
        <w:rPr>
          <w:rFonts w:ascii="Times New Roman" w:hAnsi="Times New Roman"/>
          <w:noProof/>
          <w:sz w:val="24"/>
        </w:rPr>
      </w:pPr>
      <w:r>
        <w:rPr>
          <w:rFonts w:ascii="Times New Roman" w:hAnsi="Times New Roman"/>
          <w:sz w:val="24"/>
        </w:rPr>
        <w:t>paužot nopietnas bažas par to, ka Eiropas Padomes dalībvalstīs joprojām pastāv daudzi dažādi iebiedēšanas paņēmieni, draudi, vardarbība, slepkavības un citi noziegumi pret indivīdiem vai organizācijām, kas pilda sabiedrisko interešu publisko uzraugu funkciju, un par šo draudu atturošo ietekmi uz sabiedrības līdzdalību, jo īpaši tad, ja noziegumu izdarītāji paliek nesodīti;</w:t>
      </w:r>
    </w:p>
    <w:p w14:paraId="211EFF82" w14:textId="77777777" w:rsidR="000303A1" w:rsidRPr="00381D4B" w:rsidRDefault="000303A1" w:rsidP="00381D4B">
      <w:pPr>
        <w:jc w:val="both"/>
        <w:rPr>
          <w:rFonts w:ascii="Times New Roman" w:hAnsi="Times New Roman"/>
          <w:noProof/>
          <w:sz w:val="24"/>
        </w:rPr>
      </w:pPr>
    </w:p>
    <w:p w14:paraId="3D3CDA8B" w14:textId="77777777" w:rsidR="000303A1" w:rsidRPr="00381D4B" w:rsidRDefault="000303A1" w:rsidP="00381D4B">
      <w:pPr>
        <w:jc w:val="both"/>
        <w:rPr>
          <w:rFonts w:ascii="Times New Roman" w:hAnsi="Times New Roman"/>
          <w:noProof/>
          <w:sz w:val="24"/>
        </w:rPr>
      </w:pPr>
      <w:r>
        <w:rPr>
          <w:rFonts w:ascii="Times New Roman" w:hAnsi="Times New Roman"/>
          <w:sz w:val="24"/>
        </w:rPr>
        <w:t>paužot satraukumu par atturošo ietekmi uz vārda brīvību, sabiedriskām diskusijām un sabiedrības līdzdalību, ko rada tādas tiesiskas darbības, bieži dēvētas par stratēģisku tiesvedību pret sabiedrības līdzdalību (</w:t>
      </w:r>
      <w:r>
        <w:rPr>
          <w:rFonts w:ascii="Times New Roman" w:hAnsi="Times New Roman"/>
          <w:i/>
          <w:iCs/>
          <w:sz w:val="24"/>
        </w:rPr>
        <w:t>SLAPP</w:t>
      </w:r>
      <w:r>
        <w:rPr>
          <w:rFonts w:ascii="Times New Roman" w:hAnsi="Times New Roman"/>
          <w:sz w:val="24"/>
        </w:rPr>
        <w:t>), ar kurām tiek piedraudēts vai kuras tiek ierosinātas vai īstenotas kā līdzeklis to skartās personas vajāšanai vai iebiedēšanai un kuru mērķis ir novērst, kavēt vai ierobežot tiesību uz vārda brīvību izmantošanu sabiedrības interešu jautājumos un ar sabiedrības līdzdalību saistītu tiesību īstenošanu, vai sodīt par to;</w:t>
      </w:r>
    </w:p>
    <w:p w14:paraId="6298E8CD" w14:textId="77777777" w:rsidR="000303A1" w:rsidRPr="00381D4B" w:rsidRDefault="000303A1" w:rsidP="00381D4B">
      <w:pPr>
        <w:jc w:val="both"/>
        <w:rPr>
          <w:rFonts w:ascii="Times New Roman" w:hAnsi="Times New Roman"/>
          <w:noProof/>
          <w:sz w:val="24"/>
        </w:rPr>
      </w:pPr>
    </w:p>
    <w:p w14:paraId="1F27E64D" w14:textId="77777777" w:rsidR="000303A1" w:rsidRDefault="000303A1" w:rsidP="00381D4B">
      <w:pPr>
        <w:jc w:val="both"/>
        <w:rPr>
          <w:rFonts w:ascii="Times New Roman" w:hAnsi="Times New Roman"/>
          <w:noProof/>
          <w:sz w:val="24"/>
        </w:rPr>
      </w:pPr>
      <w:r>
        <w:rPr>
          <w:rFonts w:ascii="Times New Roman" w:hAnsi="Times New Roman"/>
          <w:sz w:val="24"/>
        </w:rPr>
        <w:t xml:space="preserve">apzinoties, ka </w:t>
      </w:r>
      <w:r>
        <w:rPr>
          <w:rFonts w:ascii="Times New Roman" w:hAnsi="Times New Roman"/>
          <w:i/>
          <w:iCs/>
          <w:sz w:val="24"/>
        </w:rPr>
        <w:t>SLAPP</w:t>
      </w:r>
      <w:r>
        <w:rPr>
          <w:rFonts w:ascii="Times New Roman" w:hAnsi="Times New Roman"/>
          <w:sz w:val="24"/>
        </w:rPr>
        <w:t xml:space="preserve"> bieži vien ir civiltiesiskas prasības, taču parādās arī administratīvās atbildības un kriminālatbildības kontekstā, un gadījumos, kad šāda tiesvedība paredz administratīvus pasākumus un kriminālsodus, tās var būt īpaši ierobežojošas un vieglāk izmantojamas pret sabiedrisko interešu publiskajiem uzraugiem, tādējādi smagāk ietekmējot indivīdus un radot spēcīgāku atturošu ietekmi;</w:t>
      </w:r>
    </w:p>
    <w:p w14:paraId="6C9C4B99" w14:textId="77777777" w:rsidR="00C53A3C" w:rsidRPr="00381D4B" w:rsidRDefault="00C53A3C" w:rsidP="00381D4B">
      <w:pPr>
        <w:jc w:val="both"/>
        <w:rPr>
          <w:rFonts w:ascii="Times New Roman" w:hAnsi="Times New Roman"/>
          <w:noProof/>
          <w:sz w:val="24"/>
        </w:rPr>
      </w:pPr>
    </w:p>
    <w:p w14:paraId="58BAEC0B" w14:textId="77777777" w:rsidR="000303A1" w:rsidRPr="00381D4B" w:rsidRDefault="000303A1" w:rsidP="00381D4B">
      <w:pPr>
        <w:jc w:val="both"/>
        <w:rPr>
          <w:rFonts w:ascii="Times New Roman" w:hAnsi="Times New Roman"/>
          <w:noProof/>
          <w:sz w:val="24"/>
        </w:rPr>
      </w:pPr>
      <w:r>
        <w:rPr>
          <w:rFonts w:ascii="Times New Roman" w:hAnsi="Times New Roman"/>
          <w:sz w:val="24"/>
        </w:rPr>
        <w:t xml:space="preserve">ar bažām atzīmējot, ka sievietes un personas ar atšķirīgu seksuālo orientāciju, dzimumidentitāti un izpausmēm, un dzimuma iezīmēm žurnālistu, cilvēktiesību aizstāvju un citu sabiedrisko interešu publisko uzraugu statusā ir īpaši apdraudētas, tostarp gadījumos, kad pret šīm personām tiek vērsta </w:t>
      </w:r>
      <w:r>
        <w:rPr>
          <w:rFonts w:ascii="Times New Roman" w:hAnsi="Times New Roman"/>
          <w:i/>
          <w:iCs/>
          <w:sz w:val="24"/>
        </w:rPr>
        <w:t>SLAPP</w:t>
      </w:r>
      <w:r>
        <w:rPr>
          <w:rFonts w:ascii="Times New Roman" w:hAnsi="Times New Roman"/>
          <w:sz w:val="24"/>
        </w:rPr>
        <w:t>, un atzīmējot nepieciešamību pievērst uzmanību to risku un problēmu atšķirīgajai ietekmei, ar ko saskaras šīs personas;</w:t>
      </w:r>
    </w:p>
    <w:p w14:paraId="15FE3432" w14:textId="77777777" w:rsidR="000303A1" w:rsidRPr="00381D4B" w:rsidRDefault="000303A1" w:rsidP="00381D4B">
      <w:pPr>
        <w:jc w:val="both"/>
        <w:rPr>
          <w:rFonts w:ascii="Times New Roman" w:hAnsi="Times New Roman"/>
          <w:noProof/>
          <w:sz w:val="24"/>
        </w:rPr>
      </w:pPr>
    </w:p>
    <w:p w14:paraId="54251F9B" w14:textId="77777777" w:rsidR="000303A1" w:rsidRPr="00381D4B" w:rsidRDefault="000303A1" w:rsidP="00381D4B">
      <w:pPr>
        <w:jc w:val="both"/>
        <w:rPr>
          <w:rFonts w:ascii="Times New Roman" w:hAnsi="Times New Roman"/>
          <w:noProof/>
          <w:sz w:val="24"/>
        </w:rPr>
      </w:pPr>
      <w:r>
        <w:rPr>
          <w:rFonts w:ascii="Times New Roman" w:hAnsi="Times New Roman"/>
          <w:sz w:val="24"/>
        </w:rPr>
        <w:t xml:space="preserve">vēloties nostiprināt un attīstīt tiesiskos un politiskos atbildes pasākumus, ko Eiropas Padome jau ir pieņēmusi atbilstoši Tiesas praksei un Ministru komitejas ieteikumiem un deklarācijām, un pamatojoties uz tiem saskaņā ar Ieteikumu </w:t>
      </w:r>
      <w:hyperlink r:id="rId13">
        <w:r>
          <w:rPr>
            <w:rFonts w:ascii="Times New Roman" w:hAnsi="Times New Roman"/>
            <w:sz w:val="24"/>
          </w:rPr>
          <w:t>CM/Rec(2014)7</w:t>
        </w:r>
      </w:hyperlink>
      <w:r>
        <w:rPr>
          <w:rFonts w:ascii="Times New Roman" w:hAnsi="Times New Roman"/>
          <w:sz w:val="24"/>
        </w:rPr>
        <w:t xml:space="preserve"> par trauksmes cēlēju aizsardzību, Ieteikumu </w:t>
      </w:r>
      <w:hyperlink r:id="rId14">
        <w:r>
          <w:rPr>
            <w:rFonts w:ascii="Times New Roman" w:hAnsi="Times New Roman"/>
            <w:sz w:val="24"/>
          </w:rPr>
          <w:t>CM/Rec(2016)4</w:t>
        </w:r>
      </w:hyperlink>
      <w:r>
        <w:rPr>
          <w:rFonts w:ascii="Times New Roman" w:hAnsi="Times New Roman"/>
          <w:sz w:val="24"/>
        </w:rPr>
        <w:t xml:space="preserve"> dalībvalstīm par žurnālistikas aizsardzību un žurnālistu un citu mediju darbinieku drošību, Ieteikumu </w:t>
      </w:r>
      <w:hyperlink r:id="rId15">
        <w:r>
          <w:rPr>
            <w:rFonts w:ascii="Times New Roman" w:hAnsi="Times New Roman"/>
            <w:sz w:val="24"/>
          </w:rPr>
          <w:t>CM/Rec(2022)4</w:t>
        </w:r>
      </w:hyperlink>
      <w:r>
        <w:rPr>
          <w:rFonts w:ascii="Times New Roman" w:hAnsi="Times New Roman"/>
          <w:sz w:val="24"/>
        </w:rPr>
        <w:t xml:space="preserve"> par kvalitatīvai žurnālistikai labvēlīgas vides veicināšanu digitālajā laikmetā un </w:t>
      </w:r>
      <w:hyperlink r:id="rId16">
        <w:r>
          <w:rPr>
            <w:rFonts w:ascii="Times New Roman" w:hAnsi="Times New Roman"/>
            <w:sz w:val="24"/>
          </w:rPr>
          <w:t>Ministru komitejas Deklarāciju par to starptautisko standartu vēlamību</w:t>
        </w:r>
      </w:hyperlink>
      <w:r>
        <w:rPr>
          <w:rFonts w:ascii="Times New Roman" w:hAnsi="Times New Roman"/>
          <w:sz w:val="24"/>
        </w:rPr>
        <w:t xml:space="preserve">, </w:t>
      </w:r>
      <w:hyperlink r:id="rId17">
        <w:r>
          <w:rPr>
            <w:rFonts w:ascii="Times New Roman" w:hAnsi="Times New Roman"/>
            <w:sz w:val="24"/>
          </w:rPr>
          <w:t>kas attiecas uz labvēlīgākās tiesas izvēli saistībā ar neslavas celšanu, “tūrismu neslavas celšanai”, lai nodrošinātu vārda brīvību</w:t>
        </w:r>
      </w:hyperlink>
      <w:r>
        <w:rPr>
          <w:rFonts w:ascii="Times New Roman" w:hAnsi="Times New Roman"/>
          <w:sz w:val="24"/>
        </w:rPr>
        <w:t xml:space="preserve"> (ko Ministru komiteja pieņēma 2012. gada 4. jūlijā ministru vietnieku 1147. sanāksmē), vienlaikus atzīstot to, ka ir svarīgi panākt konsekvenci un saskanību starp dažādiem instrumentiem un iniciatīvām Eiropas un starptautiskajā līmenī;</w:t>
      </w:r>
    </w:p>
    <w:p w14:paraId="2F3A550D" w14:textId="77777777" w:rsidR="000303A1" w:rsidRPr="00381D4B" w:rsidRDefault="000303A1" w:rsidP="00381D4B">
      <w:pPr>
        <w:jc w:val="both"/>
        <w:rPr>
          <w:rFonts w:ascii="Times New Roman" w:hAnsi="Times New Roman"/>
          <w:noProof/>
          <w:sz w:val="24"/>
        </w:rPr>
      </w:pPr>
    </w:p>
    <w:p w14:paraId="6BDDA218" w14:textId="77777777" w:rsidR="000303A1" w:rsidRDefault="000303A1" w:rsidP="00381D4B">
      <w:pPr>
        <w:jc w:val="both"/>
        <w:rPr>
          <w:rFonts w:ascii="Times New Roman" w:hAnsi="Times New Roman"/>
          <w:noProof/>
          <w:sz w:val="24"/>
        </w:rPr>
      </w:pPr>
      <w:r>
        <w:rPr>
          <w:rFonts w:ascii="Times New Roman" w:hAnsi="Times New Roman"/>
          <w:sz w:val="24"/>
        </w:rPr>
        <w:t xml:space="preserve">atzīstot, ka ir steidzami jāizstrādā vispusīgas un efektīvas stratēģijas </w:t>
      </w:r>
      <w:r>
        <w:rPr>
          <w:rFonts w:ascii="Times New Roman" w:hAnsi="Times New Roman"/>
          <w:i/>
          <w:iCs/>
          <w:sz w:val="24"/>
        </w:rPr>
        <w:t>SLAPP</w:t>
      </w:r>
      <w:r>
        <w:rPr>
          <w:rFonts w:ascii="Times New Roman" w:hAnsi="Times New Roman"/>
          <w:sz w:val="24"/>
        </w:rPr>
        <w:t xml:space="preserve"> apkarošanai, kas vēl vairāk stiprinātu spēkā esošo tiesisko regulējumu un politikas satvaru un praksi;</w:t>
      </w:r>
    </w:p>
    <w:p w14:paraId="5BBC6DDB" w14:textId="77777777" w:rsidR="00EF79FD" w:rsidRPr="00381D4B" w:rsidRDefault="00EF79FD" w:rsidP="00381D4B">
      <w:pPr>
        <w:jc w:val="both"/>
        <w:rPr>
          <w:rFonts w:ascii="Times New Roman" w:hAnsi="Times New Roman"/>
          <w:noProof/>
          <w:sz w:val="24"/>
        </w:rPr>
      </w:pPr>
    </w:p>
    <w:p w14:paraId="30A072C6" w14:textId="77777777" w:rsidR="000303A1" w:rsidRPr="00381D4B" w:rsidRDefault="000303A1" w:rsidP="00381D4B">
      <w:pPr>
        <w:jc w:val="both"/>
        <w:rPr>
          <w:rFonts w:ascii="Times New Roman" w:hAnsi="Times New Roman"/>
          <w:noProof/>
          <w:sz w:val="24"/>
        </w:rPr>
      </w:pPr>
      <w:r>
        <w:rPr>
          <w:rFonts w:ascii="Times New Roman" w:hAnsi="Times New Roman"/>
          <w:sz w:val="24"/>
        </w:rPr>
        <w:t>iesaka dalībvalstu valdībām:</w:t>
      </w:r>
    </w:p>
    <w:p w14:paraId="165FD9BE" w14:textId="77777777" w:rsidR="000303A1" w:rsidRPr="00381D4B" w:rsidRDefault="000303A1" w:rsidP="00381D4B">
      <w:pPr>
        <w:jc w:val="both"/>
        <w:rPr>
          <w:rFonts w:ascii="Times New Roman" w:hAnsi="Times New Roman"/>
          <w:noProof/>
          <w:sz w:val="24"/>
        </w:rPr>
      </w:pPr>
    </w:p>
    <w:p w14:paraId="76311042" w14:textId="769845A2" w:rsidR="000303A1" w:rsidRPr="00381D4B" w:rsidRDefault="00EF79FD" w:rsidP="00EF79FD">
      <w:pPr>
        <w:ind w:left="284" w:hanging="284"/>
        <w:jc w:val="both"/>
        <w:rPr>
          <w:rFonts w:ascii="Times New Roman" w:hAnsi="Times New Roman"/>
          <w:noProof/>
          <w:sz w:val="24"/>
        </w:rPr>
      </w:pPr>
      <w:r>
        <w:rPr>
          <w:rFonts w:ascii="Times New Roman" w:hAnsi="Times New Roman"/>
          <w:sz w:val="24"/>
        </w:rPr>
        <w:t>i) steidzami un iesaistot visas valsts pārvaldes institūcijas atbilstoši to kompetencei īstenot šā ieteikuma pielikumā izklāstītās vadlīnijas, pilnībā ņemot vērā tajā ietvertos principus, jo īpaši principus attiecībā uz strukturālajām un procesuālajām garantijām, tiesiskās aizsardzības līdzekļiem, pārredzamību, atbalstu skartajām personām un cietušajiem, izglītošanu, mācībām, izpratnes veicināšanu, kā arī spēju palielināšanu;</w:t>
      </w:r>
    </w:p>
    <w:p w14:paraId="5349A3B2" w14:textId="13564A99" w:rsidR="000303A1" w:rsidRPr="00381D4B" w:rsidRDefault="00EF79FD" w:rsidP="00EF79FD">
      <w:pPr>
        <w:ind w:left="284" w:hanging="284"/>
        <w:jc w:val="both"/>
        <w:rPr>
          <w:rFonts w:ascii="Times New Roman" w:hAnsi="Times New Roman"/>
          <w:noProof/>
          <w:sz w:val="24"/>
        </w:rPr>
      </w:pPr>
      <w:r>
        <w:rPr>
          <w:rFonts w:ascii="Times New Roman" w:hAnsi="Times New Roman"/>
          <w:sz w:val="24"/>
        </w:rPr>
        <w:t xml:space="preserve">ii) pievērst īpašu uzmanību </w:t>
      </w:r>
      <w:r>
        <w:rPr>
          <w:rFonts w:ascii="Times New Roman" w:hAnsi="Times New Roman"/>
          <w:i/>
          <w:iCs/>
          <w:sz w:val="24"/>
        </w:rPr>
        <w:t>SLAPP</w:t>
      </w:r>
      <w:r>
        <w:rPr>
          <w:rFonts w:ascii="Times New Roman" w:hAnsi="Times New Roman"/>
          <w:sz w:val="24"/>
        </w:rPr>
        <w:t xml:space="preserve"> jautājumam to veiktajā attiecīgo valsts tiesību aktu, politikas un prakses pārskatīšanā, tostarp saskaņā ar Ieteikumu </w:t>
      </w:r>
      <w:hyperlink r:id="rId18">
        <w:r>
          <w:rPr>
            <w:rFonts w:ascii="Times New Roman" w:hAnsi="Times New Roman"/>
            <w:sz w:val="24"/>
          </w:rPr>
          <w:t>CM/Rec(2016)4</w:t>
        </w:r>
      </w:hyperlink>
      <w:r>
        <w:rPr>
          <w:rFonts w:ascii="Times New Roman" w:hAnsi="Times New Roman"/>
          <w:sz w:val="24"/>
        </w:rPr>
        <w:t xml:space="preserve"> par žurnālistikas aizsardzību un žurnālistu un citu mediju darbinieku drošību, lai nodrošinātu pilnīgu atbilstību Konvencijā noteiktajiem dalībvalstu pienākumiem;</w:t>
      </w:r>
    </w:p>
    <w:p w14:paraId="4B19B6E9" w14:textId="14488CFB" w:rsidR="000303A1" w:rsidRPr="00381D4B" w:rsidRDefault="00EF79FD" w:rsidP="00EF79FD">
      <w:pPr>
        <w:ind w:left="284" w:hanging="284"/>
        <w:jc w:val="both"/>
        <w:rPr>
          <w:rFonts w:ascii="Times New Roman" w:hAnsi="Times New Roman"/>
          <w:noProof/>
          <w:sz w:val="24"/>
        </w:rPr>
      </w:pPr>
      <w:r>
        <w:rPr>
          <w:rFonts w:ascii="Times New Roman" w:hAnsi="Times New Roman"/>
          <w:sz w:val="24"/>
        </w:rPr>
        <w:lastRenderedPageBreak/>
        <w:t>iii) veicināt šā ieteikuma mērķu sasniegšanu gan valsts līmenī, gan atbilstošos Eiropas un starptautiskajos forumos, un izveidot kontaktus un sadarboties ar visām ieinteresētajām personām, lai sasniegtu šos mērķus;</w:t>
      </w:r>
    </w:p>
    <w:p w14:paraId="348ADAEB" w14:textId="36575114" w:rsidR="000303A1" w:rsidRPr="00381D4B" w:rsidRDefault="00EF79FD" w:rsidP="00EF79FD">
      <w:pPr>
        <w:ind w:left="284" w:hanging="284"/>
        <w:jc w:val="both"/>
        <w:rPr>
          <w:rFonts w:ascii="Times New Roman" w:hAnsi="Times New Roman"/>
          <w:noProof/>
          <w:sz w:val="24"/>
        </w:rPr>
      </w:pPr>
      <w:r>
        <w:rPr>
          <w:rFonts w:ascii="Times New Roman" w:hAnsi="Times New Roman"/>
          <w:sz w:val="24"/>
        </w:rPr>
        <w:t>iv) regulāri pārbaudīt šā ieteikuma īstenošanas statusu, lai pastiprinātu tā ietekmi un jo īpaši lai uzlabotu atbalsta mehānismus skartajām personām un cietušajiem, un informēt Ministru komiteju par dalībvalstu un citu ieinteresēto personu veiktajiem pasākumiem, sasniegto progresu un atlikušajiem trūkumiem.</w:t>
      </w:r>
    </w:p>
    <w:p w14:paraId="5D7C1B9B" w14:textId="30DE5A78" w:rsidR="00EF79FD" w:rsidRDefault="00EF79FD">
      <w:pPr>
        <w:rPr>
          <w:rFonts w:ascii="Times New Roman" w:hAnsi="Times New Roman"/>
          <w:noProof/>
          <w:sz w:val="24"/>
        </w:rPr>
      </w:pPr>
      <w:r>
        <w:br w:type="page"/>
      </w:r>
    </w:p>
    <w:p w14:paraId="76E221A9" w14:textId="77777777" w:rsidR="000303A1" w:rsidRPr="00EF79FD" w:rsidRDefault="000303A1" w:rsidP="00381D4B">
      <w:pPr>
        <w:jc w:val="both"/>
        <w:rPr>
          <w:rFonts w:ascii="Times New Roman" w:hAnsi="Times New Roman"/>
          <w:b/>
          <w:bCs/>
          <w:noProof/>
          <w:sz w:val="24"/>
        </w:rPr>
      </w:pPr>
      <w:r>
        <w:rPr>
          <w:rFonts w:ascii="Times New Roman" w:hAnsi="Times New Roman"/>
          <w:b/>
          <w:sz w:val="24"/>
        </w:rPr>
        <w:lastRenderedPageBreak/>
        <w:t xml:space="preserve">Ministru komitejas Ieteikuma </w:t>
      </w:r>
      <w:hyperlink r:id="rId19">
        <w:r>
          <w:rPr>
            <w:rFonts w:ascii="Times New Roman" w:hAnsi="Times New Roman"/>
            <w:b/>
            <w:sz w:val="24"/>
          </w:rPr>
          <w:t>CM/Rec(2024)2</w:t>
        </w:r>
      </w:hyperlink>
      <w:r>
        <w:rPr>
          <w:rFonts w:ascii="Times New Roman" w:hAnsi="Times New Roman"/>
          <w:b/>
          <w:sz w:val="24"/>
        </w:rPr>
        <w:t xml:space="preserve"> dalībvalstīm par cīņu pret stratēģiskas tiesvedības pret sabiedrības līdzdalību (</w:t>
      </w:r>
      <w:r>
        <w:rPr>
          <w:rFonts w:ascii="Times New Roman" w:hAnsi="Times New Roman"/>
          <w:b/>
          <w:i/>
          <w:iCs/>
          <w:sz w:val="24"/>
        </w:rPr>
        <w:t>SLAPP</w:t>
      </w:r>
      <w:r>
        <w:rPr>
          <w:rFonts w:ascii="Times New Roman" w:hAnsi="Times New Roman"/>
          <w:b/>
          <w:sz w:val="24"/>
        </w:rPr>
        <w:t>) izmantošanu pielikums</w:t>
      </w:r>
    </w:p>
    <w:p w14:paraId="5C324C40" w14:textId="77777777" w:rsidR="000303A1" w:rsidRPr="00381D4B" w:rsidRDefault="000303A1" w:rsidP="00381D4B">
      <w:pPr>
        <w:jc w:val="both"/>
        <w:rPr>
          <w:rFonts w:ascii="Times New Roman" w:hAnsi="Times New Roman"/>
          <w:b/>
          <w:noProof/>
          <w:sz w:val="24"/>
        </w:rPr>
      </w:pPr>
    </w:p>
    <w:p w14:paraId="10A416D5" w14:textId="4C60776F" w:rsidR="000303A1" w:rsidRPr="00381D4B" w:rsidRDefault="00EF79FD" w:rsidP="00381D4B">
      <w:pPr>
        <w:jc w:val="both"/>
        <w:rPr>
          <w:rFonts w:ascii="Times New Roman" w:hAnsi="Times New Roman"/>
          <w:b/>
          <w:noProof/>
          <w:sz w:val="24"/>
        </w:rPr>
      </w:pPr>
      <w:r>
        <w:rPr>
          <w:rFonts w:ascii="Times New Roman" w:hAnsi="Times New Roman"/>
          <w:b/>
          <w:sz w:val="24"/>
        </w:rPr>
        <w:t>I. Darbības joma un definīcijas</w:t>
      </w:r>
    </w:p>
    <w:p w14:paraId="020CAC38" w14:textId="77777777" w:rsidR="000303A1" w:rsidRPr="00381D4B" w:rsidRDefault="000303A1" w:rsidP="00381D4B">
      <w:pPr>
        <w:jc w:val="both"/>
        <w:rPr>
          <w:rFonts w:ascii="Times New Roman" w:hAnsi="Times New Roman"/>
          <w:b/>
          <w:noProof/>
          <w:sz w:val="24"/>
        </w:rPr>
      </w:pPr>
    </w:p>
    <w:p w14:paraId="3B3794B8" w14:textId="61158AF9" w:rsidR="000303A1" w:rsidRPr="00381D4B" w:rsidRDefault="00AA161F" w:rsidP="00381D4B">
      <w:pPr>
        <w:jc w:val="both"/>
        <w:rPr>
          <w:rFonts w:ascii="Times New Roman" w:hAnsi="Times New Roman"/>
          <w:noProof/>
          <w:sz w:val="24"/>
        </w:rPr>
      </w:pPr>
      <w:r>
        <w:rPr>
          <w:rFonts w:ascii="Times New Roman" w:hAnsi="Times New Roman"/>
          <w:sz w:val="24"/>
        </w:rPr>
        <w:t>1. Saistībā ar šo ieteikumu tiek pieņemts, ka stratēģiskas tiesvedības pret sabiedrības līdzdalību (</w:t>
      </w:r>
      <w:r>
        <w:rPr>
          <w:rFonts w:ascii="Times New Roman" w:hAnsi="Times New Roman"/>
          <w:i/>
          <w:iCs/>
          <w:sz w:val="24"/>
        </w:rPr>
        <w:t>SLAPP</w:t>
      </w:r>
      <w:r>
        <w:rPr>
          <w:rFonts w:ascii="Times New Roman" w:hAnsi="Times New Roman"/>
          <w:sz w:val="24"/>
        </w:rPr>
        <w:t>) ir tiesiskas darbības, ar kurām tiek piedraudēts vai kuras tiek ierosinātas vai īstenotas kā līdzeklis to skartās personas vajāšanai vai iebiedēšanai un kuru mērķis ir novērst, kavēt vai ierobežot tiesību uz vārda brīvību izmantošanu sabiedrības interešu jautājumos un ar sabiedrības līdzdalību saistītu tiesību īstenošanu, vai sodīt par to.</w:t>
      </w:r>
    </w:p>
    <w:p w14:paraId="0A9A14C3" w14:textId="77777777" w:rsidR="00AA161F" w:rsidRDefault="00AA161F" w:rsidP="00381D4B">
      <w:pPr>
        <w:jc w:val="both"/>
        <w:rPr>
          <w:rFonts w:ascii="Times New Roman" w:hAnsi="Times New Roman"/>
          <w:noProof/>
          <w:sz w:val="24"/>
        </w:rPr>
      </w:pPr>
    </w:p>
    <w:p w14:paraId="5E512F69" w14:textId="2F1FE570" w:rsidR="000303A1" w:rsidRPr="00381D4B" w:rsidRDefault="00AA161F" w:rsidP="00381D4B">
      <w:pPr>
        <w:jc w:val="both"/>
        <w:rPr>
          <w:rFonts w:ascii="Times New Roman" w:hAnsi="Times New Roman"/>
          <w:noProof/>
          <w:sz w:val="24"/>
        </w:rPr>
      </w:pPr>
      <w:r>
        <w:rPr>
          <w:rFonts w:ascii="Times New Roman" w:hAnsi="Times New Roman"/>
          <w:sz w:val="24"/>
        </w:rPr>
        <w:t xml:space="preserve">2. Šā ieteikuma galvenais mērķis, proti, aizsargāt sabiedrības līdzdalību pret </w:t>
      </w:r>
      <w:r>
        <w:rPr>
          <w:rFonts w:ascii="Times New Roman" w:hAnsi="Times New Roman"/>
          <w:i/>
          <w:iCs/>
          <w:sz w:val="24"/>
        </w:rPr>
        <w:t>SLAPP</w:t>
      </w:r>
      <w:r>
        <w:rPr>
          <w:rFonts w:ascii="Times New Roman" w:hAnsi="Times New Roman"/>
          <w:sz w:val="24"/>
        </w:rPr>
        <w:t xml:space="preserve"> un nepieļaut </w:t>
      </w:r>
      <w:r>
        <w:rPr>
          <w:rFonts w:ascii="Times New Roman" w:hAnsi="Times New Roman"/>
          <w:i/>
          <w:iCs/>
          <w:sz w:val="24"/>
        </w:rPr>
        <w:t>SLAPP</w:t>
      </w:r>
      <w:r>
        <w:rPr>
          <w:rFonts w:ascii="Times New Roman" w:hAnsi="Times New Roman"/>
          <w:sz w:val="24"/>
        </w:rPr>
        <w:t xml:space="preserve"> turpmāku izmantošanu Eiropas Padomes dalībvalstīs, ir jāīsteno plašāku dalībvalstu saistību ietvaros, kas noteiktas Konvencijā, lai nodrošinātu drošu un labvēlīgu vidi līdzdalībai sabiedriskās diskusijās, kas ir tādu plurālistisku demokrātisku sabiedrību būtiska iezīme, kurā tiek pilnīgi ievērots tiesiskums un cilvēktiesības. Šo saistību izpildes pamatā ir izpratne, ka dažādu veidu draudiem ir atturoša ietekme uz līdzdalību sabiedriskās diskusijās un ka tie izraisa pašcenzūru, tādējādi atņemot sabiedrībai plurālistisku informācijas un ideju piedāvājumu, kas indivīdiem ir nepieciešams, lai pieņemtu apzinātus lēmumus. Lai arī </w:t>
      </w:r>
      <w:r>
        <w:rPr>
          <w:rFonts w:ascii="Times New Roman" w:hAnsi="Times New Roman"/>
          <w:i/>
          <w:iCs/>
          <w:sz w:val="24"/>
        </w:rPr>
        <w:t>SLAPP</w:t>
      </w:r>
      <w:r>
        <w:rPr>
          <w:rFonts w:ascii="Times New Roman" w:hAnsi="Times New Roman"/>
          <w:sz w:val="24"/>
        </w:rPr>
        <w:t xml:space="preserve"> ir jāapkaro, tomēr jāpanāk arī piesardzīgs līdzsvars starp iesaistītajām pusēm, lai neapgrūtinātu to tiesības vērsties tiesā.</w:t>
      </w:r>
    </w:p>
    <w:p w14:paraId="6B94B472" w14:textId="77777777" w:rsidR="000303A1" w:rsidRPr="00381D4B" w:rsidRDefault="000303A1" w:rsidP="00381D4B">
      <w:pPr>
        <w:jc w:val="both"/>
        <w:rPr>
          <w:rFonts w:ascii="Times New Roman" w:hAnsi="Times New Roman"/>
          <w:noProof/>
          <w:sz w:val="24"/>
        </w:rPr>
      </w:pPr>
    </w:p>
    <w:p w14:paraId="42DB696F" w14:textId="4FBF03BA" w:rsidR="000303A1" w:rsidRDefault="00AA161F" w:rsidP="00381D4B">
      <w:pPr>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SLAPP</w:t>
      </w:r>
      <w:r>
        <w:rPr>
          <w:rFonts w:ascii="Times New Roman" w:hAnsi="Times New Roman"/>
          <w:sz w:val="24"/>
        </w:rPr>
        <w:t xml:space="preserve"> var izpausties dažādos veidos, un valstu tiesiskajos regulējumos uz tiem attiecas dažādi noteikumi. Viena no problēmām, ar ko dalībvalstis saskaras, cenšoties novērst </w:t>
      </w:r>
      <w:r>
        <w:rPr>
          <w:rFonts w:ascii="Times New Roman" w:hAnsi="Times New Roman"/>
          <w:i/>
          <w:iCs/>
          <w:sz w:val="24"/>
        </w:rPr>
        <w:t>SLAPP</w:t>
      </w:r>
      <w:r>
        <w:rPr>
          <w:rFonts w:ascii="Times New Roman" w:hAnsi="Times New Roman"/>
          <w:sz w:val="24"/>
        </w:rPr>
        <w:t xml:space="preserve"> un apkarot tās kaitīgo ietekmi, ir spēja ātri atpazīt </w:t>
      </w:r>
      <w:r>
        <w:rPr>
          <w:rFonts w:ascii="Times New Roman" w:hAnsi="Times New Roman"/>
          <w:i/>
          <w:iCs/>
          <w:sz w:val="24"/>
        </w:rPr>
        <w:t>SLAPP</w:t>
      </w:r>
      <w:r>
        <w:rPr>
          <w:rFonts w:ascii="Times New Roman" w:hAnsi="Times New Roman"/>
          <w:sz w:val="24"/>
        </w:rPr>
        <w:t xml:space="preserve"> un nodrošināt, ka attiecībā uz visām šādām tiesvedībām ir spēkā normatīvi un citi aizsardzības pasākumi. Tāpēc šajā ieteikumā ir izskaidroti galvenie termini un sniegti norādījumi par </w:t>
      </w:r>
      <w:r>
        <w:rPr>
          <w:rFonts w:ascii="Times New Roman" w:hAnsi="Times New Roman"/>
          <w:i/>
          <w:iCs/>
          <w:sz w:val="24"/>
        </w:rPr>
        <w:t>SLAPP</w:t>
      </w:r>
      <w:r>
        <w:rPr>
          <w:rFonts w:ascii="Times New Roman" w:hAnsi="Times New Roman"/>
          <w:sz w:val="24"/>
        </w:rPr>
        <w:t xml:space="preserve"> noteikšanas kritērijiem, lai palīdzētu dalībvalstīm atpazīt </w:t>
      </w:r>
      <w:r>
        <w:rPr>
          <w:rFonts w:ascii="Times New Roman" w:hAnsi="Times New Roman"/>
          <w:i/>
          <w:iCs/>
          <w:sz w:val="24"/>
        </w:rPr>
        <w:t>SLAPP</w:t>
      </w:r>
      <w:r>
        <w:rPr>
          <w:rFonts w:ascii="Times New Roman" w:hAnsi="Times New Roman"/>
          <w:sz w:val="24"/>
        </w:rPr>
        <w:t xml:space="preserve"> un piemērot atbilstošus un efektīvus tiesiskos aizsardzības pasākumus, atbildes pasākumus un citus līdzekļus to kaitīgās ietekmes apkarošanai. Tajā ir noteikti arī dažādi rādītāji.</w:t>
      </w:r>
    </w:p>
    <w:p w14:paraId="64E9EE2B" w14:textId="77777777" w:rsidR="00AA161F" w:rsidRPr="00AA161F" w:rsidRDefault="00AA161F" w:rsidP="00381D4B">
      <w:pPr>
        <w:jc w:val="both"/>
        <w:rPr>
          <w:rFonts w:ascii="Times New Roman" w:hAnsi="Times New Roman"/>
          <w:b/>
          <w:bCs/>
          <w:noProof/>
          <w:sz w:val="24"/>
        </w:rPr>
      </w:pPr>
    </w:p>
    <w:p w14:paraId="76689014" w14:textId="77777777" w:rsidR="000303A1" w:rsidRPr="00AA161F" w:rsidRDefault="000303A1" w:rsidP="00381D4B">
      <w:pPr>
        <w:jc w:val="both"/>
        <w:rPr>
          <w:rFonts w:ascii="Times New Roman" w:hAnsi="Times New Roman"/>
          <w:b/>
          <w:bCs/>
          <w:noProof/>
          <w:sz w:val="24"/>
        </w:rPr>
      </w:pPr>
      <w:r>
        <w:rPr>
          <w:rFonts w:ascii="Times New Roman" w:hAnsi="Times New Roman"/>
          <w:b/>
          <w:sz w:val="24"/>
        </w:rPr>
        <w:t>Galvenie termini</w:t>
      </w:r>
    </w:p>
    <w:p w14:paraId="246C376B" w14:textId="77777777" w:rsidR="000303A1" w:rsidRPr="00381D4B" w:rsidRDefault="000303A1" w:rsidP="00381D4B">
      <w:pPr>
        <w:jc w:val="both"/>
        <w:rPr>
          <w:rFonts w:ascii="Times New Roman" w:hAnsi="Times New Roman"/>
          <w:b/>
          <w:noProof/>
          <w:sz w:val="24"/>
        </w:rPr>
      </w:pPr>
    </w:p>
    <w:p w14:paraId="6696C9ED" w14:textId="1D22E91D" w:rsidR="000303A1" w:rsidRPr="00381D4B" w:rsidRDefault="00AA161F" w:rsidP="00381D4B">
      <w:pPr>
        <w:jc w:val="both"/>
        <w:rPr>
          <w:rFonts w:ascii="Times New Roman" w:hAnsi="Times New Roman"/>
          <w:noProof/>
          <w:sz w:val="24"/>
        </w:rPr>
      </w:pPr>
      <w:r>
        <w:rPr>
          <w:rFonts w:ascii="Times New Roman" w:hAnsi="Times New Roman"/>
          <w:sz w:val="24"/>
        </w:rPr>
        <w:t>4. Šajā ieteikumā un atbilstoši Konvencijā paredzētajām tiesībām, kā Tiesa to interpretējusi savā praksē, turpmāk norādītie galvenie termini tiek lietoti vispusīgā un iekļaujošā veidā:</w:t>
      </w:r>
    </w:p>
    <w:p w14:paraId="41CD82EE" w14:textId="77777777" w:rsidR="000303A1" w:rsidRPr="00381D4B" w:rsidRDefault="000303A1" w:rsidP="00381D4B">
      <w:pPr>
        <w:jc w:val="both"/>
        <w:rPr>
          <w:rFonts w:ascii="Times New Roman" w:hAnsi="Times New Roman"/>
          <w:noProof/>
          <w:sz w:val="24"/>
        </w:rPr>
      </w:pPr>
    </w:p>
    <w:p w14:paraId="0424CBA4" w14:textId="3F77033D" w:rsidR="000303A1" w:rsidRPr="00381D4B" w:rsidRDefault="00AA161F" w:rsidP="00381D4B">
      <w:pPr>
        <w:jc w:val="both"/>
        <w:rPr>
          <w:rFonts w:ascii="Times New Roman" w:hAnsi="Times New Roman"/>
          <w:noProof/>
          <w:sz w:val="24"/>
        </w:rPr>
      </w:pPr>
      <w:r>
        <w:rPr>
          <w:rFonts w:ascii="Times New Roman" w:hAnsi="Times New Roman"/>
          <w:sz w:val="24"/>
        </w:rPr>
        <w:t>a) “sabiedrības līdzdalība” attiecas uz ikvienas personas demokrātiskajām tiesībām nebaidoties un bez diskriminācijas piedalīties sabiedriskās diskusijās un sabiedrību skarošos jautājumos gan tiešsaistē, gan bezsaistē. Kā paskaidrojusi Tiesa, šeit ietilpst tiesības paust viedokļus un idejas, kas ir pretrunā valsts iestāžu vai ievērojamas sabiedrības daļas aizstāvētajiem viedokļiem un idejām vai kritizē tās, vai kas aizvaino, šokē vai satrauc valsti vai kādu iedzīvotāju daļu. Vietniekvārds “ikviens” ietver visus sabiedrisko interešu publiskos uzraugus un sabiedrisku diskusiju dalībniekus, kā arī visus sabiedrību skarošu jautājumu dalībniekus, tostarp, bet ne tikai, žurnālistus, mediju organizācijas, mediju profesionāļus un citus mediju darbiniekus, piemēram, pilsoniskās žurnālistikas pārstāvjus (neprofesionālus žurnālistus); pilsoniskās sabiedrības organizācijas, piemēram, vides aizsardzības un korupcijas apkarošanas apvienības un aktīvistus; arodbiedrības; trauksmes cēlējus; pētniekus; blogerus; cilvēktiesību aizstāvjus; juristus; sociālo mediju lietotājus; kultūras un radošo nozaru darbiniekus.</w:t>
      </w:r>
    </w:p>
    <w:p w14:paraId="12A50AA1" w14:textId="77777777" w:rsidR="000303A1" w:rsidRPr="00381D4B" w:rsidRDefault="000303A1" w:rsidP="00381D4B">
      <w:pPr>
        <w:jc w:val="both"/>
        <w:rPr>
          <w:rFonts w:ascii="Times New Roman" w:hAnsi="Times New Roman"/>
          <w:noProof/>
          <w:sz w:val="24"/>
        </w:rPr>
      </w:pPr>
    </w:p>
    <w:p w14:paraId="609570DE" w14:textId="77777777" w:rsidR="000303A1" w:rsidRPr="00381D4B" w:rsidRDefault="000303A1" w:rsidP="0021488D">
      <w:pPr>
        <w:keepNext/>
        <w:keepLines/>
        <w:jc w:val="both"/>
        <w:rPr>
          <w:rFonts w:ascii="Times New Roman" w:hAnsi="Times New Roman"/>
          <w:noProof/>
          <w:sz w:val="24"/>
        </w:rPr>
      </w:pPr>
      <w:r>
        <w:rPr>
          <w:rFonts w:ascii="Times New Roman" w:hAnsi="Times New Roman"/>
          <w:sz w:val="24"/>
        </w:rPr>
        <w:lastRenderedPageBreak/>
        <w:t>“Sabiedrības līdzdalība” ietver arī tiesības uz pulcēšanās un biedrošanās brīvību un tiesības balsot un kandidēt vēlēšanās. Līdz ar to sabiedrības līdzdalība var ietvert dažādus pasākumus, piemēram, aizstāvību, žurnālistiku, tiesību aktu vai ētikas normu pārkāpumu izmeklēšanu un ziņošanu par tiem, akadēmisko pētniecību, mācības, debates, rakstisku vēršanos pie valsts amatpersonām vai korporatīvajiem klientiem, petīciju izplatīšanu, dalību tiesvedībā, kuras mērķis ir veicināt sociālās pārmaiņas vai aizsargāt esošās tiesības vai vidi, iesaistīšanos miermīlīgos protestos vai boikotos, iesaistīšanos reģionālos vai starptautiskos mehānismos, vai vienkārši iebildumu paušanu pret varas nepareizu vai ļaunprātīgu izmantošanu, cilvēktiesību pārkāpumiem, korupciju, krāpšanu vai jebkāda sabiedrības interešu jautājuma komentēšanu. Termins ietver arī sabiedrības līdzdalības sagatavošanas, atbalsta vai palīdzības pasākumus;</w:t>
      </w:r>
    </w:p>
    <w:p w14:paraId="3CC48F91" w14:textId="77777777" w:rsidR="00381D4B" w:rsidRPr="00381D4B" w:rsidRDefault="00381D4B" w:rsidP="00381D4B">
      <w:pPr>
        <w:jc w:val="both"/>
        <w:rPr>
          <w:rFonts w:ascii="Times New Roman" w:hAnsi="Times New Roman"/>
          <w:noProof/>
          <w:sz w:val="24"/>
        </w:rPr>
      </w:pPr>
    </w:p>
    <w:p w14:paraId="3C76C942" w14:textId="6C41066A" w:rsidR="000303A1" w:rsidRDefault="00AA161F" w:rsidP="00381D4B">
      <w:pPr>
        <w:jc w:val="both"/>
        <w:rPr>
          <w:rFonts w:ascii="Times New Roman" w:hAnsi="Times New Roman"/>
          <w:noProof/>
          <w:sz w:val="24"/>
        </w:rPr>
      </w:pPr>
      <w:r>
        <w:rPr>
          <w:rFonts w:ascii="Times New Roman" w:hAnsi="Times New Roman"/>
          <w:sz w:val="24"/>
        </w:rPr>
        <w:t>b) “sabiedrības intereses” ietver visus jautājumus, kas skar sabiedrību un par ko sabiedrība var likumīgi interesēties, jo īpaši jautājumus, kas saistīti ar svarīgām sociālām problēmām vai ietekmē indivīdu labklājību vai kopienas dzīvi vai vidi. Sabiedrībai ir tiesības saņemt informāciju un idejas un līdz ar to tikt informētai par sabiedrību interesējošiem jautājumiem, un žurnālistu un mediju uzdevums ir sniegt šādu informāciju un idejas. Sabiedrības intereses ietver arī jautājumus, kas var radīt ievērojamas domstarpības, taču tās nedrīkst reducēt līdz sabiedrības ziņkārībai par citu personu privāto dzīvi vai auditorijas vēlmei pēc sensācijām vai ziņkārei. Atšķirībā no indivīdu privātajām attiecībām vai ģimenes lietām sabiedrības interešu jomu piemēri ir politika, aktualitātes, cilvēktiesības, tieslietas, sociālā labklājība, izglītība, dzimumu līdztiesība, seksuālā orientācija un dzimumidentitāte, seksuāla vai ar dzimumu saistīta uzmākšanās vai vardarbība, veselības jautājumi, reliģija, kultūra, vēsture, korupcija, klimats un vides jautājumi. Šīs jomas var interesēt sabiedrību vietējā, valsts vai starptautiskā līmenī.</w:t>
      </w:r>
    </w:p>
    <w:p w14:paraId="383DCCD5" w14:textId="77777777" w:rsidR="00AA161F" w:rsidRPr="00381D4B" w:rsidRDefault="00AA161F" w:rsidP="00381D4B">
      <w:pPr>
        <w:jc w:val="both"/>
        <w:rPr>
          <w:rFonts w:ascii="Times New Roman" w:hAnsi="Times New Roman"/>
          <w:noProof/>
          <w:sz w:val="24"/>
        </w:rPr>
      </w:pPr>
    </w:p>
    <w:p w14:paraId="3413C91C" w14:textId="77777777" w:rsidR="000303A1" w:rsidRPr="00AA161F" w:rsidRDefault="000303A1" w:rsidP="00381D4B">
      <w:pPr>
        <w:jc w:val="both"/>
        <w:rPr>
          <w:rFonts w:ascii="Times New Roman" w:hAnsi="Times New Roman"/>
          <w:b/>
          <w:bCs/>
          <w:noProof/>
          <w:sz w:val="24"/>
        </w:rPr>
      </w:pPr>
      <w:r>
        <w:rPr>
          <w:rFonts w:ascii="Times New Roman" w:hAnsi="Times New Roman"/>
          <w:b/>
          <w:i/>
          <w:iCs/>
          <w:sz w:val="24"/>
        </w:rPr>
        <w:t>SLAPP</w:t>
      </w:r>
      <w:r>
        <w:rPr>
          <w:rFonts w:ascii="Times New Roman" w:hAnsi="Times New Roman"/>
          <w:b/>
          <w:sz w:val="24"/>
        </w:rPr>
        <w:t xml:space="preserve"> noteicošie kritēriji</w:t>
      </w:r>
    </w:p>
    <w:p w14:paraId="761712BB" w14:textId="77777777" w:rsidR="000303A1" w:rsidRPr="00381D4B" w:rsidRDefault="000303A1" w:rsidP="00381D4B">
      <w:pPr>
        <w:jc w:val="both"/>
        <w:rPr>
          <w:rFonts w:ascii="Times New Roman" w:hAnsi="Times New Roman"/>
          <w:b/>
          <w:noProof/>
          <w:sz w:val="24"/>
        </w:rPr>
      </w:pPr>
    </w:p>
    <w:p w14:paraId="6E368EC9" w14:textId="2DFA5DE5" w:rsidR="000303A1" w:rsidRPr="00381D4B" w:rsidRDefault="00AA161F" w:rsidP="00381D4B">
      <w:pPr>
        <w:jc w:val="both"/>
        <w:rPr>
          <w:rFonts w:ascii="Times New Roman" w:hAnsi="Times New Roman"/>
          <w:noProof/>
          <w:sz w:val="24"/>
        </w:rPr>
      </w:pPr>
      <w:r>
        <w:rPr>
          <w:rFonts w:ascii="Times New Roman" w:hAnsi="Times New Roman"/>
          <w:sz w:val="24"/>
        </w:rPr>
        <w:t>5.</w:t>
      </w:r>
      <w:r>
        <w:rPr>
          <w:rFonts w:ascii="Times New Roman" w:hAnsi="Times New Roman"/>
          <w:b/>
          <w:sz w:val="24"/>
        </w:rPr>
        <w:t xml:space="preserve"> </w:t>
      </w:r>
      <w:r>
        <w:rPr>
          <w:rFonts w:ascii="Times New Roman" w:hAnsi="Times New Roman"/>
          <w:b/>
          <w:bCs/>
          <w:sz w:val="24"/>
        </w:rPr>
        <w:t>Vēršanās pret sabiedrības līdzdalību</w:t>
      </w:r>
      <w:r>
        <w:rPr>
          <w:rFonts w:ascii="Times New Roman" w:hAnsi="Times New Roman"/>
          <w:sz w:val="24"/>
        </w:rPr>
        <w:t xml:space="preserve"> – tiesiskās darbības mērķis ir nepareizi vai ļaunprātīgi izmantot tiesvedību, lai novērstu, kavētu vai ierobežotu brīvu izteikšanos sabiedrības interešu jautājumos un ar sabiedrības līdzdalību saistīto tiesību izmantošanu vai sodītu par to.</w:t>
      </w:r>
    </w:p>
    <w:p w14:paraId="4C6D43FF" w14:textId="77777777" w:rsidR="00AA161F" w:rsidRDefault="00AA161F" w:rsidP="00381D4B">
      <w:pPr>
        <w:jc w:val="both"/>
        <w:rPr>
          <w:rFonts w:ascii="Times New Roman" w:hAnsi="Times New Roman"/>
          <w:b/>
          <w:noProof/>
          <w:sz w:val="24"/>
        </w:rPr>
      </w:pPr>
    </w:p>
    <w:p w14:paraId="3E10A2CA" w14:textId="73953AC8" w:rsidR="000303A1" w:rsidRPr="00381D4B" w:rsidRDefault="00AA161F" w:rsidP="00381D4B">
      <w:pPr>
        <w:jc w:val="both"/>
        <w:rPr>
          <w:rFonts w:ascii="Times New Roman" w:hAnsi="Times New Roman"/>
          <w:noProof/>
          <w:sz w:val="24"/>
        </w:rPr>
      </w:pPr>
      <w:r>
        <w:rPr>
          <w:rFonts w:ascii="Times New Roman" w:hAnsi="Times New Roman"/>
          <w:sz w:val="24"/>
        </w:rPr>
        <w:t>6.</w:t>
      </w:r>
      <w:r>
        <w:rPr>
          <w:rFonts w:ascii="Times New Roman" w:hAnsi="Times New Roman"/>
          <w:b/>
          <w:sz w:val="24"/>
        </w:rPr>
        <w:t xml:space="preserve"> </w:t>
      </w:r>
      <w:r>
        <w:rPr>
          <w:rFonts w:ascii="Times New Roman" w:hAnsi="Times New Roman"/>
          <w:b/>
          <w:bCs/>
          <w:sz w:val="24"/>
        </w:rPr>
        <w:t>Ietverti visi tiesiskas darbības iemesli</w:t>
      </w:r>
      <w:r>
        <w:rPr>
          <w:rFonts w:ascii="Times New Roman" w:hAnsi="Times New Roman"/>
          <w:sz w:val="24"/>
        </w:rPr>
        <w:t xml:space="preserve"> – tiesiskās darbības var ietvert visu veidu rakstīto tiesību vai paražu tiesību nepareizu vai ļaunprātīgu izmantošanu, lai novērstu, kavētu vai ierobežotu līdzdalību sabiedriskās diskusijās vai sodītu par to, tostarp, bet ne tikai, par neslavas celšanu, cieņas aizskaršanu, privātās dzīves aizskaršanu, sazvērestību, intelektuālā īpašuma tiesību pārkāpšanu, ekonomisku iejaukšanos vai emocionāla kaitējuma nodarīšanu. Lai gan tas parasti nozīmē civilu tiesvedību, dažās jurisdikcijās ir iespējams ierosināt lietu par kriminālpārkāpumu, administratīvus pasākumus vai kriminālapsūdzības pret prasītāja kritiķiem, tostarp izmantojot tiesas aizliegumus. Šī definīcija ietver arī “tiesiskās iebiedēšanas taktiku” – pagaidu pasākumus vai pagaidu noregulējumus, agresīvas pavēstes vai vienkāršus draudus, kuru mērķis ir iebiedēt otru pusi un likt tai piekāpties.</w:t>
      </w:r>
    </w:p>
    <w:p w14:paraId="09DBEB06" w14:textId="77777777" w:rsidR="00AA161F" w:rsidRDefault="00AA161F" w:rsidP="00381D4B">
      <w:pPr>
        <w:jc w:val="both"/>
        <w:rPr>
          <w:rFonts w:ascii="Times New Roman" w:hAnsi="Times New Roman"/>
          <w:b/>
          <w:noProof/>
          <w:sz w:val="24"/>
        </w:rPr>
      </w:pPr>
    </w:p>
    <w:p w14:paraId="1F41FD45" w14:textId="7B1C41A3" w:rsidR="000303A1" w:rsidRDefault="00AA161F" w:rsidP="00381D4B">
      <w:pPr>
        <w:jc w:val="both"/>
        <w:rPr>
          <w:rFonts w:ascii="Times New Roman" w:hAnsi="Times New Roman"/>
          <w:noProof/>
          <w:sz w:val="24"/>
        </w:rPr>
      </w:pPr>
      <w:r>
        <w:rPr>
          <w:rFonts w:ascii="Times New Roman" w:hAnsi="Times New Roman"/>
          <w:sz w:val="24"/>
        </w:rPr>
        <w:t>7.</w:t>
      </w:r>
      <w:r>
        <w:rPr>
          <w:rFonts w:ascii="Times New Roman" w:hAnsi="Times New Roman"/>
          <w:b/>
          <w:sz w:val="24"/>
        </w:rPr>
        <w:t xml:space="preserve"> </w:t>
      </w:r>
      <w:r>
        <w:rPr>
          <w:rFonts w:ascii="Times New Roman" w:hAnsi="Times New Roman"/>
          <w:b/>
          <w:bCs/>
          <w:sz w:val="24"/>
        </w:rPr>
        <w:t>Visi tiesiskas darbības posmi</w:t>
      </w:r>
      <w:r>
        <w:rPr>
          <w:rFonts w:ascii="Times New Roman" w:hAnsi="Times New Roman"/>
          <w:sz w:val="24"/>
        </w:rPr>
        <w:t xml:space="preserve"> – būtiski ir visi tiesiskās darbības posmi, arī sākotnējā draudēšana ar tiesvedību, kam pašiem par sevi ir atturoša ietekme uz sabiedrības līdzdalību, kā arī izpildes process.</w:t>
      </w:r>
    </w:p>
    <w:p w14:paraId="3151FB2A" w14:textId="77777777" w:rsidR="00F37115" w:rsidRPr="00381D4B" w:rsidRDefault="00F37115" w:rsidP="00381D4B">
      <w:pPr>
        <w:jc w:val="both"/>
        <w:rPr>
          <w:rFonts w:ascii="Times New Roman" w:hAnsi="Times New Roman"/>
          <w:noProof/>
          <w:sz w:val="24"/>
        </w:rPr>
      </w:pPr>
    </w:p>
    <w:p w14:paraId="419E0A65" w14:textId="77777777" w:rsidR="000303A1" w:rsidRPr="00F37115" w:rsidRDefault="000303A1" w:rsidP="0021488D">
      <w:pPr>
        <w:keepNext/>
        <w:keepLines/>
        <w:jc w:val="both"/>
        <w:rPr>
          <w:rFonts w:ascii="Times New Roman" w:hAnsi="Times New Roman"/>
          <w:b/>
          <w:bCs/>
          <w:noProof/>
          <w:sz w:val="24"/>
        </w:rPr>
      </w:pPr>
      <w:r>
        <w:rPr>
          <w:rFonts w:ascii="Times New Roman" w:hAnsi="Times New Roman"/>
          <w:b/>
          <w:i/>
          <w:iCs/>
          <w:sz w:val="24"/>
        </w:rPr>
        <w:lastRenderedPageBreak/>
        <w:t>SLAPP</w:t>
      </w:r>
      <w:r>
        <w:rPr>
          <w:rFonts w:ascii="Times New Roman" w:hAnsi="Times New Roman"/>
          <w:b/>
          <w:sz w:val="24"/>
        </w:rPr>
        <w:t xml:space="preserve"> rādītāji</w:t>
      </w:r>
    </w:p>
    <w:p w14:paraId="6701A5B9" w14:textId="77777777" w:rsidR="000303A1" w:rsidRPr="00381D4B" w:rsidRDefault="000303A1" w:rsidP="0021488D">
      <w:pPr>
        <w:keepNext/>
        <w:keepLines/>
        <w:jc w:val="both"/>
        <w:rPr>
          <w:rFonts w:ascii="Times New Roman" w:hAnsi="Times New Roman"/>
          <w:b/>
          <w:noProof/>
          <w:sz w:val="24"/>
        </w:rPr>
      </w:pPr>
    </w:p>
    <w:p w14:paraId="453F8CAA" w14:textId="547ED650" w:rsidR="000303A1" w:rsidRPr="00381D4B" w:rsidRDefault="00F37115" w:rsidP="0021488D">
      <w:pPr>
        <w:keepNext/>
        <w:keepLines/>
        <w:jc w:val="both"/>
        <w:rPr>
          <w:rFonts w:ascii="Times New Roman" w:hAnsi="Times New Roman"/>
          <w:noProof/>
          <w:sz w:val="24"/>
        </w:rPr>
      </w:pPr>
      <w:r>
        <w:rPr>
          <w:rFonts w:ascii="Times New Roman" w:hAnsi="Times New Roman"/>
          <w:sz w:val="24"/>
        </w:rPr>
        <w:t xml:space="preserve">8. </w:t>
      </w:r>
      <w:r>
        <w:rPr>
          <w:rFonts w:ascii="Times New Roman" w:hAnsi="Times New Roman"/>
          <w:i/>
          <w:iCs/>
          <w:sz w:val="24"/>
        </w:rPr>
        <w:t>SLAPP</w:t>
      </w:r>
      <w:r>
        <w:rPr>
          <w:rFonts w:ascii="Times New Roman" w:hAnsi="Times New Roman"/>
          <w:sz w:val="24"/>
        </w:rPr>
        <w:t xml:space="preserve"> ir dažādas izpausmes, un to noteikšanai var izmantot dažādus rādītājus. Šādi rādītāji ietver turpmāk norādītos elementus, bet ne tikai tos:</w:t>
      </w:r>
    </w:p>
    <w:p w14:paraId="63C5A7B8" w14:textId="151A11EB" w:rsidR="000303A1" w:rsidRPr="00381D4B" w:rsidRDefault="00F37115" w:rsidP="0021488D">
      <w:pPr>
        <w:keepNext/>
        <w:keepLines/>
        <w:ind w:left="284" w:hanging="284"/>
        <w:jc w:val="both"/>
        <w:rPr>
          <w:rFonts w:ascii="Times New Roman" w:hAnsi="Times New Roman"/>
          <w:noProof/>
          <w:sz w:val="24"/>
        </w:rPr>
      </w:pPr>
      <w:r>
        <w:rPr>
          <w:rFonts w:ascii="Times New Roman" w:hAnsi="Times New Roman"/>
          <w:sz w:val="24"/>
        </w:rPr>
        <w:t>a) prasītājs mēģina izmantot varas disbalansu, piemēram, savas finansiālās priekšrocības vai politisko vai sabiedrisko ietekmi, lai izdarītu spiedienu uz atbildētāju;</w:t>
      </w:r>
    </w:p>
    <w:p w14:paraId="30C03727" w14:textId="6CCF8805" w:rsidR="000303A1" w:rsidRPr="00381D4B" w:rsidRDefault="00F37115" w:rsidP="0021488D">
      <w:pPr>
        <w:keepNext/>
        <w:keepLines/>
        <w:ind w:left="284" w:hanging="284"/>
        <w:jc w:val="both"/>
        <w:rPr>
          <w:rFonts w:ascii="Times New Roman" w:hAnsi="Times New Roman"/>
          <w:noProof/>
          <w:sz w:val="24"/>
        </w:rPr>
      </w:pPr>
      <w:r>
        <w:rPr>
          <w:rFonts w:ascii="Times New Roman" w:hAnsi="Times New Roman"/>
          <w:sz w:val="24"/>
        </w:rPr>
        <w:t>b) prasītāja izvirzītie argumenti ir daļēji vai pilnīgi nepamatoti;</w:t>
      </w:r>
    </w:p>
    <w:p w14:paraId="5910AFEE" w14:textId="3C61E486" w:rsidR="000303A1" w:rsidRPr="00381D4B" w:rsidRDefault="00F37115" w:rsidP="0021488D">
      <w:pPr>
        <w:keepNext/>
        <w:keepLines/>
        <w:ind w:left="284" w:hanging="284"/>
        <w:jc w:val="both"/>
        <w:rPr>
          <w:rFonts w:ascii="Times New Roman" w:hAnsi="Times New Roman"/>
          <w:noProof/>
          <w:sz w:val="24"/>
        </w:rPr>
      </w:pPr>
      <w:r>
        <w:rPr>
          <w:rFonts w:ascii="Times New Roman" w:hAnsi="Times New Roman"/>
          <w:sz w:val="24"/>
        </w:rPr>
        <w:t>c) prasītāja pieprasītie tiesiskās aizsardzības līdzekļi ir nesamērīgi, pārmērīgi vai nepamatoti;</w:t>
      </w:r>
    </w:p>
    <w:p w14:paraId="703A125A" w14:textId="326DA102" w:rsidR="000303A1" w:rsidRPr="00381D4B" w:rsidRDefault="00F37115" w:rsidP="0021488D">
      <w:pPr>
        <w:keepNext/>
        <w:keepLines/>
        <w:ind w:left="284" w:hanging="284"/>
        <w:jc w:val="both"/>
        <w:rPr>
          <w:rFonts w:ascii="Times New Roman" w:hAnsi="Times New Roman"/>
          <w:noProof/>
          <w:sz w:val="24"/>
        </w:rPr>
      </w:pPr>
      <w:r>
        <w:rPr>
          <w:rFonts w:ascii="Times New Roman" w:hAnsi="Times New Roman"/>
          <w:sz w:val="24"/>
        </w:rPr>
        <w:t>d) prasības ir uzskatāmas par tiesību aktu vai procedūru ļaunprātīgu izmantošanu;</w:t>
      </w:r>
    </w:p>
    <w:p w14:paraId="7EDEFF2D" w14:textId="7A2BED2E" w:rsidR="000303A1" w:rsidRPr="00381D4B" w:rsidRDefault="00F37115" w:rsidP="0021488D">
      <w:pPr>
        <w:keepNext/>
        <w:keepLines/>
        <w:ind w:left="284" w:hanging="284"/>
        <w:jc w:val="both"/>
        <w:rPr>
          <w:rFonts w:ascii="Times New Roman" w:hAnsi="Times New Roman"/>
          <w:noProof/>
          <w:sz w:val="24"/>
        </w:rPr>
      </w:pPr>
      <w:r>
        <w:rPr>
          <w:rFonts w:ascii="Times New Roman" w:hAnsi="Times New Roman"/>
          <w:sz w:val="24"/>
        </w:rPr>
        <w:t>e) prasītājs iesaistās procesuālajā un tiesvedības taktikā, kuras mērķis ir palielināt atbildētāja izmaksas, piemēram, kavē lietas virzību, izvēlas tādu tiesu, kas ir nelabvēlīga sabiedrības iesaistes ziņā vai ir apgrūtinoša atbildētājam, rada apgrūtinošu darba slodzi un iesniedz pārsūdzības, kam ir niecīgas izredzes uz labvēlīgu iznākumu vai šādu izredžu nav vispār;</w:t>
      </w:r>
    </w:p>
    <w:p w14:paraId="4BF0648C" w14:textId="4C485EA1" w:rsidR="000303A1" w:rsidRPr="00381D4B" w:rsidRDefault="00F37115" w:rsidP="00F37115">
      <w:pPr>
        <w:ind w:left="284" w:hanging="284"/>
        <w:jc w:val="both"/>
        <w:rPr>
          <w:rFonts w:ascii="Times New Roman" w:hAnsi="Times New Roman"/>
          <w:noProof/>
          <w:sz w:val="24"/>
        </w:rPr>
      </w:pPr>
      <w:r>
        <w:rPr>
          <w:rFonts w:ascii="Times New Roman" w:hAnsi="Times New Roman"/>
          <w:sz w:val="24"/>
        </w:rPr>
        <w:t>f) tiesiskā darbība ir apzināti vērsta pret personām, nevis organizācijām, kas ir atbildīgas par apstrīdēto rīcību;</w:t>
      </w:r>
    </w:p>
    <w:p w14:paraId="604E2ACB" w14:textId="27446AB7" w:rsidR="000303A1" w:rsidRPr="00381D4B" w:rsidRDefault="00F37115" w:rsidP="00F37115">
      <w:pPr>
        <w:ind w:left="284" w:hanging="284"/>
        <w:jc w:val="both"/>
        <w:rPr>
          <w:rFonts w:ascii="Times New Roman" w:hAnsi="Times New Roman"/>
          <w:noProof/>
          <w:sz w:val="24"/>
        </w:rPr>
      </w:pPr>
      <w:r>
        <w:rPr>
          <w:rFonts w:ascii="Times New Roman" w:hAnsi="Times New Roman"/>
          <w:sz w:val="24"/>
        </w:rPr>
        <w:t>g) tiesiskā darbība ir papildināta ar uzbrukumu sabiedrisko attiecību jomā, kas paredzēts, lai terorizētu, diskreditētu vai iebiedētu dalībniekus, kuri piedalās sabiedriskās diskusijās, vai lai novirzītu uzmanību no būtiskā izskatāmā jautājuma;</w:t>
      </w:r>
    </w:p>
    <w:p w14:paraId="31CCA914" w14:textId="4A3B61A7" w:rsidR="000303A1" w:rsidRPr="00381D4B" w:rsidRDefault="00F37115" w:rsidP="00F37115">
      <w:pPr>
        <w:ind w:left="284" w:hanging="284"/>
        <w:jc w:val="both"/>
        <w:rPr>
          <w:rFonts w:ascii="Times New Roman" w:hAnsi="Times New Roman"/>
          <w:noProof/>
          <w:sz w:val="24"/>
        </w:rPr>
      </w:pPr>
      <w:r>
        <w:rPr>
          <w:rFonts w:ascii="Times New Roman" w:hAnsi="Times New Roman"/>
          <w:sz w:val="24"/>
        </w:rPr>
        <w:t>h) prasītājs vai viņa pārstāvji iesaistās tiesiskā iebiedēšanā, traucēšanā vai draudēšanā, vai arī viņi ir šādi rīkojušies iepriekš;</w:t>
      </w:r>
    </w:p>
    <w:p w14:paraId="137F3D5C" w14:textId="11C6F8EE" w:rsidR="000303A1" w:rsidRPr="00381D4B" w:rsidRDefault="00F37115" w:rsidP="00F37115">
      <w:pPr>
        <w:ind w:left="284" w:hanging="284"/>
        <w:jc w:val="both"/>
        <w:rPr>
          <w:rFonts w:ascii="Times New Roman" w:hAnsi="Times New Roman"/>
          <w:noProof/>
          <w:sz w:val="24"/>
        </w:rPr>
      </w:pPr>
      <w:r>
        <w:rPr>
          <w:rFonts w:ascii="Times New Roman" w:hAnsi="Times New Roman"/>
          <w:sz w:val="24"/>
        </w:rPr>
        <w:t>i) prasītājs vai saistītās puses iesaistās vairākās un saskaņotās vai pārrobežu tiesiskajās darbībās, pamatojoties uz vienu un to pašu faktu kopumu vai attiecībā uz līdzīgiem jautājumiem;</w:t>
      </w:r>
    </w:p>
    <w:p w14:paraId="1361A4C7" w14:textId="42AC6433" w:rsidR="000303A1" w:rsidRDefault="00F37115" w:rsidP="00F37115">
      <w:pPr>
        <w:ind w:left="284" w:hanging="284"/>
        <w:jc w:val="both"/>
        <w:rPr>
          <w:rFonts w:ascii="Times New Roman" w:hAnsi="Times New Roman"/>
          <w:noProof/>
          <w:sz w:val="24"/>
        </w:rPr>
      </w:pPr>
      <w:r>
        <w:rPr>
          <w:rFonts w:ascii="Times New Roman" w:hAnsi="Times New Roman"/>
          <w:sz w:val="24"/>
        </w:rPr>
        <w:t>j) prasītājs sistemātiski atsakās izmantot ārpustiesas pasākumus, lai panāktu lēmuma pieņemšanu saistībā ar prasību.</w:t>
      </w:r>
    </w:p>
    <w:p w14:paraId="35F6A2C3" w14:textId="77777777" w:rsidR="00F37115" w:rsidRPr="00381D4B" w:rsidRDefault="00F37115" w:rsidP="00381D4B">
      <w:pPr>
        <w:jc w:val="both"/>
        <w:rPr>
          <w:rFonts w:ascii="Times New Roman" w:hAnsi="Times New Roman"/>
          <w:noProof/>
          <w:sz w:val="24"/>
        </w:rPr>
      </w:pPr>
    </w:p>
    <w:p w14:paraId="23FB1C2B" w14:textId="2C61AA1A" w:rsidR="000303A1" w:rsidRPr="00381D4B" w:rsidRDefault="00F37115" w:rsidP="00381D4B">
      <w:pPr>
        <w:jc w:val="both"/>
        <w:rPr>
          <w:rFonts w:ascii="Times New Roman" w:hAnsi="Times New Roman"/>
          <w:noProof/>
          <w:sz w:val="24"/>
        </w:rPr>
      </w:pPr>
      <w:r>
        <w:rPr>
          <w:rFonts w:ascii="Times New Roman" w:hAnsi="Times New Roman"/>
          <w:sz w:val="24"/>
        </w:rPr>
        <w:t xml:space="preserve">9. Lai arī </w:t>
      </w:r>
      <w:r>
        <w:rPr>
          <w:rFonts w:ascii="Times New Roman" w:hAnsi="Times New Roman"/>
          <w:i/>
          <w:iCs/>
          <w:sz w:val="24"/>
        </w:rPr>
        <w:t>SLAPP</w:t>
      </w:r>
      <w:r>
        <w:rPr>
          <w:rFonts w:ascii="Times New Roman" w:hAnsi="Times New Roman"/>
          <w:sz w:val="24"/>
        </w:rPr>
        <w:t xml:space="preserve"> ne vienmēr ietver visus šos rādītājus, tomēr, jo vairāk no tiem ir novērojami vai jo asāka ir rīcība, jo augstāka ir iespējamība, ka tiesisko darbību var uzskatīt par </w:t>
      </w:r>
      <w:r>
        <w:rPr>
          <w:rFonts w:ascii="Times New Roman" w:hAnsi="Times New Roman"/>
          <w:i/>
          <w:iCs/>
          <w:sz w:val="24"/>
        </w:rPr>
        <w:t>SLAPP</w:t>
      </w:r>
      <w:r>
        <w:rPr>
          <w:rFonts w:ascii="Times New Roman" w:hAnsi="Times New Roman"/>
          <w:sz w:val="24"/>
        </w:rPr>
        <w:t>.</w:t>
      </w:r>
    </w:p>
    <w:p w14:paraId="191FAB04" w14:textId="77777777" w:rsidR="000303A1" w:rsidRPr="00381D4B" w:rsidRDefault="000303A1" w:rsidP="00381D4B">
      <w:pPr>
        <w:jc w:val="both"/>
        <w:rPr>
          <w:rFonts w:ascii="Times New Roman" w:hAnsi="Times New Roman"/>
          <w:noProof/>
          <w:sz w:val="24"/>
        </w:rPr>
      </w:pPr>
    </w:p>
    <w:p w14:paraId="6EF06735" w14:textId="77777777" w:rsidR="000303A1" w:rsidRPr="00F37115" w:rsidRDefault="000303A1" w:rsidP="00381D4B">
      <w:pPr>
        <w:jc w:val="both"/>
        <w:rPr>
          <w:rFonts w:ascii="Times New Roman" w:hAnsi="Times New Roman"/>
          <w:b/>
          <w:bCs/>
          <w:noProof/>
          <w:sz w:val="24"/>
        </w:rPr>
      </w:pPr>
      <w:r>
        <w:rPr>
          <w:rFonts w:ascii="Times New Roman" w:hAnsi="Times New Roman"/>
          <w:b/>
          <w:sz w:val="24"/>
        </w:rPr>
        <w:t xml:space="preserve">Īpašas </w:t>
      </w:r>
      <w:r>
        <w:rPr>
          <w:rFonts w:ascii="Times New Roman" w:hAnsi="Times New Roman"/>
          <w:b/>
          <w:i/>
          <w:iCs/>
          <w:sz w:val="24"/>
        </w:rPr>
        <w:t>SLAPP</w:t>
      </w:r>
      <w:r>
        <w:rPr>
          <w:rFonts w:ascii="Times New Roman" w:hAnsi="Times New Roman"/>
          <w:b/>
          <w:sz w:val="24"/>
        </w:rPr>
        <w:t xml:space="preserve"> formas/veidi</w:t>
      </w:r>
    </w:p>
    <w:p w14:paraId="17B44348" w14:textId="77777777" w:rsidR="000303A1" w:rsidRPr="00381D4B" w:rsidRDefault="000303A1" w:rsidP="00381D4B">
      <w:pPr>
        <w:jc w:val="both"/>
        <w:rPr>
          <w:rFonts w:ascii="Times New Roman" w:hAnsi="Times New Roman"/>
          <w:b/>
          <w:noProof/>
          <w:sz w:val="24"/>
        </w:rPr>
      </w:pPr>
    </w:p>
    <w:p w14:paraId="7985F1B3" w14:textId="18409F4C" w:rsidR="000303A1" w:rsidRDefault="00F37115" w:rsidP="00381D4B">
      <w:pPr>
        <w:jc w:val="both"/>
        <w:rPr>
          <w:rFonts w:ascii="Times New Roman" w:hAnsi="Times New Roman"/>
          <w:noProof/>
          <w:sz w:val="24"/>
        </w:rPr>
      </w:pPr>
      <w:r>
        <w:rPr>
          <w:rFonts w:ascii="Times New Roman" w:hAnsi="Times New Roman"/>
          <w:sz w:val="24"/>
        </w:rPr>
        <w:t xml:space="preserve">10. Papildus </w:t>
      </w:r>
      <w:r>
        <w:rPr>
          <w:rFonts w:ascii="Times New Roman" w:hAnsi="Times New Roman"/>
          <w:i/>
          <w:iCs/>
          <w:sz w:val="24"/>
        </w:rPr>
        <w:t>SLAPP</w:t>
      </w:r>
      <w:r>
        <w:rPr>
          <w:rFonts w:ascii="Times New Roman" w:hAnsi="Times New Roman"/>
          <w:sz w:val="24"/>
        </w:rPr>
        <w:t xml:space="preserve"> vispārīgajām iezīmēm dalībvalstīm pienācīgi jāņem vērā konkrētu </w:t>
      </w:r>
      <w:r>
        <w:rPr>
          <w:rFonts w:ascii="Times New Roman" w:hAnsi="Times New Roman"/>
          <w:i/>
          <w:iCs/>
          <w:sz w:val="24"/>
        </w:rPr>
        <w:t>SLAPP</w:t>
      </w:r>
      <w:r>
        <w:rPr>
          <w:rFonts w:ascii="Times New Roman" w:hAnsi="Times New Roman"/>
          <w:sz w:val="24"/>
        </w:rPr>
        <w:t xml:space="preserve"> veidu atšķirīgās iezīmes un to juridiskās sekas un jāveic atbilstīgi un efektīvi pasākumi, lai novērstu konkrētos draudus, kas ir radīti.</w:t>
      </w:r>
    </w:p>
    <w:p w14:paraId="6A00B124" w14:textId="77777777" w:rsidR="00F37115" w:rsidRPr="00381D4B" w:rsidRDefault="00F37115" w:rsidP="00381D4B">
      <w:pPr>
        <w:jc w:val="both"/>
        <w:rPr>
          <w:rFonts w:ascii="Times New Roman" w:hAnsi="Times New Roman"/>
          <w:noProof/>
          <w:sz w:val="24"/>
        </w:rPr>
      </w:pPr>
    </w:p>
    <w:p w14:paraId="22966A59" w14:textId="0859380B" w:rsidR="000303A1" w:rsidRPr="00381D4B" w:rsidRDefault="00F37115" w:rsidP="00F37115">
      <w:pPr>
        <w:ind w:left="284"/>
        <w:jc w:val="both"/>
        <w:rPr>
          <w:rFonts w:ascii="Times New Roman" w:hAnsi="Times New Roman"/>
          <w:i/>
          <w:noProof/>
          <w:sz w:val="24"/>
        </w:rPr>
      </w:pPr>
      <w:r>
        <w:rPr>
          <w:rFonts w:ascii="Times New Roman" w:hAnsi="Times New Roman"/>
          <w:i/>
          <w:sz w:val="24"/>
        </w:rPr>
        <w:t>i) Pārrobežu SLAPP</w:t>
      </w:r>
    </w:p>
    <w:p w14:paraId="7F7A97CB" w14:textId="77777777" w:rsidR="000303A1" w:rsidRPr="00381D4B" w:rsidRDefault="000303A1" w:rsidP="00381D4B">
      <w:pPr>
        <w:jc w:val="both"/>
        <w:rPr>
          <w:rFonts w:ascii="Times New Roman" w:hAnsi="Times New Roman"/>
          <w:i/>
          <w:noProof/>
          <w:sz w:val="24"/>
        </w:rPr>
      </w:pPr>
    </w:p>
    <w:p w14:paraId="1D1E412E" w14:textId="1B18F042" w:rsidR="000303A1" w:rsidRPr="00381D4B" w:rsidRDefault="00F37115" w:rsidP="00381D4B">
      <w:pPr>
        <w:jc w:val="both"/>
        <w:rPr>
          <w:rFonts w:ascii="Times New Roman" w:hAnsi="Times New Roman"/>
          <w:noProof/>
          <w:sz w:val="24"/>
        </w:rPr>
      </w:pPr>
      <w:r>
        <w:rPr>
          <w:rFonts w:ascii="Times New Roman" w:hAnsi="Times New Roman"/>
          <w:sz w:val="24"/>
        </w:rPr>
        <w:t xml:space="preserve">11. Salīdzinājumā ar vietēju </w:t>
      </w:r>
      <w:r>
        <w:rPr>
          <w:rFonts w:ascii="Times New Roman" w:hAnsi="Times New Roman"/>
          <w:i/>
          <w:iCs/>
          <w:sz w:val="24"/>
        </w:rPr>
        <w:t>SLAPP</w:t>
      </w:r>
      <w:r>
        <w:rPr>
          <w:rFonts w:ascii="Times New Roman" w:hAnsi="Times New Roman"/>
          <w:sz w:val="24"/>
        </w:rPr>
        <w:t xml:space="preserve">, ko īsteno vienas valsts tiesību sistēmā, pārrobežu </w:t>
      </w:r>
      <w:r>
        <w:rPr>
          <w:rFonts w:ascii="Times New Roman" w:hAnsi="Times New Roman"/>
          <w:i/>
          <w:iCs/>
          <w:sz w:val="24"/>
        </w:rPr>
        <w:t>SLAPP</w:t>
      </w:r>
      <w:r>
        <w:rPr>
          <w:rFonts w:ascii="Times New Roman" w:hAnsi="Times New Roman"/>
          <w:sz w:val="24"/>
        </w:rPr>
        <w:t xml:space="preserve"> vai </w:t>
      </w:r>
      <w:r>
        <w:rPr>
          <w:rFonts w:ascii="Times New Roman" w:hAnsi="Times New Roman"/>
          <w:i/>
          <w:iCs/>
          <w:sz w:val="24"/>
        </w:rPr>
        <w:t>SLAPP</w:t>
      </w:r>
      <w:r>
        <w:rPr>
          <w:rFonts w:ascii="Times New Roman" w:hAnsi="Times New Roman"/>
          <w:sz w:val="24"/>
        </w:rPr>
        <w:t xml:space="preserve">, ko īsteno dažādās jurisdikcijās, ietver papildu slāņus sarežģītības, izmaksu un stresa ziņā. Lai veiksmīgi aizstāvētos pārrobežu </w:t>
      </w:r>
      <w:r>
        <w:rPr>
          <w:rFonts w:ascii="Times New Roman" w:hAnsi="Times New Roman"/>
          <w:i/>
          <w:iCs/>
          <w:sz w:val="24"/>
        </w:rPr>
        <w:t>SLAPP</w:t>
      </w:r>
      <w:r>
        <w:rPr>
          <w:rFonts w:ascii="Times New Roman" w:hAnsi="Times New Roman"/>
          <w:sz w:val="24"/>
        </w:rPr>
        <w:t xml:space="preserve"> gadījumā, nepieciešamas padziļinātas zināšanas par vairāku valstu tiesību sistēmām. Parasti tas nozīmē nepieciešamību iesaistīt juristus, kas profesionāli darbojas attiecīgajās jurisdikcijās vai kam ir speciālās zināšanas par attiecīgajām jurisdikcijām, tas pagarina kopējo laiku un palielina izmaksas, kas nepieciešamas, lai sagatavotos un aizstāvētos pret tiesisko darbību, un pastiprina atturošo ietekmi.</w:t>
      </w:r>
    </w:p>
    <w:p w14:paraId="2CB7540F" w14:textId="77777777" w:rsidR="000303A1" w:rsidRPr="00381D4B" w:rsidRDefault="000303A1" w:rsidP="00381D4B">
      <w:pPr>
        <w:jc w:val="both"/>
        <w:rPr>
          <w:rFonts w:ascii="Times New Roman" w:hAnsi="Times New Roman"/>
          <w:noProof/>
          <w:sz w:val="24"/>
        </w:rPr>
      </w:pPr>
    </w:p>
    <w:p w14:paraId="10208ED5" w14:textId="330F3CD5" w:rsidR="000303A1" w:rsidRPr="00381D4B" w:rsidRDefault="00F37115" w:rsidP="00381D4B">
      <w:pPr>
        <w:jc w:val="both"/>
        <w:rPr>
          <w:rFonts w:ascii="Times New Roman" w:hAnsi="Times New Roman"/>
          <w:noProof/>
          <w:sz w:val="24"/>
        </w:rPr>
      </w:pPr>
      <w:r>
        <w:rPr>
          <w:rFonts w:ascii="Times New Roman" w:hAnsi="Times New Roman"/>
          <w:sz w:val="24"/>
        </w:rPr>
        <w:t xml:space="preserve">12. Dalībvalstīm jāveic atbilstoši un efektīvi pasākumi, lai ierobežotu prasītājam labvēlīgākās tiesas izvēli, kas ir neparocīga no sabiedrības iesaistes viedokļa vai apgrūtinoša atbildētājam, tostarp pasākumi, kas noteikti </w:t>
      </w:r>
      <w:hyperlink r:id="rId20">
        <w:r>
          <w:rPr>
            <w:rFonts w:ascii="Times New Roman" w:hAnsi="Times New Roman"/>
            <w:sz w:val="24"/>
          </w:rPr>
          <w:t>Ministru komitejas</w:t>
        </w:r>
      </w:hyperlink>
      <w:r>
        <w:rPr>
          <w:rFonts w:ascii="Times New Roman" w:hAnsi="Times New Roman"/>
          <w:sz w:val="24"/>
        </w:rPr>
        <w:t xml:space="preserve"> </w:t>
      </w:r>
      <w:hyperlink r:id="rId21">
        <w:r>
          <w:rPr>
            <w:rFonts w:ascii="Times New Roman" w:hAnsi="Times New Roman"/>
            <w:sz w:val="24"/>
          </w:rPr>
          <w:t>Deklarācijā</w:t>
        </w:r>
      </w:hyperlink>
      <w:r>
        <w:rPr>
          <w:rFonts w:ascii="Times New Roman" w:hAnsi="Times New Roman"/>
          <w:sz w:val="24"/>
        </w:rPr>
        <w:t xml:space="preserve"> par to starptautisko standartu vēlamību, kas attiecas uz labvēlīgākās tiesas izvēli saistībā ar neslavas celšanu, “tūrismu neslavas celšanai”, lai nodrošinātu vārda brīvību.</w:t>
      </w:r>
    </w:p>
    <w:p w14:paraId="4C142A84" w14:textId="77777777" w:rsidR="000303A1" w:rsidRPr="00381D4B" w:rsidRDefault="000303A1" w:rsidP="00381D4B">
      <w:pPr>
        <w:jc w:val="both"/>
        <w:rPr>
          <w:rFonts w:ascii="Times New Roman" w:hAnsi="Times New Roman"/>
          <w:noProof/>
          <w:sz w:val="24"/>
        </w:rPr>
      </w:pPr>
    </w:p>
    <w:p w14:paraId="3CAFD914" w14:textId="2B533063" w:rsidR="000303A1" w:rsidRDefault="00F37115" w:rsidP="00381D4B">
      <w:pPr>
        <w:jc w:val="both"/>
        <w:rPr>
          <w:rFonts w:ascii="Times New Roman" w:hAnsi="Times New Roman"/>
          <w:noProof/>
          <w:sz w:val="24"/>
        </w:rPr>
      </w:pPr>
      <w:r>
        <w:rPr>
          <w:rFonts w:ascii="Times New Roman" w:hAnsi="Times New Roman"/>
          <w:sz w:val="24"/>
        </w:rPr>
        <w:t>13. Dalībvalstīm arī jānodrošina efektīva aizsardzība pret trešo valstu spriedumiem, attiecīgi ņemot vērā ar šo saistītos topošos Eiropas un starptautiskos standartus.</w:t>
      </w:r>
    </w:p>
    <w:p w14:paraId="4BC1B85E" w14:textId="77777777" w:rsidR="00F37115" w:rsidRPr="00381D4B" w:rsidRDefault="00F37115" w:rsidP="00381D4B">
      <w:pPr>
        <w:jc w:val="both"/>
        <w:rPr>
          <w:rFonts w:ascii="Times New Roman" w:hAnsi="Times New Roman"/>
          <w:noProof/>
          <w:sz w:val="24"/>
        </w:rPr>
      </w:pPr>
    </w:p>
    <w:p w14:paraId="4127A6E9" w14:textId="3F643261" w:rsidR="000303A1" w:rsidRDefault="00F37115" w:rsidP="00381D4B">
      <w:pPr>
        <w:jc w:val="both"/>
        <w:rPr>
          <w:rFonts w:ascii="Times New Roman" w:hAnsi="Times New Roman"/>
          <w:noProof/>
          <w:sz w:val="24"/>
        </w:rPr>
      </w:pPr>
      <w:r>
        <w:rPr>
          <w:rFonts w:ascii="Times New Roman" w:hAnsi="Times New Roman"/>
          <w:sz w:val="24"/>
        </w:rPr>
        <w:t xml:space="preserve">14. Dalībvalstis tiek aicinātas pieņemt noteikumus, lai nodrošinātu, ka gadījumā, ja </w:t>
      </w:r>
      <w:r>
        <w:rPr>
          <w:rFonts w:ascii="Times New Roman" w:hAnsi="Times New Roman"/>
          <w:i/>
          <w:iCs/>
          <w:sz w:val="24"/>
        </w:rPr>
        <w:t>SLAPP</w:t>
      </w:r>
      <w:r>
        <w:rPr>
          <w:rFonts w:ascii="Times New Roman" w:hAnsi="Times New Roman"/>
          <w:sz w:val="24"/>
        </w:rPr>
        <w:t xml:space="preserve"> ir ierosināta trešās valsts tiesā vai citās iestādēs pret fizisku vai juridisku personu, kuras domicils ir kādā no dalībvalstīm, šī persona var vērsties tiesā vai citās iestādēs tur, kur atrodas tās domicils, un prasīt atlīdzināt zaudējumus un izmaksas, kas radušās saistībā ar tiesvedību trešās valsts tiesās vai citās iestādēs, neatkarīgi no trešajā valstī notiekošās tiesvedības prasītāja domicila.</w:t>
      </w:r>
    </w:p>
    <w:p w14:paraId="12D3D839" w14:textId="77777777" w:rsidR="00F37115" w:rsidRPr="00381D4B" w:rsidRDefault="00F37115" w:rsidP="00381D4B">
      <w:pPr>
        <w:jc w:val="both"/>
        <w:rPr>
          <w:rFonts w:ascii="Times New Roman" w:hAnsi="Times New Roman"/>
          <w:noProof/>
          <w:sz w:val="24"/>
        </w:rPr>
      </w:pPr>
    </w:p>
    <w:p w14:paraId="293B1FE6" w14:textId="0EA50B37" w:rsidR="000303A1" w:rsidRPr="00381D4B" w:rsidRDefault="00F37115" w:rsidP="00F37115">
      <w:pPr>
        <w:ind w:left="284"/>
        <w:jc w:val="both"/>
        <w:rPr>
          <w:rFonts w:ascii="Times New Roman" w:hAnsi="Times New Roman"/>
          <w:i/>
          <w:noProof/>
          <w:sz w:val="24"/>
        </w:rPr>
      </w:pPr>
      <w:r>
        <w:rPr>
          <w:rFonts w:ascii="Times New Roman" w:hAnsi="Times New Roman"/>
          <w:i/>
          <w:sz w:val="24"/>
        </w:rPr>
        <w:t>ii) Vairākas SLAPP vai savstarpēji saskaņotas SLAPP</w:t>
      </w:r>
    </w:p>
    <w:p w14:paraId="5C437991" w14:textId="77777777" w:rsidR="000303A1" w:rsidRPr="00381D4B" w:rsidRDefault="000303A1" w:rsidP="00381D4B">
      <w:pPr>
        <w:jc w:val="both"/>
        <w:rPr>
          <w:rFonts w:ascii="Times New Roman" w:hAnsi="Times New Roman"/>
          <w:i/>
          <w:noProof/>
          <w:sz w:val="24"/>
        </w:rPr>
      </w:pPr>
    </w:p>
    <w:p w14:paraId="239BA6AA" w14:textId="5FFE99A2" w:rsidR="000303A1" w:rsidRPr="00381D4B" w:rsidRDefault="00F37115" w:rsidP="00381D4B">
      <w:pPr>
        <w:jc w:val="both"/>
        <w:rPr>
          <w:rFonts w:ascii="Times New Roman" w:hAnsi="Times New Roman"/>
          <w:noProof/>
          <w:sz w:val="24"/>
        </w:rPr>
      </w:pPr>
      <w:r>
        <w:rPr>
          <w:rFonts w:ascii="Times New Roman" w:hAnsi="Times New Roman"/>
          <w:sz w:val="24"/>
        </w:rPr>
        <w:t xml:space="preserve">15. Spiediens un aizskārums, kas tiek radīts, nepareizi vai ļaunprātīgi izmantojot tiesību aktus un tiesvedību, saasinās vai pastiprinās, un attiecīgi tiesu izdevumi pieaug, ja pret atbildētāju vai atbildētāju grupu ir vērstas vairākas </w:t>
      </w:r>
      <w:r>
        <w:rPr>
          <w:rFonts w:ascii="Times New Roman" w:hAnsi="Times New Roman"/>
          <w:i/>
          <w:iCs/>
          <w:sz w:val="24"/>
        </w:rPr>
        <w:t>SLAPP</w:t>
      </w:r>
      <w:r>
        <w:rPr>
          <w:rFonts w:ascii="Times New Roman" w:hAnsi="Times New Roman"/>
          <w:sz w:val="24"/>
        </w:rPr>
        <w:t xml:space="preserve"> vai savstarpēji saskaņotas </w:t>
      </w:r>
      <w:r>
        <w:rPr>
          <w:rFonts w:ascii="Times New Roman" w:hAnsi="Times New Roman"/>
          <w:i/>
          <w:iCs/>
          <w:sz w:val="24"/>
        </w:rPr>
        <w:t>SLAPP</w:t>
      </w:r>
      <w:r>
        <w:rPr>
          <w:rFonts w:ascii="Times New Roman" w:hAnsi="Times New Roman"/>
          <w:sz w:val="24"/>
        </w:rPr>
        <w:t>.</w:t>
      </w:r>
    </w:p>
    <w:p w14:paraId="797B1F3C" w14:textId="77777777" w:rsidR="00F37115" w:rsidRDefault="00F37115" w:rsidP="00381D4B">
      <w:pPr>
        <w:jc w:val="both"/>
        <w:rPr>
          <w:rFonts w:ascii="Times New Roman" w:hAnsi="Times New Roman"/>
          <w:noProof/>
          <w:sz w:val="24"/>
        </w:rPr>
      </w:pPr>
    </w:p>
    <w:p w14:paraId="25558C52" w14:textId="6CB6283F" w:rsidR="000303A1" w:rsidRPr="00381D4B" w:rsidRDefault="00F37115" w:rsidP="00381D4B">
      <w:pPr>
        <w:jc w:val="both"/>
        <w:rPr>
          <w:rFonts w:ascii="Times New Roman" w:hAnsi="Times New Roman"/>
          <w:noProof/>
          <w:sz w:val="24"/>
        </w:rPr>
      </w:pPr>
      <w:r>
        <w:rPr>
          <w:rFonts w:ascii="Times New Roman" w:hAnsi="Times New Roman"/>
          <w:sz w:val="24"/>
        </w:rPr>
        <w:t xml:space="preserve">16. Kad dalībvalstu tiesas vai citas iestādes vērtē, vai tiesībpamatota prasība ir </w:t>
      </w:r>
      <w:r>
        <w:rPr>
          <w:rFonts w:ascii="Times New Roman" w:hAnsi="Times New Roman"/>
          <w:i/>
          <w:iCs/>
          <w:sz w:val="24"/>
        </w:rPr>
        <w:t>SLAPP</w:t>
      </w:r>
      <w:r>
        <w:rPr>
          <w:rFonts w:ascii="Times New Roman" w:hAnsi="Times New Roman"/>
          <w:sz w:val="24"/>
        </w:rPr>
        <w:t xml:space="preserve">, vai kad tās izskata </w:t>
      </w:r>
      <w:r>
        <w:rPr>
          <w:rFonts w:ascii="Times New Roman" w:hAnsi="Times New Roman"/>
          <w:i/>
          <w:iCs/>
          <w:sz w:val="24"/>
        </w:rPr>
        <w:t>SLAPP</w:t>
      </w:r>
      <w:r>
        <w:rPr>
          <w:rFonts w:ascii="Times New Roman" w:hAnsi="Times New Roman"/>
          <w:sz w:val="24"/>
        </w:rPr>
        <w:t xml:space="preserve"> lietu, tām pienācīgi jāņem vērā un jāveic atbilstoši un efektīvi pasākumi, lai novērstu vai vismaz samazinātu vairāku vai savstarpēji saskaņotu </w:t>
      </w:r>
      <w:r>
        <w:rPr>
          <w:rFonts w:ascii="Times New Roman" w:hAnsi="Times New Roman"/>
          <w:i/>
          <w:iCs/>
          <w:sz w:val="24"/>
        </w:rPr>
        <w:t>SLAPP</w:t>
      </w:r>
      <w:r>
        <w:rPr>
          <w:rFonts w:ascii="Times New Roman" w:hAnsi="Times New Roman"/>
          <w:sz w:val="24"/>
        </w:rPr>
        <w:t xml:space="preserve"> pastiprināto ietekmi uz atbildētājiem.</w:t>
      </w:r>
    </w:p>
    <w:p w14:paraId="74F81F9F" w14:textId="77777777" w:rsidR="00F37115" w:rsidRDefault="00F37115" w:rsidP="00381D4B">
      <w:pPr>
        <w:jc w:val="both"/>
        <w:rPr>
          <w:rFonts w:ascii="Times New Roman" w:hAnsi="Times New Roman"/>
          <w:noProof/>
          <w:sz w:val="24"/>
        </w:rPr>
      </w:pPr>
    </w:p>
    <w:p w14:paraId="1667EA0F" w14:textId="4E310DC4" w:rsidR="000303A1" w:rsidRDefault="00F37115" w:rsidP="00381D4B">
      <w:pPr>
        <w:jc w:val="both"/>
        <w:rPr>
          <w:rFonts w:ascii="Times New Roman" w:hAnsi="Times New Roman"/>
          <w:noProof/>
          <w:sz w:val="24"/>
        </w:rPr>
      </w:pPr>
      <w:r>
        <w:rPr>
          <w:rFonts w:ascii="Times New Roman" w:hAnsi="Times New Roman"/>
          <w:sz w:val="24"/>
        </w:rPr>
        <w:t>17. Dalībvalstīm arī jāpieņem noteikumi, kas liegtu prasītājam ierosināt papildu tiesvedību par to pašu jautājumu, kā arī noteikumi, kas ļautu tiesām vai citām iestādēm efektīvi pārvaldīt koordinētās tiesvedības, kuras ir cieši saistītas viena ar otru, lai novērstu to, ka pret atbildētāju tiek vērstas vairākas tiesvedības.</w:t>
      </w:r>
    </w:p>
    <w:p w14:paraId="0D087563" w14:textId="77777777" w:rsidR="00F37115" w:rsidRPr="00381D4B" w:rsidRDefault="00F37115" w:rsidP="00381D4B">
      <w:pPr>
        <w:jc w:val="both"/>
        <w:rPr>
          <w:rFonts w:ascii="Times New Roman" w:hAnsi="Times New Roman"/>
          <w:noProof/>
          <w:sz w:val="24"/>
        </w:rPr>
      </w:pPr>
    </w:p>
    <w:p w14:paraId="2B8AF201" w14:textId="41BEE9FE" w:rsidR="000303A1" w:rsidRPr="00381D4B" w:rsidRDefault="00F37115" w:rsidP="00F37115">
      <w:pPr>
        <w:ind w:left="284"/>
        <w:jc w:val="both"/>
        <w:rPr>
          <w:rFonts w:ascii="Times New Roman" w:hAnsi="Times New Roman"/>
          <w:i/>
          <w:noProof/>
          <w:sz w:val="24"/>
        </w:rPr>
      </w:pPr>
      <w:r>
        <w:rPr>
          <w:rFonts w:ascii="Times New Roman" w:hAnsi="Times New Roman"/>
          <w:i/>
          <w:sz w:val="24"/>
        </w:rPr>
        <w:t>iii) SLAPP, kas vērsta pret anonīmu sabiedrības līdzdalību</w:t>
      </w:r>
    </w:p>
    <w:p w14:paraId="0C72DED1" w14:textId="77777777" w:rsidR="000303A1" w:rsidRPr="00381D4B" w:rsidRDefault="000303A1" w:rsidP="00381D4B">
      <w:pPr>
        <w:jc w:val="both"/>
        <w:rPr>
          <w:rFonts w:ascii="Times New Roman" w:hAnsi="Times New Roman"/>
          <w:i/>
          <w:noProof/>
          <w:sz w:val="24"/>
        </w:rPr>
      </w:pPr>
    </w:p>
    <w:p w14:paraId="2DDAB239" w14:textId="47F3E0DC" w:rsidR="000303A1" w:rsidRPr="00381D4B" w:rsidRDefault="00F37115" w:rsidP="00381D4B">
      <w:pPr>
        <w:jc w:val="both"/>
        <w:rPr>
          <w:rFonts w:ascii="Times New Roman" w:hAnsi="Times New Roman"/>
          <w:noProof/>
          <w:sz w:val="24"/>
        </w:rPr>
      </w:pPr>
      <w:r>
        <w:rPr>
          <w:rFonts w:ascii="Times New Roman" w:hAnsi="Times New Roman"/>
          <w:sz w:val="24"/>
        </w:rPr>
        <w:t xml:space="preserve">18. Pret anonīmu sabiedrības līdzdalību vērstai </w:t>
      </w:r>
      <w:r>
        <w:rPr>
          <w:rFonts w:ascii="Times New Roman" w:hAnsi="Times New Roman"/>
          <w:i/>
          <w:iCs/>
          <w:sz w:val="24"/>
        </w:rPr>
        <w:t>SLAPP</w:t>
      </w:r>
      <w:r>
        <w:rPr>
          <w:rFonts w:ascii="Times New Roman" w:hAnsi="Times New Roman"/>
          <w:sz w:val="24"/>
        </w:rPr>
        <w:t xml:space="preserve"> raksturīgs tas, ka prasītājs cenšas piespiest atklāt tā atbildētāja identitāti, kura līdzdalība ir notikusi anonīmi vai ar pseidonīmu, jo persona ir baidījusies par savu drošību gadījumā, ja izteiktos ar savu īsto vārdu. Kad tiek atklāta sabiedrības dalībnieka identitāte, viņš ir neaizsargātāks pret draudiem, iebiedēšanu, aizskaršanu un uzbrukumiem.</w:t>
      </w:r>
    </w:p>
    <w:p w14:paraId="3B634F57" w14:textId="77777777" w:rsidR="00381D4B" w:rsidRPr="00381D4B" w:rsidRDefault="00381D4B" w:rsidP="00381D4B">
      <w:pPr>
        <w:jc w:val="both"/>
        <w:rPr>
          <w:rFonts w:ascii="Times New Roman" w:hAnsi="Times New Roman"/>
          <w:noProof/>
          <w:sz w:val="24"/>
        </w:rPr>
      </w:pPr>
    </w:p>
    <w:p w14:paraId="57608F10" w14:textId="16618AB1" w:rsidR="000303A1" w:rsidRDefault="00F37115" w:rsidP="00381D4B">
      <w:pPr>
        <w:jc w:val="both"/>
        <w:rPr>
          <w:rFonts w:ascii="Times New Roman" w:hAnsi="Times New Roman"/>
          <w:noProof/>
          <w:sz w:val="24"/>
        </w:rPr>
      </w:pPr>
      <w:r>
        <w:rPr>
          <w:rFonts w:ascii="Times New Roman" w:hAnsi="Times New Roman"/>
          <w:sz w:val="24"/>
        </w:rPr>
        <w:t xml:space="preserve">19. Dalībvalstīm jāievieš atbilstoši un efektīvi pasākumi anonīmu sabiedrības dalībnieku un konfidenciālu avotu identitātes aizsardzībai, lai ierobežotu to identitātes izpaušanu, ciktāl tas nepieciešams taisnīgas tiesas spriešanai, saskaņā ar Konvenciju, tostarp pušu procesuālo tiesību vienlīdzības principu, </w:t>
      </w:r>
      <w:hyperlink r:id="rId22">
        <w:r>
          <w:rPr>
            <w:rFonts w:ascii="Times New Roman" w:hAnsi="Times New Roman"/>
            <w:sz w:val="24"/>
          </w:rPr>
          <w:t>modernizēto Konvenciju par personu aizsardzību attiecībā uz personas datu automātisko</w:t>
        </w:r>
      </w:hyperlink>
      <w:r>
        <w:rPr>
          <w:rFonts w:ascii="Times New Roman" w:hAnsi="Times New Roman"/>
          <w:sz w:val="24"/>
        </w:rPr>
        <w:t xml:space="preserve"> </w:t>
      </w:r>
      <w:hyperlink r:id="rId23">
        <w:r>
          <w:rPr>
            <w:rFonts w:ascii="Times New Roman" w:hAnsi="Times New Roman"/>
            <w:sz w:val="24"/>
          </w:rPr>
          <w:t>apstrādi</w:t>
        </w:r>
      </w:hyperlink>
      <w:r>
        <w:rPr>
          <w:rFonts w:ascii="Times New Roman" w:hAnsi="Times New Roman"/>
          <w:sz w:val="24"/>
        </w:rPr>
        <w:t xml:space="preserve"> (</w:t>
      </w:r>
      <w:r>
        <w:rPr>
          <w:rFonts w:ascii="Times New Roman" w:hAnsi="Times New Roman"/>
          <w:i/>
          <w:iCs/>
          <w:sz w:val="24"/>
        </w:rPr>
        <w:t>CETS</w:t>
      </w:r>
      <w:r>
        <w:rPr>
          <w:rFonts w:ascii="Times New Roman" w:hAnsi="Times New Roman"/>
          <w:sz w:val="24"/>
        </w:rPr>
        <w:t xml:space="preserve"> Nr. 223), Ministru komitejas Ieteikumu </w:t>
      </w:r>
      <w:hyperlink r:id="rId24">
        <w:r>
          <w:rPr>
            <w:rFonts w:ascii="Times New Roman" w:hAnsi="Times New Roman"/>
            <w:sz w:val="24"/>
          </w:rPr>
          <w:t>CM/Rec (2014)7</w:t>
        </w:r>
      </w:hyperlink>
      <w:r>
        <w:rPr>
          <w:rFonts w:ascii="Times New Roman" w:hAnsi="Times New Roman"/>
          <w:sz w:val="24"/>
        </w:rPr>
        <w:t xml:space="preserve"> dalībvalstīm par trauksmes cēlēju aizsardzību un citiem būtiskiem privātuma un datu aizsardzības standartiem.</w:t>
      </w:r>
    </w:p>
    <w:p w14:paraId="58E7157A" w14:textId="77777777" w:rsidR="00F37115" w:rsidRPr="00381D4B" w:rsidRDefault="00F37115" w:rsidP="00381D4B">
      <w:pPr>
        <w:jc w:val="both"/>
        <w:rPr>
          <w:rFonts w:ascii="Times New Roman" w:hAnsi="Times New Roman"/>
          <w:noProof/>
          <w:sz w:val="24"/>
        </w:rPr>
      </w:pPr>
    </w:p>
    <w:p w14:paraId="2E5D3D5E" w14:textId="3816A6E8" w:rsidR="000303A1" w:rsidRPr="00F37115" w:rsidRDefault="00F37115" w:rsidP="00381D4B">
      <w:pPr>
        <w:jc w:val="both"/>
        <w:rPr>
          <w:rFonts w:ascii="Times New Roman" w:hAnsi="Times New Roman"/>
          <w:b/>
          <w:bCs/>
          <w:noProof/>
          <w:sz w:val="24"/>
        </w:rPr>
      </w:pPr>
      <w:r>
        <w:rPr>
          <w:rFonts w:ascii="Times New Roman" w:hAnsi="Times New Roman"/>
          <w:b/>
          <w:sz w:val="24"/>
        </w:rPr>
        <w:t>II. Aizsardzības pasākumi, tiesiskās aizsardzības līdzekļi un pārredzamība</w:t>
      </w:r>
    </w:p>
    <w:p w14:paraId="4A080FD9" w14:textId="77777777" w:rsidR="000303A1" w:rsidRPr="00381D4B" w:rsidRDefault="000303A1" w:rsidP="00381D4B">
      <w:pPr>
        <w:jc w:val="both"/>
        <w:rPr>
          <w:rFonts w:ascii="Times New Roman" w:hAnsi="Times New Roman"/>
          <w:b/>
          <w:noProof/>
          <w:sz w:val="24"/>
        </w:rPr>
      </w:pPr>
    </w:p>
    <w:p w14:paraId="3254C35C" w14:textId="7E22693C" w:rsidR="000303A1" w:rsidRDefault="00F37115" w:rsidP="00381D4B">
      <w:pPr>
        <w:jc w:val="both"/>
        <w:rPr>
          <w:rFonts w:ascii="Times New Roman" w:hAnsi="Times New Roman"/>
          <w:noProof/>
          <w:sz w:val="24"/>
        </w:rPr>
      </w:pPr>
      <w:r>
        <w:rPr>
          <w:rFonts w:ascii="Times New Roman" w:hAnsi="Times New Roman"/>
          <w:sz w:val="24"/>
        </w:rPr>
        <w:t xml:space="preserve">20. Dalībvalstīm jānodrošina, ka to nacionālās tiesību sistēmas un to īstenošana nodrošina vispusīgu tiesisko regulējumu un saskaņotu strukturālo un procesuālo garantiju kopumu, lai novērstu un līdz minimumam samazinātu </w:t>
      </w:r>
      <w:r>
        <w:rPr>
          <w:rFonts w:ascii="Times New Roman" w:hAnsi="Times New Roman"/>
          <w:i/>
          <w:iCs/>
          <w:sz w:val="24"/>
        </w:rPr>
        <w:t>SLAPP</w:t>
      </w:r>
      <w:r>
        <w:rPr>
          <w:rFonts w:ascii="Times New Roman" w:hAnsi="Times New Roman"/>
          <w:sz w:val="24"/>
        </w:rPr>
        <w:t xml:space="preserve"> kaitīgo ietekmi, kā arī pilnu tiesiskās aizsardzības līdzekļu un atbalsta pasākumu kopumu attiecībā uz </w:t>
      </w:r>
      <w:r>
        <w:rPr>
          <w:rFonts w:ascii="Times New Roman" w:hAnsi="Times New Roman"/>
          <w:i/>
          <w:iCs/>
          <w:sz w:val="24"/>
        </w:rPr>
        <w:t>SLAPP</w:t>
      </w:r>
      <w:r>
        <w:rPr>
          <w:rFonts w:ascii="Times New Roman" w:hAnsi="Times New Roman"/>
          <w:sz w:val="24"/>
        </w:rPr>
        <w:t xml:space="preserve"> radīto kaitējumu. Tām arī jāveic atbilstoši pasākumi, lai nodrošinātu pārredzamības kultūru saistībā ar tiesībpamatotām prasībām, attiecībā uz kurām atzīts, ka tās ir </w:t>
      </w:r>
      <w:r>
        <w:rPr>
          <w:rFonts w:ascii="Times New Roman" w:hAnsi="Times New Roman"/>
          <w:i/>
          <w:iCs/>
          <w:sz w:val="24"/>
        </w:rPr>
        <w:t>SLAPP</w:t>
      </w:r>
      <w:r>
        <w:rPr>
          <w:rFonts w:ascii="Times New Roman" w:hAnsi="Times New Roman"/>
          <w:sz w:val="24"/>
        </w:rPr>
        <w:t>.</w:t>
      </w:r>
    </w:p>
    <w:p w14:paraId="7BE8D885" w14:textId="77777777" w:rsidR="00F37115" w:rsidRPr="00381D4B" w:rsidRDefault="00F37115" w:rsidP="00381D4B">
      <w:pPr>
        <w:jc w:val="both"/>
        <w:rPr>
          <w:rFonts w:ascii="Times New Roman" w:hAnsi="Times New Roman"/>
          <w:noProof/>
          <w:sz w:val="24"/>
        </w:rPr>
      </w:pPr>
    </w:p>
    <w:p w14:paraId="78D77DDB" w14:textId="1A178EE3" w:rsidR="000303A1" w:rsidRPr="00F37115" w:rsidRDefault="00F37115" w:rsidP="00381D4B">
      <w:pPr>
        <w:jc w:val="both"/>
        <w:rPr>
          <w:rFonts w:ascii="Times New Roman" w:hAnsi="Times New Roman"/>
          <w:b/>
          <w:bCs/>
          <w:noProof/>
          <w:sz w:val="24"/>
        </w:rPr>
      </w:pPr>
      <w:r>
        <w:rPr>
          <w:rFonts w:ascii="Times New Roman" w:hAnsi="Times New Roman"/>
          <w:b/>
          <w:sz w:val="24"/>
        </w:rPr>
        <w:t>A. Tiesiskais regulējums</w:t>
      </w:r>
    </w:p>
    <w:p w14:paraId="7E0427CD" w14:textId="77777777" w:rsidR="000303A1" w:rsidRPr="00381D4B" w:rsidRDefault="000303A1" w:rsidP="00381D4B">
      <w:pPr>
        <w:jc w:val="both"/>
        <w:rPr>
          <w:rFonts w:ascii="Times New Roman" w:hAnsi="Times New Roman"/>
          <w:b/>
          <w:noProof/>
          <w:sz w:val="24"/>
        </w:rPr>
      </w:pPr>
    </w:p>
    <w:p w14:paraId="0077DD63" w14:textId="4A1EF103" w:rsidR="000303A1" w:rsidRPr="00381D4B" w:rsidRDefault="00F37115" w:rsidP="00381D4B">
      <w:pPr>
        <w:jc w:val="both"/>
        <w:rPr>
          <w:rFonts w:ascii="Times New Roman" w:hAnsi="Times New Roman"/>
          <w:noProof/>
          <w:sz w:val="24"/>
        </w:rPr>
      </w:pPr>
      <w:r>
        <w:rPr>
          <w:rFonts w:ascii="Times New Roman" w:hAnsi="Times New Roman"/>
          <w:sz w:val="24"/>
        </w:rPr>
        <w:t>21. Dalībvalstīm jāievieš vispusīgs tiesiskais regulējums, kas ļautu ikvienam efektīvi, droši un nebaidoties piedalīties sabiedriskās diskusijās un sabiedrību skarošos jautājumos.</w:t>
      </w:r>
    </w:p>
    <w:p w14:paraId="1174C076" w14:textId="77777777" w:rsidR="000303A1" w:rsidRPr="00381D4B" w:rsidRDefault="000303A1" w:rsidP="00381D4B">
      <w:pPr>
        <w:jc w:val="both"/>
        <w:rPr>
          <w:rFonts w:ascii="Times New Roman" w:hAnsi="Times New Roman"/>
          <w:noProof/>
          <w:sz w:val="24"/>
        </w:rPr>
      </w:pPr>
    </w:p>
    <w:p w14:paraId="470829C3" w14:textId="79205B3A" w:rsidR="000303A1" w:rsidRPr="00381D4B" w:rsidRDefault="00F37115" w:rsidP="00381D4B">
      <w:pPr>
        <w:jc w:val="both"/>
        <w:rPr>
          <w:rFonts w:ascii="Times New Roman" w:hAnsi="Times New Roman"/>
          <w:noProof/>
          <w:sz w:val="24"/>
        </w:rPr>
      </w:pPr>
      <w:r>
        <w:rPr>
          <w:rFonts w:ascii="Times New Roman" w:hAnsi="Times New Roman"/>
          <w:sz w:val="24"/>
        </w:rPr>
        <w:t>22. Dalībvalstīm vajadzības gadījumā jāuztur vai jāveic nepieciešamie normatīvie vai citi pasākumi, lai novērstu tādas tiesiskas darbības, ar ko tiek piedraudēts vai kas tiek ierosinātas vai īstenotas, lai novērstu, kavētu vai ierobežotu kādas juridiskas vai fiziskas personas vārda brīvību sabiedrības interešu jautājumos un ar sabiedrības līdzdalību saistītu tiesību izmantošanu vai lai sodītu par to. Tām arī jāsaglabā modrība, lai nodrošinātu, ka tiesību akti, sankcijas un tiesiskās aizsardzības līdzekļi netiek piemēroti pret sabiedrības līdzdalību diskriminējošā vai patvaļīgā veidā.</w:t>
      </w:r>
    </w:p>
    <w:p w14:paraId="1F36FA57" w14:textId="77777777" w:rsidR="000303A1" w:rsidRPr="00381D4B" w:rsidRDefault="000303A1" w:rsidP="00381D4B">
      <w:pPr>
        <w:jc w:val="both"/>
        <w:rPr>
          <w:rFonts w:ascii="Times New Roman" w:hAnsi="Times New Roman"/>
          <w:noProof/>
          <w:sz w:val="24"/>
        </w:rPr>
      </w:pPr>
    </w:p>
    <w:p w14:paraId="1B2EAB55" w14:textId="38FF2BE9" w:rsidR="000303A1" w:rsidRPr="00381D4B" w:rsidRDefault="00F37115" w:rsidP="00381D4B">
      <w:pPr>
        <w:jc w:val="both"/>
        <w:rPr>
          <w:rFonts w:ascii="Times New Roman" w:hAnsi="Times New Roman"/>
          <w:noProof/>
          <w:sz w:val="24"/>
        </w:rPr>
      </w:pPr>
      <w:r>
        <w:rPr>
          <w:rFonts w:ascii="Times New Roman" w:hAnsi="Times New Roman"/>
          <w:sz w:val="24"/>
        </w:rPr>
        <w:t>23. Tiesiskais regulējums regulāri jāpārskata, lai novērtētu un nodrošinātu regulējuma un tā piemērošanas atbilstību Konvencijai. Pārskatīšanā jāietver visi spēkā esošie tiesību akti un sekundārie tiesību akti un to projekti, kā arī tiesu prakse, kas attiecas uz tiesībām uz vārda brīvību, miermīlīgu pulcēšanos un biedrošanos un uz citām līdzdalības tiesībām. Dalībvalstīm attiecīgā gadījumā jāveic visi normatīvie un citi atbilstošie pasākumi, lai aizsargātu šīs tiesības.</w:t>
      </w:r>
    </w:p>
    <w:p w14:paraId="485C183B" w14:textId="77777777" w:rsidR="00F37115" w:rsidRDefault="00F37115" w:rsidP="00381D4B">
      <w:pPr>
        <w:jc w:val="both"/>
        <w:rPr>
          <w:rFonts w:ascii="Times New Roman" w:hAnsi="Times New Roman"/>
          <w:noProof/>
          <w:sz w:val="24"/>
        </w:rPr>
      </w:pPr>
    </w:p>
    <w:p w14:paraId="63239FB0" w14:textId="77777777" w:rsidR="00F37115" w:rsidRPr="00F37115" w:rsidRDefault="000303A1" w:rsidP="00381D4B">
      <w:pPr>
        <w:jc w:val="both"/>
        <w:rPr>
          <w:rFonts w:ascii="Times New Roman" w:hAnsi="Times New Roman"/>
          <w:b/>
          <w:bCs/>
          <w:noProof/>
          <w:sz w:val="24"/>
        </w:rPr>
      </w:pPr>
      <w:r>
        <w:rPr>
          <w:rFonts w:ascii="Times New Roman" w:hAnsi="Times New Roman"/>
          <w:b/>
          <w:sz w:val="24"/>
        </w:rPr>
        <w:t>B. Procesuālās garantijas</w:t>
      </w:r>
    </w:p>
    <w:p w14:paraId="14B5F0DB" w14:textId="77777777" w:rsidR="00F37115" w:rsidRPr="00F37115" w:rsidRDefault="00F37115" w:rsidP="00381D4B">
      <w:pPr>
        <w:jc w:val="both"/>
        <w:rPr>
          <w:rFonts w:ascii="Times New Roman" w:hAnsi="Times New Roman"/>
          <w:b/>
          <w:bCs/>
          <w:noProof/>
          <w:sz w:val="24"/>
        </w:rPr>
      </w:pPr>
    </w:p>
    <w:p w14:paraId="686F998B" w14:textId="68B22157" w:rsidR="000303A1" w:rsidRPr="00F37115" w:rsidRDefault="000303A1" w:rsidP="00381D4B">
      <w:pPr>
        <w:jc w:val="both"/>
        <w:rPr>
          <w:rFonts w:ascii="Times New Roman" w:hAnsi="Times New Roman"/>
          <w:b/>
          <w:bCs/>
          <w:noProof/>
          <w:sz w:val="24"/>
        </w:rPr>
      </w:pPr>
      <w:r>
        <w:rPr>
          <w:rFonts w:ascii="Times New Roman" w:hAnsi="Times New Roman"/>
          <w:b/>
          <w:sz w:val="24"/>
        </w:rPr>
        <w:t>Efektīva lietu pārvaldība</w:t>
      </w:r>
    </w:p>
    <w:p w14:paraId="6053D374" w14:textId="77777777" w:rsidR="00F37115" w:rsidRDefault="00F37115" w:rsidP="00381D4B">
      <w:pPr>
        <w:jc w:val="both"/>
        <w:rPr>
          <w:rFonts w:ascii="Times New Roman" w:hAnsi="Times New Roman"/>
          <w:noProof/>
          <w:sz w:val="24"/>
        </w:rPr>
      </w:pPr>
    </w:p>
    <w:p w14:paraId="1C625625" w14:textId="58F6A794" w:rsidR="000303A1" w:rsidRPr="00381D4B" w:rsidRDefault="00F37115" w:rsidP="00381D4B">
      <w:pPr>
        <w:jc w:val="both"/>
        <w:rPr>
          <w:rFonts w:ascii="Times New Roman" w:hAnsi="Times New Roman"/>
          <w:noProof/>
          <w:sz w:val="24"/>
        </w:rPr>
      </w:pPr>
      <w:r>
        <w:rPr>
          <w:rFonts w:ascii="Times New Roman" w:hAnsi="Times New Roman"/>
          <w:sz w:val="24"/>
        </w:rPr>
        <w:t>24. Dalībvalstīm jāpilnvaro tiesas un citas kompetentās iestādes aktīvi un efektīvi pārvaldīt tiesvedību, lai nodrošinātu efektīvu lietas izbeigšanu un nepieļautu nekādu lietas virzības kavēšanas taktiku. Lai panāktu efektīvu lietu pārvaldību, tiesām un citām kompetentajām iestādēm jānodrošina, ka puses savas prasības, atbildētāja argumentāciju, faktiskos apgalvojumus un pierādījumu piedāvājumus iesniedz iespējami īsā laikā un pilnā apmērā, kā arī atbilstoši tam, kas nepieciešams lietas rūpīgai iztiesāšanai, lai nodrošinātu procesuālo lietderību.</w:t>
      </w:r>
    </w:p>
    <w:p w14:paraId="35F2B4F2" w14:textId="77777777" w:rsidR="00F37115" w:rsidRDefault="00F37115" w:rsidP="00381D4B">
      <w:pPr>
        <w:jc w:val="both"/>
        <w:rPr>
          <w:rFonts w:ascii="Times New Roman" w:hAnsi="Times New Roman"/>
          <w:noProof/>
          <w:sz w:val="24"/>
        </w:rPr>
      </w:pPr>
    </w:p>
    <w:p w14:paraId="038F8B75" w14:textId="0987B335" w:rsidR="000303A1" w:rsidRPr="00F37115" w:rsidRDefault="000303A1" w:rsidP="00381D4B">
      <w:pPr>
        <w:jc w:val="both"/>
        <w:rPr>
          <w:rFonts w:ascii="Times New Roman" w:hAnsi="Times New Roman"/>
          <w:b/>
          <w:bCs/>
          <w:noProof/>
          <w:sz w:val="24"/>
        </w:rPr>
      </w:pPr>
      <w:r>
        <w:rPr>
          <w:rFonts w:ascii="Times New Roman" w:hAnsi="Times New Roman"/>
          <w:b/>
          <w:sz w:val="24"/>
        </w:rPr>
        <w:t>Prasījumu pret sabiedrības līdzdalību priekšlaicīga noraidīšana</w:t>
      </w:r>
    </w:p>
    <w:p w14:paraId="34E5BBF4" w14:textId="77777777" w:rsidR="000303A1" w:rsidRPr="00381D4B" w:rsidRDefault="000303A1" w:rsidP="00381D4B">
      <w:pPr>
        <w:jc w:val="both"/>
        <w:rPr>
          <w:rFonts w:ascii="Times New Roman" w:hAnsi="Times New Roman"/>
          <w:b/>
          <w:noProof/>
          <w:sz w:val="24"/>
        </w:rPr>
      </w:pPr>
    </w:p>
    <w:p w14:paraId="6C685F2C" w14:textId="5AB239C0" w:rsidR="000303A1" w:rsidRPr="00381D4B" w:rsidRDefault="00F37115" w:rsidP="00381D4B">
      <w:pPr>
        <w:jc w:val="both"/>
        <w:rPr>
          <w:rFonts w:ascii="Times New Roman" w:hAnsi="Times New Roman"/>
          <w:noProof/>
          <w:sz w:val="24"/>
        </w:rPr>
      </w:pPr>
      <w:r>
        <w:rPr>
          <w:rFonts w:ascii="Times New Roman" w:hAnsi="Times New Roman"/>
          <w:sz w:val="24"/>
        </w:rPr>
        <w:t>25. Dalībvalstīm savā tiesiskajā regulējumā jāparedz atbilstoši un piemēroti noteikumi saskaņā ar Eiropas Cilvēktiesību konvenciju un Tiesas prakses principiem, lai nodrošinātu, ka:</w:t>
      </w:r>
    </w:p>
    <w:p w14:paraId="647F0D49" w14:textId="29E9EDC2" w:rsidR="000303A1" w:rsidRPr="00381D4B" w:rsidRDefault="00F37115" w:rsidP="00F37115">
      <w:pPr>
        <w:ind w:left="567" w:hanging="284"/>
        <w:jc w:val="both"/>
        <w:rPr>
          <w:rFonts w:ascii="Times New Roman" w:hAnsi="Times New Roman"/>
          <w:noProof/>
          <w:sz w:val="24"/>
        </w:rPr>
      </w:pPr>
      <w:r>
        <w:rPr>
          <w:rFonts w:ascii="Times New Roman" w:hAnsi="Times New Roman"/>
          <w:sz w:val="24"/>
        </w:rPr>
        <w:t xml:space="preserve">a) tiesas pēc savas iniciatīvas agrīnā tiesvedības posmā var noraidīt prasību kā </w:t>
      </w:r>
      <w:r>
        <w:rPr>
          <w:rFonts w:ascii="Times New Roman" w:hAnsi="Times New Roman"/>
          <w:i/>
          <w:iCs/>
          <w:sz w:val="24"/>
        </w:rPr>
        <w:t>SLAPP</w:t>
      </w:r>
      <w:r>
        <w:rPr>
          <w:rFonts w:ascii="Times New Roman" w:hAnsi="Times New Roman"/>
          <w:sz w:val="24"/>
        </w:rPr>
        <w:t xml:space="preserve"> un</w:t>
      </w:r>
    </w:p>
    <w:p w14:paraId="792DA23A" w14:textId="492A9477" w:rsidR="000303A1" w:rsidRPr="00381D4B" w:rsidRDefault="00F37115" w:rsidP="00F37115">
      <w:pPr>
        <w:ind w:left="567" w:hanging="284"/>
        <w:jc w:val="both"/>
        <w:rPr>
          <w:rFonts w:ascii="Times New Roman" w:hAnsi="Times New Roman"/>
          <w:noProof/>
          <w:sz w:val="24"/>
        </w:rPr>
      </w:pPr>
      <w:r>
        <w:rPr>
          <w:rFonts w:ascii="Times New Roman" w:hAnsi="Times New Roman"/>
          <w:sz w:val="24"/>
        </w:rPr>
        <w:t xml:space="preserve">b) atbildētāji var iesniegt pieteikumus par prasību pret sabiedrības līdzdalību priekšlaicīgu noraidīšanu, lai novērstu </w:t>
      </w:r>
      <w:r>
        <w:rPr>
          <w:rFonts w:ascii="Times New Roman" w:hAnsi="Times New Roman"/>
          <w:i/>
          <w:iCs/>
          <w:sz w:val="24"/>
        </w:rPr>
        <w:t>SLAPP</w:t>
      </w:r>
      <w:r>
        <w:rPr>
          <w:rFonts w:ascii="Times New Roman" w:hAnsi="Times New Roman"/>
          <w:sz w:val="24"/>
        </w:rPr>
        <w:t xml:space="preserve"> kaitīgo ietekmi diskusijās par sabiedrības interešu jautājumiem.</w:t>
      </w:r>
    </w:p>
    <w:p w14:paraId="66B57CCF" w14:textId="77777777" w:rsidR="000303A1" w:rsidRPr="00381D4B" w:rsidRDefault="000303A1" w:rsidP="00381D4B">
      <w:pPr>
        <w:jc w:val="both"/>
        <w:rPr>
          <w:rFonts w:ascii="Times New Roman" w:hAnsi="Times New Roman"/>
          <w:noProof/>
          <w:sz w:val="24"/>
        </w:rPr>
      </w:pPr>
    </w:p>
    <w:p w14:paraId="5B820736" w14:textId="77777777" w:rsidR="000303A1" w:rsidRPr="00381D4B" w:rsidRDefault="000303A1" w:rsidP="00381D4B">
      <w:pPr>
        <w:jc w:val="both"/>
        <w:rPr>
          <w:rFonts w:ascii="Times New Roman" w:hAnsi="Times New Roman"/>
          <w:noProof/>
          <w:sz w:val="24"/>
        </w:rPr>
      </w:pPr>
      <w:r>
        <w:rPr>
          <w:rFonts w:ascii="Times New Roman" w:hAnsi="Times New Roman"/>
          <w:sz w:val="24"/>
        </w:rPr>
        <w:t>Šādos noteikumos jānosaka, ka prasītājiem, kas vēršas pret sabiedrības līdzdalību, iespējami agrīnā tiesvedības posmā jāsniedz saprātīgs pamatojums lietas ierosināšanai, lai tie varētu doties uz tiesu.</w:t>
      </w:r>
    </w:p>
    <w:p w14:paraId="40982A49" w14:textId="77777777" w:rsidR="00381D4B" w:rsidRPr="00381D4B" w:rsidRDefault="00381D4B" w:rsidP="00381D4B">
      <w:pPr>
        <w:jc w:val="both"/>
        <w:rPr>
          <w:rFonts w:ascii="Times New Roman" w:hAnsi="Times New Roman"/>
          <w:noProof/>
          <w:sz w:val="24"/>
        </w:rPr>
      </w:pPr>
    </w:p>
    <w:p w14:paraId="28AA6F0A" w14:textId="0D67ACED" w:rsidR="000303A1" w:rsidRPr="00381D4B" w:rsidRDefault="00F37115" w:rsidP="00381D4B">
      <w:pPr>
        <w:jc w:val="both"/>
        <w:rPr>
          <w:rFonts w:ascii="Times New Roman" w:hAnsi="Times New Roman"/>
          <w:noProof/>
          <w:sz w:val="24"/>
        </w:rPr>
      </w:pPr>
      <w:r>
        <w:rPr>
          <w:rFonts w:ascii="Times New Roman" w:hAnsi="Times New Roman"/>
          <w:sz w:val="24"/>
        </w:rPr>
        <w:t>26. Tiesām un citām kompetentajām iestādēm jābūt likumīgām tiesībām novērtēt 8. punktā (skat. iepriekš) minētos rādītājus un pilnīgi vai daļēji izbeigt tiesvedību.</w:t>
      </w:r>
    </w:p>
    <w:p w14:paraId="2D728A9B" w14:textId="77777777" w:rsidR="000303A1" w:rsidRPr="00381D4B" w:rsidRDefault="000303A1" w:rsidP="00381D4B">
      <w:pPr>
        <w:jc w:val="both"/>
        <w:rPr>
          <w:rFonts w:ascii="Times New Roman" w:hAnsi="Times New Roman"/>
          <w:noProof/>
          <w:sz w:val="24"/>
        </w:rPr>
      </w:pPr>
    </w:p>
    <w:p w14:paraId="1E3C2A16" w14:textId="6D6E8614" w:rsidR="000303A1" w:rsidRPr="00381D4B" w:rsidRDefault="00F37115" w:rsidP="003503E8">
      <w:pPr>
        <w:keepNext/>
        <w:keepLines/>
        <w:jc w:val="both"/>
        <w:rPr>
          <w:rFonts w:ascii="Times New Roman" w:hAnsi="Times New Roman"/>
          <w:noProof/>
          <w:sz w:val="24"/>
        </w:rPr>
      </w:pPr>
      <w:r>
        <w:rPr>
          <w:rFonts w:ascii="Times New Roman" w:hAnsi="Times New Roman"/>
          <w:sz w:val="24"/>
        </w:rPr>
        <w:lastRenderedPageBreak/>
        <w:t>27. Pieteikumu priekšlaicīgas noraidīšanas pieļaujamības nosacījumiem jābūt noteiktiem valsts tiesību aktos, un tie varētu ietvert, piemēram, šādu kumulatīvu kritēriju izskatīšanu tiesā:</w:t>
      </w:r>
    </w:p>
    <w:p w14:paraId="0527564D" w14:textId="7B2B8BD3" w:rsidR="000303A1" w:rsidRPr="00381D4B" w:rsidRDefault="00F37115" w:rsidP="003503E8">
      <w:pPr>
        <w:keepNext/>
        <w:keepLines/>
        <w:ind w:left="567" w:hanging="284"/>
        <w:jc w:val="both"/>
        <w:rPr>
          <w:rFonts w:ascii="Times New Roman" w:hAnsi="Times New Roman"/>
          <w:noProof/>
          <w:sz w:val="24"/>
        </w:rPr>
      </w:pPr>
      <w:r>
        <w:rPr>
          <w:rFonts w:ascii="Times New Roman" w:hAnsi="Times New Roman"/>
          <w:sz w:val="24"/>
        </w:rPr>
        <w:t>a) vai ir paredzams, ka prasība tiesā netiks apmierināta, un</w:t>
      </w:r>
    </w:p>
    <w:p w14:paraId="51268650" w14:textId="24A0AB07" w:rsidR="000303A1" w:rsidRPr="00381D4B" w:rsidRDefault="00F37115" w:rsidP="003503E8">
      <w:pPr>
        <w:keepNext/>
        <w:keepLines/>
        <w:ind w:left="567" w:hanging="284"/>
        <w:jc w:val="both"/>
        <w:rPr>
          <w:rFonts w:ascii="Times New Roman" w:hAnsi="Times New Roman"/>
          <w:noProof/>
          <w:sz w:val="24"/>
        </w:rPr>
      </w:pPr>
      <w:r>
        <w:rPr>
          <w:rFonts w:ascii="Times New Roman" w:hAnsi="Times New Roman"/>
          <w:sz w:val="24"/>
        </w:rPr>
        <w:t xml:space="preserve">b) vai atbilstoši 8. punktā (skat. iepriekš) izklāstītajiem </w:t>
      </w:r>
      <w:r>
        <w:rPr>
          <w:rFonts w:ascii="Times New Roman" w:hAnsi="Times New Roman"/>
          <w:i/>
          <w:iCs/>
          <w:sz w:val="24"/>
        </w:rPr>
        <w:t>SLAPP</w:t>
      </w:r>
      <w:r>
        <w:rPr>
          <w:rFonts w:ascii="Times New Roman" w:hAnsi="Times New Roman"/>
          <w:sz w:val="24"/>
        </w:rPr>
        <w:t xml:space="preserve"> rādītājiem attiecīgo tiesvedību var uzskatīt par procesa ļaunprātīgu izmantošanu.</w:t>
      </w:r>
    </w:p>
    <w:p w14:paraId="4DFB89B2" w14:textId="77777777" w:rsidR="000303A1" w:rsidRPr="00381D4B" w:rsidRDefault="000303A1" w:rsidP="00381D4B">
      <w:pPr>
        <w:jc w:val="both"/>
        <w:rPr>
          <w:rFonts w:ascii="Times New Roman" w:hAnsi="Times New Roman"/>
          <w:noProof/>
          <w:sz w:val="24"/>
        </w:rPr>
      </w:pPr>
    </w:p>
    <w:p w14:paraId="45DE5B50" w14:textId="280D5167" w:rsidR="000303A1" w:rsidRPr="00381D4B" w:rsidRDefault="00F37115" w:rsidP="00381D4B">
      <w:pPr>
        <w:jc w:val="both"/>
        <w:rPr>
          <w:rFonts w:ascii="Times New Roman" w:hAnsi="Times New Roman"/>
          <w:noProof/>
          <w:sz w:val="24"/>
        </w:rPr>
      </w:pPr>
      <w:r>
        <w:rPr>
          <w:rFonts w:ascii="Times New Roman" w:hAnsi="Times New Roman"/>
          <w:sz w:val="24"/>
        </w:rPr>
        <w:t>28. Ja termiņš tiesībām iesniegt pieteikumu par priekšlaicīgu noraidīšanu ir noteikts tiesību aktos, tam jābūt samērīgam un tas nedrīkst padarīt šo tiesību īstenošanu neiespējamu vai pārmērīgi apgrūtināt to.</w:t>
      </w:r>
    </w:p>
    <w:p w14:paraId="59924065" w14:textId="77777777" w:rsidR="00F37115" w:rsidRDefault="00F37115" w:rsidP="00381D4B">
      <w:pPr>
        <w:jc w:val="both"/>
        <w:rPr>
          <w:rFonts w:ascii="Times New Roman" w:hAnsi="Times New Roman"/>
          <w:noProof/>
          <w:sz w:val="24"/>
        </w:rPr>
      </w:pPr>
    </w:p>
    <w:p w14:paraId="7E61EA3E" w14:textId="3F1ABA7A" w:rsidR="000303A1" w:rsidRPr="00381D4B" w:rsidRDefault="00F37115" w:rsidP="00381D4B">
      <w:pPr>
        <w:jc w:val="both"/>
        <w:rPr>
          <w:rFonts w:ascii="Times New Roman" w:hAnsi="Times New Roman"/>
          <w:noProof/>
          <w:sz w:val="24"/>
        </w:rPr>
      </w:pPr>
      <w:r>
        <w:rPr>
          <w:rFonts w:ascii="Times New Roman" w:hAnsi="Times New Roman"/>
          <w:sz w:val="24"/>
        </w:rPr>
        <w:t xml:space="preserve">29. Pieteikumos par </w:t>
      </w:r>
      <w:r>
        <w:rPr>
          <w:rFonts w:ascii="Times New Roman" w:hAnsi="Times New Roman"/>
          <w:i/>
          <w:iCs/>
          <w:sz w:val="24"/>
        </w:rPr>
        <w:t>SLAPP</w:t>
      </w:r>
      <w:r>
        <w:rPr>
          <w:rFonts w:ascii="Times New Roman" w:hAnsi="Times New Roman"/>
          <w:sz w:val="24"/>
        </w:rPr>
        <w:t xml:space="preserve"> priekšlaicīgu noraidīšanu jāietver abu pušu tiesības tikt uzklausītām, pamatojoties uz abu pušu uzklausīšanas principu, un tiesām un citām kompetentajām iestādēm tie jāizskata pietiekami īsā laikā, ņemot vērā lietas apstākļus, tiesības uz efektīvu tiesisko aizsardzību un tiesības uz taisnīgu tiesu un piemērojot 8. punktā (skat. iepriekš) norādītos </w:t>
      </w:r>
      <w:r>
        <w:rPr>
          <w:rFonts w:ascii="Times New Roman" w:hAnsi="Times New Roman"/>
          <w:i/>
          <w:iCs/>
          <w:sz w:val="24"/>
        </w:rPr>
        <w:t>SLAPP</w:t>
      </w:r>
      <w:r>
        <w:rPr>
          <w:rFonts w:ascii="Times New Roman" w:hAnsi="Times New Roman"/>
          <w:sz w:val="24"/>
        </w:rPr>
        <w:t xml:space="preserve"> rādītājus.</w:t>
      </w:r>
    </w:p>
    <w:p w14:paraId="0D645918" w14:textId="77777777" w:rsidR="000303A1" w:rsidRPr="00381D4B" w:rsidRDefault="000303A1" w:rsidP="00381D4B">
      <w:pPr>
        <w:jc w:val="both"/>
        <w:rPr>
          <w:rFonts w:ascii="Times New Roman" w:hAnsi="Times New Roman"/>
          <w:noProof/>
          <w:sz w:val="24"/>
        </w:rPr>
      </w:pPr>
    </w:p>
    <w:p w14:paraId="5DBA97E7" w14:textId="691230B9" w:rsidR="000303A1" w:rsidRPr="00381D4B" w:rsidRDefault="00DD5DB3" w:rsidP="00381D4B">
      <w:pPr>
        <w:jc w:val="both"/>
        <w:rPr>
          <w:rFonts w:ascii="Times New Roman" w:hAnsi="Times New Roman"/>
          <w:noProof/>
          <w:sz w:val="24"/>
        </w:rPr>
      </w:pPr>
      <w:r>
        <w:rPr>
          <w:rFonts w:ascii="Times New Roman" w:hAnsi="Times New Roman"/>
          <w:sz w:val="24"/>
        </w:rPr>
        <w:t>30. Dalībvalstīm arī jāpiešķir tiesības administratīvajām iestādēm noraidīt administratīvās prasības pret sabiedrības līdzdalību agrīnā lietas izskatīšanas posmā.</w:t>
      </w:r>
    </w:p>
    <w:p w14:paraId="5A625CDF" w14:textId="77777777" w:rsidR="000303A1" w:rsidRPr="00381D4B" w:rsidRDefault="000303A1" w:rsidP="00381D4B">
      <w:pPr>
        <w:jc w:val="both"/>
        <w:rPr>
          <w:rFonts w:ascii="Times New Roman" w:hAnsi="Times New Roman"/>
          <w:noProof/>
          <w:sz w:val="24"/>
        </w:rPr>
      </w:pPr>
    </w:p>
    <w:p w14:paraId="0A91BCB1" w14:textId="01286B2C" w:rsidR="000303A1" w:rsidRPr="00381D4B" w:rsidRDefault="00DD5DB3" w:rsidP="00381D4B">
      <w:pPr>
        <w:jc w:val="both"/>
        <w:rPr>
          <w:rFonts w:ascii="Times New Roman" w:hAnsi="Times New Roman"/>
          <w:noProof/>
          <w:sz w:val="24"/>
        </w:rPr>
      </w:pPr>
      <w:r>
        <w:rPr>
          <w:rFonts w:ascii="Times New Roman" w:hAnsi="Times New Roman"/>
          <w:sz w:val="24"/>
        </w:rPr>
        <w:t xml:space="preserve">31. Ja atbildētājs iesniedz pieteikumu par prasību pret sabiedrības līdzdalību noraidīšanu, sniedzot pierādījumus par to, ka prasības pamatā ir sabiedrības līdzdalība sabiedrības interešu jautājumā un ka pastāv vairāki </w:t>
      </w:r>
      <w:r>
        <w:rPr>
          <w:rFonts w:ascii="Times New Roman" w:hAnsi="Times New Roman"/>
          <w:i/>
          <w:iCs/>
          <w:sz w:val="24"/>
        </w:rPr>
        <w:t>SLAPP</w:t>
      </w:r>
      <w:r>
        <w:rPr>
          <w:rFonts w:ascii="Times New Roman" w:hAnsi="Times New Roman"/>
          <w:sz w:val="24"/>
        </w:rPr>
        <w:t xml:space="preserve"> rādītāji, un ja tiesa un citas kompetentās iestādes pieņem šo pieteikumu, prasītājam jāsniedz pierādījumi prasības noraidīšanai. Tas neliedz dalībvalstīm ieviest tādus pierādījumu noteikumus, kas ir labvēlīgāki atbildētājiem.</w:t>
      </w:r>
    </w:p>
    <w:p w14:paraId="14009870" w14:textId="77777777" w:rsidR="000303A1" w:rsidRPr="00381D4B" w:rsidRDefault="000303A1" w:rsidP="00381D4B">
      <w:pPr>
        <w:jc w:val="both"/>
        <w:rPr>
          <w:rFonts w:ascii="Times New Roman" w:hAnsi="Times New Roman"/>
          <w:noProof/>
          <w:sz w:val="24"/>
        </w:rPr>
      </w:pPr>
    </w:p>
    <w:p w14:paraId="75E4B4C2" w14:textId="0656E31A" w:rsidR="000303A1" w:rsidRDefault="00DD5DB3" w:rsidP="00381D4B">
      <w:pPr>
        <w:jc w:val="both"/>
        <w:rPr>
          <w:rFonts w:ascii="Times New Roman" w:hAnsi="Times New Roman"/>
          <w:noProof/>
          <w:sz w:val="24"/>
        </w:rPr>
      </w:pPr>
      <w:r>
        <w:rPr>
          <w:rFonts w:ascii="Times New Roman" w:hAnsi="Times New Roman"/>
          <w:sz w:val="24"/>
        </w:rPr>
        <w:t>32. Prasītājam jādod tāda pati iespēja pierādīt, ka tiesiskā darbība varētu būt sekmīga tiesā vai administratīvajā procesā un ka tās mērķis nav novērst vai ierobežot ar sabiedrības līdzdalību saistītu tiesību izmantošanu vai sodīt par to.</w:t>
      </w:r>
    </w:p>
    <w:p w14:paraId="648DD748" w14:textId="77777777" w:rsidR="00DD5DB3" w:rsidRPr="00381D4B" w:rsidRDefault="00DD5DB3" w:rsidP="00381D4B">
      <w:pPr>
        <w:jc w:val="both"/>
        <w:rPr>
          <w:rFonts w:ascii="Times New Roman" w:hAnsi="Times New Roman"/>
          <w:noProof/>
          <w:sz w:val="24"/>
        </w:rPr>
      </w:pPr>
    </w:p>
    <w:p w14:paraId="61F77FE5" w14:textId="70B57C71" w:rsidR="000303A1" w:rsidRPr="00381D4B" w:rsidRDefault="00DD5DB3" w:rsidP="00381D4B">
      <w:pPr>
        <w:jc w:val="both"/>
        <w:rPr>
          <w:rFonts w:ascii="Times New Roman" w:hAnsi="Times New Roman"/>
          <w:noProof/>
          <w:sz w:val="24"/>
        </w:rPr>
      </w:pPr>
      <w:r>
        <w:rPr>
          <w:rFonts w:ascii="Times New Roman" w:hAnsi="Times New Roman"/>
          <w:sz w:val="24"/>
        </w:rPr>
        <w:t>33. Dalībvalstīm jānodrošina iespēja pārsūdzēt lēmumu par priekšlaicīgu noraidīšanu.</w:t>
      </w:r>
    </w:p>
    <w:p w14:paraId="6EF2531F" w14:textId="77777777" w:rsidR="000303A1" w:rsidRPr="00381D4B" w:rsidRDefault="000303A1" w:rsidP="00381D4B">
      <w:pPr>
        <w:jc w:val="both"/>
        <w:rPr>
          <w:rFonts w:ascii="Times New Roman" w:hAnsi="Times New Roman"/>
          <w:noProof/>
          <w:sz w:val="24"/>
        </w:rPr>
      </w:pPr>
    </w:p>
    <w:p w14:paraId="616BD1C8" w14:textId="6465358E" w:rsidR="000303A1" w:rsidRDefault="00DD5DB3" w:rsidP="00381D4B">
      <w:pPr>
        <w:jc w:val="both"/>
        <w:rPr>
          <w:rFonts w:ascii="Times New Roman" w:hAnsi="Times New Roman"/>
          <w:noProof/>
          <w:sz w:val="24"/>
        </w:rPr>
      </w:pPr>
      <w:r>
        <w:rPr>
          <w:rFonts w:ascii="Times New Roman" w:hAnsi="Times New Roman"/>
          <w:sz w:val="24"/>
        </w:rPr>
        <w:t>34. Dalībvalstīm jānodrošina, ka pieteikums par priekšlaicīgu noraidīšanu vai jebkura tās pārsūdzība tiek izskatīta saīsinātā kārtībā, ņemot vērā lietas apstākļus, tiesības uz efektīvu tiesību aizsardzību un tiesības uz taisnīgu tiesu.</w:t>
      </w:r>
    </w:p>
    <w:p w14:paraId="211FDD52" w14:textId="77777777" w:rsidR="00DD5DB3" w:rsidRPr="00381D4B" w:rsidRDefault="00DD5DB3" w:rsidP="00381D4B">
      <w:pPr>
        <w:jc w:val="both"/>
        <w:rPr>
          <w:rFonts w:ascii="Times New Roman" w:hAnsi="Times New Roman"/>
          <w:noProof/>
          <w:sz w:val="24"/>
        </w:rPr>
      </w:pPr>
    </w:p>
    <w:p w14:paraId="005BD9E0" w14:textId="77777777" w:rsidR="000303A1" w:rsidRPr="00DD5DB3" w:rsidRDefault="000303A1" w:rsidP="00381D4B">
      <w:pPr>
        <w:jc w:val="both"/>
        <w:rPr>
          <w:rFonts w:ascii="Times New Roman" w:hAnsi="Times New Roman"/>
          <w:b/>
          <w:bCs/>
          <w:noProof/>
          <w:sz w:val="24"/>
        </w:rPr>
      </w:pPr>
      <w:r>
        <w:rPr>
          <w:rFonts w:ascii="Times New Roman" w:hAnsi="Times New Roman"/>
          <w:b/>
          <w:sz w:val="24"/>
        </w:rPr>
        <w:t>Tiesvedības apturēšana</w:t>
      </w:r>
    </w:p>
    <w:p w14:paraId="5EC20F49" w14:textId="77777777" w:rsidR="000303A1" w:rsidRPr="00381D4B" w:rsidRDefault="000303A1" w:rsidP="00381D4B">
      <w:pPr>
        <w:jc w:val="both"/>
        <w:rPr>
          <w:rFonts w:ascii="Times New Roman" w:hAnsi="Times New Roman"/>
          <w:b/>
          <w:noProof/>
          <w:sz w:val="24"/>
        </w:rPr>
      </w:pPr>
    </w:p>
    <w:p w14:paraId="55D1441A" w14:textId="2295C7E8" w:rsidR="000303A1" w:rsidRPr="00381D4B" w:rsidRDefault="00DD5DB3" w:rsidP="00381D4B">
      <w:pPr>
        <w:jc w:val="both"/>
        <w:rPr>
          <w:rFonts w:ascii="Times New Roman" w:hAnsi="Times New Roman"/>
          <w:noProof/>
          <w:sz w:val="24"/>
        </w:rPr>
      </w:pPr>
      <w:r>
        <w:rPr>
          <w:rFonts w:ascii="Times New Roman" w:hAnsi="Times New Roman"/>
          <w:sz w:val="24"/>
        </w:rPr>
        <w:t>35. Ja tas atļauts valsts tiesību aktos, dalībvalstīm jānodrošina, ka gadījumā, ja atbildētājs lūdz priekšlaicīgu noraidīšanu, pamattiesvedība tiek apturēta līdz galīgā lēmuma pieņemšanai par šo pieteikumu. Turklāt noteikumos par tiesvedības apturēšanu prasītājam nedrīkst ļaut mainīt savus tiesvedībā iesniegtos paskaidrojumus ar mērķi novērst noraidīšanas rīkojuma pieņemšanu. Visiem procesa dalībnieku paskaidrojumu grozījumiem nepieciešams tiesas vai citas kompetentās iestādes apstiprinājums. Pēc tam, kad atbildētājs ir iesniedzis pieteikumu par priekšlaicīgu noraidīšanu, procesa dalībnieku paskaidrojumu grozīšana nav pieļaujama.</w:t>
      </w:r>
    </w:p>
    <w:p w14:paraId="3FF1ABF8" w14:textId="77777777" w:rsidR="00DD5DB3" w:rsidRDefault="00DD5DB3" w:rsidP="00381D4B">
      <w:pPr>
        <w:jc w:val="both"/>
        <w:rPr>
          <w:rFonts w:ascii="Times New Roman" w:hAnsi="Times New Roman"/>
          <w:noProof/>
          <w:sz w:val="24"/>
        </w:rPr>
      </w:pPr>
    </w:p>
    <w:p w14:paraId="582E86D7" w14:textId="3C6A224E" w:rsidR="000303A1" w:rsidRDefault="00DD5DB3" w:rsidP="00381D4B">
      <w:pPr>
        <w:jc w:val="both"/>
        <w:rPr>
          <w:rFonts w:ascii="Times New Roman" w:hAnsi="Times New Roman"/>
          <w:noProof/>
          <w:sz w:val="24"/>
        </w:rPr>
      </w:pPr>
      <w:r>
        <w:rPr>
          <w:rFonts w:ascii="Times New Roman" w:hAnsi="Times New Roman"/>
          <w:sz w:val="24"/>
        </w:rPr>
        <w:t xml:space="preserve">36. Lūguma par tiesvedības priekšlaicīgu noraidīšanu atteikums nav pietiekams iemesls, lai liegtu atbildētājam, pirms tiesnesis lemj pēc būtības, atkārtoti apgalvot, ka pret viņu uzsāktā tiesvedība ir uzskatāma par </w:t>
      </w:r>
      <w:r>
        <w:rPr>
          <w:rFonts w:ascii="Times New Roman" w:hAnsi="Times New Roman"/>
          <w:i/>
          <w:iCs/>
          <w:sz w:val="24"/>
        </w:rPr>
        <w:t>SLAPP</w:t>
      </w:r>
      <w:r>
        <w:rPr>
          <w:rFonts w:ascii="Times New Roman" w:hAnsi="Times New Roman"/>
          <w:sz w:val="24"/>
        </w:rPr>
        <w:t>.</w:t>
      </w:r>
    </w:p>
    <w:p w14:paraId="40A61B7C" w14:textId="77777777" w:rsidR="00DD5DB3" w:rsidRPr="00381D4B" w:rsidRDefault="00DD5DB3" w:rsidP="00381D4B">
      <w:pPr>
        <w:jc w:val="both"/>
        <w:rPr>
          <w:rFonts w:ascii="Times New Roman" w:hAnsi="Times New Roman"/>
          <w:noProof/>
          <w:sz w:val="24"/>
        </w:rPr>
      </w:pPr>
    </w:p>
    <w:p w14:paraId="0BF7C771" w14:textId="77777777" w:rsidR="000303A1" w:rsidRPr="00DD5DB3" w:rsidRDefault="000303A1" w:rsidP="003503E8">
      <w:pPr>
        <w:keepNext/>
        <w:keepLines/>
        <w:jc w:val="both"/>
        <w:rPr>
          <w:rFonts w:ascii="Times New Roman" w:hAnsi="Times New Roman"/>
          <w:b/>
          <w:bCs/>
          <w:noProof/>
          <w:sz w:val="24"/>
        </w:rPr>
      </w:pPr>
      <w:r>
        <w:rPr>
          <w:rFonts w:ascii="Times New Roman" w:hAnsi="Times New Roman"/>
          <w:b/>
          <w:sz w:val="24"/>
        </w:rPr>
        <w:lastRenderedPageBreak/>
        <w:t>Nodrošinājums procesuālo izmaksu un zaudējumu segšanai</w:t>
      </w:r>
    </w:p>
    <w:p w14:paraId="3BAAEBA7" w14:textId="77777777" w:rsidR="000303A1" w:rsidRPr="00381D4B" w:rsidRDefault="000303A1" w:rsidP="003503E8">
      <w:pPr>
        <w:keepNext/>
        <w:keepLines/>
        <w:jc w:val="both"/>
        <w:rPr>
          <w:rFonts w:ascii="Times New Roman" w:hAnsi="Times New Roman"/>
          <w:b/>
          <w:noProof/>
          <w:sz w:val="24"/>
        </w:rPr>
      </w:pPr>
    </w:p>
    <w:p w14:paraId="271F48F3" w14:textId="467D7E7D" w:rsidR="000303A1" w:rsidRPr="00381D4B" w:rsidRDefault="00DD5DB3" w:rsidP="003503E8">
      <w:pPr>
        <w:keepNext/>
        <w:keepLines/>
        <w:jc w:val="both"/>
        <w:rPr>
          <w:rFonts w:ascii="Times New Roman" w:hAnsi="Times New Roman"/>
          <w:noProof/>
          <w:sz w:val="24"/>
        </w:rPr>
      </w:pPr>
      <w:r>
        <w:rPr>
          <w:rFonts w:ascii="Times New Roman" w:hAnsi="Times New Roman"/>
          <w:sz w:val="24"/>
        </w:rPr>
        <w:t xml:space="preserve">37. Dalībvalstīm jāievieš valsts tiesību aktiem un praksei atbilstoši noteikumi, lai nodrošinātu, ka tiesvedībā pret sabiedrības līdzdalību tiesas un citas kompetentās iestādes ir pilnvarotas pieprasīt prasītājam nodrošinājumu procesuālo izmaksu vai procesuālo izmaksu un zaudējumu segšanai, ja tā uzskata šādu nodrošinājumu par atbilstošu, ņemot vērā 8. punktā (skat. iepriekš) minētos </w:t>
      </w:r>
      <w:r>
        <w:rPr>
          <w:rFonts w:ascii="Times New Roman" w:hAnsi="Times New Roman"/>
          <w:i/>
          <w:iCs/>
          <w:sz w:val="24"/>
        </w:rPr>
        <w:t>SLAPP</w:t>
      </w:r>
      <w:r>
        <w:rPr>
          <w:rFonts w:ascii="Times New Roman" w:hAnsi="Times New Roman"/>
          <w:sz w:val="24"/>
        </w:rPr>
        <w:t xml:space="preserve"> rādītājus.</w:t>
      </w:r>
    </w:p>
    <w:p w14:paraId="51E6822B" w14:textId="77777777" w:rsidR="000303A1" w:rsidRPr="00381D4B" w:rsidRDefault="000303A1" w:rsidP="00381D4B">
      <w:pPr>
        <w:jc w:val="both"/>
        <w:rPr>
          <w:rFonts w:ascii="Times New Roman" w:hAnsi="Times New Roman"/>
          <w:noProof/>
          <w:sz w:val="24"/>
        </w:rPr>
      </w:pPr>
    </w:p>
    <w:p w14:paraId="131C82C4" w14:textId="77777777" w:rsidR="000303A1" w:rsidRPr="00DD5DB3" w:rsidRDefault="000303A1" w:rsidP="00381D4B">
      <w:pPr>
        <w:jc w:val="both"/>
        <w:rPr>
          <w:rFonts w:ascii="Times New Roman" w:hAnsi="Times New Roman"/>
          <w:b/>
          <w:bCs/>
          <w:noProof/>
          <w:sz w:val="24"/>
        </w:rPr>
      </w:pPr>
      <w:r>
        <w:rPr>
          <w:rFonts w:ascii="Times New Roman" w:hAnsi="Times New Roman"/>
          <w:b/>
          <w:sz w:val="24"/>
        </w:rPr>
        <w:t>Tiesu izdevumu restitūcija</w:t>
      </w:r>
    </w:p>
    <w:p w14:paraId="47D15632" w14:textId="77777777" w:rsidR="000303A1" w:rsidRPr="00381D4B" w:rsidRDefault="000303A1" w:rsidP="00381D4B">
      <w:pPr>
        <w:jc w:val="both"/>
        <w:rPr>
          <w:rFonts w:ascii="Times New Roman" w:hAnsi="Times New Roman"/>
          <w:b/>
          <w:noProof/>
          <w:sz w:val="24"/>
        </w:rPr>
      </w:pPr>
    </w:p>
    <w:p w14:paraId="44E49075" w14:textId="7E6BCBCA" w:rsidR="000303A1" w:rsidRDefault="00DD5DB3" w:rsidP="00381D4B">
      <w:pPr>
        <w:jc w:val="both"/>
        <w:rPr>
          <w:rFonts w:ascii="Times New Roman" w:hAnsi="Times New Roman"/>
          <w:noProof/>
          <w:sz w:val="24"/>
        </w:rPr>
      </w:pPr>
      <w:r>
        <w:rPr>
          <w:rFonts w:ascii="Times New Roman" w:hAnsi="Times New Roman"/>
          <w:sz w:val="24"/>
        </w:rPr>
        <w:t xml:space="preserve">38. Dalībvalstis tiek aicinātas savās valsts tiesību sistēmās pieņemt attiecīgus noteikumus, lai ļautu tiesām, konstatējot, ka tiesībpamatota prasība ir </w:t>
      </w:r>
      <w:r>
        <w:rPr>
          <w:rFonts w:ascii="Times New Roman" w:hAnsi="Times New Roman"/>
          <w:i/>
          <w:iCs/>
          <w:sz w:val="24"/>
        </w:rPr>
        <w:t>SLAPP</w:t>
      </w:r>
      <w:r>
        <w:rPr>
          <w:rFonts w:ascii="Times New Roman" w:hAnsi="Times New Roman"/>
          <w:sz w:val="24"/>
        </w:rPr>
        <w:t>, uzdot prasītājiem atlīdzināt visus tiesāšanās izdevumus, tostarp visus atbildētāja izdevumus par juridisko pārstāvību.</w:t>
      </w:r>
    </w:p>
    <w:p w14:paraId="348EE9BD" w14:textId="77777777" w:rsidR="00DD5DB3" w:rsidRPr="00381D4B" w:rsidRDefault="00DD5DB3" w:rsidP="00381D4B">
      <w:pPr>
        <w:jc w:val="both"/>
        <w:rPr>
          <w:rFonts w:ascii="Times New Roman" w:hAnsi="Times New Roman"/>
          <w:noProof/>
          <w:sz w:val="24"/>
        </w:rPr>
      </w:pPr>
    </w:p>
    <w:p w14:paraId="0F86BF9C" w14:textId="77777777" w:rsidR="000303A1" w:rsidRPr="00DD5DB3" w:rsidRDefault="000303A1" w:rsidP="00381D4B">
      <w:pPr>
        <w:jc w:val="both"/>
        <w:rPr>
          <w:rFonts w:ascii="Times New Roman" w:hAnsi="Times New Roman"/>
          <w:b/>
          <w:bCs/>
          <w:noProof/>
          <w:sz w:val="24"/>
        </w:rPr>
      </w:pPr>
      <w:r>
        <w:rPr>
          <w:rFonts w:ascii="Times New Roman" w:hAnsi="Times New Roman"/>
          <w:b/>
          <w:sz w:val="24"/>
        </w:rPr>
        <w:t>Atbildētāja nāve vai rīcībspējas zaudēšana</w:t>
      </w:r>
    </w:p>
    <w:p w14:paraId="3F7174C0" w14:textId="77777777" w:rsidR="000303A1" w:rsidRPr="00381D4B" w:rsidRDefault="000303A1" w:rsidP="00381D4B">
      <w:pPr>
        <w:jc w:val="both"/>
        <w:rPr>
          <w:rFonts w:ascii="Times New Roman" w:hAnsi="Times New Roman"/>
          <w:b/>
          <w:noProof/>
          <w:sz w:val="24"/>
        </w:rPr>
      </w:pPr>
    </w:p>
    <w:p w14:paraId="7E98C29D" w14:textId="4E12ACF6" w:rsidR="000303A1" w:rsidRDefault="00DD5DB3" w:rsidP="00381D4B">
      <w:pPr>
        <w:jc w:val="both"/>
        <w:rPr>
          <w:rFonts w:ascii="Times New Roman" w:hAnsi="Times New Roman"/>
          <w:noProof/>
          <w:sz w:val="24"/>
        </w:rPr>
      </w:pPr>
      <w:r>
        <w:rPr>
          <w:rFonts w:ascii="Times New Roman" w:hAnsi="Times New Roman"/>
          <w:sz w:val="24"/>
        </w:rPr>
        <w:t>39. Dalībvalstīm jānodrošina, ka pēc atbildētāja nāves vai rīcībspējas zaudēšanas izskatāmajā lietā pret sabiedrības līdzdalību sākotnējā atbildētāja ģimenes locekļiem un līdzgaitniekiem, kuri turpina tiesvedību, ir pieejami tādi paši tiesiskās aizsardzības līdzekļi un atbalsts kā sākotnējam atbildētājam. Dalībvalstis tiek aicinātas vajadzības gadījumā nodrošināt papildu aizsardzību, jo šie jaunie atbildētāji var būt sliktāk sagatavoti darbam ar sākotnējo prasību.</w:t>
      </w:r>
    </w:p>
    <w:p w14:paraId="13C44475" w14:textId="77777777" w:rsidR="00625ED7" w:rsidRPr="00381D4B" w:rsidRDefault="00625ED7" w:rsidP="00381D4B">
      <w:pPr>
        <w:jc w:val="both"/>
        <w:rPr>
          <w:rFonts w:ascii="Times New Roman" w:hAnsi="Times New Roman"/>
          <w:noProof/>
          <w:sz w:val="24"/>
        </w:rPr>
      </w:pPr>
    </w:p>
    <w:p w14:paraId="456EEB35" w14:textId="77777777" w:rsidR="000303A1" w:rsidRPr="00625ED7" w:rsidRDefault="000303A1" w:rsidP="00381D4B">
      <w:pPr>
        <w:jc w:val="both"/>
        <w:rPr>
          <w:rFonts w:ascii="Times New Roman" w:hAnsi="Times New Roman"/>
          <w:b/>
          <w:bCs/>
          <w:noProof/>
          <w:sz w:val="24"/>
        </w:rPr>
      </w:pPr>
      <w:r>
        <w:rPr>
          <w:rFonts w:ascii="Times New Roman" w:hAnsi="Times New Roman"/>
          <w:b/>
          <w:sz w:val="24"/>
        </w:rPr>
        <w:t>C. Tiesiskās aizsardzības līdzekļi</w:t>
      </w:r>
    </w:p>
    <w:p w14:paraId="4B4238EE" w14:textId="77777777" w:rsidR="000303A1" w:rsidRPr="00381D4B" w:rsidRDefault="000303A1" w:rsidP="00381D4B">
      <w:pPr>
        <w:jc w:val="both"/>
        <w:rPr>
          <w:rFonts w:ascii="Times New Roman" w:hAnsi="Times New Roman"/>
          <w:b/>
          <w:noProof/>
          <w:sz w:val="24"/>
        </w:rPr>
      </w:pPr>
    </w:p>
    <w:p w14:paraId="468ED2C9" w14:textId="77777777" w:rsidR="000303A1" w:rsidRPr="00381D4B" w:rsidRDefault="000303A1" w:rsidP="00381D4B">
      <w:pPr>
        <w:jc w:val="both"/>
        <w:rPr>
          <w:rFonts w:ascii="Times New Roman" w:hAnsi="Times New Roman"/>
          <w:b/>
          <w:noProof/>
          <w:sz w:val="24"/>
        </w:rPr>
      </w:pPr>
      <w:r>
        <w:rPr>
          <w:rFonts w:ascii="Times New Roman" w:hAnsi="Times New Roman"/>
          <w:b/>
          <w:sz w:val="24"/>
        </w:rPr>
        <w:t>Tiesu izdevumi un citi procesuālie izdevumi</w:t>
      </w:r>
    </w:p>
    <w:p w14:paraId="70393811" w14:textId="77777777" w:rsidR="000303A1" w:rsidRPr="00381D4B" w:rsidRDefault="000303A1" w:rsidP="00381D4B">
      <w:pPr>
        <w:jc w:val="both"/>
        <w:rPr>
          <w:rFonts w:ascii="Times New Roman" w:hAnsi="Times New Roman"/>
          <w:b/>
          <w:noProof/>
          <w:sz w:val="24"/>
        </w:rPr>
      </w:pPr>
    </w:p>
    <w:p w14:paraId="5E28D637" w14:textId="1CC727BF" w:rsidR="000303A1" w:rsidRDefault="00625ED7" w:rsidP="00381D4B">
      <w:pPr>
        <w:jc w:val="both"/>
        <w:rPr>
          <w:rFonts w:ascii="Times New Roman" w:hAnsi="Times New Roman"/>
          <w:noProof/>
          <w:sz w:val="24"/>
        </w:rPr>
      </w:pPr>
      <w:r>
        <w:rPr>
          <w:rFonts w:ascii="Times New Roman" w:hAnsi="Times New Roman"/>
          <w:sz w:val="24"/>
        </w:rPr>
        <w:t xml:space="preserve">40. Dalībvalstīm jāpieņem atbilstīgi normatīvie vai citi noteikumi, lai nodrošinātu, ka </w:t>
      </w:r>
      <w:r>
        <w:rPr>
          <w:rFonts w:ascii="Times New Roman" w:hAnsi="Times New Roman"/>
          <w:i/>
          <w:iCs/>
          <w:sz w:val="24"/>
        </w:rPr>
        <w:t>SLAPP</w:t>
      </w:r>
      <w:r>
        <w:rPr>
          <w:rFonts w:ascii="Times New Roman" w:hAnsi="Times New Roman"/>
          <w:sz w:val="24"/>
        </w:rPr>
        <w:t xml:space="preserve"> prasību izmaksas tiek samazinātas līdz absolūtam minimumam.</w:t>
      </w:r>
    </w:p>
    <w:p w14:paraId="53EA1FF1" w14:textId="77777777" w:rsidR="00625ED7" w:rsidRPr="00381D4B" w:rsidRDefault="00625ED7" w:rsidP="00381D4B">
      <w:pPr>
        <w:jc w:val="both"/>
        <w:rPr>
          <w:rFonts w:ascii="Times New Roman" w:hAnsi="Times New Roman"/>
          <w:noProof/>
          <w:sz w:val="24"/>
        </w:rPr>
      </w:pPr>
    </w:p>
    <w:p w14:paraId="5FAEE780" w14:textId="77777777" w:rsidR="000303A1" w:rsidRPr="00625ED7" w:rsidRDefault="000303A1" w:rsidP="00381D4B">
      <w:pPr>
        <w:jc w:val="both"/>
        <w:rPr>
          <w:rFonts w:ascii="Times New Roman" w:hAnsi="Times New Roman"/>
          <w:b/>
          <w:bCs/>
          <w:noProof/>
          <w:sz w:val="24"/>
        </w:rPr>
      </w:pPr>
      <w:r>
        <w:rPr>
          <w:rFonts w:ascii="Times New Roman" w:hAnsi="Times New Roman"/>
          <w:b/>
          <w:sz w:val="24"/>
        </w:rPr>
        <w:t xml:space="preserve">No </w:t>
      </w:r>
      <w:r>
        <w:rPr>
          <w:rFonts w:ascii="Times New Roman" w:hAnsi="Times New Roman"/>
          <w:b/>
          <w:i/>
          <w:iCs/>
          <w:sz w:val="24"/>
        </w:rPr>
        <w:t>SLAPP</w:t>
      </w:r>
      <w:r>
        <w:rPr>
          <w:rFonts w:ascii="Times New Roman" w:hAnsi="Times New Roman"/>
          <w:b/>
          <w:sz w:val="24"/>
        </w:rPr>
        <w:t xml:space="preserve"> cietušas personas statusa atzīšana un zaudējumu atlīdzība</w:t>
      </w:r>
    </w:p>
    <w:p w14:paraId="53F40C70" w14:textId="77777777" w:rsidR="000303A1" w:rsidRPr="00381D4B" w:rsidRDefault="000303A1" w:rsidP="00381D4B">
      <w:pPr>
        <w:jc w:val="both"/>
        <w:rPr>
          <w:rFonts w:ascii="Times New Roman" w:hAnsi="Times New Roman"/>
          <w:b/>
          <w:noProof/>
          <w:sz w:val="24"/>
        </w:rPr>
      </w:pPr>
    </w:p>
    <w:p w14:paraId="548E16F4" w14:textId="673EA9A7" w:rsidR="000303A1" w:rsidRDefault="00625ED7" w:rsidP="00381D4B">
      <w:pPr>
        <w:jc w:val="both"/>
        <w:rPr>
          <w:rFonts w:ascii="Times New Roman" w:hAnsi="Times New Roman"/>
          <w:noProof/>
          <w:sz w:val="24"/>
        </w:rPr>
      </w:pPr>
      <w:r>
        <w:rPr>
          <w:rFonts w:ascii="Times New Roman" w:hAnsi="Times New Roman"/>
          <w:sz w:val="24"/>
        </w:rPr>
        <w:t xml:space="preserve">41. Dalībvalstīm jāparedz atbilstoši noteikumi, lai tiktu atzītas personas, kuras ir cietušas no </w:t>
      </w:r>
      <w:r>
        <w:rPr>
          <w:rFonts w:ascii="Times New Roman" w:hAnsi="Times New Roman"/>
          <w:i/>
          <w:iCs/>
          <w:sz w:val="24"/>
        </w:rPr>
        <w:t>SLAPP</w:t>
      </w:r>
      <w:r>
        <w:rPr>
          <w:rFonts w:ascii="Times New Roman" w:hAnsi="Times New Roman"/>
          <w:sz w:val="24"/>
        </w:rPr>
        <w:t xml:space="preserve">, un lai šīm personām tiktu atlīdzināti visi </w:t>
      </w:r>
      <w:r>
        <w:rPr>
          <w:rFonts w:ascii="Times New Roman" w:hAnsi="Times New Roman"/>
          <w:i/>
          <w:iCs/>
          <w:sz w:val="24"/>
        </w:rPr>
        <w:t>SLAPP</w:t>
      </w:r>
      <w:r>
        <w:rPr>
          <w:rFonts w:ascii="Times New Roman" w:hAnsi="Times New Roman"/>
          <w:sz w:val="24"/>
        </w:rPr>
        <w:t xml:space="preserve"> radītie zaudējumi, tostarp finansiālie zaudējumi un morālais kaitējums, piemēram, ienākumu zaudēšana un emocionāli pārdzīvojumi, kā arī izmaksas un izdevumi, kas radušies, piemēram, lai segtu juridiskās un administratīvās izmaksas.</w:t>
      </w:r>
    </w:p>
    <w:p w14:paraId="043F39B1" w14:textId="77777777" w:rsidR="00625ED7" w:rsidRPr="00381D4B" w:rsidRDefault="00625ED7" w:rsidP="00381D4B">
      <w:pPr>
        <w:jc w:val="both"/>
        <w:rPr>
          <w:rFonts w:ascii="Times New Roman" w:hAnsi="Times New Roman"/>
          <w:noProof/>
          <w:sz w:val="24"/>
        </w:rPr>
      </w:pPr>
    </w:p>
    <w:p w14:paraId="6A13688D" w14:textId="77777777" w:rsidR="000303A1" w:rsidRPr="00625ED7" w:rsidRDefault="000303A1" w:rsidP="00381D4B">
      <w:pPr>
        <w:jc w:val="both"/>
        <w:rPr>
          <w:rFonts w:ascii="Times New Roman" w:hAnsi="Times New Roman"/>
          <w:b/>
          <w:bCs/>
          <w:noProof/>
          <w:sz w:val="24"/>
        </w:rPr>
      </w:pPr>
      <w:r>
        <w:rPr>
          <w:rFonts w:ascii="Times New Roman" w:hAnsi="Times New Roman"/>
          <w:b/>
          <w:sz w:val="24"/>
        </w:rPr>
        <w:t>Prasītāja zaudējumu atlīdzības maksimālā apmēra noteikšana</w:t>
      </w:r>
    </w:p>
    <w:p w14:paraId="059EE83B" w14:textId="77777777" w:rsidR="000303A1" w:rsidRPr="00381D4B" w:rsidRDefault="000303A1" w:rsidP="00381D4B">
      <w:pPr>
        <w:jc w:val="both"/>
        <w:rPr>
          <w:rFonts w:ascii="Times New Roman" w:hAnsi="Times New Roman"/>
          <w:b/>
          <w:noProof/>
          <w:sz w:val="24"/>
        </w:rPr>
      </w:pPr>
    </w:p>
    <w:p w14:paraId="3C3FCE57" w14:textId="65EFF428" w:rsidR="000303A1" w:rsidRDefault="00625ED7" w:rsidP="00381D4B">
      <w:pPr>
        <w:jc w:val="both"/>
        <w:rPr>
          <w:rFonts w:ascii="Times New Roman" w:hAnsi="Times New Roman"/>
          <w:noProof/>
          <w:sz w:val="24"/>
        </w:rPr>
      </w:pPr>
      <w:r>
        <w:rPr>
          <w:rFonts w:ascii="Times New Roman" w:hAnsi="Times New Roman"/>
          <w:sz w:val="24"/>
        </w:rPr>
        <w:t>42. Dalībvalstīm savas valsts tiesību sistēmas iespēju robežās jāparedz zaudējumu atlīdzības maksimālais apmērs, lai novērstu ļaunprātīgu vai nesamērīgu finansiālu sodu piemērošanu atbildētājiem, kam būtu atturoša ietekme uz viņu sabiedrisko līdzdalību, un lai neradītu finansiālus stimulus uzsākt tiesisku darbību.</w:t>
      </w:r>
    </w:p>
    <w:p w14:paraId="7E792189" w14:textId="77777777" w:rsidR="00625ED7" w:rsidRPr="00381D4B" w:rsidRDefault="00625ED7" w:rsidP="00381D4B">
      <w:pPr>
        <w:jc w:val="both"/>
        <w:rPr>
          <w:rFonts w:ascii="Times New Roman" w:hAnsi="Times New Roman"/>
          <w:noProof/>
          <w:sz w:val="24"/>
        </w:rPr>
      </w:pPr>
    </w:p>
    <w:p w14:paraId="76DBAE34" w14:textId="77777777" w:rsidR="000303A1" w:rsidRPr="00625ED7" w:rsidRDefault="000303A1" w:rsidP="00381D4B">
      <w:pPr>
        <w:jc w:val="both"/>
        <w:rPr>
          <w:rFonts w:ascii="Times New Roman" w:hAnsi="Times New Roman"/>
          <w:b/>
          <w:bCs/>
          <w:noProof/>
          <w:sz w:val="24"/>
        </w:rPr>
      </w:pPr>
      <w:r>
        <w:rPr>
          <w:rFonts w:ascii="Times New Roman" w:hAnsi="Times New Roman"/>
          <w:b/>
          <w:sz w:val="24"/>
        </w:rPr>
        <w:t>Izmaksu maksimālā apmēra noteikšana</w:t>
      </w:r>
    </w:p>
    <w:p w14:paraId="64B6EF7C" w14:textId="77777777" w:rsidR="000303A1" w:rsidRPr="00381D4B" w:rsidRDefault="000303A1" w:rsidP="00381D4B">
      <w:pPr>
        <w:jc w:val="both"/>
        <w:rPr>
          <w:rFonts w:ascii="Times New Roman" w:hAnsi="Times New Roman"/>
          <w:b/>
          <w:noProof/>
          <w:sz w:val="24"/>
        </w:rPr>
      </w:pPr>
    </w:p>
    <w:p w14:paraId="590E45C8" w14:textId="7031BFDD" w:rsidR="000303A1" w:rsidRDefault="00625ED7" w:rsidP="00381D4B">
      <w:pPr>
        <w:jc w:val="both"/>
        <w:rPr>
          <w:rFonts w:ascii="Times New Roman" w:hAnsi="Times New Roman"/>
          <w:noProof/>
          <w:sz w:val="24"/>
        </w:rPr>
      </w:pPr>
      <w:r>
        <w:rPr>
          <w:rFonts w:ascii="Times New Roman" w:hAnsi="Times New Roman"/>
          <w:sz w:val="24"/>
        </w:rPr>
        <w:t>43. Dalībvalstīm savas valsts tiesību sistēmas iespēju robežās jāparedz izmaksu maksimālais apmērs, lai nodrošinātu, ka atbildētāji spēj efektīvi aizstāvēties un aizsargāt sevi pret tiesvedības pagarināšanu, kura tiek veikta ar nolūku izsmelt atbildētāju finanšu resursus, kam būtu atturoša ietekme uz viņu sabiedrisko līdzdalību.</w:t>
      </w:r>
    </w:p>
    <w:p w14:paraId="22FC65E4" w14:textId="77777777" w:rsidR="00625ED7" w:rsidRPr="00381D4B" w:rsidRDefault="00625ED7" w:rsidP="00381D4B">
      <w:pPr>
        <w:jc w:val="both"/>
        <w:rPr>
          <w:rFonts w:ascii="Times New Roman" w:hAnsi="Times New Roman"/>
          <w:noProof/>
          <w:sz w:val="24"/>
        </w:rPr>
      </w:pPr>
    </w:p>
    <w:p w14:paraId="1397EC6A" w14:textId="77777777" w:rsidR="000303A1" w:rsidRPr="00625ED7" w:rsidRDefault="000303A1" w:rsidP="00381D4B">
      <w:pPr>
        <w:jc w:val="both"/>
        <w:rPr>
          <w:rFonts w:ascii="Times New Roman" w:hAnsi="Times New Roman"/>
          <w:b/>
          <w:bCs/>
          <w:noProof/>
          <w:sz w:val="24"/>
        </w:rPr>
      </w:pPr>
      <w:r>
        <w:rPr>
          <w:rFonts w:ascii="Times New Roman" w:hAnsi="Times New Roman"/>
          <w:b/>
          <w:sz w:val="24"/>
        </w:rPr>
        <w:lastRenderedPageBreak/>
        <w:t>Preventīvi pasākumi</w:t>
      </w:r>
    </w:p>
    <w:p w14:paraId="4655616B" w14:textId="77777777" w:rsidR="000303A1" w:rsidRPr="00381D4B" w:rsidRDefault="000303A1" w:rsidP="00381D4B">
      <w:pPr>
        <w:jc w:val="both"/>
        <w:rPr>
          <w:rFonts w:ascii="Times New Roman" w:hAnsi="Times New Roman"/>
          <w:b/>
          <w:noProof/>
          <w:sz w:val="24"/>
        </w:rPr>
      </w:pPr>
    </w:p>
    <w:p w14:paraId="54872794" w14:textId="289170D8" w:rsidR="000303A1" w:rsidRDefault="00625ED7" w:rsidP="00381D4B">
      <w:pPr>
        <w:jc w:val="both"/>
        <w:rPr>
          <w:rFonts w:ascii="Times New Roman" w:hAnsi="Times New Roman"/>
          <w:noProof/>
          <w:sz w:val="24"/>
        </w:rPr>
      </w:pPr>
      <w:r>
        <w:rPr>
          <w:rFonts w:ascii="Times New Roman" w:hAnsi="Times New Roman"/>
          <w:sz w:val="24"/>
        </w:rPr>
        <w:t xml:space="preserve">44. Dalībvalstīm jāievieš efektīvu, samērīgu un preventīvu sodu sistēma, lai atturētu no </w:t>
      </w:r>
      <w:r>
        <w:rPr>
          <w:rFonts w:ascii="Times New Roman" w:hAnsi="Times New Roman"/>
          <w:i/>
          <w:iCs/>
          <w:sz w:val="24"/>
        </w:rPr>
        <w:t>SLAPP</w:t>
      </w:r>
      <w:r>
        <w:rPr>
          <w:rFonts w:ascii="Times New Roman" w:hAnsi="Times New Roman"/>
          <w:sz w:val="24"/>
        </w:rPr>
        <w:t xml:space="preserve"> izmantošanas. Tai jābūt samērīgai ar prasītāja rīcībā esošajiem resursiem, lai efektīvi atturētu potenciālos turpmākos </w:t>
      </w:r>
      <w:r>
        <w:rPr>
          <w:rFonts w:ascii="Times New Roman" w:hAnsi="Times New Roman"/>
          <w:i/>
          <w:iCs/>
          <w:sz w:val="24"/>
        </w:rPr>
        <w:t>SLAPP</w:t>
      </w:r>
      <w:r>
        <w:rPr>
          <w:rFonts w:ascii="Times New Roman" w:hAnsi="Times New Roman"/>
          <w:sz w:val="24"/>
        </w:rPr>
        <w:t xml:space="preserve"> prasītājus. Dalībvalstīm jāapsver iespēja paredzēt zaudējumu atlīdzību un naudas sodus gadījumos, kad prasītāja rīcība ir bijusi īpaši izaicinoša un kad ir jākompensē atbildētāja zaudētais laiks un viņam nodarītais psiholoģiskais kaitējums. Dalībvalstīm papildus jāapsver arī iespēja piemērot lielākus sodus prasītājiem, kuri atkārtoti iesniedz </w:t>
      </w:r>
      <w:r>
        <w:rPr>
          <w:rFonts w:ascii="Times New Roman" w:hAnsi="Times New Roman"/>
          <w:i/>
          <w:iCs/>
          <w:sz w:val="24"/>
        </w:rPr>
        <w:t>SLAPP</w:t>
      </w:r>
      <w:r>
        <w:rPr>
          <w:rFonts w:ascii="Times New Roman" w:hAnsi="Times New Roman"/>
          <w:sz w:val="24"/>
        </w:rPr>
        <w:t xml:space="preserve"> pieteikumus.</w:t>
      </w:r>
    </w:p>
    <w:p w14:paraId="78E82530" w14:textId="77777777" w:rsidR="00625ED7" w:rsidRPr="00381D4B" w:rsidRDefault="00625ED7" w:rsidP="00381D4B">
      <w:pPr>
        <w:jc w:val="both"/>
        <w:rPr>
          <w:rFonts w:ascii="Times New Roman" w:hAnsi="Times New Roman"/>
          <w:noProof/>
          <w:sz w:val="24"/>
        </w:rPr>
      </w:pPr>
    </w:p>
    <w:p w14:paraId="60062D35" w14:textId="4ABE902B" w:rsidR="000303A1" w:rsidRPr="00381D4B" w:rsidRDefault="00625ED7" w:rsidP="00381D4B">
      <w:pPr>
        <w:jc w:val="both"/>
        <w:rPr>
          <w:rFonts w:ascii="Times New Roman" w:hAnsi="Times New Roman"/>
          <w:noProof/>
          <w:sz w:val="24"/>
        </w:rPr>
      </w:pPr>
      <w:r>
        <w:rPr>
          <w:rFonts w:ascii="Times New Roman" w:hAnsi="Times New Roman"/>
          <w:sz w:val="24"/>
        </w:rPr>
        <w:t xml:space="preserve">45. Dalībvalstīm jāpieņem atbilstošas tiesību normas, lai nodrošinātu, ka gadījumā, ja tiesiska darbība ir uzskatāma par </w:t>
      </w:r>
      <w:r>
        <w:rPr>
          <w:rFonts w:ascii="Times New Roman" w:hAnsi="Times New Roman"/>
          <w:i/>
          <w:iCs/>
          <w:sz w:val="24"/>
        </w:rPr>
        <w:t>SLAPP</w:t>
      </w:r>
      <w:r>
        <w:rPr>
          <w:rFonts w:ascii="Times New Roman" w:hAnsi="Times New Roman"/>
          <w:sz w:val="24"/>
        </w:rPr>
        <w:t xml:space="preserve">, tiesa vai citas iestādes pēc atbildētāja lūguma un uz prasītāja rēķina var uzdot veikt atbilstošus pasākumus, lai izplatītu informāciju par lēmumu, tostarp lai publicētu to pilnīgi vai daļēji, kā arī to juridisko vai fizisko personu vārdus un uzvārdus, kas iesniedza </w:t>
      </w:r>
      <w:r>
        <w:rPr>
          <w:rFonts w:ascii="Times New Roman" w:hAnsi="Times New Roman"/>
          <w:i/>
          <w:iCs/>
          <w:sz w:val="24"/>
        </w:rPr>
        <w:t>SLAPP</w:t>
      </w:r>
      <w:r>
        <w:rPr>
          <w:rFonts w:ascii="Times New Roman" w:hAnsi="Times New Roman"/>
          <w:sz w:val="24"/>
        </w:rPr>
        <w:t xml:space="preserve"> dokumentus, saskaņā ar attiecīgajiem Eiropas cilvēktiesību un datu aizsardzības standartiem.</w:t>
      </w:r>
    </w:p>
    <w:p w14:paraId="12E5EF73" w14:textId="77777777" w:rsidR="000303A1" w:rsidRPr="00381D4B" w:rsidRDefault="000303A1" w:rsidP="00381D4B">
      <w:pPr>
        <w:jc w:val="both"/>
        <w:rPr>
          <w:rFonts w:ascii="Times New Roman" w:hAnsi="Times New Roman"/>
          <w:noProof/>
          <w:sz w:val="24"/>
        </w:rPr>
      </w:pPr>
    </w:p>
    <w:p w14:paraId="1A1FC208" w14:textId="77777777" w:rsidR="000303A1" w:rsidRPr="00625ED7" w:rsidRDefault="000303A1" w:rsidP="00381D4B">
      <w:pPr>
        <w:jc w:val="both"/>
        <w:rPr>
          <w:rFonts w:ascii="Times New Roman" w:hAnsi="Times New Roman"/>
          <w:b/>
          <w:bCs/>
          <w:noProof/>
          <w:sz w:val="24"/>
        </w:rPr>
      </w:pPr>
      <w:r>
        <w:rPr>
          <w:rFonts w:ascii="Times New Roman" w:hAnsi="Times New Roman"/>
          <w:b/>
          <w:sz w:val="24"/>
        </w:rPr>
        <w:t>Ārpustiesas tiesiskās aizsardzības līdzekļu izmantošanas veicināšana</w:t>
      </w:r>
    </w:p>
    <w:p w14:paraId="4F6369AC" w14:textId="77777777" w:rsidR="000303A1" w:rsidRPr="00381D4B" w:rsidRDefault="000303A1" w:rsidP="00381D4B">
      <w:pPr>
        <w:jc w:val="both"/>
        <w:rPr>
          <w:rFonts w:ascii="Times New Roman" w:hAnsi="Times New Roman"/>
          <w:b/>
          <w:noProof/>
          <w:sz w:val="24"/>
        </w:rPr>
      </w:pPr>
    </w:p>
    <w:p w14:paraId="33D9D13D" w14:textId="069D4EE3" w:rsidR="000303A1" w:rsidRDefault="00625ED7" w:rsidP="00381D4B">
      <w:pPr>
        <w:jc w:val="both"/>
        <w:rPr>
          <w:rFonts w:ascii="Times New Roman" w:hAnsi="Times New Roman"/>
          <w:noProof/>
          <w:sz w:val="24"/>
        </w:rPr>
      </w:pPr>
      <w:r>
        <w:rPr>
          <w:rFonts w:ascii="Times New Roman" w:hAnsi="Times New Roman"/>
          <w:sz w:val="24"/>
        </w:rPr>
        <w:t xml:space="preserve">46. Dalībvalstīm, izmantojot atbilstošus līdzekļus, </w:t>
      </w:r>
      <w:r>
        <w:rPr>
          <w:rFonts w:ascii="Times New Roman" w:hAnsi="Times New Roman"/>
          <w:i/>
          <w:iCs/>
          <w:sz w:val="24"/>
        </w:rPr>
        <w:t>SLAPP</w:t>
      </w:r>
      <w:r>
        <w:rPr>
          <w:rFonts w:ascii="Times New Roman" w:hAnsi="Times New Roman"/>
          <w:sz w:val="24"/>
        </w:rPr>
        <w:t xml:space="preserve"> lietu atrisināšanas nolūkā jānodrošina nosacījumi efektīvai piekļuvei ārpustiesas tiesiskās aizsardzības līdzekļiem, piemēram, alternatīvai strīdu izšķiršanai, mediācijai un mediju padomēm, vienlaikus pilnībā ievērojot pašu mehānismu neatkarību.</w:t>
      </w:r>
    </w:p>
    <w:p w14:paraId="73570698" w14:textId="77777777" w:rsidR="00625ED7" w:rsidRPr="00381D4B" w:rsidRDefault="00625ED7" w:rsidP="00381D4B">
      <w:pPr>
        <w:jc w:val="both"/>
        <w:rPr>
          <w:rFonts w:ascii="Times New Roman" w:hAnsi="Times New Roman"/>
          <w:noProof/>
          <w:sz w:val="24"/>
        </w:rPr>
      </w:pPr>
    </w:p>
    <w:p w14:paraId="463CDE43" w14:textId="77777777" w:rsidR="000303A1" w:rsidRPr="00625ED7" w:rsidRDefault="000303A1" w:rsidP="00381D4B">
      <w:pPr>
        <w:jc w:val="both"/>
        <w:rPr>
          <w:rFonts w:ascii="Times New Roman" w:hAnsi="Times New Roman"/>
          <w:b/>
          <w:bCs/>
          <w:noProof/>
          <w:sz w:val="24"/>
        </w:rPr>
      </w:pPr>
      <w:r>
        <w:rPr>
          <w:rFonts w:ascii="Times New Roman" w:hAnsi="Times New Roman"/>
          <w:b/>
          <w:sz w:val="24"/>
        </w:rPr>
        <w:t>D. Pārredzamības kultūra</w:t>
      </w:r>
    </w:p>
    <w:p w14:paraId="282786A9" w14:textId="77777777" w:rsidR="000303A1" w:rsidRPr="00381D4B" w:rsidRDefault="000303A1" w:rsidP="00381D4B">
      <w:pPr>
        <w:jc w:val="both"/>
        <w:rPr>
          <w:rFonts w:ascii="Times New Roman" w:hAnsi="Times New Roman"/>
          <w:b/>
          <w:noProof/>
          <w:sz w:val="24"/>
        </w:rPr>
      </w:pPr>
    </w:p>
    <w:p w14:paraId="0F65BE77" w14:textId="7E61168D" w:rsidR="000303A1" w:rsidRDefault="00625ED7" w:rsidP="00381D4B">
      <w:pPr>
        <w:jc w:val="both"/>
        <w:rPr>
          <w:rFonts w:ascii="Times New Roman" w:hAnsi="Times New Roman"/>
          <w:noProof/>
          <w:sz w:val="24"/>
        </w:rPr>
      </w:pPr>
      <w:r>
        <w:rPr>
          <w:rFonts w:ascii="Times New Roman" w:hAnsi="Times New Roman"/>
          <w:sz w:val="24"/>
        </w:rPr>
        <w:t xml:space="preserve">47. Dalībvalstīm jāveic atbilstoši pasākumi, lai nodrošinātu pilnīgu pārredzamību un publicitāti lietās, ko valsts tiesas un citas iestādes atzinušas par </w:t>
      </w:r>
      <w:r>
        <w:rPr>
          <w:rFonts w:ascii="Times New Roman" w:hAnsi="Times New Roman"/>
          <w:i/>
          <w:iCs/>
          <w:sz w:val="24"/>
        </w:rPr>
        <w:t>SLAPP</w:t>
      </w:r>
      <w:r>
        <w:rPr>
          <w:rFonts w:ascii="Times New Roman" w:hAnsi="Times New Roman"/>
          <w:sz w:val="24"/>
        </w:rPr>
        <w:t>, tostarp paredzot iespēju publicēt tiesu konstatējumus.</w:t>
      </w:r>
    </w:p>
    <w:p w14:paraId="579F78D4" w14:textId="77777777" w:rsidR="00625ED7" w:rsidRPr="00381D4B" w:rsidRDefault="00625ED7" w:rsidP="00381D4B">
      <w:pPr>
        <w:jc w:val="both"/>
        <w:rPr>
          <w:rFonts w:ascii="Times New Roman" w:hAnsi="Times New Roman"/>
          <w:noProof/>
          <w:sz w:val="24"/>
        </w:rPr>
      </w:pPr>
    </w:p>
    <w:p w14:paraId="4D489021" w14:textId="3FCBC019" w:rsidR="000303A1" w:rsidRPr="00381D4B" w:rsidRDefault="00625ED7" w:rsidP="00381D4B">
      <w:pPr>
        <w:jc w:val="both"/>
        <w:rPr>
          <w:rFonts w:ascii="Times New Roman" w:hAnsi="Times New Roman"/>
          <w:noProof/>
          <w:sz w:val="24"/>
        </w:rPr>
      </w:pPr>
      <w:r>
        <w:rPr>
          <w:rFonts w:ascii="Times New Roman" w:hAnsi="Times New Roman"/>
          <w:sz w:val="24"/>
        </w:rPr>
        <w:t xml:space="preserve">48. Dalībvalstīm jānodrošina iespēja vākt datus par </w:t>
      </w:r>
      <w:r>
        <w:rPr>
          <w:rFonts w:ascii="Times New Roman" w:hAnsi="Times New Roman"/>
          <w:i/>
          <w:iCs/>
          <w:sz w:val="24"/>
        </w:rPr>
        <w:t>SLAPP</w:t>
      </w:r>
      <w:r>
        <w:rPr>
          <w:rFonts w:ascii="Times New Roman" w:hAnsi="Times New Roman"/>
          <w:sz w:val="24"/>
        </w:rPr>
        <w:t xml:space="preserve"> lietām. Šajā saistībā tām jāparedz publiskā reģistra izveide lietām, kas ir klasificētas kā </w:t>
      </w:r>
      <w:r>
        <w:rPr>
          <w:rFonts w:ascii="Times New Roman" w:hAnsi="Times New Roman"/>
          <w:i/>
          <w:iCs/>
          <w:sz w:val="24"/>
        </w:rPr>
        <w:t>SLAPP</w:t>
      </w:r>
      <w:r>
        <w:rPr>
          <w:rFonts w:ascii="Times New Roman" w:hAnsi="Times New Roman"/>
          <w:sz w:val="24"/>
        </w:rPr>
        <w:t>. Šiem datiem jābūt pastāvīgi atjauninātiem un pieejamiem sabiedrībai bez maksas un bez kavēšanās. Lai nodrošinātu pilnīgu piekļuvi datiem, dalībvalstīm jānodrošina reģistra pieejamība, ideālā gadījumā gan bezsaistē, gan tiešsaistē, saskaņā ar attiecīgajiem Eiropas cilvēktiesību un datu aizsardzības standartiem.</w:t>
      </w:r>
    </w:p>
    <w:p w14:paraId="73CE24F7" w14:textId="77777777" w:rsidR="000303A1" w:rsidRPr="00381D4B" w:rsidRDefault="000303A1" w:rsidP="00381D4B">
      <w:pPr>
        <w:jc w:val="both"/>
        <w:rPr>
          <w:rFonts w:ascii="Times New Roman" w:hAnsi="Times New Roman"/>
          <w:noProof/>
          <w:sz w:val="24"/>
        </w:rPr>
      </w:pPr>
    </w:p>
    <w:p w14:paraId="466D15E9" w14:textId="531F0E6C" w:rsidR="000303A1" w:rsidRDefault="00625ED7" w:rsidP="00381D4B">
      <w:pPr>
        <w:jc w:val="both"/>
        <w:rPr>
          <w:rFonts w:ascii="Times New Roman" w:hAnsi="Times New Roman"/>
          <w:noProof/>
          <w:sz w:val="24"/>
        </w:rPr>
      </w:pPr>
      <w:r>
        <w:rPr>
          <w:rFonts w:ascii="Times New Roman" w:hAnsi="Times New Roman"/>
          <w:sz w:val="24"/>
        </w:rPr>
        <w:t xml:space="preserve">49. Dalībvalstīm jāapsver piemērotu pasākumu īstenošana, lai nodrošinātu, ka tiesas vai citas kompetentās iestādes sniedz informāciju advokātu asociācijām par </w:t>
      </w:r>
      <w:r>
        <w:rPr>
          <w:rFonts w:ascii="Times New Roman" w:hAnsi="Times New Roman"/>
          <w:i/>
          <w:iCs/>
          <w:sz w:val="24"/>
        </w:rPr>
        <w:t>SLAPP</w:t>
      </w:r>
      <w:r>
        <w:rPr>
          <w:rFonts w:ascii="Times New Roman" w:hAnsi="Times New Roman"/>
          <w:sz w:val="24"/>
        </w:rPr>
        <w:t xml:space="preserve"> lietu iznākumu.</w:t>
      </w:r>
    </w:p>
    <w:p w14:paraId="657EFB06" w14:textId="77777777" w:rsidR="00625ED7" w:rsidRPr="00381D4B" w:rsidRDefault="00625ED7" w:rsidP="00381D4B">
      <w:pPr>
        <w:jc w:val="both"/>
        <w:rPr>
          <w:rFonts w:ascii="Times New Roman" w:hAnsi="Times New Roman"/>
          <w:noProof/>
          <w:sz w:val="24"/>
        </w:rPr>
      </w:pPr>
    </w:p>
    <w:p w14:paraId="61EE60FC" w14:textId="2A577130" w:rsidR="000303A1" w:rsidRPr="00625ED7" w:rsidRDefault="00625ED7" w:rsidP="00381D4B">
      <w:pPr>
        <w:jc w:val="both"/>
        <w:rPr>
          <w:rFonts w:ascii="Times New Roman" w:hAnsi="Times New Roman"/>
          <w:b/>
          <w:bCs/>
          <w:noProof/>
          <w:sz w:val="24"/>
        </w:rPr>
      </w:pPr>
      <w:r>
        <w:rPr>
          <w:rFonts w:ascii="Times New Roman" w:hAnsi="Times New Roman"/>
          <w:b/>
          <w:sz w:val="24"/>
        </w:rPr>
        <w:t xml:space="preserve">III. Atbalsts </w:t>
      </w:r>
      <w:r>
        <w:rPr>
          <w:rFonts w:ascii="Times New Roman" w:hAnsi="Times New Roman"/>
          <w:b/>
          <w:i/>
          <w:iCs/>
          <w:sz w:val="24"/>
        </w:rPr>
        <w:t>SLAPP</w:t>
      </w:r>
      <w:r>
        <w:rPr>
          <w:rFonts w:ascii="Times New Roman" w:hAnsi="Times New Roman"/>
          <w:b/>
          <w:sz w:val="24"/>
        </w:rPr>
        <w:t xml:space="preserve"> skartajām personām un cietušajiem</w:t>
      </w:r>
    </w:p>
    <w:p w14:paraId="110B9F7B" w14:textId="77777777" w:rsidR="000303A1" w:rsidRPr="00381D4B" w:rsidRDefault="000303A1" w:rsidP="00381D4B">
      <w:pPr>
        <w:jc w:val="both"/>
        <w:rPr>
          <w:rFonts w:ascii="Times New Roman" w:hAnsi="Times New Roman"/>
          <w:b/>
          <w:noProof/>
          <w:sz w:val="24"/>
        </w:rPr>
      </w:pPr>
    </w:p>
    <w:p w14:paraId="05F1F5CC" w14:textId="1A608593" w:rsidR="000303A1" w:rsidRDefault="001E4371" w:rsidP="00C32E6A">
      <w:pPr>
        <w:widowControl/>
        <w:jc w:val="both"/>
        <w:rPr>
          <w:rFonts w:ascii="Times New Roman" w:hAnsi="Times New Roman"/>
          <w:noProof/>
          <w:sz w:val="24"/>
        </w:rPr>
      </w:pPr>
      <w:r>
        <w:rPr>
          <w:rFonts w:ascii="Times New Roman" w:hAnsi="Times New Roman"/>
          <w:sz w:val="24"/>
        </w:rPr>
        <w:t xml:space="preserve">50. Dalībvalstis tiek aicinātas organizēt, paredzēt un nodrošināt </w:t>
      </w:r>
      <w:r>
        <w:rPr>
          <w:rFonts w:ascii="Times New Roman" w:hAnsi="Times New Roman"/>
          <w:i/>
          <w:iCs/>
          <w:sz w:val="24"/>
        </w:rPr>
        <w:t>SLAPP</w:t>
      </w:r>
      <w:r>
        <w:rPr>
          <w:rFonts w:ascii="Times New Roman" w:hAnsi="Times New Roman"/>
          <w:sz w:val="24"/>
        </w:rPr>
        <w:t xml:space="preserve"> skartajām personām un cietušajiem ātru piekļuvi dažādiem atbalsta un aizsardzības pasākumiem. Jāievieš arī procedūras, ar ko nodrošina to fizisku aizsardzību pret jebkādu iespējamu kaitējumu. Lai iesaistītajiem dalībniekiem atvieglotu atbalsta sniegšanu </w:t>
      </w:r>
      <w:r>
        <w:rPr>
          <w:rFonts w:ascii="Times New Roman" w:hAnsi="Times New Roman"/>
          <w:i/>
          <w:iCs/>
          <w:sz w:val="24"/>
        </w:rPr>
        <w:t>SLAPP</w:t>
      </w:r>
      <w:r>
        <w:rPr>
          <w:rFonts w:ascii="Times New Roman" w:hAnsi="Times New Roman"/>
          <w:sz w:val="24"/>
        </w:rPr>
        <w:t xml:space="preserve"> skartajām personām un cietušajiem, dalībvalstīm, piemēram, jānodrošina resursi šāda atbalsta sniegšanai. Lai atbalsts būtu efektīvs praksē, dalībvalstīm jāapsver iespēja to organizēt saziņā ar cietušajiem un skartajām personām, tostarp ar šo personu attiecīgo apvienību starpniecību, jāpielāgo atbalsts šo personu īpašajām vajadzībām un situācijām un pilnībā jāņem vērā šo personu iezīmes vai statuss. Šis pasākumu klāsts jādara pieejams arī personām, kas sekundāri vai netieši cietušas </w:t>
      </w:r>
      <w:r>
        <w:rPr>
          <w:rFonts w:ascii="Times New Roman" w:hAnsi="Times New Roman"/>
          <w:sz w:val="24"/>
        </w:rPr>
        <w:lastRenderedPageBreak/>
        <w:t xml:space="preserve">no </w:t>
      </w:r>
      <w:r>
        <w:rPr>
          <w:rFonts w:ascii="Times New Roman" w:hAnsi="Times New Roman"/>
          <w:i/>
          <w:iCs/>
          <w:sz w:val="24"/>
        </w:rPr>
        <w:t>SLAPP</w:t>
      </w:r>
      <w:r>
        <w:rPr>
          <w:rFonts w:ascii="Times New Roman" w:hAnsi="Times New Roman"/>
          <w:sz w:val="24"/>
        </w:rPr>
        <w:t xml:space="preserve">, piemēram, skarto personu un cietušo ģimenes locekļiem, līdzgaitniekiem vai advokātiem, kuri ir pienācīgi jāaizsargā pret </w:t>
      </w:r>
      <w:r>
        <w:rPr>
          <w:rFonts w:ascii="Times New Roman" w:hAnsi="Times New Roman"/>
          <w:i/>
          <w:iCs/>
          <w:sz w:val="24"/>
        </w:rPr>
        <w:t>SLAPP</w:t>
      </w:r>
      <w:r>
        <w:rPr>
          <w:rFonts w:ascii="Times New Roman" w:hAnsi="Times New Roman"/>
          <w:sz w:val="24"/>
        </w:rPr>
        <w:t xml:space="preserve"> radīto kaitējumu.</w:t>
      </w:r>
    </w:p>
    <w:p w14:paraId="5413695F" w14:textId="77777777" w:rsidR="001E4371" w:rsidRPr="00381D4B" w:rsidRDefault="001E4371" w:rsidP="00381D4B">
      <w:pPr>
        <w:jc w:val="both"/>
        <w:rPr>
          <w:rFonts w:ascii="Times New Roman" w:hAnsi="Times New Roman"/>
          <w:noProof/>
          <w:sz w:val="24"/>
        </w:rPr>
      </w:pPr>
    </w:p>
    <w:p w14:paraId="7E9792CA" w14:textId="5C596BA3" w:rsidR="000303A1" w:rsidRDefault="001E4371" w:rsidP="00381D4B">
      <w:pPr>
        <w:jc w:val="both"/>
        <w:rPr>
          <w:rFonts w:ascii="Times New Roman" w:hAnsi="Times New Roman"/>
          <w:noProof/>
          <w:sz w:val="24"/>
        </w:rPr>
      </w:pPr>
      <w:r>
        <w:rPr>
          <w:rFonts w:ascii="Times New Roman" w:hAnsi="Times New Roman"/>
          <w:sz w:val="24"/>
        </w:rPr>
        <w:t>51.</w:t>
      </w:r>
      <w:r>
        <w:rPr>
          <w:rFonts w:ascii="Times New Roman" w:hAnsi="Times New Roman"/>
          <w:i/>
          <w:sz w:val="24"/>
        </w:rPr>
        <w:t xml:space="preserve"> </w:t>
      </w:r>
      <w:r>
        <w:rPr>
          <w:rFonts w:ascii="Times New Roman" w:hAnsi="Times New Roman"/>
          <w:i/>
          <w:iCs/>
          <w:sz w:val="24"/>
        </w:rPr>
        <w:t>Juridiskais atbalsts</w:t>
      </w:r>
      <w:r>
        <w:rPr>
          <w:rFonts w:ascii="Times New Roman" w:hAnsi="Times New Roman"/>
          <w:sz w:val="24"/>
        </w:rPr>
        <w:t xml:space="preserve">. Vajadzības gadījumā un saskaņā ar valsts tiesību aktiem dalībvalstīm jāapsver iespēja nodrošināt pienācīgu piekļuvi bezmaksas juridiskajai palīdzībai, tostarp, ņemot vērā 8. punktā (skat. iepriekš) minētos rādītājus. Jādara pieejami arī pašreizējie valstu mehānismi un instrumenti, ar kuriem tiek organizēts un nodrošināts juridiskais atbalsts. Dalībvalstīm jāaicina un jāpilnvaro neatkarīgas organizācijas, kas specializējas juridiskā atbalsta sniegšanā, juristu apvienības, mediju un preses padomes, cilvēktiesību aizstāvju organizācijas, žurnālistu apvienības un asociācijas, akadēmiskās iestādes, kas sniedz juridiskos pakalpojumus, un citas nevalstiskās organizācijas sniegt juridiskos pakalpojumus </w:t>
      </w:r>
      <w:r>
        <w:rPr>
          <w:rFonts w:ascii="Times New Roman" w:hAnsi="Times New Roman"/>
          <w:i/>
          <w:iCs/>
          <w:sz w:val="24"/>
        </w:rPr>
        <w:t>SLAPP</w:t>
      </w:r>
      <w:r>
        <w:rPr>
          <w:rFonts w:ascii="Times New Roman" w:hAnsi="Times New Roman"/>
          <w:sz w:val="24"/>
        </w:rPr>
        <w:t xml:space="preserve"> skartajām personām. Dalībvalstīm sadarbībā ar attiecīgajām ieinteresētajām personām jācenšas nodrošināt, ka fiziskas un juridiskas personas, kas ir </w:t>
      </w:r>
      <w:r>
        <w:rPr>
          <w:rFonts w:ascii="Times New Roman" w:hAnsi="Times New Roman"/>
          <w:i/>
          <w:iCs/>
          <w:sz w:val="24"/>
        </w:rPr>
        <w:t>SLAPP</w:t>
      </w:r>
      <w:r>
        <w:rPr>
          <w:rFonts w:ascii="Times New Roman" w:hAnsi="Times New Roman"/>
          <w:sz w:val="24"/>
        </w:rPr>
        <w:t xml:space="preserve"> skartās personas, var iegūt piekļuvi apdrošināšanai attiecībā uz juridisko atbalstu ar taisnīgiem nosacījumiem.</w:t>
      </w:r>
    </w:p>
    <w:p w14:paraId="5C9F8104" w14:textId="77777777" w:rsidR="001E4371" w:rsidRPr="00381D4B" w:rsidRDefault="001E4371" w:rsidP="00381D4B">
      <w:pPr>
        <w:jc w:val="both"/>
        <w:rPr>
          <w:rFonts w:ascii="Times New Roman" w:hAnsi="Times New Roman"/>
          <w:noProof/>
          <w:sz w:val="24"/>
        </w:rPr>
      </w:pPr>
    </w:p>
    <w:p w14:paraId="17E74A6B" w14:textId="2EFA9987" w:rsidR="000303A1" w:rsidRPr="00381D4B" w:rsidRDefault="001E4371" w:rsidP="00381D4B">
      <w:pPr>
        <w:jc w:val="both"/>
        <w:rPr>
          <w:rFonts w:ascii="Times New Roman" w:hAnsi="Times New Roman"/>
          <w:noProof/>
          <w:sz w:val="24"/>
        </w:rPr>
      </w:pPr>
      <w:r>
        <w:rPr>
          <w:rFonts w:ascii="Times New Roman" w:hAnsi="Times New Roman"/>
          <w:sz w:val="24"/>
        </w:rPr>
        <w:t>52.</w:t>
      </w:r>
      <w:r>
        <w:rPr>
          <w:rFonts w:ascii="Times New Roman" w:hAnsi="Times New Roman"/>
          <w:i/>
          <w:sz w:val="24"/>
        </w:rPr>
        <w:t xml:space="preserve"> </w:t>
      </w:r>
      <w:r>
        <w:rPr>
          <w:rFonts w:ascii="Times New Roman" w:hAnsi="Times New Roman"/>
          <w:i/>
          <w:iCs/>
          <w:sz w:val="24"/>
        </w:rPr>
        <w:t>Finansiālais atbalsts</w:t>
      </w:r>
      <w:r>
        <w:rPr>
          <w:rFonts w:ascii="Times New Roman" w:hAnsi="Times New Roman"/>
          <w:sz w:val="24"/>
        </w:rPr>
        <w:t xml:space="preserve">. Dalībvalstīm sadarbībā ar nacionālajām žurnālistu apvienībām, arodbiedrībām un attiecīgajām pilsoniskās sabiedrības organizācijām jāapsver iespēja sniegt finansiālu atbalstu personām, kas cietušas no </w:t>
      </w:r>
      <w:r>
        <w:rPr>
          <w:rFonts w:ascii="Times New Roman" w:hAnsi="Times New Roman"/>
          <w:i/>
          <w:iCs/>
          <w:sz w:val="24"/>
        </w:rPr>
        <w:t>SLAPP</w:t>
      </w:r>
      <w:r>
        <w:rPr>
          <w:rFonts w:ascii="Times New Roman" w:hAnsi="Times New Roman"/>
          <w:sz w:val="24"/>
        </w:rPr>
        <w:t xml:space="preserve">, tostarp izveidojot valsts fondus, dotācijas un/vai citu mērķorientētu palīdzību vai atbalstot esošos fondus vai projektus, kuru mērķis ir finansiāli palīdzēt </w:t>
      </w:r>
      <w:r>
        <w:rPr>
          <w:rFonts w:ascii="Times New Roman" w:hAnsi="Times New Roman"/>
          <w:i/>
          <w:iCs/>
          <w:sz w:val="24"/>
        </w:rPr>
        <w:t>SLAPP</w:t>
      </w:r>
      <w:r>
        <w:rPr>
          <w:rFonts w:ascii="Times New Roman" w:hAnsi="Times New Roman"/>
          <w:sz w:val="24"/>
        </w:rPr>
        <w:t xml:space="preserve"> skartajām personām un cietušajiem.</w:t>
      </w:r>
    </w:p>
    <w:p w14:paraId="1F1EA83D" w14:textId="77777777" w:rsidR="000303A1" w:rsidRPr="00381D4B" w:rsidRDefault="000303A1" w:rsidP="00381D4B">
      <w:pPr>
        <w:jc w:val="both"/>
        <w:rPr>
          <w:rFonts w:ascii="Times New Roman" w:hAnsi="Times New Roman"/>
          <w:noProof/>
          <w:sz w:val="24"/>
        </w:rPr>
      </w:pPr>
    </w:p>
    <w:p w14:paraId="7628FCEE" w14:textId="5BFF0E60" w:rsidR="000303A1" w:rsidRPr="00381D4B" w:rsidRDefault="001E4371" w:rsidP="00381D4B">
      <w:pPr>
        <w:jc w:val="both"/>
        <w:rPr>
          <w:rFonts w:ascii="Times New Roman" w:hAnsi="Times New Roman"/>
          <w:noProof/>
          <w:sz w:val="24"/>
        </w:rPr>
      </w:pPr>
      <w:r>
        <w:rPr>
          <w:rFonts w:ascii="Times New Roman" w:hAnsi="Times New Roman"/>
          <w:sz w:val="24"/>
        </w:rPr>
        <w:t>53.</w:t>
      </w:r>
      <w:r>
        <w:rPr>
          <w:rFonts w:ascii="Times New Roman" w:hAnsi="Times New Roman"/>
          <w:i/>
          <w:sz w:val="24"/>
        </w:rPr>
        <w:t xml:space="preserve"> </w:t>
      </w:r>
      <w:r>
        <w:rPr>
          <w:rFonts w:ascii="Times New Roman" w:hAnsi="Times New Roman"/>
          <w:i/>
          <w:iCs/>
          <w:sz w:val="24"/>
        </w:rPr>
        <w:t>Psiholoģiskais atbalsts</w:t>
      </w:r>
      <w:r>
        <w:rPr>
          <w:rFonts w:ascii="Times New Roman" w:hAnsi="Times New Roman"/>
          <w:sz w:val="24"/>
        </w:rPr>
        <w:t xml:space="preserve">. </w:t>
      </w:r>
      <w:r>
        <w:rPr>
          <w:rFonts w:ascii="Times New Roman" w:hAnsi="Times New Roman"/>
          <w:i/>
          <w:iCs/>
          <w:sz w:val="24"/>
        </w:rPr>
        <w:t>SLAPP</w:t>
      </w:r>
      <w:r>
        <w:rPr>
          <w:rFonts w:ascii="Times New Roman" w:hAnsi="Times New Roman"/>
          <w:sz w:val="24"/>
        </w:rPr>
        <w:t xml:space="preserve"> skartajām personām un cietušajiem var būt pieejams dažāda veida konfidenciāls un profesionāls psiholoģiskais atbalsts, piemēram, tiešas konsultācijas, nosūtījums pie attiecīgajām veselības aizsardzības iestādēm vai finansiāla palīdzība, lai neatkarīgi un tiešā veidā nodrošinātu atbalstu. Dalībvalstīm jāaicina sabiedrības veselības aizsardzības iestādes pienācīgi ņemt vērā un atvēlēt resursus pakalpojumiem, kas tiek sniegti </w:t>
      </w:r>
      <w:r>
        <w:rPr>
          <w:rFonts w:ascii="Times New Roman" w:hAnsi="Times New Roman"/>
          <w:i/>
          <w:iCs/>
          <w:sz w:val="24"/>
        </w:rPr>
        <w:t>SLAPP</w:t>
      </w:r>
      <w:r>
        <w:rPr>
          <w:rFonts w:ascii="Times New Roman" w:hAnsi="Times New Roman"/>
          <w:sz w:val="24"/>
        </w:rPr>
        <w:t xml:space="preserve"> skartajām personām un cietušajiem.</w:t>
      </w:r>
    </w:p>
    <w:p w14:paraId="0DD04F18" w14:textId="77777777" w:rsidR="00381D4B" w:rsidRPr="00381D4B" w:rsidRDefault="00381D4B" w:rsidP="00381D4B">
      <w:pPr>
        <w:jc w:val="both"/>
        <w:rPr>
          <w:rFonts w:ascii="Times New Roman" w:hAnsi="Times New Roman"/>
          <w:noProof/>
          <w:sz w:val="24"/>
        </w:rPr>
      </w:pPr>
    </w:p>
    <w:p w14:paraId="149B50F0" w14:textId="25B22C93" w:rsidR="000303A1" w:rsidRPr="00381D4B" w:rsidRDefault="001E4371" w:rsidP="00381D4B">
      <w:pPr>
        <w:jc w:val="both"/>
        <w:rPr>
          <w:rFonts w:ascii="Times New Roman" w:hAnsi="Times New Roman"/>
          <w:noProof/>
          <w:sz w:val="24"/>
        </w:rPr>
      </w:pPr>
      <w:r>
        <w:rPr>
          <w:rFonts w:ascii="Times New Roman" w:hAnsi="Times New Roman"/>
          <w:sz w:val="24"/>
        </w:rPr>
        <w:t xml:space="preserve">54. </w:t>
      </w:r>
      <w:r>
        <w:rPr>
          <w:rFonts w:ascii="Times New Roman" w:hAnsi="Times New Roman"/>
          <w:i/>
          <w:iCs/>
          <w:sz w:val="24"/>
        </w:rPr>
        <w:t>Praktisks atbalsts</w:t>
      </w:r>
      <w:r>
        <w:rPr>
          <w:rFonts w:ascii="Times New Roman" w:hAnsi="Times New Roman"/>
          <w:sz w:val="24"/>
        </w:rPr>
        <w:t xml:space="preserve">. Gadījumos, kad tiek apdraudēta </w:t>
      </w:r>
      <w:r>
        <w:rPr>
          <w:rFonts w:ascii="Times New Roman" w:hAnsi="Times New Roman"/>
          <w:i/>
          <w:iCs/>
          <w:sz w:val="24"/>
        </w:rPr>
        <w:t>SLAPP</w:t>
      </w:r>
      <w:r>
        <w:rPr>
          <w:rFonts w:ascii="Times New Roman" w:hAnsi="Times New Roman"/>
          <w:sz w:val="24"/>
        </w:rPr>
        <w:t xml:space="preserve"> skarto personu un cietušo fiziskā drošība, šīm personām jābūt pieejamiem agrīnās brīdināšanas mehānismiem, piemēram, uzticības tālruņiem, ko nodrošina pilsoniskās sabiedrības organizācijas vai neatkarīgas valsts aģentūras. Ārkārtas situācijām dalībvalstīs jābūt ieviestiem efektīviem un dzimuma aspektu vērā ņemošiem mehānismiem brīvprātīgai evakuācijai uz drošu vietu un policijas aizsardzībai. Ja iespējams, pašreizējie valstu mehānismi un instrumenti, kas ir pieejami no citu veidu uzbrukumiem cietušajiem, jādara pieejami arī </w:t>
      </w:r>
      <w:r>
        <w:rPr>
          <w:rFonts w:ascii="Times New Roman" w:hAnsi="Times New Roman"/>
          <w:i/>
          <w:iCs/>
          <w:sz w:val="24"/>
        </w:rPr>
        <w:t>SLAPP</w:t>
      </w:r>
      <w:r>
        <w:rPr>
          <w:rFonts w:ascii="Times New Roman" w:hAnsi="Times New Roman"/>
          <w:sz w:val="24"/>
        </w:rPr>
        <w:t xml:space="preserve"> skartajām personām.</w:t>
      </w:r>
    </w:p>
    <w:p w14:paraId="257CD2F1" w14:textId="77777777" w:rsidR="000303A1" w:rsidRPr="00381D4B" w:rsidRDefault="000303A1" w:rsidP="00381D4B">
      <w:pPr>
        <w:jc w:val="both"/>
        <w:rPr>
          <w:rFonts w:ascii="Times New Roman" w:hAnsi="Times New Roman"/>
          <w:noProof/>
          <w:sz w:val="24"/>
        </w:rPr>
      </w:pPr>
    </w:p>
    <w:p w14:paraId="40B53387" w14:textId="1D8B3DCC" w:rsidR="000303A1" w:rsidRDefault="001E4371" w:rsidP="00381D4B">
      <w:pPr>
        <w:jc w:val="both"/>
        <w:rPr>
          <w:rFonts w:ascii="Times New Roman" w:hAnsi="Times New Roman"/>
          <w:noProof/>
          <w:sz w:val="24"/>
        </w:rPr>
      </w:pPr>
      <w:r>
        <w:rPr>
          <w:rFonts w:ascii="Times New Roman" w:hAnsi="Times New Roman"/>
          <w:sz w:val="24"/>
        </w:rPr>
        <w:t>55.</w:t>
      </w:r>
      <w:r>
        <w:rPr>
          <w:rFonts w:ascii="Times New Roman" w:hAnsi="Times New Roman"/>
          <w:i/>
          <w:sz w:val="24"/>
        </w:rPr>
        <w:t xml:space="preserve"> </w:t>
      </w:r>
      <w:r>
        <w:rPr>
          <w:rFonts w:ascii="Times New Roman" w:hAnsi="Times New Roman"/>
          <w:i/>
          <w:iCs/>
          <w:sz w:val="24"/>
        </w:rPr>
        <w:t>Privātā sektora atbalsts</w:t>
      </w:r>
      <w:r>
        <w:rPr>
          <w:rFonts w:ascii="Times New Roman" w:hAnsi="Times New Roman"/>
          <w:sz w:val="24"/>
        </w:rPr>
        <w:t xml:space="preserve">. Dalībvalstīm jānodrošina, ka attiecīgie privātā sektora dalībnieki ievēro visus piemērojamos tiesību aktus, kuru mērķis ir </w:t>
      </w:r>
      <w:r>
        <w:rPr>
          <w:rFonts w:ascii="Times New Roman" w:hAnsi="Times New Roman"/>
          <w:i/>
          <w:iCs/>
          <w:sz w:val="24"/>
        </w:rPr>
        <w:t>SLAPP</w:t>
      </w:r>
      <w:r>
        <w:rPr>
          <w:rFonts w:ascii="Times New Roman" w:hAnsi="Times New Roman"/>
          <w:sz w:val="24"/>
        </w:rPr>
        <w:t xml:space="preserve"> skarto personu un cietušo aizsardzība, un vajadzības gadījumā sniedz atbalstu. Šādam atbalstam jāattiecas gan uz darbiniekiem, gan arī uz līgumdarbiniekiem.</w:t>
      </w:r>
    </w:p>
    <w:p w14:paraId="66CBA9CB" w14:textId="77777777" w:rsidR="001E4371" w:rsidRPr="00381D4B" w:rsidRDefault="001E4371" w:rsidP="00381D4B">
      <w:pPr>
        <w:jc w:val="both"/>
        <w:rPr>
          <w:rFonts w:ascii="Times New Roman" w:hAnsi="Times New Roman"/>
          <w:noProof/>
          <w:sz w:val="24"/>
        </w:rPr>
      </w:pPr>
    </w:p>
    <w:p w14:paraId="0286A2EE" w14:textId="71820ED3" w:rsidR="000303A1" w:rsidRDefault="001E4371" w:rsidP="00381D4B">
      <w:pPr>
        <w:jc w:val="both"/>
        <w:rPr>
          <w:rFonts w:ascii="Times New Roman" w:hAnsi="Times New Roman"/>
          <w:noProof/>
          <w:sz w:val="24"/>
        </w:rPr>
      </w:pPr>
      <w:r>
        <w:rPr>
          <w:rFonts w:ascii="Times New Roman" w:hAnsi="Times New Roman"/>
          <w:sz w:val="24"/>
        </w:rPr>
        <w:t>56.</w:t>
      </w:r>
      <w:r>
        <w:rPr>
          <w:rFonts w:ascii="Times New Roman" w:hAnsi="Times New Roman"/>
          <w:i/>
          <w:sz w:val="24"/>
        </w:rPr>
        <w:t xml:space="preserve"> </w:t>
      </w:r>
      <w:r>
        <w:rPr>
          <w:rFonts w:ascii="Times New Roman" w:hAnsi="Times New Roman"/>
          <w:i/>
          <w:iCs/>
          <w:sz w:val="24"/>
        </w:rPr>
        <w:t>Informatīvais atbalsts</w:t>
      </w:r>
      <w:r>
        <w:rPr>
          <w:rFonts w:ascii="Times New Roman" w:hAnsi="Times New Roman"/>
          <w:sz w:val="24"/>
        </w:rPr>
        <w:t xml:space="preserve">. Dalībvalstis jāaicina aktīvi un pastāvīgi vākt un izplatīt viegli pieejamu bezmaksas informāciju par vietējām un starptautiskām organizācijām, kas sniedz dažādu veidu atbalstu </w:t>
      </w:r>
      <w:r>
        <w:rPr>
          <w:rFonts w:ascii="Times New Roman" w:hAnsi="Times New Roman"/>
          <w:i/>
          <w:iCs/>
          <w:sz w:val="24"/>
        </w:rPr>
        <w:t>SLAPP</w:t>
      </w:r>
      <w:r>
        <w:rPr>
          <w:rFonts w:ascii="Times New Roman" w:hAnsi="Times New Roman"/>
          <w:sz w:val="24"/>
        </w:rPr>
        <w:t xml:space="preserve"> skartajām personām un cietušajiem.</w:t>
      </w:r>
    </w:p>
    <w:p w14:paraId="2B44F59B" w14:textId="77777777" w:rsidR="001E4371" w:rsidRPr="00381D4B" w:rsidRDefault="001E4371" w:rsidP="00381D4B">
      <w:pPr>
        <w:jc w:val="both"/>
        <w:rPr>
          <w:rFonts w:ascii="Times New Roman" w:hAnsi="Times New Roman"/>
          <w:noProof/>
          <w:sz w:val="24"/>
        </w:rPr>
      </w:pPr>
    </w:p>
    <w:p w14:paraId="0225329F" w14:textId="2CE07EC4" w:rsidR="000303A1" w:rsidRPr="001E4371" w:rsidRDefault="001E4371" w:rsidP="00381D4B">
      <w:pPr>
        <w:jc w:val="both"/>
        <w:rPr>
          <w:rFonts w:ascii="Times New Roman" w:hAnsi="Times New Roman"/>
          <w:b/>
          <w:bCs/>
          <w:noProof/>
          <w:sz w:val="24"/>
        </w:rPr>
      </w:pPr>
      <w:r>
        <w:rPr>
          <w:rFonts w:ascii="Times New Roman" w:hAnsi="Times New Roman"/>
          <w:b/>
          <w:sz w:val="24"/>
        </w:rPr>
        <w:t>IV. Izglītošana, mācības un izpratnes veicināšana</w:t>
      </w:r>
    </w:p>
    <w:p w14:paraId="6813AD0B" w14:textId="77777777" w:rsidR="000303A1" w:rsidRPr="00381D4B" w:rsidRDefault="000303A1" w:rsidP="00381D4B">
      <w:pPr>
        <w:jc w:val="both"/>
        <w:rPr>
          <w:rFonts w:ascii="Times New Roman" w:hAnsi="Times New Roman"/>
          <w:b/>
          <w:noProof/>
          <w:sz w:val="24"/>
        </w:rPr>
      </w:pPr>
    </w:p>
    <w:p w14:paraId="55E26112" w14:textId="010F9E28" w:rsidR="000303A1" w:rsidRPr="00381D4B" w:rsidRDefault="001E4371" w:rsidP="00381D4B">
      <w:pPr>
        <w:jc w:val="both"/>
        <w:rPr>
          <w:rFonts w:ascii="Times New Roman" w:hAnsi="Times New Roman"/>
          <w:noProof/>
          <w:sz w:val="24"/>
        </w:rPr>
      </w:pPr>
      <w:r>
        <w:rPr>
          <w:rFonts w:ascii="Times New Roman" w:hAnsi="Times New Roman"/>
          <w:sz w:val="24"/>
        </w:rPr>
        <w:t xml:space="preserve">57. Dalībvalstīm jāaicina attiecīgās iestādes izglītības un mācību programmās izcelt šo ieteikumu un arī izglītības materiālus par šajā ieteikumā apspriestajiem jautājumiem, tostarp par jautājumiem, kas saistīti ar dzimumu līdztiesību. Šādās programmās jāiekļauj īpaši </w:t>
      </w:r>
      <w:r>
        <w:rPr>
          <w:rFonts w:ascii="Times New Roman" w:hAnsi="Times New Roman"/>
          <w:sz w:val="24"/>
        </w:rPr>
        <w:lastRenderedPageBreak/>
        <w:t>pielāgotas mācības tiesu iestādēm, juristiem un attiecīgajām valsts iestādēm, ņemot vērā vispāratzītu Tiesas praksi, pastāvošos procesuālos instrumentus, materiālo tiesību standartus un profesijas pamatvērtības un tikumiskos principus.</w:t>
      </w:r>
    </w:p>
    <w:p w14:paraId="68B2DF2E" w14:textId="77777777" w:rsidR="000303A1" w:rsidRPr="00381D4B" w:rsidRDefault="000303A1" w:rsidP="00381D4B">
      <w:pPr>
        <w:jc w:val="both"/>
        <w:rPr>
          <w:rFonts w:ascii="Times New Roman" w:hAnsi="Times New Roman"/>
          <w:noProof/>
          <w:sz w:val="24"/>
        </w:rPr>
      </w:pPr>
    </w:p>
    <w:p w14:paraId="3128DA47" w14:textId="79062D20" w:rsidR="000303A1" w:rsidRPr="00381D4B" w:rsidRDefault="001E4371" w:rsidP="00381D4B">
      <w:pPr>
        <w:jc w:val="both"/>
        <w:rPr>
          <w:rFonts w:ascii="Times New Roman" w:hAnsi="Times New Roman"/>
          <w:noProof/>
          <w:sz w:val="24"/>
        </w:rPr>
      </w:pPr>
      <w:r>
        <w:rPr>
          <w:rFonts w:ascii="Times New Roman" w:hAnsi="Times New Roman"/>
          <w:sz w:val="24"/>
        </w:rPr>
        <w:t xml:space="preserve">58. Dalībvalstīm jāaicina nodrošināt izpratnes veicināšanas pasākumus žurnālistiem, citiem mediju darbiniekiem un sabiedrisko interešu publiskajiem uzraugiem par šajā ieteikumā apspriestajiem jautājumiem, vienlaikus nepārkāpjot žurnālistu un mediju redakcionālo brīvību. Šādos pasākumos jāuzsver tas, cik svarīgi ir rīkoties saskaņā ar žurnālistikas, juristu vai citu profesionālo ētiku, kas nodrošina pirmo aizsargvairogu pret </w:t>
      </w:r>
      <w:r>
        <w:rPr>
          <w:rFonts w:ascii="Times New Roman" w:hAnsi="Times New Roman"/>
          <w:i/>
          <w:iCs/>
          <w:sz w:val="24"/>
        </w:rPr>
        <w:t>SLAPP</w:t>
      </w:r>
      <w:r>
        <w:rPr>
          <w:rFonts w:ascii="Times New Roman" w:hAnsi="Times New Roman"/>
          <w:sz w:val="24"/>
        </w:rPr>
        <w:t xml:space="preserve">. Šādos pasākumos arī jāatvieglo piekļuve starptautiskā, reģionālā, valsts un vietējā līmeņa resursiem un mehānismiem, kas paredzēti visu dalībnieku aizsardzībai, kad pret tiem vēršas ar </w:t>
      </w:r>
      <w:r>
        <w:rPr>
          <w:rFonts w:ascii="Times New Roman" w:hAnsi="Times New Roman"/>
          <w:i/>
          <w:iCs/>
          <w:sz w:val="24"/>
        </w:rPr>
        <w:t>SLAPP</w:t>
      </w:r>
      <w:r>
        <w:rPr>
          <w:rFonts w:ascii="Times New Roman" w:hAnsi="Times New Roman"/>
          <w:sz w:val="24"/>
        </w:rPr>
        <w:t>.</w:t>
      </w:r>
    </w:p>
    <w:p w14:paraId="074AA539" w14:textId="77777777" w:rsidR="000303A1" w:rsidRPr="00381D4B" w:rsidRDefault="000303A1" w:rsidP="00381D4B">
      <w:pPr>
        <w:jc w:val="both"/>
        <w:rPr>
          <w:rFonts w:ascii="Times New Roman" w:hAnsi="Times New Roman"/>
          <w:noProof/>
          <w:sz w:val="24"/>
        </w:rPr>
      </w:pPr>
    </w:p>
    <w:p w14:paraId="55B11D80" w14:textId="7750B45D" w:rsidR="000303A1" w:rsidRDefault="001E4371" w:rsidP="00381D4B">
      <w:pPr>
        <w:jc w:val="both"/>
        <w:rPr>
          <w:rFonts w:ascii="Times New Roman" w:hAnsi="Times New Roman"/>
          <w:noProof/>
          <w:sz w:val="24"/>
        </w:rPr>
      </w:pPr>
      <w:r>
        <w:rPr>
          <w:rFonts w:ascii="Times New Roman" w:hAnsi="Times New Roman"/>
          <w:sz w:val="24"/>
        </w:rPr>
        <w:t xml:space="preserve">59. Plašākas izpratnes veicināšanai dalībvalstīm jāizstrādā stratēģijas un pasākumi, piemēram, plašai sabiedrībai paredzētas kampaņas, kurās galvenā uzmanība pievērsta demokrātiskajai un sociālajai vērtībai, kas piemīt sabiedrības līdzdalībai, un bīstamībai un kaitīgajai ietekmei, ko rada </w:t>
      </w:r>
      <w:r>
        <w:rPr>
          <w:rFonts w:ascii="Times New Roman" w:hAnsi="Times New Roman"/>
          <w:i/>
          <w:iCs/>
          <w:sz w:val="24"/>
        </w:rPr>
        <w:t>SLAPP</w:t>
      </w:r>
      <w:r>
        <w:rPr>
          <w:rFonts w:ascii="Times New Roman" w:hAnsi="Times New Roman"/>
          <w:sz w:val="24"/>
        </w:rPr>
        <w:t>, vai jāveicina šādu stratēģiju un pasākumu izstrāde.</w:t>
      </w:r>
    </w:p>
    <w:p w14:paraId="015272B3" w14:textId="77777777" w:rsidR="001E4371" w:rsidRPr="00381D4B" w:rsidRDefault="001E4371" w:rsidP="00381D4B">
      <w:pPr>
        <w:jc w:val="both"/>
        <w:rPr>
          <w:rFonts w:ascii="Times New Roman" w:hAnsi="Times New Roman"/>
          <w:noProof/>
          <w:sz w:val="24"/>
        </w:rPr>
      </w:pPr>
    </w:p>
    <w:p w14:paraId="06C58E45" w14:textId="491D1C59" w:rsidR="000303A1" w:rsidRPr="001E4371" w:rsidRDefault="001E4371" w:rsidP="00381D4B">
      <w:pPr>
        <w:jc w:val="both"/>
        <w:rPr>
          <w:rFonts w:ascii="Times New Roman" w:hAnsi="Times New Roman"/>
          <w:b/>
          <w:bCs/>
          <w:noProof/>
          <w:sz w:val="24"/>
        </w:rPr>
      </w:pPr>
      <w:r>
        <w:rPr>
          <w:rFonts w:ascii="Times New Roman" w:hAnsi="Times New Roman"/>
          <w:b/>
          <w:sz w:val="24"/>
        </w:rPr>
        <w:t>V. Koordinācija valsts līmenī un starptautiskā sadarbība</w:t>
      </w:r>
    </w:p>
    <w:p w14:paraId="63EFAD94" w14:textId="77777777" w:rsidR="000303A1" w:rsidRPr="00381D4B" w:rsidRDefault="000303A1" w:rsidP="00381D4B">
      <w:pPr>
        <w:jc w:val="both"/>
        <w:rPr>
          <w:rFonts w:ascii="Times New Roman" w:hAnsi="Times New Roman"/>
          <w:b/>
          <w:noProof/>
          <w:sz w:val="24"/>
        </w:rPr>
      </w:pPr>
    </w:p>
    <w:p w14:paraId="7CE2EFA9" w14:textId="0D41117F" w:rsidR="000303A1" w:rsidRPr="00381D4B" w:rsidRDefault="001E4371" w:rsidP="00381D4B">
      <w:pPr>
        <w:jc w:val="both"/>
        <w:rPr>
          <w:rFonts w:ascii="Times New Roman" w:hAnsi="Times New Roman"/>
          <w:noProof/>
          <w:sz w:val="24"/>
        </w:rPr>
      </w:pPr>
      <w:r>
        <w:rPr>
          <w:rFonts w:ascii="Times New Roman" w:hAnsi="Times New Roman"/>
          <w:sz w:val="24"/>
        </w:rPr>
        <w:t>60. Dalībvalstīm jāveicina šā ieteikuma mērķu sasniegšana valsts līmenī, tostarp valsts, reģionālajās un mazākumtautību valodās, un jāiesaistās un jāsadarbojas ar visām ieinteresētajām personām, lai panāktu iespējami plašāku ieteikuma satura izplatīšanu dažādos publicitātes materiālos.</w:t>
      </w:r>
    </w:p>
    <w:p w14:paraId="4A55F49F" w14:textId="77777777" w:rsidR="001E4371" w:rsidRDefault="001E4371" w:rsidP="00381D4B">
      <w:pPr>
        <w:jc w:val="both"/>
        <w:rPr>
          <w:rFonts w:ascii="Times New Roman" w:hAnsi="Times New Roman"/>
          <w:noProof/>
          <w:sz w:val="24"/>
        </w:rPr>
      </w:pPr>
    </w:p>
    <w:p w14:paraId="291131FD" w14:textId="19E05AC3" w:rsidR="000303A1" w:rsidRPr="00381D4B" w:rsidRDefault="001E4371" w:rsidP="00381D4B">
      <w:pPr>
        <w:jc w:val="both"/>
        <w:rPr>
          <w:rFonts w:ascii="Times New Roman" w:hAnsi="Times New Roman"/>
          <w:noProof/>
          <w:sz w:val="24"/>
        </w:rPr>
      </w:pPr>
      <w:r>
        <w:rPr>
          <w:rFonts w:ascii="Times New Roman" w:hAnsi="Times New Roman"/>
          <w:sz w:val="24"/>
        </w:rPr>
        <w:t xml:space="preserve">61. Dalībvalstīm konstruktīvi un iekļaujoši jākoordinē savi ieviešanas pasākumi, tostarp ar pastāvošu vai šim mērķim radītu valsts kontaktpunktu starpniecību, ar kompetentajām valsts iestādēm un ar plašu dalībnieku loku, tostarp ar </w:t>
      </w:r>
      <w:r>
        <w:rPr>
          <w:rFonts w:ascii="Times New Roman" w:hAnsi="Times New Roman"/>
          <w:i/>
          <w:iCs/>
          <w:sz w:val="24"/>
        </w:rPr>
        <w:t>SLAPP</w:t>
      </w:r>
      <w:r>
        <w:rPr>
          <w:rFonts w:ascii="Times New Roman" w:hAnsi="Times New Roman"/>
          <w:sz w:val="24"/>
        </w:rPr>
        <w:t xml:space="preserve"> skartajām personām un cietušajiem.</w:t>
      </w:r>
    </w:p>
    <w:p w14:paraId="4FC5AF20" w14:textId="77777777" w:rsidR="001E4371" w:rsidRDefault="001E4371" w:rsidP="00381D4B">
      <w:pPr>
        <w:jc w:val="both"/>
        <w:rPr>
          <w:rFonts w:ascii="Times New Roman" w:hAnsi="Times New Roman"/>
          <w:noProof/>
          <w:sz w:val="24"/>
        </w:rPr>
      </w:pPr>
    </w:p>
    <w:p w14:paraId="13B779AD" w14:textId="369EDE2F" w:rsidR="000303A1" w:rsidRPr="00381D4B" w:rsidRDefault="001E4371" w:rsidP="00381D4B">
      <w:pPr>
        <w:jc w:val="both"/>
        <w:rPr>
          <w:rFonts w:ascii="Times New Roman" w:hAnsi="Times New Roman"/>
          <w:noProof/>
          <w:sz w:val="24"/>
        </w:rPr>
      </w:pPr>
      <w:r>
        <w:rPr>
          <w:rFonts w:ascii="Times New Roman" w:hAnsi="Times New Roman"/>
          <w:sz w:val="24"/>
        </w:rPr>
        <w:t xml:space="preserve">62. Lai sasniegtu šā ieteikuma mērķus un arī turpmāk sekmētu attiecīgu papildinošu standartu un mehānismu izstrādi attiecībā uz </w:t>
      </w:r>
      <w:r>
        <w:rPr>
          <w:rFonts w:ascii="Times New Roman" w:hAnsi="Times New Roman"/>
          <w:i/>
          <w:iCs/>
          <w:sz w:val="24"/>
        </w:rPr>
        <w:t>SLAPP</w:t>
      </w:r>
      <w:r>
        <w:rPr>
          <w:rFonts w:ascii="Times New Roman" w:hAnsi="Times New Roman"/>
          <w:sz w:val="24"/>
        </w:rPr>
        <w:t>, dalībvalstīm jāuzlabo sadarbība un informācijas, speciālo zināšanu un paraugprakses apmaiņa ar citām valstīm un attiecīgajos Eiropas un starptautiskajos forumos.</w:t>
      </w:r>
    </w:p>
    <w:sectPr w:rsidR="000303A1" w:rsidRPr="00381D4B" w:rsidSect="00381D4B">
      <w:headerReference w:type="even" r:id="rId25"/>
      <w:headerReference w:type="default" r:id="rId26"/>
      <w:footerReference w:type="default" r:id="rId27"/>
      <w:headerReference w:type="first" r:id="rId28"/>
      <w:footerReference w:type="first" r:id="rId2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EE72" w14:textId="77777777" w:rsidR="00A40A02" w:rsidRPr="000303A1" w:rsidRDefault="00A40A02">
      <w:pPr>
        <w:rPr>
          <w:noProof/>
        </w:rPr>
      </w:pPr>
      <w:r w:rsidRPr="000303A1">
        <w:rPr>
          <w:noProof/>
        </w:rPr>
        <w:separator/>
      </w:r>
    </w:p>
  </w:endnote>
  <w:endnote w:type="continuationSeparator" w:id="0">
    <w:p w14:paraId="5654286E" w14:textId="77777777" w:rsidR="00A40A02" w:rsidRPr="000303A1" w:rsidRDefault="00A40A02">
      <w:pPr>
        <w:rPr>
          <w:noProof/>
        </w:rPr>
      </w:pPr>
      <w:r w:rsidRPr="000303A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9BD8" w14:textId="77777777" w:rsidR="009E7BEC" w:rsidRPr="009C04EC" w:rsidRDefault="009E7BEC" w:rsidP="009E7BEC">
    <w:pPr>
      <w:pStyle w:val="Header"/>
      <w:tabs>
        <w:tab w:val="left" w:pos="9072"/>
      </w:tabs>
      <w:rPr>
        <w:rStyle w:val="PageNumber"/>
        <w:rFonts w:ascii="Times New Roman" w:hAnsi="Times New Roman" w:cs="Times New Roman"/>
        <w:noProof/>
        <w:sz w:val="20"/>
        <w:szCs w:val="20"/>
        <w:u w:val="single"/>
        <w:lang w:val="en-US"/>
      </w:rPr>
    </w:pPr>
  </w:p>
  <w:p w14:paraId="52E058DA" w14:textId="77777777" w:rsidR="009E7BEC" w:rsidRPr="009C04EC" w:rsidRDefault="009E7BEC" w:rsidP="009E7BEC">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3BD838F" w14:textId="77777777" w:rsidR="009E7BEC" w:rsidRPr="009C04EC" w:rsidRDefault="009E7BEC" w:rsidP="009E7BEC">
    <w:pPr>
      <w:pStyle w:val="Header"/>
      <w:tabs>
        <w:tab w:val="right" w:pos="9072"/>
      </w:tabs>
      <w:rPr>
        <w:rStyle w:val="PageNumber"/>
        <w:rFonts w:ascii="Times New Roman" w:hAnsi="Times New Roman" w:cs="Times New Roman"/>
        <w:noProof/>
        <w:sz w:val="20"/>
        <w:szCs w:val="20"/>
        <w:u w:val="single"/>
        <w:lang w:val="en-US"/>
      </w:rPr>
    </w:pPr>
  </w:p>
  <w:p w14:paraId="64C1C4FC" w14:textId="4470F7AE" w:rsidR="00C11255" w:rsidRPr="009E7BEC" w:rsidRDefault="009E7BEC" w:rsidP="009E7BEC">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E306" w14:textId="77777777" w:rsidR="00774C6E" w:rsidRPr="009C04EC" w:rsidRDefault="00774C6E" w:rsidP="00774C6E">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0213A8A" w14:textId="77777777" w:rsidR="00774C6E" w:rsidRPr="009C04EC" w:rsidRDefault="00774C6E" w:rsidP="00774C6E">
    <w:pPr>
      <w:pStyle w:val="Header"/>
      <w:tabs>
        <w:tab w:val="left" w:pos="9072"/>
      </w:tabs>
      <w:rPr>
        <w:rStyle w:val="PageNumber"/>
        <w:rFonts w:ascii="Times New Roman" w:hAnsi="Times New Roman" w:cs="Times New Roman"/>
        <w:noProof/>
        <w:sz w:val="20"/>
        <w:szCs w:val="20"/>
        <w:u w:val="single"/>
        <w:lang w:val="en-US"/>
      </w:rPr>
    </w:pPr>
  </w:p>
  <w:p w14:paraId="35114D27" w14:textId="03A5DF13" w:rsidR="00C11255" w:rsidRPr="00774C6E" w:rsidRDefault="00774C6E">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0239" w14:textId="77777777" w:rsidR="00A40A02" w:rsidRPr="000303A1" w:rsidRDefault="00A40A02">
      <w:pPr>
        <w:rPr>
          <w:noProof/>
        </w:rPr>
      </w:pPr>
      <w:r w:rsidRPr="000303A1">
        <w:rPr>
          <w:noProof/>
        </w:rPr>
        <w:separator/>
      </w:r>
    </w:p>
  </w:footnote>
  <w:footnote w:type="continuationSeparator" w:id="0">
    <w:p w14:paraId="7E90E854" w14:textId="77777777" w:rsidR="00A40A02" w:rsidRPr="000303A1" w:rsidRDefault="00A40A02">
      <w:pPr>
        <w:rPr>
          <w:noProof/>
        </w:rPr>
      </w:pPr>
      <w:r w:rsidRPr="000303A1">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E49D" w14:textId="2487188E" w:rsidR="00433557" w:rsidRPr="000303A1" w:rsidRDefault="00433557">
    <w:pPr>
      <w:pStyle w:val="BodyText"/>
      <w:spacing w:line="14" w:lineRule="aut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6558" w14:textId="77777777" w:rsidR="008A34A8" w:rsidRPr="009C04EC" w:rsidRDefault="008A34A8" w:rsidP="008A34A8">
    <w:pPr>
      <w:pStyle w:val="Header"/>
      <w:rPr>
        <w:rStyle w:val="PageNumber"/>
        <w:noProof/>
        <w:sz w:val="18"/>
        <w:szCs w:val="18"/>
        <w:u w:val="single"/>
        <w:lang w:val="en-US"/>
      </w:rPr>
    </w:pPr>
  </w:p>
  <w:p w14:paraId="433DC9A5" w14:textId="77777777" w:rsidR="008A34A8" w:rsidRPr="009C04EC" w:rsidRDefault="008A34A8" w:rsidP="008A34A8">
    <w:pPr>
      <w:pStyle w:val="Header"/>
      <w:tabs>
        <w:tab w:val="clear" w:pos="4513"/>
        <w:tab w:val="center" w:pos="9072"/>
      </w:tabs>
      <w:rPr>
        <w:noProof/>
        <w:sz w:val="18"/>
        <w:szCs w:val="18"/>
        <w:u w:val="single"/>
        <w:lang w:val="en-US"/>
      </w:rPr>
    </w:pPr>
    <w:r w:rsidRPr="009C04EC">
      <w:rPr>
        <w:noProof/>
        <w:sz w:val="18"/>
        <w:szCs w:val="18"/>
        <w:u w:val="single"/>
        <w:lang w:val="en-US"/>
      </w:rPr>
      <w:tab/>
    </w:r>
  </w:p>
  <w:p w14:paraId="40A1E49E" w14:textId="7B04EF98" w:rsidR="00433557" w:rsidRPr="008A34A8" w:rsidRDefault="00433557" w:rsidP="008A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B437" w14:textId="77777777" w:rsidR="00C11255" w:rsidRPr="009E6E4B" w:rsidRDefault="00C11255" w:rsidP="00C11255">
    <w:pPr>
      <w:pStyle w:val="Header"/>
      <w:pBdr>
        <w:bottom w:val="single" w:sz="12" w:space="1" w:color="auto"/>
      </w:pBdr>
      <w:rPr>
        <w:rFonts w:ascii="Times New Roman" w:hAnsi="Times New Roman" w:cs="Times New Roman"/>
        <w:noProof/>
        <w:sz w:val="18"/>
        <w:szCs w:val="18"/>
        <w:lang w:val="en-US"/>
      </w:rPr>
    </w:pPr>
  </w:p>
  <w:p w14:paraId="6791FE64" w14:textId="77777777" w:rsidR="00C11255" w:rsidRDefault="00C1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14E"/>
    <w:multiLevelType w:val="hybridMultilevel"/>
    <w:tmpl w:val="80722212"/>
    <w:lvl w:ilvl="0" w:tplc="5E0A1C8C">
      <w:start w:val="1"/>
      <w:numFmt w:val="lowerRoman"/>
      <w:lvlText w:val="%1."/>
      <w:lvlJc w:val="left"/>
      <w:pPr>
        <w:ind w:left="994" w:hanging="296"/>
        <w:jc w:val="right"/>
      </w:pPr>
      <w:rPr>
        <w:rFonts w:ascii="Arial" w:eastAsia="Arial" w:hAnsi="Arial" w:cs="Arial" w:hint="default"/>
        <w:b w:val="0"/>
        <w:bCs w:val="0"/>
        <w:i/>
        <w:iCs/>
        <w:spacing w:val="-2"/>
        <w:w w:val="99"/>
        <w:sz w:val="20"/>
        <w:szCs w:val="20"/>
        <w:lang w:val="en-US" w:eastAsia="en-US" w:bidi="ar-SA"/>
      </w:rPr>
    </w:lvl>
    <w:lvl w:ilvl="1" w:tplc="809206BC">
      <w:numFmt w:val="bullet"/>
      <w:lvlText w:val="•"/>
      <w:lvlJc w:val="left"/>
      <w:pPr>
        <w:ind w:left="1900" w:hanging="296"/>
      </w:pPr>
      <w:rPr>
        <w:rFonts w:hint="default"/>
        <w:lang w:val="en-US" w:eastAsia="en-US" w:bidi="ar-SA"/>
      </w:rPr>
    </w:lvl>
    <w:lvl w:ilvl="2" w:tplc="9B32768E">
      <w:numFmt w:val="bullet"/>
      <w:lvlText w:val="•"/>
      <w:lvlJc w:val="left"/>
      <w:pPr>
        <w:ind w:left="2801" w:hanging="296"/>
      </w:pPr>
      <w:rPr>
        <w:rFonts w:hint="default"/>
        <w:lang w:val="en-US" w:eastAsia="en-US" w:bidi="ar-SA"/>
      </w:rPr>
    </w:lvl>
    <w:lvl w:ilvl="3" w:tplc="8752E0AE">
      <w:numFmt w:val="bullet"/>
      <w:lvlText w:val="•"/>
      <w:lvlJc w:val="left"/>
      <w:pPr>
        <w:ind w:left="3701" w:hanging="296"/>
      </w:pPr>
      <w:rPr>
        <w:rFonts w:hint="default"/>
        <w:lang w:val="en-US" w:eastAsia="en-US" w:bidi="ar-SA"/>
      </w:rPr>
    </w:lvl>
    <w:lvl w:ilvl="4" w:tplc="25E88A7C">
      <w:numFmt w:val="bullet"/>
      <w:lvlText w:val="•"/>
      <w:lvlJc w:val="left"/>
      <w:pPr>
        <w:ind w:left="4602" w:hanging="296"/>
      </w:pPr>
      <w:rPr>
        <w:rFonts w:hint="default"/>
        <w:lang w:val="en-US" w:eastAsia="en-US" w:bidi="ar-SA"/>
      </w:rPr>
    </w:lvl>
    <w:lvl w:ilvl="5" w:tplc="42AC436C">
      <w:numFmt w:val="bullet"/>
      <w:lvlText w:val="•"/>
      <w:lvlJc w:val="left"/>
      <w:pPr>
        <w:ind w:left="5503" w:hanging="296"/>
      </w:pPr>
      <w:rPr>
        <w:rFonts w:hint="default"/>
        <w:lang w:val="en-US" w:eastAsia="en-US" w:bidi="ar-SA"/>
      </w:rPr>
    </w:lvl>
    <w:lvl w:ilvl="6" w:tplc="E5A6CF26">
      <w:numFmt w:val="bullet"/>
      <w:lvlText w:val="•"/>
      <w:lvlJc w:val="left"/>
      <w:pPr>
        <w:ind w:left="6403" w:hanging="296"/>
      </w:pPr>
      <w:rPr>
        <w:rFonts w:hint="default"/>
        <w:lang w:val="en-US" w:eastAsia="en-US" w:bidi="ar-SA"/>
      </w:rPr>
    </w:lvl>
    <w:lvl w:ilvl="7" w:tplc="84147C1C">
      <w:numFmt w:val="bullet"/>
      <w:lvlText w:val="•"/>
      <w:lvlJc w:val="left"/>
      <w:pPr>
        <w:ind w:left="7304" w:hanging="296"/>
      </w:pPr>
      <w:rPr>
        <w:rFonts w:hint="default"/>
        <w:lang w:val="en-US" w:eastAsia="en-US" w:bidi="ar-SA"/>
      </w:rPr>
    </w:lvl>
    <w:lvl w:ilvl="8" w:tplc="B9823F9E">
      <w:numFmt w:val="bullet"/>
      <w:lvlText w:val="•"/>
      <w:lvlJc w:val="left"/>
      <w:pPr>
        <w:ind w:left="8205" w:hanging="296"/>
      </w:pPr>
      <w:rPr>
        <w:rFonts w:hint="default"/>
        <w:lang w:val="en-US" w:eastAsia="en-US" w:bidi="ar-SA"/>
      </w:rPr>
    </w:lvl>
  </w:abstractNum>
  <w:abstractNum w:abstractNumId="1" w15:restartNumberingAfterBreak="0">
    <w:nsid w:val="1DA87A16"/>
    <w:multiLevelType w:val="hybridMultilevel"/>
    <w:tmpl w:val="D5CECA12"/>
    <w:lvl w:ilvl="0" w:tplc="A9E2D754">
      <w:start w:val="1"/>
      <w:numFmt w:val="lowerLetter"/>
      <w:lvlText w:val="%1."/>
      <w:lvlJc w:val="left"/>
      <w:pPr>
        <w:ind w:left="950" w:hanging="360"/>
        <w:jc w:val="left"/>
      </w:pPr>
      <w:rPr>
        <w:rFonts w:ascii="Arial" w:eastAsia="Arial" w:hAnsi="Arial" w:cs="Arial" w:hint="default"/>
        <w:b w:val="0"/>
        <w:bCs w:val="0"/>
        <w:i w:val="0"/>
        <w:iCs w:val="0"/>
        <w:spacing w:val="-1"/>
        <w:w w:val="99"/>
        <w:sz w:val="20"/>
        <w:szCs w:val="20"/>
        <w:lang w:val="en-US" w:eastAsia="en-US" w:bidi="ar-SA"/>
      </w:rPr>
    </w:lvl>
    <w:lvl w:ilvl="1" w:tplc="51FC911A">
      <w:numFmt w:val="bullet"/>
      <w:lvlText w:val="•"/>
      <w:lvlJc w:val="left"/>
      <w:pPr>
        <w:ind w:left="1864" w:hanging="360"/>
      </w:pPr>
      <w:rPr>
        <w:rFonts w:hint="default"/>
        <w:lang w:val="en-US" w:eastAsia="en-US" w:bidi="ar-SA"/>
      </w:rPr>
    </w:lvl>
    <w:lvl w:ilvl="2" w:tplc="3A3A327A">
      <w:numFmt w:val="bullet"/>
      <w:lvlText w:val="•"/>
      <w:lvlJc w:val="left"/>
      <w:pPr>
        <w:ind w:left="2769" w:hanging="360"/>
      </w:pPr>
      <w:rPr>
        <w:rFonts w:hint="default"/>
        <w:lang w:val="en-US" w:eastAsia="en-US" w:bidi="ar-SA"/>
      </w:rPr>
    </w:lvl>
    <w:lvl w:ilvl="3" w:tplc="E140099A">
      <w:numFmt w:val="bullet"/>
      <w:lvlText w:val="•"/>
      <w:lvlJc w:val="left"/>
      <w:pPr>
        <w:ind w:left="3673" w:hanging="360"/>
      </w:pPr>
      <w:rPr>
        <w:rFonts w:hint="default"/>
        <w:lang w:val="en-US" w:eastAsia="en-US" w:bidi="ar-SA"/>
      </w:rPr>
    </w:lvl>
    <w:lvl w:ilvl="4" w:tplc="DAA20742">
      <w:numFmt w:val="bullet"/>
      <w:lvlText w:val="•"/>
      <w:lvlJc w:val="left"/>
      <w:pPr>
        <w:ind w:left="4578" w:hanging="360"/>
      </w:pPr>
      <w:rPr>
        <w:rFonts w:hint="default"/>
        <w:lang w:val="en-US" w:eastAsia="en-US" w:bidi="ar-SA"/>
      </w:rPr>
    </w:lvl>
    <w:lvl w:ilvl="5" w:tplc="C1963AA4">
      <w:numFmt w:val="bullet"/>
      <w:lvlText w:val="•"/>
      <w:lvlJc w:val="left"/>
      <w:pPr>
        <w:ind w:left="5483" w:hanging="360"/>
      </w:pPr>
      <w:rPr>
        <w:rFonts w:hint="default"/>
        <w:lang w:val="en-US" w:eastAsia="en-US" w:bidi="ar-SA"/>
      </w:rPr>
    </w:lvl>
    <w:lvl w:ilvl="6" w:tplc="0242F4DC">
      <w:numFmt w:val="bullet"/>
      <w:lvlText w:val="•"/>
      <w:lvlJc w:val="left"/>
      <w:pPr>
        <w:ind w:left="6387" w:hanging="360"/>
      </w:pPr>
      <w:rPr>
        <w:rFonts w:hint="default"/>
        <w:lang w:val="en-US" w:eastAsia="en-US" w:bidi="ar-SA"/>
      </w:rPr>
    </w:lvl>
    <w:lvl w:ilvl="7" w:tplc="2B0EFE30">
      <w:numFmt w:val="bullet"/>
      <w:lvlText w:val="•"/>
      <w:lvlJc w:val="left"/>
      <w:pPr>
        <w:ind w:left="7292" w:hanging="360"/>
      </w:pPr>
      <w:rPr>
        <w:rFonts w:hint="default"/>
        <w:lang w:val="en-US" w:eastAsia="en-US" w:bidi="ar-SA"/>
      </w:rPr>
    </w:lvl>
    <w:lvl w:ilvl="8" w:tplc="3BE40F00">
      <w:numFmt w:val="bullet"/>
      <w:lvlText w:val="•"/>
      <w:lvlJc w:val="left"/>
      <w:pPr>
        <w:ind w:left="8197" w:hanging="360"/>
      </w:pPr>
      <w:rPr>
        <w:rFonts w:hint="default"/>
        <w:lang w:val="en-US" w:eastAsia="en-US" w:bidi="ar-SA"/>
      </w:rPr>
    </w:lvl>
  </w:abstractNum>
  <w:abstractNum w:abstractNumId="2" w15:restartNumberingAfterBreak="0">
    <w:nsid w:val="3AA21820"/>
    <w:multiLevelType w:val="hybridMultilevel"/>
    <w:tmpl w:val="5022A452"/>
    <w:lvl w:ilvl="0" w:tplc="4D4EFBD4">
      <w:start w:val="1"/>
      <w:numFmt w:val="lowerLetter"/>
      <w:lvlText w:val="%1."/>
      <w:lvlJc w:val="left"/>
      <w:pPr>
        <w:ind w:left="838" w:hanging="360"/>
        <w:jc w:val="left"/>
      </w:pPr>
      <w:rPr>
        <w:rFonts w:ascii="Arial" w:eastAsia="Arial" w:hAnsi="Arial" w:cs="Arial" w:hint="default"/>
        <w:b w:val="0"/>
        <w:bCs w:val="0"/>
        <w:i w:val="0"/>
        <w:iCs w:val="0"/>
        <w:spacing w:val="-1"/>
        <w:w w:val="99"/>
        <w:sz w:val="20"/>
        <w:szCs w:val="20"/>
        <w:lang w:val="en-US" w:eastAsia="en-US" w:bidi="ar-SA"/>
      </w:rPr>
    </w:lvl>
    <w:lvl w:ilvl="1" w:tplc="9454F6C2">
      <w:numFmt w:val="bullet"/>
      <w:lvlText w:val="•"/>
      <w:lvlJc w:val="left"/>
      <w:pPr>
        <w:ind w:left="1756" w:hanging="360"/>
      </w:pPr>
      <w:rPr>
        <w:rFonts w:hint="default"/>
        <w:lang w:val="en-US" w:eastAsia="en-US" w:bidi="ar-SA"/>
      </w:rPr>
    </w:lvl>
    <w:lvl w:ilvl="2" w:tplc="3908504C">
      <w:numFmt w:val="bullet"/>
      <w:lvlText w:val="•"/>
      <w:lvlJc w:val="left"/>
      <w:pPr>
        <w:ind w:left="2673" w:hanging="360"/>
      </w:pPr>
      <w:rPr>
        <w:rFonts w:hint="default"/>
        <w:lang w:val="en-US" w:eastAsia="en-US" w:bidi="ar-SA"/>
      </w:rPr>
    </w:lvl>
    <w:lvl w:ilvl="3" w:tplc="D7A8BF22">
      <w:numFmt w:val="bullet"/>
      <w:lvlText w:val="•"/>
      <w:lvlJc w:val="left"/>
      <w:pPr>
        <w:ind w:left="3589" w:hanging="360"/>
      </w:pPr>
      <w:rPr>
        <w:rFonts w:hint="default"/>
        <w:lang w:val="en-US" w:eastAsia="en-US" w:bidi="ar-SA"/>
      </w:rPr>
    </w:lvl>
    <w:lvl w:ilvl="4" w:tplc="33A6CF84">
      <w:numFmt w:val="bullet"/>
      <w:lvlText w:val="•"/>
      <w:lvlJc w:val="left"/>
      <w:pPr>
        <w:ind w:left="4506" w:hanging="360"/>
      </w:pPr>
      <w:rPr>
        <w:rFonts w:hint="default"/>
        <w:lang w:val="en-US" w:eastAsia="en-US" w:bidi="ar-SA"/>
      </w:rPr>
    </w:lvl>
    <w:lvl w:ilvl="5" w:tplc="A5F05D8A">
      <w:numFmt w:val="bullet"/>
      <w:lvlText w:val="•"/>
      <w:lvlJc w:val="left"/>
      <w:pPr>
        <w:ind w:left="5423" w:hanging="360"/>
      </w:pPr>
      <w:rPr>
        <w:rFonts w:hint="default"/>
        <w:lang w:val="en-US" w:eastAsia="en-US" w:bidi="ar-SA"/>
      </w:rPr>
    </w:lvl>
    <w:lvl w:ilvl="6" w:tplc="FFA0314E">
      <w:numFmt w:val="bullet"/>
      <w:lvlText w:val="•"/>
      <w:lvlJc w:val="left"/>
      <w:pPr>
        <w:ind w:left="6339" w:hanging="360"/>
      </w:pPr>
      <w:rPr>
        <w:rFonts w:hint="default"/>
        <w:lang w:val="en-US" w:eastAsia="en-US" w:bidi="ar-SA"/>
      </w:rPr>
    </w:lvl>
    <w:lvl w:ilvl="7" w:tplc="D21C1AC6">
      <w:numFmt w:val="bullet"/>
      <w:lvlText w:val="•"/>
      <w:lvlJc w:val="left"/>
      <w:pPr>
        <w:ind w:left="7256" w:hanging="360"/>
      </w:pPr>
      <w:rPr>
        <w:rFonts w:hint="default"/>
        <w:lang w:val="en-US" w:eastAsia="en-US" w:bidi="ar-SA"/>
      </w:rPr>
    </w:lvl>
    <w:lvl w:ilvl="8" w:tplc="A1142C70">
      <w:numFmt w:val="bullet"/>
      <w:lvlText w:val="•"/>
      <w:lvlJc w:val="left"/>
      <w:pPr>
        <w:ind w:left="8173" w:hanging="360"/>
      </w:pPr>
      <w:rPr>
        <w:rFonts w:hint="default"/>
        <w:lang w:val="en-US" w:eastAsia="en-US" w:bidi="ar-SA"/>
      </w:rPr>
    </w:lvl>
  </w:abstractNum>
  <w:abstractNum w:abstractNumId="3" w15:restartNumberingAfterBreak="0">
    <w:nsid w:val="638C3971"/>
    <w:multiLevelType w:val="hybridMultilevel"/>
    <w:tmpl w:val="C2D632CA"/>
    <w:lvl w:ilvl="0" w:tplc="D1D6A04E">
      <w:start w:val="20"/>
      <w:numFmt w:val="decimal"/>
      <w:lvlText w:val="%1."/>
      <w:lvlJc w:val="left"/>
      <w:pPr>
        <w:ind w:left="117" w:hanging="332"/>
        <w:jc w:val="right"/>
      </w:pPr>
      <w:rPr>
        <w:rFonts w:ascii="Arial" w:eastAsia="Arial" w:hAnsi="Arial" w:cs="Arial" w:hint="default"/>
        <w:b w:val="0"/>
        <w:bCs w:val="0"/>
        <w:i w:val="0"/>
        <w:iCs w:val="0"/>
        <w:spacing w:val="-1"/>
        <w:w w:val="99"/>
        <w:sz w:val="20"/>
        <w:szCs w:val="20"/>
        <w:lang w:val="en-US" w:eastAsia="en-US" w:bidi="ar-SA"/>
      </w:rPr>
    </w:lvl>
    <w:lvl w:ilvl="1" w:tplc="47444BCE">
      <w:start w:val="1"/>
      <w:numFmt w:val="upperLetter"/>
      <w:lvlText w:val="%2."/>
      <w:lvlJc w:val="left"/>
      <w:pPr>
        <w:ind w:left="478" w:hanging="361"/>
        <w:jc w:val="left"/>
      </w:pPr>
      <w:rPr>
        <w:rFonts w:ascii="Arial" w:eastAsia="Arial" w:hAnsi="Arial" w:cs="Arial" w:hint="default"/>
        <w:b/>
        <w:bCs/>
        <w:i w:val="0"/>
        <w:iCs w:val="0"/>
        <w:spacing w:val="-5"/>
        <w:w w:val="99"/>
        <w:sz w:val="20"/>
        <w:szCs w:val="20"/>
        <w:lang w:val="en-US" w:eastAsia="en-US" w:bidi="ar-SA"/>
      </w:rPr>
    </w:lvl>
    <w:lvl w:ilvl="2" w:tplc="817C195E">
      <w:numFmt w:val="bullet"/>
      <w:lvlText w:val="•"/>
      <w:lvlJc w:val="left"/>
      <w:pPr>
        <w:ind w:left="1538" w:hanging="361"/>
      </w:pPr>
      <w:rPr>
        <w:rFonts w:hint="default"/>
        <w:lang w:val="en-US" w:eastAsia="en-US" w:bidi="ar-SA"/>
      </w:rPr>
    </w:lvl>
    <w:lvl w:ilvl="3" w:tplc="6BDA0D08">
      <w:numFmt w:val="bullet"/>
      <w:lvlText w:val="•"/>
      <w:lvlJc w:val="left"/>
      <w:pPr>
        <w:ind w:left="2596" w:hanging="361"/>
      </w:pPr>
      <w:rPr>
        <w:rFonts w:hint="default"/>
        <w:lang w:val="en-US" w:eastAsia="en-US" w:bidi="ar-SA"/>
      </w:rPr>
    </w:lvl>
    <w:lvl w:ilvl="4" w:tplc="289C310E">
      <w:numFmt w:val="bullet"/>
      <w:lvlText w:val="•"/>
      <w:lvlJc w:val="left"/>
      <w:pPr>
        <w:ind w:left="3655" w:hanging="361"/>
      </w:pPr>
      <w:rPr>
        <w:rFonts w:hint="default"/>
        <w:lang w:val="en-US" w:eastAsia="en-US" w:bidi="ar-SA"/>
      </w:rPr>
    </w:lvl>
    <w:lvl w:ilvl="5" w:tplc="5E345116">
      <w:numFmt w:val="bullet"/>
      <w:lvlText w:val="•"/>
      <w:lvlJc w:val="left"/>
      <w:pPr>
        <w:ind w:left="4713" w:hanging="361"/>
      </w:pPr>
      <w:rPr>
        <w:rFonts w:hint="default"/>
        <w:lang w:val="en-US" w:eastAsia="en-US" w:bidi="ar-SA"/>
      </w:rPr>
    </w:lvl>
    <w:lvl w:ilvl="6" w:tplc="32A414B6">
      <w:numFmt w:val="bullet"/>
      <w:lvlText w:val="•"/>
      <w:lvlJc w:val="left"/>
      <w:pPr>
        <w:ind w:left="5772" w:hanging="361"/>
      </w:pPr>
      <w:rPr>
        <w:rFonts w:hint="default"/>
        <w:lang w:val="en-US" w:eastAsia="en-US" w:bidi="ar-SA"/>
      </w:rPr>
    </w:lvl>
    <w:lvl w:ilvl="7" w:tplc="E9969C7A">
      <w:numFmt w:val="bullet"/>
      <w:lvlText w:val="•"/>
      <w:lvlJc w:val="left"/>
      <w:pPr>
        <w:ind w:left="6830" w:hanging="361"/>
      </w:pPr>
      <w:rPr>
        <w:rFonts w:hint="default"/>
        <w:lang w:val="en-US" w:eastAsia="en-US" w:bidi="ar-SA"/>
      </w:rPr>
    </w:lvl>
    <w:lvl w:ilvl="8" w:tplc="8A2AF05C">
      <w:numFmt w:val="bullet"/>
      <w:lvlText w:val="•"/>
      <w:lvlJc w:val="left"/>
      <w:pPr>
        <w:ind w:left="7889" w:hanging="361"/>
      </w:pPr>
      <w:rPr>
        <w:rFonts w:hint="default"/>
        <w:lang w:val="en-US" w:eastAsia="en-US" w:bidi="ar-SA"/>
      </w:rPr>
    </w:lvl>
  </w:abstractNum>
  <w:abstractNum w:abstractNumId="4" w15:restartNumberingAfterBreak="0">
    <w:nsid w:val="7DB00D53"/>
    <w:multiLevelType w:val="hybridMultilevel"/>
    <w:tmpl w:val="BD365238"/>
    <w:lvl w:ilvl="0" w:tplc="C8560520">
      <w:start w:val="1"/>
      <w:numFmt w:val="lowerRoman"/>
      <w:lvlText w:val="%1."/>
      <w:lvlJc w:val="left"/>
      <w:pPr>
        <w:ind w:left="838" w:hanging="721"/>
        <w:jc w:val="left"/>
      </w:pPr>
      <w:rPr>
        <w:rFonts w:ascii="Arial" w:eastAsia="Arial" w:hAnsi="Arial" w:cs="Arial" w:hint="default"/>
        <w:b w:val="0"/>
        <w:bCs w:val="0"/>
        <w:i w:val="0"/>
        <w:iCs w:val="0"/>
        <w:spacing w:val="-2"/>
        <w:w w:val="99"/>
        <w:sz w:val="20"/>
        <w:szCs w:val="20"/>
        <w:lang w:val="en-US" w:eastAsia="en-US" w:bidi="ar-SA"/>
      </w:rPr>
    </w:lvl>
    <w:lvl w:ilvl="1" w:tplc="205CB32A">
      <w:start w:val="1"/>
      <w:numFmt w:val="upperRoman"/>
      <w:lvlText w:val="%2."/>
      <w:lvlJc w:val="left"/>
      <w:pPr>
        <w:ind w:left="950" w:hanging="721"/>
        <w:jc w:val="right"/>
      </w:pPr>
      <w:rPr>
        <w:rFonts w:ascii="Arial" w:eastAsia="Arial" w:hAnsi="Arial" w:cs="Arial" w:hint="default"/>
        <w:b/>
        <w:bCs/>
        <w:i w:val="0"/>
        <w:iCs w:val="0"/>
        <w:spacing w:val="-1"/>
        <w:w w:val="99"/>
        <w:sz w:val="20"/>
        <w:szCs w:val="20"/>
        <w:lang w:val="en-US" w:eastAsia="en-US" w:bidi="ar-SA"/>
      </w:rPr>
    </w:lvl>
    <w:lvl w:ilvl="2" w:tplc="E4D68308">
      <w:start w:val="1"/>
      <w:numFmt w:val="decimal"/>
      <w:lvlText w:val="%3."/>
      <w:lvlJc w:val="left"/>
      <w:pPr>
        <w:ind w:left="230" w:hanging="221"/>
        <w:jc w:val="right"/>
      </w:pPr>
      <w:rPr>
        <w:rFonts w:ascii="Arial" w:eastAsia="Arial" w:hAnsi="Arial" w:cs="Arial" w:hint="default"/>
        <w:b w:val="0"/>
        <w:bCs w:val="0"/>
        <w:i w:val="0"/>
        <w:iCs w:val="0"/>
        <w:spacing w:val="0"/>
        <w:w w:val="99"/>
        <w:sz w:val="20"/>
        <w:szCs w:val="20"/>
        <w:lang w:val="en-US" w:eastAsia="en-US" w:bidi="ar-SA"/>
      </w:rPr>
    </w:lvl>
    <w:lvl w:ilvl="3" w:tplc="64801150">
      <w:start w:val="1"/>
      <w:numFmt w:val="lowerLetter"/>
      <w:lvlText w:val="%4."/>
      <w:lvlJc w:val="left"/>
      <w:pPr>
        <w:ind w:left="230" w:hanging="221"/>
        <w:jc w:val="right"/>
      </w:pPr>
      <w:rPr>
        <w:rFonts w:ascii="Arial" w:eastAsia="Arial" w:hAnsi="Arial" w:cs="Arial" w:hint="default"/>
        <w:b w:val="0"/>
        <w:bCs w:val="0"/>
        <w:i w:val="0"/>
        <w:iCs w:val="0"/>
        <w:spacing w:val="0"/>
        <w:w w:val="99"/>
        <w:sz w:val="20"/>
        <w:szCs w:val="20"/>
        <w:lang w:val="en-US" w:eastAsia="en-US" w:bidi="ar-SA"/>
      </w:rPr>
    </w:lvl>
    <w:lvl w:ilvl="4" w:tplc="7E0AD31A">
      <w:numFmt w:val="bullet"/>
      <w:lvlText w:val="•"/>
      <w:lvlJc w:val="left"/>
      <w:pPr>
        <w:ind w:left="3221" w:hanging="221"/>
      </w:pPr>
      <w:rPr>
        <w:rFonts w:hint="default"/>
        <w:lang w:val="en-US" w:eastAsia="en-US" w:bidi="ar-SA"/>
      </w:rPr>
    </w:lvl>
    <w:lvl w:ilvl="5" w:tplc="311ECA7A">
      <w:numFmt w:val="bullet"/>
      <w:lvlText w:val="•"/>
      <w:lvlJc w:val="left"/>
      <w:pPr>
        <w:ind w:left="4352" w:hanging="221"/>
      </w:pPr>
      <w:rPr>
        <w:rFonts w:hint="default"/>
        <w:lang w:val="en-US" w:eastAsia="en-US" w:bidi="ar-SA"/>
      </w:rPr>
    </w:lvl>
    <w:lvl w:ilvl="6" w:tplc="646C02FA">
      <w:numFmt w:val="bullet"/>
      <w:lvlText w:val="•"/>
      <w:lvlJc w:val="left"/>
      <w:pPr>
        <w:ind w:left="5483" w:hanging="221"/>
      </w:pPr>
      <w:rPr>
        <w:rFonts w:hint="default"/>
        <w:lang w:val="en-US" w:eastAsia="en-US" w:bidi="ar-SA"/>
      </w:rPr>
    </w:lvl>
    <w:lvl w:ilvl="7" w:tplc="69F2C09C">
      <w:numFmt w:val="bullet"/>
      <w:lvlText w:val="•"/>
      <w:lvlJc w:val="left"/>
      <w:pPr>
        <w:ind w:left="6614" w:hanging="221"/>
      </w:pPr>
      <w:rPr>
        <w:rFonts w:hint="default"/>
        <w:lang w:val="en-US" w:eastAsia="en-US" w:bidi="ar-SA"/>
      </w:rPr>
    </w:lvl>
    <w:lvl w:ilvl="8" w:tplc="AEC2B9EC">
      <w:numFmt w:val="bullet"/>
      <w:lvlText w:val="•"/>
      <w:lvlJc w:val="left"/>
      <w:pPr>
        <w:ind w:left="7744" w:hanging="221"/>
      </w:pPr>
      <w:rPr>
        <w:rFonts w:hint="default"/>
        <w:lang w:val="en-US" w:eastAsia="en-US" w:bidi="ar-SA"/>
      </w:rPr>
    </w:lvl>
  </w:abstractNum>
  <w:num w:numId="1" w16cid:durableId="457799595">
    <w:abstractNumId w:val="1"/>
  </w:num>
  <w:num w:numId="2" w16cid:durableId="328293513">
    <w:abstractNumId w:val="2"/>
  </w:num>
  <w:num w:numId="3" w16cid:durableId="1254557363">
    <w:abstractNumId w:val="3"/>
  </w:num>
  <w:num w:numId="4" w16cid:durableId="1210218878">
    <w:abstractNumId w:val="0"/>
  </w:num>
  <w:num w:numId="5" w16cid:durableId="807824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3557"/>
    <w:rsid w:val="000303A1"/>
    <w:rsid w:val="000348D0"/>
    <w:rsid w:val="001E4371"/>
    <w:rsid w:val="00211A1A"/>
    <w:rsid w:val="0021488D"/>
    <w:rsid w:val="003503E8"/>
    <w:rsid w:val="00381D4B"/>
    <w:rsid w:val="00433557"/>
    <w:rsid w:val="005B1B20"/>
    <w:rsid w:val="005F7FCE"/>
    <w:rsid w:val="00625ED7"/>
    <w:rsid w:val="006E4E6B"/>
    <w:rsid w:val="00774C6E"/>
    <w:rsid w:val="007F3015"/>
    <w:rsid w:val="00844522"/>
    <w:rsid w:val="00896C40"/>
    <w:rsid w:val="008A34A8"/>
    <w:rsid w:val="008E7976"/>
    <w:rsid w:val="009E7BEC"/>
    <w:rsid w:val="00A40A02"/>
    <w:rsid w:val="00AA161F"/>
    <w:rsid w:val="00B0249A"/>
    <w:rsid w:val="00B06F7E"/>
    <w:rsid w:val="00C11255"/>
    <w:rsid w:val="00C32E6A"/>
    <w:rsid w:val="00C37EB2"/>
    <w:rsid w:val="00C53A3C"/>
    <w:rsid w:val="00DD5DB3"/>
    <w:rsid w:val="00E86A70"/>
    <w:rsid w:val="00EF79FD"/>
    <w:rsid w:val="00F37115"/>
    <w:rsid w:val="00F824C6"/>
    <w:rsid w:val="00FB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8"/>
      <w:ind w:left="11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0"/>
    </w:pPr>
  </w:style>
  <w:style w:type="paragraph" w:customStyle="1" w:styleId="TableParagraph">
    <w:name w:val="Table Paragraph"/>
    <w:basedOn w:val="Normal"/>
    <w:uiPriority w:val="1"/>
    <w:qFormat/>
    <w:pPr>
      <w:spacing w:before="22"/>
      <w:ind w:left="521"/>
    </w:pPr>
    <w:rPr>
      <w:rFonts w:ascii="Arial Narrow" w:eastAsia="Arial Narrow" w:hAnsi="Arial Narrow" w:cs="Arial Narrow"/>
    </w:rPr>
  </w:style>
  <w:style w:type="paragraph" w:styleId="Header">
    <w:name w:val="header"/>
    <w:basedOn w:val="Normal"/>
    <w:link w:val="HeaderChar"/>
    <w:unhideWhenUsed/>
    <w:rsid w:val="000303A1"/>
    <w:pPr>
      <w:tabs>
        <w:tab w:val="center" w:pos="4513"/>
        <w:tab w:val="right" w:pos="9026"/>
      </w:tabs>
    </w:pPr>
  </w:style>
  <w:style w:type="character" w:customStyle="1" w:styleId="HeaderChar">
    <w:name w:val="Header Char"/>
    <w:basedOn w:val="DefaultParagraphFont"/>
    <w:link w:val="Header"/>
    <w:uiPriority w:val="99"/>
    <w:rsid w:val="000303A1"/>
    <w:rPr>
      <w:rFonts w:ascii="Arial" w:eastAsia="Arial" w:hAnsi="Arial" w:cs="Arial"/>
    </w:rPr>
  </w:style>
  <w:style w:type="paragraph" w:styleId="Footer">
    <w:name w:val="footer"/>
    <w:basedOn w:val="Normal"/>
    <w:link w:val="FooterChar"/>
    <w:unhideWhenUsed/>
    <w:rsid w:val="000303A1"/>
    <w:pPr>
      <w:tabs>
        <w:tab w:val="center" w:pos="4513"/>
        <w:tab w:val="right" w:pos="9026"/>
      </w:tabs>
    </w:pPr>
  </w:style>
  <w:style w:type="character" w:customStyle="1" w:styleId="FooterChar">
    <w:name w:val="Footer Char"/>
    <w:basedOn w:val="DefaultParagraphFont"/>
    <w:link w:val="Footer"/>
    <w:uiPriority w:val="99"/>
    <w:rsid w:val="000303A1"/>
    <w:rPr>
      <w:rFonts w:ascii="Arial" w:eastAsia="Arial" w:hAnsi="Arial" w:cs="Arial"/>
    </w:rPr>
  </w:style>
  <w:style w:type="table" w:styleId="TableGrid">
    <w:name w:val="Table Grid"/>
    <w:basedOn w:val="TableNormal"/>
    <w:uiPriority w:val="39"/>
    <w:rsid w:val="005F7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774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arch.coe.int/cm/Pages/result_details.aspx?Reference=CM/Rec(2014)7" TargetMode="External"/><Relationship Id="rId18" Type="http://schemas.openxmlformats.org/officeDocument/2006/relationships/hyperlink" Target="https://search.coe.int/cm/Pages/result_details.aspx?Reference=CM/Rec(2016)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earch.coe.int/cm/Pages/result_details.aspx?ObjectId=09000016805ca6ce" TargetMode="External"/><Relationship Id="rId7" Type="http://schemas.openxmlformats.org/officeDocument/2006/relationships/webSettings" Target="webSettings.xml"/><Relationship Id="rId12" Type="http://schemas.openxmlformats.org/officeDocument/2006/relationships/hyperlink" Target="https://www.echr.coe.int/documents/convention_eng.pdf" TargetMode="External"/><Relationship Id="rId17" Type="http://schemas.openxmlformats.org/officeDocument/2006/relationships/hyperlink" Target="https://search.coe.int/cm/Pages/result_details.aspx?ObjectId=09000016805ca6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arch.coe.int/cm/Pages/result_details.aspx?ObjectId=09000016805ca6ce" TargetMode="External"/><Relationship Id="rId20" Type="http://schemas.openxmlformats.org/officeDocument/2006/relationships/hyperlink" Target="https://search.coe.int/cm/Pages/result_details.aspx?ObjectId=09000016805ca6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m.coe.int/1680306052" TargetMode="External"/><Relationship Id="rId24" Type="http://schemas.openxmlformats.org/officeDocument/2006/relationships/hyperlink" Target="https://search.coe.int/cm/Pages/result_details.aspx?Reference=CM/Rec(2014)7" TargetMode="External"/><Relationship Id="rId5" Type="http://schemas.openxmlformats.org/officeDocument/2006/relationships/styles" Target="styles.xml"/><Relationship Id="rId15" Type="http://schemas.openxmlformats.org/officeDocument/2006/relationships/hyperlink" Target="https://search.coe.int/cm/Pages/result_details.aspx?Reference=CM/Rec(2022)4" TargetMode="External"/><Relationship Id="rId23" Type="http://schemas.openxmlformats.org/officeDocument/2006/relationships/hyperlink" Target="https://search.coe.int/cm/Pages/result_details.aspx?ObjectId=09000016807c65bf"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search.coe.int/cm/Pages/result_details.aspx?Reference=CM/Rec(2024)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rch.coe.int/cm/Pages/result_details.aspx?Reference=CM/Rec(2016)4" TargetMode="External"/><Relationship Id="rId22" Type="http://schemas.openxmlformats.org/officeDocument/2006/relationships/hyperlink" Target="https://search.coe.int/cm/Pages/result_details.aspx?ObjectId=09000016807c65b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64EFACF-9493-4A4D-BC81-C7D8A0A37B10}"/>
</file>

<file path=customXml/itemProps2.xml><?xml version="1.0" encoding="utf-8"?>
<ds:datastoreItem xmlns:ds="http://schemas.openxmlformats.org/officeDocument/2006/customXml" ds:itemID="{3EF22D29-2D29-45E1-A962-C6E004F3FDFA}">
  <ds:schemaRefs>
    <ds:schemaRef ds:uri="http://schemas.microsoft.com/sharepoint/v3/contenttype/forms"/>
  </ds:schemaRefs>
</ds:datastoreItem>
</file>

<file path=customXml/itemProps3.xml><?xml version="1.0" encoding="utf-8"?>
<ds:datastoreItem xmlns:ds="http://schemas.openxmlformats.org/officeDocument/2006/customXml" ds:itemID="{0E53374D-2F53-4EC6-95F6-1C249ED94B1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5716</Words>
  <Characters>33558</Characters>
  <Application>Microsoft Office Word</Application>
  <DocSecurity>0</DocSecurity>
  <Lines>1342</Lines>
  <Paragraphs>456</Paragraphs>
  <ScaleCrop>false</ScaleCrop>
  <Company/>
  <LinksUpToDate>false</LinksUpToDate>
  <CharactersWithSpaces>38818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2024-06-17T13:36:00Z</dcterms:created>
  <dcterms:modified xsi:type="dcterms:W3CDTF">2025-01-22T07:50:00Z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