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9127" w14:textId="77777777" w:rsidR="009933E1" w:rsidRDefault="009933E1" w:rsidP="009933E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 </w:t>
      </w:r>
      <w:r w:rsidRPr="00C00389">
        <w:rPr>
          <w:rFonts w:ascii="Times New Roman" w:hAnsi="Times New Roman"/>
          <w:sz w:val="24"/>
          <w:vertAlign w:val="superscript"/>
        </w:rPr>
        <w:t>1</w:t>
      </w:r>
      <w:r>
        <w:rPr>
          <w:rFonts w:ascii="Times New Roman" w:hAnsi="Times New Roman"/>
          <w:sz w:val="24"/>
        </w:rPr>
        <w:t xml:space="preserve"> has adopted and</w:t>
      </w:r>
    </w:p>
    <w:p w14:paraId="44F07C9B" w14:textId="77777777" w:rsidR="009933E1" w:rsidRDefault="009933E1" w:rsidP="009933E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C9C0D50" w14:textId="49B78928" w:rsidR="00B25178" w:rsidRDefault="00B25178" w:rsidP="00B25178">
      <w:pPr>
        <w:spacing w:after="0" w:line="240" w:lineRule="auto"/>
        <w:jc w:val="both"/>
        <w:rPr>
          <w:rFonts w:ascii="Times New Roman" w:eastAsia="Times New Roman" w:hAnsi="Times New Roman" w:cs="Times New Roman"/>
          <w:noProof/>
          <w:sz w:val="24"/>
          <w:szCs w:val="24"/>
          <w:lang w:eastAsia="lv-LV"/>
        </w:rPr>
      </w:pPr>
    </w:p>
    <w:p w14:paraId="2115AE3B" w14:textId="77777777" w:rsidR="00B25178" w:rsidRPr="00F53314" w:rsidRDefault="00B25178" w:rsidP="00B25178">
      <w:pPr>
        <w:spacing w:after="0" w:line="240" w:lineRule="auto"/>
        <w:jc w:val="both"/>
        <w:rPr>
          <w:rFonts w:ascii="Times New Roman" w:eastAsia="Times New Roman" w:hAnsi="Times New Roman" w:cs="Times New Roman"/>
          <w:noProof/>
          <w:sz w:val="24"/>
          <w:szCs w:val="24"/>
          <w:lang w:eastAsia="lv-LV"/>
        </w:rPr>
      </w:pPr>
    </w:p>
    <w:p w14:paraId="319C0E73" w14:textId="57C9DA16" w:rsidR="004900F7" w:rsidRPr="00B25178" w:rsidRDefault="004900F7" w:rsidP="00B2517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Council of Europe Convention on Offences relating to Cultural Property</w:t>
      </w:r>
    </w:p>
    <w:p w14:paraId="75C050DC" w14:textId="6DEB0413" w:rsidR="00B25178" w:rsidRDefault="00B25178" w:rsidP="00B25178">
      <w:pPr>
        <w:spacing w:after="0" w:line="240" w:lineRule="auto"/>
        <w:jc w:val="both"/>
        <w:rPr>
          <w:rFonts w:ascii="Times New Roman" w:eastAsia="Times New Roman" w:hAnsi="Times New Roman" w:cs="Times New Roman"/>
          <w:b/>
          <w:bCs/>
          <w:noProof/>
          <w:sz w:val="24"/>
          <w:szCs w:val="27"/>
          <w:lang w:eastAsia="lv-LV"/>
        </w:rPr>
      </w:pPr>
    </w:p>
    <w:p w14:paraId="6C084C5A" w14:textId="77777777" w:rsidR="00B25178" w:rsidRPr="00F53314" w:rsidRDefault="00B25178" w:rsidP="00B25178">
      <w:pPr>
        <w:spacing w:after="0" w:line="240" w:lineRule="auto"/>
        <w:jc w:val="both"/>
        <w:rPr>
          <w:rFonts w:ascii="Times New Roman" w:eastAsia="Times New Roman" w:hAnsi="Times New Roman" w:cs="Times New Roman"/>
          <w:b/>
          <w:bCs/>
          <w:noProof/>
          <w:sz w:val="24"/>
          <w:szCs w:val="27"/>
          <w:lang w:eastAsia="lv-LV"/>
        </w:rPr>
      </w:pPr>
    </w:p>
    <w:p w14:paraId="4AE331AF" w14:textId="77777777" w:rsidR="004900F7" w:rsidRPr="00F53314" w:rsidRDefault="004900F7" w:rsidP="00B2517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 </w:t>
      </w:r>
      <w:r>
        <w:rPr>
          <w:rFonts w:ascii="Times New Roman" w:hAnsi="Times New Roman"/>
          <w:sz w:val="24"/>
        </w:rPr>
        <w:t>The Council of Europe Convention on Offences relating to Cultural Property of 19 May 2017 (hereinafter – the Convention) is adopted and approved by this Law.</w:t>
      </w:r>
    </w:p>
    <w:p w14:paraId="08ADC31E" w14:textId="77777777" w:rsidR="00B25178" w:rsidRDefault="00B25178" w:rsidP="00B25178">
      <w:pPr>
        <w:spacing w:after="0" w:line="240" w:lineRule="auto"/>
        <w:jc w:val="both"/>
        <w:rPr>
          <w:rFonts w:ascii="Times New Roman" w:eastAsia="Times New Roman" w:hAnsi="Times New Roman" w:cs="Times New Roman"/>
          <w:b/>
          <w:bCs/>
          <w:noProof/>
          <w:sz w:val="24"/>
          <w:szCs w:val="24"/>
          <w:lang w:eastAsia="lv-LV"/>
        </w:rPr>
      </w:pPr>
    </w:p>
    <w:p w14:paraId="08F5F399" w14:textId="156617DA" w:rsidR="004900F7" w:rsidRPr="00F53314" w:rsidRDefault="004900F7" w:rsidP="00B2517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The fulfilment of the commitments provided for in the Convention shall be coordinated by the Ministry of Justice and the Ministry of Culture.</w:t>
      </w:r>
    </w:p>
    <w:p w14:paraId="124B6F26" w14:textId="77777777" w:rsidR="00B25178" w:rsidRDefault="00B25178" w:rsidP="00B25178">
      <w:pPr>
        <w:spacing w:after="0" w:line="240" w:lineRule="auto"/>
        <w:jc w:val="both"/>
        <w:rPr>
          <w:rFonts w:ascii="Times New Roman" w:eastAsia="Times New Roman" w:hAnsi="Times New Roman" w:cs="Times New Roman"/>
          <w:b/>
          <w:bCs/>
          <w:noProof/>
          <w:sz w:val="24"/>
          <w:szCs w:val="24"/>
          <w:lang w:eastAsia="lv-LV"/>
        </w:rPr>
      </w:pPr>
    </w:p>
    <w:p w14:paraId="5E8EF312" w14:textId="0D22FCDD" w:rsidR="004900F7" w:rsidRPr="00F53314" w:rsidRDefault="004900F7" w:rsidP="00B2517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fulfilment of the commitments provided for in Articles 20 and 21 of the Convention shall be coordinated by the Ministry of Culture.</w:t>
      </w:r>
    </w:p>
    <w:p w14:paraId="0A87189E" w14:textId="77777777" w:rsidR="00B25178" w:rsidRDefault="00B25178" w:rsidP="00B25178">
      <w:pPr>
        <w:spacing w:after="0" w:line="240" w:lineRule="auto"/>
        <w:jc w:val="both"/>
        <w:rPr>
          <w:rFonts w:ascii="Times New Roman" w:eastAsia="Times New Roman" w:hAnsi="Times New Roman" w:cs="Times New Roman"/>
          <w:b/>
          <w:bCs/>
          <w:noProof/>
          <w:sz w:val="24"/>
          <w:szCs w:val="24"/>
          <w:lang w:eastAsia="lv-LV"/>
        </w:rPr>
      </w:pPr>
    </w:p>
    <w:p w14:paraId="2D0FE61D" w14:textId="72F3B581" w:rsidR="004900F7" w:rsidRPr="00F53314" w:rsidRDefault="004900F7" w:rsidP="00B2517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In accordance with Article 5(2) of the Convention, the Ministry of Foreign Affairs shall inform the Secretary General of the Council of Europe that for the conducts described in Article 5(1) of the Convention the Republic of Latvia reserves the right to provide for non-criminal sanctions if the imported cultural object or archival record, record with archival value, or substituting copies of such records are not of criminal origin and the import thereof has not caused any substantial harm.</w:t>
      </w:r>
    </w:p>
    <w:p w14:paraId="463B5D60" w14:textId="77777777" w:rsidR="00B25178" w:rsidRDefault="00B25178" w:rsidP="00B25178">
      <w:pPr>
        <w:spacing w:after="0" w:line="240" w:lineRule="auto"/>
        <w:jc w:val="both"/>
        <w:rPr>
          <w:rFonts w:ascii="Times New Roman" w:eastAsia="Times New Roman" w:hAnsi="Times New Roman" w:cs="Times New Roman"/>
          <w:b/>
          <w:bCs/>
          <w:noProof/>
          <w:sz w:val="24"/>
          <w:szCs w:val="24"/>
          <w:lang w:eastAsia="lv-LV"/>
        </w:rPr>
      </w:pPr>
    </w:p>
    <w:p w14:paraId="55FBA194" w14:textId="7BC81786" w:rsidR="004900F7" w:rsidRPr="00F53314" w:rsidRDefault="004900F7" w:rsidP="00B2517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In accordance with Article 10(2) of the Convention, the Ministry of Foreign Affairs shall inform the Secretary General of the Council of Europe that for the conducts described in Article 10(1) of the Convention the Republic of Latvia reserves the right to provide for non-criminal sanctions if no substantial harm has been caused due to destruction, damaging or removal of an archival record, record with archival value or, substituting copies of such records, and also due to removal of a cultural object, and also if a cultural object is destroyed or damaged due to violation of various regulations for the protection, maintenance, renovation, repairs, or use governed by special laws and Cabinet regulations.</w:t>
      </w:r>
    </w:p>
    <w:p w14:paraId="59C71453" w14:textId="77777777" w:rsidR="00B25178" w:rsidRDefault="00B25178" w:rsidP="00B25178">
      <w:pPr>
        <w:spacing w:after="0" w:line="240" w:lineRule="auto"/>
        <w:jc w:val="both"/>
        <w:rPr>
          <w:rFonts w:ascii="Times New Roman" w:eastAsia="Times New Roman" w:hAnsi="Times New Roman" w:cs="Times New Roman"/>
          <w:b/>
          <w:bCs/>
          <w:noProof/>
          <w:sz w:val="24"/>
          <w:szCs w:val="24"/>
          <w:lang w:eastAsia="lv-LV"/>
        </w:rPr>
      </w:pPr>
    </w:p>
    <w:p w14:paraId="317289B3" w14:textId="6E7A02B7" w:rsidR="004900F7" w:rsidRPr="00F53314" w:rsidRDefault="004900F7" w:rsidP="00B2517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 xml:space="preserve">The Convention shall come into force at the time and in accordance with the procedures laid down in Article 27 thereof and the Ministry of Foreign Affairs shall notify thereof in the official gazette </w:t>
      </w:r>
      <w:r>
        <w:rPr>
          <w:rFonts w:ascii="Times New Roman" w:hAnsi="Times New Roman"/>
          <w:i/>
          <w:iCs/>
          <w:sz w:val="24"/>
        </w:rPr>
        <w:t>Latvijas</w:t>
      </w:r>
      <w:r>
        <w:rPr>
          <w:rFonts w:ascii="Times New Roman" w:hAnsi="Times New Roman"/>
          <w:sz w:val="24"/>
        </w:rPr>
        <w:t xml:space="preserve"> </w:t>
      </w:r>
      <w:r>
        <w:rPr>
          <w:rFonts w:ascii="Times New Roman" w:hAnsi="Times New Roman"/>
          <w:i/>
          <w:iCs/>
          <w:sz w:val="24"/>
        </w:rPr>
        <w:t>Vēstnesis</w:t>
      </w:r>
      <w:r>
        <w:rPr>
          <w:rFonts w:ascii="Times New Roman" w:hAnsi="Times New Roman"/>
          <w:sz w:val="24"/>
        </w:rPr>
        <w:t>.</w:t>
      </w:r>
    </w:p>
    <w:p w14:paraId="18F487CF" w14:textId="77777777" w:rsidR="00B25178" w:rsidRDefault="00B25178" w:rsidP="00B25178">
      <w:pPr>
        <w:spacing w:after="0" w:line="240" w:lineRule="auto"/>
        <w:jc w:val="both"/>
        <w:rPr>
          <w:rFonts w:ascii="Times New Roman" w:eastAsia="Times New Roman" w:hAnsi="Times New Roman" w:cs="Times New Roman"/>
          <w:b/>
          <w:bCs/>
          <w:noProof/>
          <w:sz w:val="24"/>
          <w:szCs w:val="24"/>
          <w:lang w:eastAsia="lv-LV"/>
        </w:rPr>
      </w:pPr>
    </w:p>
    <w:p w14:paraId="12197730" w14:textId="45639915" w:rsidR="004900F7" w:rsidRPr="00F53314" w:rsidRDefault="004900F7" w:rsidP="00B2517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Together with this Law, the Convention in the English language and translation thereof in the Latvian language shall be proclaimed.</w:t>
      </w:r>
    </w:p>
    <w:p w14:paraId="5085CF92" w14:textId="77777777" w:rsidR="00B25178" w:rsidRDefault="00B25178" w:rsidP="00B25178">
      <w:pPr>
        <w:spacing w:after="0" w:line="240" w:lineRule="auto"/>
        <w:jc w:val="both"/>
        <w:rPr>
          <w:rFonts w:ascii="Times New Roman" w:eastAsia="Times New Roman" w:hAnsi="Times New Roman" w:cs="Times New Roman"/>
          <w:noProof/>
          <w:sz w:val="24"/>
          <w:szCs w:val="24"/>
          <w:lang w:eastAsia="lv-LV"/>
        </w:rPr>
      </w:pPr>
    </w:p>
    <w:p w14:paraId="128F9F4F" w14:textId="77777777" w:rsidR="00B25178" w:rsidRDefault="00B25178" w:rsidP="00B25178">
      <w:pPr>
        <w:spacing w:after="0" w:line="240" w:lineRule="auto"/>
        <w:jc w:val="both"/>
        <w:rPr>
          <w:rFonts w:ascii="Times New Roman" w:eastAsia="Times New Roman" w:hAnsi="Times New Roman" w:cs="Times New Roman"/>
          <w:noProof/>
          <w:sz w:val="24"/>
          <w:szCs w:val="24"/>
          <w:lang w:eastAsia="lv-LV"/>
        </w:rPr>
      </w:pPr>
    </w:p>
    <w:p w14:paraId="75FE3A23" w14:textId="3878EFAD" w:rsidR="004900F7" w:rsidRPr="00F53314" w:rsidRDefault="004900F7" w:rsidP="00B251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 xml:space="preserve">Saeima </w:t>
      </w:r>
      <w:r>
        <w:rPr>
          <w:rFonts w:ascii="Times New Roman" w:hAnsi="Times New Roman"/>
          <w:sz w:val="24"/>
        </w:rPr>
        <w:t>on 5 November 2020.</w:t>
      </w:r>
    </w:p>
    <w:p w14:paraId="55FC2DDC" w14:textId="77777777" w:rsidR="00B25178" w:rsidRDefault="00B25178" w:rsidP="00B25178">
      <w:pPr>
        <w:spacing w:after="0" w:line="240" w:lineRule="auto"/>
        <w:jc w:val="both"/>
        <w:rPr>
          <w:rFonts w:ascii="Times New Roman" w:eastAsia="Times New Roman" w:hAnsi="Times New Roman" w:cs="Times New Roman"/>
          <w:noProof/>
          <w:sz w:val="24"/>
          <w:szCs w:val="24"/>
          <w:lang w:eastAsia="lv-LV"/>
        </w:rPr>
      </w:pPr>
    </w:p>
    <w:p w14:paraId="79C42631" w14:textId="77777777" w:rsidR="0093364D" w:rsidRDefault="0093364D" w:rsidP="00B25178">
      <w:pPr>
        <w:spacing w:after="0" w:line="240" w:lineRule="auto"/>
        <w:jc w:val="both"/>
        <w:rPr>
          <w:rFonts w:ascii="Times New Roman" w:eastAsia="Times New Roman" w:hAnsi="Times New Roman" w:cs="Times New Roman"/>
          <w:noProof/>
          <w:sz w:val="24"/>
          <w:szCs w:val="24"/>
          <w:lang w:eastAsia="lv-LV"/>
        </w:rPr>
      </w:pPr>
    </w:p>
    <w:p w14:paraId="3509386B" w14:textId="4695C8A9" w:rsidR="004900F7" w:rsidRPr="00F53314" w:rsidRDefault="004900F7" w:rsidP="00B251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A6976">
        <w:rPr>
          <w:rFonts w:ascii="Times New Roman" w:hAnsi="Times New Roman"/>
          <w:sz w:val="24"/>
        </w:rPr>
        <w:tab/>
      </w:r>
      <w:r w:rsidR="003A6976">
        <w:rPr>
          <w:rFonts w:ascii="Times New Roman" w:hAnsi="Times New Roman"/>
          <w:sz w:val="24"/>
        </w:rPr>
        <w:tab/>
      </w:r>
      <w:r w:rsidR="003A6976">
        <w:rPr>
          <w:rFonts w:ascii="Times New Roman" w:hAnsi="Times New Roman"/>
          <w:sz w:val="24"/>
        </w:rPr>
        <w:tab/>
      </w:r>
      <w:r w:rsidR="003A6976">
        <w:rPr>
          <w:rFonts w:ascii="Times New Roman" w:hAnsi="Times New Roman"/>
          <w:sz w:val="24"/>
        </w:rPr>
        <w:tab/>
      </w:r>
      <w:r w:rsidR="003A6976">
        <w:rPr>
          <w:rFonts w:ascii="Times New Roman" w:hAnsi="Times New Roman"/>
          <w:sz w:val="24"/>
        </w:rPr>
        <w:tab/>
      </w:r>
      <w:r w:rsidR="003A6976">
        <w:rPr>
          <w:rFonts w:ascii="Times New Roman" w:hAnsi="Times New Roman"/>
          <w:sz w:val="24"/>
        </w:rPr>
        <w:tab/>
      </w:r>
      <w:r w:rsidR="003A6976">
        <w:rPr>
          <w:rFonts w:ascii="Times New Roman" w:hAnsi="Times New Roman"/>
          <w:sz w:val="24"/>
        </w:rPr>
        <w:tab/>
      </w:r>
      <w:r w:rsidR="003A6976">
        <w:rPr>
          <w:rFonts w:ascii="Times New Roman" w:hAnsi="Times New Roman"/>
          <w:sz w:val="24"/>
        </w:rPr>
        <w:tab/>
      </w:r>
      <w:r w:rsidR="003A6976">
        <w:rPr>
          <w:rFonts w:ascii="Times New Roman" w:hAnsi="Times New Roman"/>
          <w:sz w:val="24"/>
        </w:rPr>
        <w:tab/>
      </w:r>
      <w:r w:rsidR="003A6976">
        <w:rPr>
          <w:rFonts w:ascii="Times New Roman" w:hAnsi="Times New Roman"/>
          <w:sz w:val="24"/>
        </w:rPr>
        <w:tab/>
      </w:r>
      <w:r>
        <w:rPr>
          <w:rFonts w:ascii="Times New Roman" w:hAnsi="Times New Roman"/>
          <w:sz w:val="24"/>
        </w:rPr>
        <w:t>E. Levits</w:t>
      </w:r>
    </w:p>
    <w:p w14:paraId="3D11F4C8" w14:textId="77777777" w:rsidR="0093364D" w:rsidRDefault="0093364D" w:rsidP="00B25178">
      <w:pPr>
        <w:spacing w:after="0" w:line="240" w:lineRule="auto"/>
        <w:jc w:val="both"/>
        <w:rPr>
          <w:rFonts w:ascii="Times New Roman" w:eastAsia="Times New Roman" w:hAnsi="Times New Roman" w:cs="Times New Roman"/>
          <w:noProof/>
          <w:sz w:val="24"/>
          <w:szCs w:val="24"/>
          <w:lang w:eastAsia="lv-LV"/>
        </w:rPr>
      </w:pPr>
    </w:p>
    <w:p w14:paraId="3DC62355" w14:textId="74FA300A" w:rsidR="004900F7" w:rsidRPr="00F53314" w:rsidRDefault="004900F7" w:rsidP="00B2517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17 November 2020</w:t>
      </w:r>
    </w:p>
    <w:p w14:paraId="393AFF3B" w14:textId="6A5221E6" w:rsidR="00AF7874" w:rsidRPr="00AF7874" w:rsidRDefault="00AF7874" w:rsidP="00AF7874">
      <w:pPr>
        <w:tabs>
          <w:tab w:val="left" w:pos="1230"/>
        </w:tabs>
        <w:rPr>
          <w:rFonts w:ascii="Times New Roman" w:hAnsi="Times New Roman"/>
          <w:sz w:val="24"/>
        </w:rPr>
      </w:pPr>
    </w:p>
    <w:sectPr w:rsidR="00AF7874" w:rsidRPr="00AF7874" w:rsidSect="00B2517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EE6A" w14:textId="77777777" w:rsidR="001E0C5A" w:rsidRPr="004900F7" w:rsidRDefault="001E0C5A" w:rsidP="004900F7">
      <w:pPr>
        <w:spacing w:after="0" w:line="240" w:lineRule="auto"/>
        <w:rPr>
          <w:noProof/>
          <w:lang w:val="en-US"/>
        </w:rPr>
      </w:pPr>
      <w:r w:rsidRPr="004900F7">
        <w:rPr>
          <w:noProof/>
          <w:lang w:val="en-US"/>
        </w:rPr>
        <w:separator/>
      </w:r>
    </w:p>
  </w:endnote>
  <w:endnote w:type="continuationSeparator" w:id="0">
    <w:p w14:paraId="016E85E8" w14:textId="77777777" w:rsidR="001E0C5A" w:rsidRPr="004900F7" w:rsidRDefault="001E0C5A" w:rsidP="004900F7">
      <w:pPr>
        <w:spacing w:after="0" w:line="240" w:lineRule="auto"/>
        <w:rPr>
          <w:noProof/>
          <w:lang w:val="en-US"/>
        </w:rPr>
      </w:pPr>
      <w:r w:rsidRPr="004900F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5F95" w14:textId="77777777" w:rsidR="00AF7874" w:rsidRPr="00370247" w:rsidRDefault="00AF7874" w:rsidP="00AF7874">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0" w:name="_Hlk32478718"/>
    <w:bookmarkStart w:id="1" w:name="_Hlk32478719"/>
    <w:bookmarkStart w:id="2" w:name="_Hlk60650487"/>
    <w:bookmarkStart w:id="3" w:name="_Hlk60650488"/>
    <w:bookmarkStart w:id="4" w:name="_Hlk60650489"/>
    <w:bookmarkStart w:id="5" w:name="_Hlk60650490"/>
  </w:p>
  <w:p w14:paraId="5C49BDEE" w14:textId="77777777" w:rsidR="00AF7874" w:rsidRPr="00370247" w:rsidRDefault="00AF7874" w:rsidP="00AF7874">
    <w:pPr>
      <w:tabs>
        <w:tab w:val="center" w:pos="4153"/>
        <w:tab w:val="right" w:pos="8306"/>
      </w:tabs>
      <w:spacing w:after="0" w:line="240" w:lineRule="auto"/>
      <w:rPr>
        <w:rFonts w:ascii="Times New Roman" w:eastAsia="Times New Roman" w:hAnsi="Times New Roman" w:cs="Times New Roman"/>
        <w:snapToGrid w:val="0"/>
        <w:sz w:val="20"/>
        <w:szCs w:val="20"/>
      </w:rPr>
    </w:pPr>
    <w:bookmarkStart w:id="6" w:name="_Hlk32310318"/>
    <w:bookmarkStart w:id="7" w:name="_Hlk32310319"/>
    <w:r w:rsidRPr="00370247">
      <w:rPr>
        <w:rFonts w:ascii="Times New Roman" w:eastAsia="Times New Roman" w:hAnsi="Times New Roman" w:cs="Times New Roman"/>
        <w:snapToGrid w:val="0"/>
        <w:sz w:val="20"/>
        <w:szCs w:val="20"/>
        <w:vertAlign w:val="superscript"/>
      </w:rPr>
      <w:t>1</w:t>
    </w:r>
    <w:r w:rsidRPr="00370247">
      <w:rPr>
        <w:rFonts w:ascii="Times New Roman" w:eastAsia="Times New Roman" w:hAnsi="Times New Roman" w:cs="Times New Roman"/>
        <w:snapToGrid w:val="0"/>
        <w:sz w:val="20"/>
        <w:szCs w:val="20"/>
      </w:rPr>
      <w:t xml:space="preserve"> The Parliament of the Republic of Latvia</w:t>
    </w:r>
  </w:p>
  <w:p w14:paraId="14084C66" w14:textId="77777777" w:rsidR="00AF7874" w:rsidRPr="00370247" w:rsidRDefault="00AF7874" w:rsidP="00AF7874">
    <w:pPr>
      <w:tabs>
        <w:tab w:val="center" w:pos="4153"/>
        <w:tab w:val="right" w:pos="8306"/>
      </w:tabs>
      <w:spacing w:after="0" w:line="240" w:lineRule="auto"/>
      <w:rPr>
        <w:rFonts w:ascii="Times New Roman" w:eastAsia="Times New Roman" w:hAnsi="Times New Roman" w:cs="Times New Roman"/>
        <w:snapToGrid w:val="0"/>
        <w:sz w:val="20"/>
        <w:szCs w:val="20"/>
      </w:rPr>
    </w:pPr>
  </w:p>
  <w:p w14:paraId="1D679EFA" w14:textId="77777777" w:rsidR="00AF7874" w:rsidRPr="00370247" w:rsidRDefault="00AF7874" w:rsidP="00AF7874">
    <w:pPr>
      <w:tabs>
        <w:tab w:val="center" w:pos="4153"/>
        <w:tab w:val="right" w:pos="8306"/>
      </w:tabs>
      <w:spacing w:after="0" w:line="240" w:lineRule="auto"/>
      <w:rPr>
        <w:rFonts w:ascii="Times New Roman" w:eastAsia="Times New Roman" w:hAnsi="Times New Roman" w:cs="Times New Roman"/>
        <w:snapToGrid w:val="0"/>
        <w:sz w:val="20"/>
        <w:szCs w:val="20"/>
      </w:rPr>
    </w:pPr>
    <w:r w:rsidRPr="00370247">
      <w:rPr>
        <w:rFonts w:ascii="Times New Roman" w:eastAsia="Times New Roman" w:hAnsi="Times New Roman" w:cs="Times New Roman"/>
        <w:snapToGrid w:val="0"/>
        <w:sz w:val="20"/>
        <w:szCs w:val="20"/>
      </w:rPr>
      <w:t xml:space="preserve">Translation </w:t>
    </w:r>
    <w:r w:rsidRPr="00370247">
      <w:rPr>
        <w:rFonts w:ascii="Times New Roman" w:eastAsia="Times New Roman" w:hAnsi="Times New Roman" w:cs="Times New Roman"/>
        <w:snapToGrid w:val="0"/>
        <w:sz w:val="20"/>
        <w:szCs w:val="20"/>
      </w:rPr>
      <w:fldChar w:fldCharType="begin"/>
    </w:r>
    <w:r w:rsidRPr="00370247">
      <w:rPr>
        <w:rFonts w:ascii="Times New Roman" w:eastAsia="Times New Roman" w:hAnsi="Times New Roman" w:cs="Times New Roman"/>
        <w:snapToGrid w:val="0"/>
        <w:sz w:val="20"/>
        <w:szCs w:val="20"/>
      </w:rPr>
      <w:instrText>symbol 169 \f "UnivrstyRoman TL" \s 8</w:instrText>
    </w:r>
    <w:r w:rsidRPr="00370247">
      <w:rPr>
        <w:rFonts w:ascii="Times New Roman" w:eastAsia="Times New Roman" w:hAnsi="Times New Roman" w:cs="Times New Roman"/>
        <w:snapToGrid w:val="0"/>
        <w:sz w:val="20"/>
        <w:szCs w:val="20"/>
      </w:rPr>
      <w:fldChar w:fldCharType="separate"/>
    </w:r>
    <w:r w:rsidRPr="00370247">
      <w:rPr>
        <w:rFonts w:ascii="Times New Roman" w:eastAsia="Times New Roman" w:hAnsi="Times New Roman" w:cs="Times New Roman"/>
        <w:snapToGrid w:val="0"/>
        <w:sz w:val="20"/>
        <w:szCs w:val="20"/>
      </w:rPr>
      <w:t>©</w:t>
    </w:r>
    <w:r w:rsidRPr="00370247">
      <w:rPr>
        <w:rFonts w:ascii="Times New Roman" w:eastAsia="Times New Roman" w:hAnsi="Times New Roman" w:cs="Times New Roman"/>
        <w:snapToGrid w:val="0"/>
        <w:sz w:val="20"/>
        <w:szCs w:val="20"/>
      </w:rPr>
      <w:fldChar w:fldCharType="end"/>
    </w:r>
    <w:r w:rsidRPr="00370247">
      <w:rPr>
        <w:rFonts w:ascii="Times New Roman" w:eastAsia="Times New Roman" w:hAnsi="Times New Roman" w:cs="Times New Roman"/>
        <w:snapToGrid w:val="0"/>
        <w:sz w:val="20"/>
        <w:szCs w:val="20"/>
      </w:rPr>
      <w:t xml:space="preserve"> 2021 Valsts valodas centrs (State Language Centre)</w:t>
    </w:r>
    <w:bookmarkEnd w:id="0"/>
    <w:bookmarkEnd w:id="1"/>
    <w:bookmarkEnd w:id="2"/>
    <w:bookmarkEnd w:id="3"/>
    <w:bookmarkEnd w:id="4"/>
    <w:bookmarkEnd w:id="5"/>
  </w:p>
  <w:bookmarkEnd w:id="6"/>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E16F" w14:textId="77777777" w:rsidR="001E0C5A" w:rsidRPr="004900F7" w:rsidRDefault="001E0C5A" w:rsidP="004900F7">
      <w:pPr>
        <w:spacing w:after="0" w:line="240" w:lineRule="auto"/>
        <w:rPr>
          <w:noProof/>
          <w:lang w:val="en-US"/>
        </w:rPr>
      </w:pPr>
      <w:r w:rsidRPr="004900F7">
        <w:rPr>
          <w:noProof/>
          <w:lang w:val="en-US"/>
        </w:rPr>
        <w:separator/>
      </w:r>
    </w:p>
  </w:footnote>
  <w:footnote w:type="continuationSeparator" w:id="0">
    <w:p w14:paraId="33D2674F" w14:textId="77777777" w:rsidR="001E0C5A" w:rsidRPr="004900F7" w:rsidRDefault="001E0C5A" w:rsidP="004900F7">
      <w:pPr>
        <w:spacing w:after="0" w:line="240" w:lineRule="auto"/>
        <w:rPr>
          <w:noProof/>
          <w:lang w:val="en-US"/>
        </w:rPr>
      </w:pPr>
      <w:r w:rsidRPr="004900F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F3"/>
    <w:rsid w:val="001E0C5A"/>
    <w:rsid w:val="003A6976"/>
    <w:rsid w:val="003E22C9"/>
    <w:rsid w:val="004900F7"/>
    <w:rsid w:val="00612425"/>
    <w:rsid w:val="00921840"/>
    <w:rsid w:val="0093364D"/>
    <w:rsid w:val="009933E1"/>
    <w:rsid w:val="00AF7874"/>
    <w:rsid w:val="00B25178"/>
    <w:rsid w:val="00C77BF3"/>
    <w:rsid w:val="00F533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15E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F5331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F5331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53314"/>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F53314"/>
    <w:rPr>
      <w:rFonts w:ascii="Times New Roman" w:eastAsia="Times New Roman" w:hAnsi="Times New Roman" w:cs="Times New Roman"/>
      <w:b/>
      <w:bCs/>
      <w:sz w:val="24"/>
      <w:szCs w:val="24"/>
      <w:lang w:eastAsia="lv-LV"/>
    </w:rPr>
  </w:style>
  <w:style w:type="paragraph" w:customStyle="1" w:styleId="likc">
    <w:name w:val="lik_c"/>
    <w:basedOn w:val="Parasts"/>
    <w:rsid w:val="00F533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F533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F533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53314"/>
    <w:rPr>
      <w:color w:val="0000FF"/>
      <w:u w:val="single"/>
    </w:rPr>
  </w:style>
  <w:style w:type="paragraph" w:styleId="Galvene">
    <w:name w:val="header"/>
    <w:basedOn w:val="Parasts"/>
    <w:link w:val="GalveneRakstz"/>
    <w:uiPriority w:val="99"/>
    <w:unhideWhenUsed/>
    <w:rsid w:val="004900F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900F7"/>
  </w:style>
  <w:style w:type="paragraph" w:styleId="Kjene">
    <w:name w:val="footer"/>
    <w:basedOn w:val="Parasts"/>
    <w:link w:val="KjeneRakstz"/>
    <w:uiPriority w:val="99"/>
    <w:unhideWhenUsed/>
    <w:rsid w:val="004900F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9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87722">
      <w:bodyDiv w:val="1"/>
      <w:marLeft w:val="0"/>
      <w:marRight w:val="0"/>
      <w:marTop w:val="0"/>
      <w:marBottom w:val="0"/>
      <w:divBdr>
        <w:top w:val="none" w:sz="0" w:space="0" w:color="auto"/>
        <w:left w:val="none" w:sz="0" w:space="0" w:color="auto"/>
        <w:bottom w:val="none" w:sz="0" w:space="0" w:color="auto"/>
        <w:right w:val="none" w:sz="0" w:space="0" w:color="auto"/>
      </w:divBdr>
      <w:divsChild>
        <w:div w:id="1273440391">
          <w:marLeft w:val="0"/>
          <w:marRight w:val="0"/>
          <w:marTop w:val="0"/>
          <w:marBottom w:val="0"/>
          <w:divBdr>
            <w:top w:val="none" w:sz="0" w:space="0" w:color="auto"/>
            <w:left w:val="none" w:sz="0" w:space="0" w:color="auto"/>
            <w:bottom w:val="none" w:sz="0" w:space="0" w:color="auto"/>
            <w:right w:val="none" w:sz="0" w:space="0" w:color="auto"/>
          </w:divBdr>
          <w:divsChild>
            <w:div w:id="9128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8321A-9821-4AE4-8F9D-2F1240AC416E}">
  <ds:schemaRefs>
    <ds:schemaRef ds:uri="http://schemas.microsoft.com/sharepoint/v3/contenttype/forms"/>
  </ds:schemaRefs>
</ds:datastoreItem>
</file>

<file path=customXml/itemProps2.xml><?xml version="1.0" encoding="utf-8"?>
<ds:datastoreItem xmlns:ds="http://schemas.openxmlformats.org/officeDocument/2006/customXml" ds:itemID="{05CC67D0-F54E-4251-A2BF-BB89D5A8C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AFB04-696A-4B1B-B050-3B4B576E00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1499</Words>
  <Characters>855</Characters>
  <Application>Microsoft Office Word</Application>
  <DocSecurity>0</DocSecurity>
  <Lines>7</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2021-07-28T07:48:00Z</dcterms:created>
  <dcterms:modified xsi:type="dcterms:W3CDTF">2021-12-13T07:38:00Z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