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02D3" w14:textId="51760DCA" w:rsidR="00331E97" w:rsidRDefault="007F415F" w:rsidP="007F4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LVEK lēmumi,</w:t>
      </w:r>
      <w:r w:rsidR="00FD34C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2021. gad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</w:p>
    <w:p w14:paraId="19BC2180" w14:textId="77BE3BB5" w:rsidR="00FD34C2" w:rsidRDefault="00FD34C2" w:rsidP="00331E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CBED754" w14:textId="57EA7889" w:rsidR="00331E97" w:rsidRDefault="00331E97" w:rsidP="00331E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2021. gada 13. janvārī (sēdes protokola Nr. 1)</w:t>
      </w:r>
    </w:p>
    <w:p w14:paraId="7057B157" w14:textId="77777777" w:rsidR="00331E97" w:rsidRDefault="00331E97" w:rsidP="0033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</w:p>
    <w:p w14:paraId="6F3B524F" w14:textId="77777777" w:rsidR="00331E97" w:rsidRDefault="00331E97" w:rsidP="00331E9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Jautājumā par apģērbu un apavu lielumu vai izmēru</w:t>
      </w:r>
      <w:r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 komisija atbalstīja vārda </w:t>
      </w:r>
      <w:r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lv-LV"/>
        </w:rPr>
        <w:t>izmērs</w:t>
      </w:r>
      <w:r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 lietošanu ar 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  <w:lang w:val="lv-LV"/>
        </w:rPr>
        <w:t>Mūsdienu latviešu valodas vārdnīcas</w:t>
      </w:r>
      <w:r>
        <w:rPr>
          <w:rFonts w:ascii="Times New Roman" w:hAnsi="Times New Roman" w:cs="Times New Roman"/>
          <w:spacing w:val="-2"/>
          <w:sz w:val="24"/>
          <w:szCs w:val="24"/>
          <w:lang w:val="lv-LV"/>
        </w:rPr>
        <w:t xml:space="preserve"> attiecīgajā šķirklī skaidroto nozīmi 'standartizēts lielums (apģērbam, apaviem); šāda lieluma numurs'.</w:t>
      </w:r>
    </w:p>
    <w:p w14:paraId="51D19CB4" w14:textId="77777777" w:rsidR="00331E97" w:rsidRDefault="00331E97" w:rsidP="00331E9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lv-LV"/>
        </w:rPr>
      </w:pPr>
    </w:p>
    <w:p w14:paraId="717596E7" w14:textId="77777777" w:rsidR="00331E97" w:rsidRDefault="00331E97" w:rsidP="00331E97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lv-LV"/>
        </w:rPr>
        <w:t>2021. gada 10. martā (sēdes protokola Nr. 3)</w:t>
      </w:r>
    </w:p>
    <w:p w14:paraId="472B233D" w14:textId="77777777" w:rsidR="00331E97" w:rsidRDefault="00331E97" w:rsidP="00331E9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lv-LV"/>
        </w:rPr>
      </w:pPr>
    </w:p>
    <w:p w14:paraId="5CF3B6CC" w14:textId="77777777" w:rsidR="00331E97" w:rsidRDefault="00331E97" w:rsidP="00331E97">
      <w:pPr>
        <w:pStyle w:val="Vienkrsteksts"/>
        <w:jc w:val="both"/>
        <w:rPr>
          <w:spacing w:val="-4"/>
        </w:rPr>
      </w:pPr>
      <w:r>
        <w:rPr>
          <w:spacing w:val="-2"/>
          <w:szCs w:val="24"/>
        </w:rPr>
        <w:tab/>
        <w:t xml:space="preserve">Komisija </w:t>
      </w:r>
      <w:r>
        <w:rPr>
          <w:spacing w:val="-4"/>
        </w:rPr>
        <w:t xml:space="preserve">vienprātīgi secināja, ka sieviešu dzimuma militārpersonas apzīmēšanai latviešu valodā lietojama vārda </w:t>
      </w:r>
      <w:r>
        <w:rPr>
          <w:i/>
          <w:iCs/>
          <w:spacing w:val="-4"/>
        </w:rPr>
        <w:t>kareivis</w:t>
      </w:r>
      <w:r>
        <w:rPr>
          <w:spacing w:val="-4"/>
        </w:rPr>
        <w:t xml:space="preserve"> sieviešu dzimtes forma </w:t>
      </w:r>
      <w:r>
        <w:rPr>
          <w:b/>
          <w:bCs/>
          <w:i/>
          <w:iCs/>
          <w:spacing w:val="-4"/>
        </w:rPr>
        <w:t>kareive</w:t>
      </w:r>
      <w:r>
        <w:rPr>
          <w:spacing w:val="-4"/>
        </w:rPr>
        <w:t xml:space="preserve"> un nav vajadzības veidot nosaukumus </w:t>
      </w:r>
      <w:proofErr w:type="spellStart"/>
      <w:r>
        <w:rPr>
          <w:i/>
          <w:iCs/>
          <w:spacing w:val="-4"/>
        </w:rPr>
        <w:t>karasieva</w:t>
      </w:r>
      <w:proofErr w:type="spellEnd"/>
      <w:r>
        <w:rPr>
          <w:spacing w:val="-4"/>
        </w:rPr>
        <w:t xml:space="preserve">, </w:t>
      </w:r>
      <w:proofErr w:type="spellStart"/>
      <w:r>
        <w:rPr>
          <w:i/>
          <w:iCs/>
          <w:spacing w:val="-4"/>
        </w:rPr>
        <w:t>karasieviete</w:t>
      </w:r>
      <w:proofErr w:type="spellEnd"/>
      <w:r>
        <w:rPr>
          <w:spacing w:val="-4"/>
        </w:rPr>
        <w:t xml:space="preserve"> vai </w:t>
      </w:r>
      <w:proofErr w:type="spellStart"/>
      <w:r>
        <w:rPr>
          <w:i/>
          <w:iCs/>
          <w:spacing w:val="-4"/>
        </w:rPr>
        <w:t>karavīre</w:t>
      </w:r>
      <w:proofErr w:type="spellEnd"/>
      <w:r>
        <w:rPr>
          <w:spacing w:val="-4"/>
        </w:rPr>
        <w:t>.</w:t>
      </w:r>
    </w:p>
    <w:p w14:paraId="0CB88F92" w14:textId="77777777" w:rsidR="00331E97" w:rsidRDefault="00331E97" w:rsidP="00331E97">
      <w:pPr>
        <w:pStyle w:val="Vienkrsteksts"/>
        <w:jc w:val="both"/>
        <w:rPr>
          <w:spacing w:val="-4"/>
        </w:rPr>
      </w:pPr>
    </w:p>
    <w:p w14:paraId="1F689741" w14:textId="77777777" w:rsidR="00331E97" w:rsidRDefault="00331E97" w:rsidP="00331E97">
      <w:pPr>
        <w:pStyle w:val="Vienkrsteksts"/>
        <w:jc w:val="both"/>
        <w:rPr>
          <w:b/>
          <w:bCs/>
          <w:spacing w:val="-4"/>
        </w:rPr>
      </w:pPr>
      <w:r>
        <w:rPr>
          <w:b/>
          <w:bCs/>
          <w:spacing w:val="-4"/>
        </w:rPr>
        <w:t>2021. gada 14. aprīlī (sēdes protokola Nr. 4)</w:t>
      </w:r>
    </w:p>
    <w:p w14:paraId="0A7F4978" w14:textId="77777777" w:rsidR="00331E97" w:rsidRDefault="00331E97" w:rsidP="00331E97">
      <w:pPr>
        <w:pStyle w:val="Vienkrsteksts"/>
        <w:jc w:val="both"/>
        <w:rPr>
          <w:spacing w:val="-4"/>
        </w:rPr>
      </w:pPr>
    </w:p>
    <w:p w14:paraId="5032448E" w14:textId="77777777" w:rsidR="00331E97" w:rsidRDefault="00331E97" w:rsidP="00331E97">
      <w:pPr>
        <w:pStyle w:val="Vienkrsteksts"/>
        <w:ind w:firstLine="708"/>
        <w:jc w:val="both"/>
        <w:rPr>
          <w:rFonts w:eastAsia="Times New Roman"/>
          <w:b/>
          <w:bCs/>
          <w:color w:val="000000"/>
        </w:rPr>
      </w:pPr>
      <w:r>
        <w:t xml:space="preserve">Izvērtējot LZA Terminoloģijas komisijas Informācijas tehnoloģijas, telekomunikācijas un elektronikas apakškomisijas (12.03.2021. sēdes prot. Nr. 573) ieteiktās terminu </w:t>
      </w:r>
      <w:proofErr w:type="spellStart"/>
      <w:r>
        <w:rPr>
          <w:i/>
          <w:iCs/>
        </w:rPr>
        <w:t>deep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fake</w:t>
      </w:r>
      <w:proofErr w:type="spellEnd"/>
      <w:r>
        <w:t xml:space="preserve"> un </w:t>
      </w:r>
      <w:proofErr w:type="spellStart"/>
      <w:r>
        <w:rPr>
          <w:i/>
          <w:iCs/>
        </w:rPr>
        <w:t>deep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fake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technology</w:t>
      </w:r>
      <w:proofErr w:type="spellEnd"/>
      <w:r>
        <w:t xml:space="preserve"> latviskās atbilsmes </w:t>
      </w:r>
      <w:r>
        <w:rPr>
          <w:b/>
          <w:bCs/>
        </w:rPr>
        <w:t>dziļais viltojums</w:t>
      </w:r>
      <w:r>
        <w:t xml:space="preserve"> un </w:t>
      </w:r>
      <w:r>
        <w:rPr>
          <w:b/>
          <w:bCs/>
        </w:rPr>
        <w:t>dziļo viltojumu tehnoloģija</w:t>
      </w:r>
      <w:r>
        <w:t xml:space="preserve">, </w:t>
      </w:r>
      <w:r>
        <w:rPr>
          <w:rFonts w:eastAsia="Times New Roman"/>
          <w:color w:val="000000"/>
        </w:rPr>
        <w:t xml:space="preserve">LVEK ar balsu vairākumu atbalstīja abus rakstības variantus – </w:t>
      </w:r>
      <w:r>
        <w:rPr>
          <w:rFonts w:eastAsia="Times New Roman"/>
        </w:rPr>
        <w:t>gan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  <w:i/>
          <w:iCs/>
        </w:rPr>
        <w:t>d</w:t>
      </w:r>
      <w:r>
        <w:rPr>
          <w:rFonts w:eastAsia="Times New Roman"/>
          <w:b/>
          <w:bCs/>
          <w:i/>
          <w:iCs/>
          <w:color w:val="000000"/>
        </w:rPr>
        <w:t xml:space="preserve">ziļais viltojums </w:t>
      </w:r>
      <w:r>
        <w:rPr>
          <w:rFonts w:eastAsia="Times New Roman"/>
          <w:color w:val="000000"/>
        </w:rPr>
        <w:t xml:space="preserve">un </w:t>
      </w:r>
      <w:r>
        <w:rPr>
          <w:rFonts w:eastAsia="Times New Roman"/>
          <w:b/>
          <w:bCs/>
          <w:i/>
          <w:iCs/>
          <w:color w:val="000000"/>
        </w:rPr>
        <w:t>dziļo viltojumu tehnoloģija</w:t>
      </w:r>
      <w:r>
        <w:rPr>
          <w:rFonts w:eastAsia="Times New Roman"/>
          <w:i/>
          <w:iCs/>
          <w:color w:val="000000"/>
        </w:rPr>
        <w:t xml:space="preserve">, </w:t>
      </w:r>
      <w:r>
        <w:rPr>
          <w:rFonts w:eastAsia="Times New Roman"/>
          <w:color w:val="000000"/>
        </w:rPr>
        <w:t>gan</w:t>
      </w:r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</w:rPr>
        <w:t>dziļviltojums</w:t>
      </w:r>
      <w:proofErr w:type="spellEnd"/>
      <w:r>
        <w:rPr>
          <w:rFonts w:eastAsia="Times New Roman"/>
          <w:b/>
          <w:bCs/>
          <w:i/>
          <w:iCs/>
          <w:color w:val="000000"/>
        </w:rPr>
        <w:t xml:space="preserve"> </w:t>
      </w:r>
      <w:r>
        <w:rPr>
          <w:rFonts w:eastAsia="Times New Roman"/>
          <w:color w:val="000000"/>
        </w:rPr>
        <w:t>un</w:t>
      </w:r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color w:val="000000"/>
        </w:rPr>
        <w:t>dziļviltojumu</w:t>
      </w:r>
      <w:proofErr w:type="spellEnd"/>
      <w:r>
        <w:rPr>
          <w:rFonts w:eastAsia="Times New Roman"/>
          <w:b/>
          <w:bCs/>
          <w:i/>
          <w:iCs/>
          <w:color w:val="000000"/>
        </w:rPr>
        <w:t xml:space="preserve"> tehnoloģija.</w:t>
      </w:r>
    </w:p>
    <w:p w14:paraId="337CCBC3" w14:textId="77777777" w:rsidR="00331E97" w:rsidRDefault="00331E97" w:rsidP="00331E97">
      <w:pPr>
        <w:pStyle w:val="Vienkrsteksts"/>
        <w:jc w:val="both"/>
        <w:rPr>
          <w:spacing w:val="-4"/>
        </w:rPr>
      </w:pPr>
    </w:p>
    <w:p w14:paraId="55A1B8F4" w14:textId="77777777" w:rsidR="00331E97" w:rsidRDefault="00331E97" w:rsidP="00331E97">
      <w:pPr>
        <w:pStyle w:val="Vienkrsteksts"/>
        <w:jc w:val="both"/>
        <w:rPr>
          <w:b/>
          <w:bCs/>
          <w:spacing w:val="-4"/>
        </w:rPr>
      </w:pPr>
      <w:r>
        <w:rPr>
          <w:b/>
          <w:bCs/>
          <w:spacing w:val="-4"/>
        </w:rPr>
        <w:t>2021. gada 12. maijā (sēdes protokola Nr. 5)</w:t>
      </w:r>
    </w:p>
    <w:p w14:paraId="38413C90" w14:textId="77777777" w:rsidR="00331E97" w:rsidRDefault="00331E97" w:rsidP="00331E97">
      <w:pPr>
        <w:pStyle w:val="Vienkrsteksts"/>
        <w:jc w:val="both"/>
        <w:rPr>
          <w:spacing w:val="-4"/>
        </w:rPr>
      </w:pPr>
    </w:p>
    <w:p w14:paraId="39BD2493" w14:textId="77777777" w:rsidR="00331E97" w:rsidRDefault="00331E97" w:rsidP="0033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spacing w:val="-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Komisijas locekļu vairākums atbalstīja vārda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ārtelpa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lietojumu gan vienskaitlī, gan daudzskaitlī atkarībā no konteksta.</w:t>
      </w:r>
    </w:p>
    <w:p w14:paraId="2830E116" w14:textId="77777777" w:rsidR="00331E97" w:rsidRDefault="00331E97" w:rsidP="0033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LVEK vienprātīgi noraidīja priekšlikumu mainīt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etnonīma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maori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lingvonīma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maoru valoda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rakstību (formā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māori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māoru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valoda</w:t>
      </w:r>
      <w:r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7637DFFB" w14:textId="77777777" w:rsidR="00331E97" w:rsidRDefault="00331E97" w:rsidP="00331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989BF7" w14:textId="77777777" w:rsidR="00331E97" w:rsidRDefault="00331E97" w:rsidP="00331E97">
      <w:pPr>
        <w:pStyle w:val="Vienkrsteksts"/>
        <w:jc w:val="both"/>
        <w:rPr>
          <w:b/>
          <w:bCs/>
          <w:spacing w:val="-4"/>
        </w:rPr>
      </w:pPr>
      <w:r>
        <w:rPr>
          <w:b/>
          <w:bCs/>
          <w:spacing w:val="-4"/>
        </w:rPr>
        <w:t>2021. gada 9. jūnijā (sēdes protokola Nr. 6)</w:t>
      </w:r>
    </w:p>
    <w:p w14:paraId="71A42F44" w14:textId="77777777" w:rsidR="00331E97" w:rsidRDefault="00331E97" w:rsidP="00331E97">
      <w:pPr>
        <w:pStyle w:val="Vienkrsteksts"/>
        <w:jc w:val="both"/>
        <w:rPr>
          <w:spacing w:val="-4"/>
        </w:rPr>
      </w:pPr>
    </w:p>
    <w:p w14:paraId="42B62A0E" w14:textId="77777777" w:rsidR="00331E97" w:rsidRDefault="00331E97" w:rsidP="00331E97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ab/>
        <w:t xml:space="preserve">Izskatot nodibinājuma "Centrs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>Dardedze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 xml:space="preserve">" iesniegumu par </w:t>
      </w:r>
      <w:r>
        <w:rPr>
          <w:rFonts w:ascii="Times New Roman" w:hAnsi="Times New Roman" w:cs="Times New Roman"/>
          <w:sz w:val="24"/>
          <w:szCs w:val="24"/>
          <w:lang w:val="lv-LV"/>
        </w:rPr>
        <w:t>ieteicamo apzīmējumu psiholoģiskai terorizēšanai skolā vai darbavietā</w:t>
      </w: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>, k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omisija ieteica lietot terminu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mobings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lai apzīmētu psiholoģisku terorizēšanu, ko īsteno kolēģi darba vidē vai izglītojamie viens pret otru.</w:t>
      </w:r>
    </w:p>
    <w:p w14:paraId="617839B8" w14:textId="77777777" w:rsidR="00331E97" w:rsidRDefault="00331E97" w:rsidP="00331E97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Eksperti nolēma pagaidām neatbalstīt personas ierosinājumu mainīt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vārda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kapela </w:t>
      </w:r>
      <w:r>
        <w:rPr>
          <w:rFonts w:ascii="Times New Roman" w:hAnsi="Times New Roman" w:cs="Times New Roman"/>
          <w:sz w:val="24"/>
          <w:szCs w:val="24"/>
          <w:lang w:val="lv-LV"/>
        </w:rPr>
        <w:t>pareizrakstību latviešu valodā atkarībā no tā nozīmes.</w:t>
      </w:r>
    </w:p>
    <w:p w14:paraId="5C4B317E" w14:textId="77777777" w:rsidR="00331E97" w:rsidRDefault="00331E97" w:rsidP="00331E97">
      <w:pPr>
        <w:spacing w:after="0" w:line="240" w:lineRule="auto"/>
        <w:ind w:right="-5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6110B6" w14:textId="7405726C" w:rsidR="00466E27" w:rsidRPr="00B92382" w:rsidRDefault="00466E27" w:rsidP="00466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92382">
        <w:rPr>
          <w:rFonts w:ascii="Times New Roman" w:hAnsi="Times New Roman" w:cs="Times New Roman"/>
          <w:b/>
          <w:bCs/>
          <w:sz w:val="24"/>
          <w:szCs w:val="24"/>
          <w:lang w:val="lv-LV"/>
        </w:rPr>
        <w:t>2021. gada 8. septembrī (sēdes pr</w:t>
      </w:r>
      <w:r w:rsidR="00B92382" w:rsidRPr="00B92382">
        <w:rPr>
          <w:rFonts w:ascii="Times New Roman" w:hAnsi="Times New Roman" w:cs="Times New Roman"/>
          <w:b/>
          <w:bCs/>
          <w:sz w:val="24"/>
          <w:szCs w:val="24"/>
          <w:lang w:val="lv-LV"/>
        </w:rPr>
        <w:t>o</w:t>
      </w:r>
      <w:r w:rsidRPr="00B9238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tokola Nr. </w:t>
      </w:r>
      <w:r w:rsidR="00B92382" w:rsidRPr="00B92382">
        <w:rPr>
          <w:rFonts w:ascii="Times New Roman" w:hAnsi="Times New Roman" w:cs="Times New Roman"/>
          <w:b/>
          <w:bCs/>
          <w:sz w:val="24"/>
          <w:szCs w:val="24"/>
          <w:lang w:val="lv-LV"/>
        </w:rPr>
        <w:t>7)</w:t>
      </w:r>
    </w:p>
    <w:p w14:paraId="371AFCC5" w14:textId="77777777" w:rsidR="00B92382" w:rsidRDefault="00B92382" w:rsidP="00466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450B07" w14:textId="0ABF2D05" w:rsidR="00466E27" w:rsidRDefault="00B92382" w:rsidP="00B923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466E27">
        <w:rPr>
          <w:rFonts w:ascii="Times New Roman" w:hAnsi="Times New Roman" w:cs="Times New Roman"/>
          <w:sz w:val="24"/>
          <w:szCs w:val="24"/>
          <w:lang w:val="lv-LV"/>
        </w:rPr>
        <w:t xml:space="preserve">omisija ar balsu vairākumu </w:t>
      </w:r>
      <w:r w:rsidR="00466E27">
        <w:rPr>
          <w:rFonts w:ascii="Times New Roman" w:hAnsi="Times New Roman" w:cs="Times New Roman"/>
          <w:b/>
          <w:bCs/>
          <w:sz w:val="24"/>
          <w:szCs w:val="24"/>
          <w:lang w:val="lv-LV"/>
        </w:rPr>
        <w:t>nolēma</w:t>
      </w:r>
      <w:r w:rsidR="00466E27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74713C1" w14:textId="67AABC35" w:rsidR="00466E27" w:rsidRPr="00B92382" w:rsidRDefault="00466E27" w:rsidP="00466E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1) kā vispārīgs apzīmējums ekstrēmo sporta veida pārstāvjiem ikdienas lietojumā ieteicams sarunvalodas apzīmējums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ekstremāļi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bet oficiālos tekstos un dokumentos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ekstremālisti</w:t>
      </w:r>
      <w:proofErr w:type="spellEnd"/>
      <w:r w:rsidR="00B9238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75A365E" w14:textId="2651201F" w:rsidR="00466E27" w:rsidRDefault="00466E27" w:rsidP="00466E27">
      <w:pPr>
        <w:tabs>
          <w:tab w:val="left" w:pos="885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havajiešu virtuvei raksturīgā ēdiena nosaukums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poke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(smalcinātu zivju salāti) latviešu valodā atveidojams formā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pokijs</w:t>
      </w:r>
      <w:proofErr w:type="spellEnd"/>
      <w:r w:rsidR="00B92382" w:rsidRPr="00B9238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CF9F6A6" w14:textId="34C7F408" w:rsidR="00466E27" w:rsidRDefault="00466E27" w:rsidP="00466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kā </w:t>
      </w:r>
      <w:r>
        <w:rPr>
          <w:rFonts w:ascii="Times New Roman" w:eastAsia="Times New Roman" w:hAnsi="Times New Roman" w:cs="Times New Roman"/>
          <w:sz w:val="24"/>
          <w:szCs w:val="24"/>
          <w:lang w:val="lv-LV" w:eastAsia="de-DE"/>
        </w:rPr>
        <w:t xml:space="preserve">pārtikas produkta – neliela panēta vai kapāta un cepta vai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 w:eastAsia="de-DE"/>
        </w:rPr>
        <w:t>grilēta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 w:eastAsia="de-DE"/>
        </w:rPr>
        <w:t xml:space="preserve"> atkaulotas vistas gaļas gabala </w:t>
      </w: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nugget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) – nosaukums latviešu valodā ieteicama forma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nagets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(dsk.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nageti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), nevis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nagete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(dsk.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nagetes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);</w:t>
      </w:r>
    </w:p>
    <w:p w14:paraId="2A59660A" w14:textId="48D15723" w:rsidR="00466E27" w:rsidRDefault="00466E27" w:rsidP="00466E27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svešvārds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konsilijs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(&lt; latīņu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con'silium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) latviešu valodā atveidojams un turpmāk rakstāms ar garu patskani 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ī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otrā zilbē –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konsīlijs</w:t>
      </w:r>
      <w:r>
        <w:rPr>
          <w:rFonts w:ascii="Times New Roman" w:hAnsi="Times New Roman" w:cs="Times New Roman"/>
          <w:sz w:val="24"/>
          <w:szCs w:val="24"/>
          <w:lang w:val="lv-LV"/>
        </w:rPr>
        <w:t>; šādu atveidojumu pamato vārda oriģinālvalodas uzsvars;</w:t>
      </w:r>
    </w:p>
    <w:p w14:paraId="6A6965DE" w14:textId="604DAF20" w:rsidR="00466E27" w:rsidRDefault="00466E27" w:rsidP="00466E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5) kā ekvivalents angļu valodā lietotajam vārdam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horeca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(zilbju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saliktenis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no vārdiem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Hotel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Restaurant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/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Catering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; apzīmē viesnīcu, restorānu un sabiedriskās ēdināšanas nozari) latviešu valodā ieteicams zilbju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saliktenis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horeka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; ekonomikas un finanšu jomas termina ""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horeca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" cenu indekss" forma netiek mainīta</w:t>
      </w:r>
      <w:r w:rsidR="00B9238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875F600" w14:textId="77777777" w:rsidR="00466E27" w:rsidRDefault="00466E27" w:rsidP="00466E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06B3D9D" w14:textId="7415B51F" w:rsidR="00466E27" w:rsidRPr="0014167A" w:rsidRDefault="0014167A" w:rsidP="00466E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4167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2021. gada 20. oktobrī (sēdes protokola Nr. 8)</w:t>
      </w:r>
    </w:p>
    <w:p w14:paraId="69D3F943" w14:textId="02DA1D7C" w:rsidR="00466E27" w:rsidRDefault="00466E27" w:rsidP="00466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4A9CFE1" w14:textId="47D7656E" w:rsidR="00027A10" w:rsidRDefault="00027A10" w:rsidP="00466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  <w:t>Izskatot konkrētus jautājumus</w:t>
      </w:r>
      <w:r w:rsidR="00A97D32">
        <w:rPr>
          <w:rFonts w:ascii="Times New Roman" w:hAnsi="Times New Roman" w:cs="Times New Roman"/>
          <w:sz w:val="24"/>
          <w:szCs w:val="24"/>
          <w:lang w:val="lv-LV"/>
        </w:rPr>
        <w:t>, komisija:</w:t>
      </w:r>
    </w:p>
    <w:p w14:paraId="040E6A91" w14:textId="77777777" w:rsidR="00466E27" w:rsidRDefault="00466E27" w:rsidP="00466E27">
      <w:pPr>
        <w:spacing w:after="0" w:line="240" w:lineRule="auto"/>
        <w:ind w:left="284" w:right="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konstatēja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lēmums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jautājumā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augu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šķirņu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pareizrakstību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latviešu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pieņemts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2020. </w:t>
      </w:r>
      <w:proofErr w:type="spellStart"/>
      <w:r>
        <w:rPr>
          <w:rFonts w:ascii="Times New Roman" w:hAnsi="Times New Roman" w:cs="Times New Roman"/>
          <w:sz w:val="24"/>
          <w:szCs w:val="24"/>
        </w:rPr>
        <w:t>gada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14. </w:t>
      </w:r>
      <w:proofErr w:type="spellStart"/>
      <w:r>
        <w:rPr>
          <w:rFonts w:ascii="Times New Roman" w:hAnsi="Times New Roman" w:cs="Times New Roman"/>
          <w:sz w:val="24"/>
          <w:szCs w:val="24"/>
        </w:rPr>
        <w:t>oktobra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sēdē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(prot. Nr. 8 2. §)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mainīt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C117E9F" w14:textId="29CE3279" w:rsidR="00466E27" w:rsidRDefault="00466E27" w:rsidP="0014167A">
      <w:pPr>
        <w:spacing w:after="0" w:line="240" w:lineRule="auto"/>
        <w:ind w:left="426" w:right="2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Komisija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lemj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šķirnes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nosaukumu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latviešu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valodā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pieraksta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atbilstoši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reģistrēts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šķirņu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sarakstos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Savukārt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jaunus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nosaukumus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latviešu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valodā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raksta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vienpēdiņās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ar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lielo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burtu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rakstot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tikai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pirmo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vārdu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, ja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vien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otrais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vārds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nav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īpašvārds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neattiecas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nosaukumiem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latviešu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valodā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reģistrēti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šķirņu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sarakstos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līdz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2020. 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14. 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oktobrim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 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raksta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reģistrēti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šķirņu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sarakstos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."</w:t>
      </w:r>
      <w:r w:rsidR="0014167A">
        <w:rPr>
          <w:rFonts w:ascii="Times New Roman" w:hAnsi="Times New Roman" w:cs="Times New Roman"/>
          <w:bCs/>
          <w:sz w:val="24"/>
          <w:szCs w:val="24"/>
        </w:rPr>
        <w:t>;</w:t>
      </w:r>
    </w:p>
    <w:p w14:paraId="4633988A" w14:textId="66731011" w:rsidR="00466E27" w:rsidRDefault="00466E27" w:rsidP="00466E27">
      <w:pPr>
        <w:spacing w:after="0" w:line="240" w:lineRule="auto"/>
        <w:ind w:left="284" w:right="226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secināja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neskaidrību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gadījumos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tautību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veidošanu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lietošanu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latviešu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ieteicams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vadīties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pēc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Valsts valodas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centra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2006. 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jūlija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informācijas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"Par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pasaules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valodu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valodu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nosaukumiem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latviešu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valodā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Latvijas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Vēstnesis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113.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nr.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19.07.2006.; </w:t>
      </w:r>
      <w:hyperlink r:id="rId5" w:history="1">
        <w:r>
          <w:rPr>
            <w:rStyle w:val="Hipersaite"/>
            <w:rFonts w:ascii="Times New Roman" w:hAnsi="Times New Roman" w:cs="Times New Roman"/>
            <w:sz w:val="24"/>
            <w:szCs w:val="24"/>
            <w:shd w:val="clear" w:color="auto" w:fill="FFFFFF"/>
          </w:rPr>
          <w:t>https://www.vestnesis.lv/ta/id/140080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kabineta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2016. 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31. 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noteikumiem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Nr. 329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Noteikumi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Tautību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klasifikatoru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Vēstnesis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106.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02.06.2016.; </w:t>
      </w:r>
      <w:hyperlink r:id="rId6" w:history="1">
        <w:r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 xml:space="preserve">https://likumi.lv/ </w:t>
        </w:r>
        <w:proofErr w:type="spellStart"/>
        <w:r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ta</w:t>
        </w:r>
        <w:proofErr w:type="spellEnd"/>
        <w:r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id</w:t>
        </w:r>
        <w:proofErr w:type="spellEnd"/>
        <w:r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/282521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nepieciešams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izstrādāt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īpašas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vadlīnijas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tautību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nosaukumu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veidošanai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lietošanai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latviešu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valodā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1012EEE3" w14:textId="46A57DC8" w:rsidR="00466E27" w:rsidRDefault="00466E27" w:rsidP="00466E27">
      <w:pPr>
        <w:spacing w:after="0" w:line="240" w:lineRule="auto"/>
        <w:ind w:left="284" w:right="226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vienojās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nav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nepieciešams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mainīt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latviešu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valodas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gramatikas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normas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konstrukcijā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darbības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vārda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nebūt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vienkāršās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tagadnes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trešās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formu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joprojām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lietojams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lietvārds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ģenitīva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formā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piemēram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nav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piena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nav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kauna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D76658" w14:textId="0141CC61" w:rsidR="00466E27" w:rsidRDefault="00466E27" w:rsidP="00466E27">
      <w:pPr>
        <w:spacing w:after="0" w:line="240" w:lineRule="auto"/>
        <w:ind w:left="284" w:right="2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kā angļu termina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lockdown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atbilsmi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ieteica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lietot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frāzi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stingra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izolācija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mājoklī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daļēja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izolācija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mājoklī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atkarībā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situācijas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BE7E6F" w14:textId="77777777" w:rsidR="00466E27" w:rsidRDefault="00466E27" w:rsidP="00466E27">
      <w:pPr>
        <w:spacing w:after="0" w:line="240" w:lineRule="auto"/>
        <w:ind w:left="284" w:right="2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ieteica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starptautiskajā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akadēmiskajā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lietotos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atveidot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šādi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1053222" w14:textId="77777777" w:rsidR="00466E27" w:rsidRDefault="00466E27" w:rsidP="00466E27">
      <w:pPr>
        <w:spacing w:after="0" w:line="240" w:lineRule="auto"/>
        <w:ind w:left="284" w:right="226" w:firstLine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tenūra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3F60F29B" w14:textId="77777777" w:rsidR="00466E27" w:rsidRDefault="00466E27" w:rsidP="00466E27">
      <w:pPr>
        <w:spacing w:after="0" w:line="240" w:lineRule="auto"/>
        <w:ind w:left="284" w:right="226" w:firstLine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tenure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track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lietv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pirmstenūras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gaita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547FD41" w14:textId="77777777" w:rsidR="00466E27" w:rsidRDefault="00466E27" w:rsidP="00466E27">
      <w:pPr>
        <w:spacing w:after="0" w:line="240" w:lineRule="auto"/>
        <w:ind w:left="567" w:right="2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tenure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-track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īp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v.)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tenūrgaitas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tenure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-track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tenūrgaitas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amats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35CB567E" w14:textId="77777777" w:rsidR="00466E27" w:rsidRDefault="00466E27" w:rsidP="00466E27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tenure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-track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īp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v.)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beztenūras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i/>
          <w:iCs/>
          <w:sz w:val="24"/>
          <w:szCs w:val="24"/>
        </w:rPr>
        <w:t>non-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tenure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-track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beztenūras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amats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54C1FC3C" w14:textId="6C7F5919" w:rsidR="00466E27" w:rsidRDefault="00466E27" w:rsidP="00466E27">
      <w:pPr>
        <w:spacing w:after="0" w:line="240" w:lineRule="auto"/>
        <w:ind w:left="284" w:right="226" w:firstLine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tenured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position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tenūramats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tenūrstatuss</w:t>
      </w:r>
      <w:proofErr w:type="spellEnd"/>
      <w:r w:rsidR="0014167A" w:rsidRPr="00027A10">
        <w:rPr>
          <w:rFonts w:ascii="Times New Roman" w:hAnsi="Times New Roman" w:cs="Times New Roman"/>
          <w:sz w:val="24"/>
          <w:szCs w:val="24"/>
        </w:rPr>
        <w:t>.</w:t>
      </w:r>
    </w:p>
    <w:p w14:paraId="30F6692F" w14:textId="77777777" w:rsidR="00466E27" w:rsidRDefault="00466E27" w:rsidP="00466E27">
      <w:pPr>
        <w:spacing w:after="0" w:line="240" w:lineRule="auto"/>
        <w:ind w:left="284" w:right="226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DEC50" w14:textId="6DE57203" w:rsidR="00466E27" w:rsidRPr="00232E54" w:rsidRDefault="00DC509C" w:rsidP="00466E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32E54">
        <w:rPr>
          <w:rFonts w:ascii="Times New Roman" w:hAnsi="Times New Roman" w:cs="Times New Roman"/>
          <w:b/>
          <w:bCs/>
          <w:sz w:val="24"/>
          <w:szCs w:val="24"/>
          <w:lang w:val="lv-LV"/>
        </w:rPr>
        <w:t>2021. gada 10. novembrī (sēdes protokola Nr. 9)</w:t>
      </w:r>
    </w:p>
    <w:p w14:paraId="1653C6D1" w14:textId="77777777" w:rsidR="00DC509C" w:rsidRPr="00DC509C" w:rsidRDefault="00DC509C" w:rsidP="00466E27">
      <w:pPr>
        <w:spacing w:after="0" w:line="240" w:lineRule="auto"/>
        <w:rPr>
          <w:lang w:val="lv-LV"/>
        </w:rPr>
      </w:pPr>
    </w:p>
    <w:p w14:paraId="14CFBAC4" w14:textId="445C9320" w:rsidR="00466E27" w:rsidRDefault="00DC509C" w:rsidP="00DC509C">
      <w:pPr>
        <w:spacing w:after="0" w:line="240" w:lineRule="auto"/>
        <w:ind w:right="226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466E27">
        <w:rPr>
          <w:rFonts w:ascii="Times New Roman" w:hAnsi="Times New Roman" w:cs="Times New Roman"/>
          <w:sz w:val="24"/>
          <w:szCs w:val="24"/>
          <w:lang w:val="lv-LV"/>
        </w:rPr>
        <w:t xml:space="preserve">omisija ar balsu vairākumu </w:t>
      </w:r>
      <w:r w:rsidR="00466E27">
        <w:rPr>
          <w:rFonts w:ascii="Times New Roman" w:hAnsi="Times New Roman" w:cs="Times New Roman"/>
          <w:b/>
          <w:bCs/>
          <w:sz w:val="24"/>
          <w:szCs w:val="24"/>
          <w:lang w:val="lv-LV"/>
        </w:rPr>
        <w:t>nolēma</w:t>
      </w:r>
      <w:r w:rsidR="00466E27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3F35CF3" w14:textId="7DC59A2A" w:rsidR="00466E27" w:rsidRDefault="00466E27" w:rsidP="00466E27">
      <w:pPr>
        <w:spacing w:after="0" w:line="240" w:lineRule="auto"/>
        <w:ind w:left="284" w:right="2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ieteikt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Salvia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hispanica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latviešu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Spānijas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salvija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čija</w:t>
      </w:r>
      <w:proofErr w:type="spellEnd"/>
      <w:r w:rsidR="00DC509C">
        <w:rPr>
          <w:rFonts w:ascii="Times New Roman" w:hAnsi="Times New Roman" w:cs="Times New Roman"/>
          <w:sz w:val="24"/>
          <w:szCs w:val="24"/>
        </w:rPr>
        <w:t>;</w:t>
      </w:r>
    </w:p>
    <w:p w14:paraId="63D21D2E" w14:textId="4FFEAB32" w:rsidR="00466E27" w:rsidRPr="00DC509C" w:rsidRDefault="00466E27" w:rsidP="00466E27">
      <w:pPr>
        <w:spacing w:after="0" w:line="240" w:lineRule="auto"/>
        <w:ind w:left="284" w:right="2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ie</w:t>
      </w:r>
      <w:proofErr w:type="spellStart"/>
      <w:r>
        <w:rPr>
          <w:rFonts w:ascii="Times New Roman" w:hAnsi="Times New Roman" w:cs="Times New Roman"/>
          <w:sz w:val="24"/>
          <w:szCs w:val="24"/>
        </w:rPr>
        <w:t>teikt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apakšējās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raudzēšanas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vācu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Lagerbier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latviešu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atveidot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lāgers</w:t>
      </w:r>
      <w:proofErr w:type="spellEnd"/>
      <w:r w:rsidR="00DC509C" w:rsidRPr="00DC509C">
        <w:rPr>
          <w:rFonts w:ascii="Times New Roman" w:hAnsi="Times New Roman" w:cs="Times New Roman"/>
          <w:sz w:val="24"/>
          <w:szCs w:val="24"/>
        </w:rPr>
        <w:t>;</w:t>
      </w:r>
    </w:p>
    <w:p w14:paraId="05CC10E5" w14:textId="0AD683E0" w:rsidR="00466E27" w:rsidRPr="007963EA" w:rsidRDefault="00466E27" w:rsidP="00466E27">
      <w:pPr>
        <w:spacing w:after="0" w:line="240" w:lineRule="auto"/>
        <w:ind w:left="284" w:right="2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63EA">
        <w:rPr>
          <w:rFonts w:ascii="Times New Roman" w:hAnsi="Times New Roman" w:cs="Times New Roman"/>
          <w:sz w:val="24"/>
          <w:szCs w:val="24"/>
          <w:lang w:val="lv-LV"/>
        </w:rPr>
        <w:t xml:space="preserve">3) </w:t>
      </w:r>
      <w:proofErr w:type="spellStart"/>
      <w:r w:rsidRPr="007963EA">
        <w:rPr>
          <w:rFonts w:ascii="Times New Roman" w:eastAsia="Times New Roman" w:hAnsi="Times New Roman" w:cs="Times New Roman"/>
          <w:sz w:val="24"/>
          <w:szCs w:val="24"/>
        </w:rPr>
        <w:t>nav</w:t>
      </w:r>
      <w:proofErr w:type="spellEnd"/>
      <w:r w:rsidRPr="00796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63EA">
        <w:rPr>
          <w:rFonts w:ascii="Times New Roman" w:eastAsia="Times New Roman" w:hAnsi="Times New Roman" w:cs="Times New Roman"/>
          <w:sz w:val="24"/>
          <w:szCs w:val="24"/>
        </w:rPr>
        <w:t>nepieciešams</w:t>
      </w:r>
      <w:proofErr w:type="spellEnd"/>
      <w:r w:rsidRPr="00796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63EA">
        <w:rPr>
          <w:rFonts w:ascii="Times New Roman" w:eastAsia="Times New Roman" w:hAnsi="Times New Roman" w:cs="Times New Roman"/>
          <w:sz w:val="24"/>
          <w:szCs w:val="24"/>
        </w:rPr>
        <w:t>iekļaut</w:t>
      </w:r>
      <w:proofErr w:type="spellEnd"/>
      <w:r w:rsidRPr="00796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63EA">
        <w:rPr>
          <w:rFonts w:ascii="Times New Roman" w:eastAsia="Times New Roman" w:hAnsi="Times New Roman" w:cs="Times New Roman"/>
          <w:sz w:val="24"/>
          <w:szCs w:val="24"/>
        </w:rPr>
        <w:t>latviešu</w:t>
      </w:r>
      <w:proofErr w:type="spellEnd"/>
      <w:r w:rsidRPr="007963EA">
        <w:rPr>
          <w:rFonts w:ascii="Times New Roman" w:eastAsia="Times New Roman" w:hAnsi="Times New Roman" w:cs="Times New Roman"/>
          <w:sz w:val="24"/>
          <w:szCs w:val="24"/>
        </w:rPr>
        <w:t xml:space="preserve"> valodas </w:t>
      </w:r>
      <w:proofErr w:type="spellStart"/>
      <w:r w:rsidRPr="007963EA">
        <w:rPr>
          <w:rFonts w:ascii="Times New Roman" w:eastAsia="Times New Roman" w:hAnsi="Times New Roman" w:cs="Times New Roman"/>
          <w:sz w:val="24"/>
          <w:szCs w:val="24"/>
        </w:rPr>
        <w:t>vārdu</w:t>
      </w:r>
      <w:proofErr w:type="spellEnd"/>
      <w:r w:rsidRPr="00796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63EA">
        <w:rPr>
          <w:rFonts w:ascii="Times New Roman" w:eastAsia="Times New Roman" w:hAnsi="Times New Roman" w:cs="Times New Roman"/>
          <w:sz w:val="24"/>
          <w:szCs w:val="24"/>
        </w:rPr>
        <w:t>krājumā</w:t>
      </w:r>
      <w:proofErr w:type="spellEnd"/>
      <w:r w:rsidRPr="007963EA">
        <w:rPr>
          <w:rFonts w:ascii="Times New Roman" w:eastAsia="Times New Roman" w:hAnsi="Times New Roman" w:cs="Times New Roman"/>
          <w:sz w:val="24"/>
          <w:szCs w:val="24"/>
        </w:rPr>
        <w:t xml:space="preserve"> personas </w:t>
      </w:r>
      <w:proofErr w:type="spellStart"/>
      <w:r w:rsidRPr="007963EA">
        <w:rPr>
          <w:rFonts w:ascii="Times New Roman" w:eastAsia="Times New Roman" w:hAnsi="Times New Roman" w:cs="Times New Roman"/>
          <w:sz w:val="24"/>
          <w:szCs w:val="24"/>
        </w:rPr>
        <w:t>piedāvāto</w:t>
      </w:r>
      <w:proofErr w:type="spellEnd"/>
      <w:r w:rsidRPr="00796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63EA">
        <w:rPr>
          <w:rFonts w:ascii="Times New Roman" w:eastAsia="Times New Roman" w:hAnsi="Times New Roman" w:cs="Times New Roman"/>
          <w:sz w:val="24"/>
          <w:szCs w:val="24"/>
        </w:rPr>
        <w:t>jaunvārdu</w:t>
      </w:r>
      <w:proofErr w:type="spellEnd"/>
      <w:r w:rsidRPr="00796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63EA">
        <w:rPr>
          <w:rStyle w:val="Izclums"/>
          <w:rFonts w:ascii="Times New Roman" w:eastAsia="Times New Roman" w:hAnsi="Times New Roman" w:cs="Times New Roman"/>
          <w:sz w:val="24"/>
          <w:szCs w:val="24"/>
        </w:rPr>
        <w:t>mājrade</w:t>
      </w:r>
      <w:proofErr w:type="spellEnd"/>
      <w:r w:rsidRPr="00796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963EA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796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apzīmētu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aktīvu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radošu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nodarbošanos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un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darba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veikšanu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no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mājām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īpašo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pārvietošanās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ierobežojumu</w:t>
      </w:r>
      <w:proofErr w:type="spellEnd"/>
      <w:r w:rsidRPr="007963E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963EA">
        <w:rPr>
          <w:rFonts w:ascii="Times New Roman" w:hAnsi="Times New Roman" w:cs="Times New Roman"/>
          <w:color w:val="212121"/>
          <w:sz w:val="24"/>
          <w:szCs w:val="24"/>
        </w:rPr>
        <w:t>apstākļos</w:t>
      </w:r>
      <w:proofErr w:type="spellEnd"/>
      <w:r w:rsidR="007963EA">
        <w:rPr>
          <w:rFonts w:ascii="Times New Roman" w:hAnsi="Times New Roman" w:cs="Times New Roman"/>
          <w:color w:val="212121"/>
          <w:sz w:val="24"/>
          <w:szCs w:val="24"/>
        </w:rPr>
        <w:t>;</w:t>
      </w:r>
    </w:p>
    <w:p w14:paraId="1896CFEB" w14:textId="64FC29B2" w:rsidR="00466E27" w:rsidRDefault="00466E27" w:rsidP="00466E27">
      <w:pPr>
        <w:spacing w:after="0" w:line="240" w:lineRule="auto"/>
        <w:ind w:left="284" w:right="2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ab/>
        <w:t>n</w:t>
      </w:r>
      <w:proofErr w:type="spellStart"/>
      <w:r>
        <w:rPr>
          <w:rFonts w:ascii="Times New Roman" w:hAnsi="Times New Roman" w:cs="Times New Roman"/>
          <w:sz w:val="24"/>
          <w:szCs w:val="24"/>
        </w:rPr>
        <w:t>eatbalstīt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ierosinājumu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mainīt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dzelzceļa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pieturas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Atgāzene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slimnīca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šajā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saglabājams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vietvārds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kultūr</w:t>
      </w:r>
      <w:r>
        <w:rPr>
          <w:rFonts w:ascii="Times New Roman" w:hAnsi="Times New Roman" w:cs="Times New Roman"/>
          <w:sz w:val="24"/>
          <w:szCs w:val="24"/>
        </w:rPr>
        <w:softHyphen/>
        <w:t>vēsturiskā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mantojuma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daļa</w:t>
      </w:r>
      <w:proofErr w:type="spellEnd"/>
      <w:r w:rsidR="007963EA">
        <w:rPr>
          <w:rFonts w:ascii="Times New Roman" w:hAnsi="Times New Roman" w:cs="Times New Roman"/>
          <w:sz w:val="24"/>
          <w:szCs w:val="24"/>
        </w:rPr>
        <w:t>.</w:t>
      </w:r>
    </w:p>
    <w:p w14:paraId="6CB33838" w14:textId="77777777" w:rsidR="00466E27" w:rsidRDefault="00466E27" w:rsidP="00466E27">
      <w:pPr>
        <w:spacing w:after="0" w:line="240" w:lineRule="auto"/>
        <w:ind w:left="284" w:right="226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80BD7C" w14:textId="50B6FD40" w:rsidR="00466E27" w:rsidRPr="00232E54" w:rsidRDefault="007963EA" w:rsidP="00466E27">
      <w:pPr>
        <w:spacing w:after="0" w:line="240" w:lineRule="auto"/>
        <w:ind w:left="284" w:right="226" w:hanging="284"/>
        <w:jc w:val="both"/>
        <w:rPr>
          <w:b/>
          <w:bCs/>
          <w:lang w:val="lv-LV"/>
        </w:rPr>
      </w:pPr>
      <w:r w:rsidRPr="00232E5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2021. gada </w:t>
      </w:r>
      <w:r w:rsidR="00232E54" w:rsidRPr="00232E54">
        <w:rPr>
          <w:rFonts w:ascii="Times New Roman" w:hAnsi="Times New Roman" w:cs="Times New Roman"/>
          <w:b/>
          <w:bCs/>
          <w:sz w:val="24"/>
          <w:szCs w:val="24"/>
          <w:lang w:val="lv-LV"/>
        </w:rPr>
        <w:t>8. decembrī (sēdes protokola Nr. 10)</w:t>
      </w:r>
    </w:p>
    <w:p w14:paraId="022DF923" w14:textId="77777777" w:rsidR="00232E54" w:rsidRDefault="00232E54" w:rsidP="00466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FF206F5" w14:textId="6D6E7D37" w:rsidR="00466E27" w:rsidRDefault="00232E54" w:rsidP="00232E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466E27">
        <w:rPr>
          <w:rFonts w:ascii="Times New Roman" w:hAnsi="Times New Roman" w:cs="Times New Roman"/>
          <w:sz w:val="24"/>
          <w:szCs w:val="24"/>
          <w:lang w:val="lv-LV"/>
        </w:rPr>
        <w:t xml:space="preserve">omisija ar balsu vairākumu </w:t>
      </w:r>
      <w:r w:rsidR="00466E27">
        <w:rPr>
          <w:rFonts w:ascii="Times New Roman" w:hAnsi="Times New Roman" w:cs="Times New Roman"/>
          <w:b/>
          <w:bCs/>
          <w:sz w:val="24"/>
          <w:szCs w:val="24"/>
          <w:lang w:val="lv-LV"/>
        </w:rPr>
        <w:t>nolēma</w:t>
      </w:r>
      <w:r w:rsidR="00466E27">
        <w:rPr>
          <w:rFonts w:ascii="Times New Roman" w:hAnsi="Times New Roman" w:cs="Times New Roman"/>
          <w:sz w:val="24"/>
          <w:szCs w:val="24"/>
          <w:lang w:val="lv-LV"/>
        </w:rPr>
        <w:t xml:space="preserve"> ieteikt šādus tējas veidu nosaukumus:</w:t>
      </w:r>
    </w:p>
    <w:p w14:paraId="7DBF69D0" w14:textId="77777777" w:rsidR="00466E27" w:rsidRDefault="00466E27" w:rsidP="00466E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no ķīniešu valodas: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Oolong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Vulunas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tēja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Pu'er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Pu-erh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tea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)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Pueras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tēja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Sheng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Puerh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svaiga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Pueras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tēja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Shou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Pu-erh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nogatavināta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Pueras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tēja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Gaiwan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tēja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gaivaņā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87802C7" w14:textId="77777777" w:rsidR="00466E27" w:rsidRDefault="00466E27" w:rsidP="00466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2) no japāņu valodas: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Gyokuro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gjokuro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Sencha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senča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Maccha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matča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F09FE49" w14:textId="77777777" w:rsidR="00466E27" w:rsidRDefault="00466E27" w:rsidP="00466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3) no hindi valodas: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Chai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tea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čai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F9D229E" w14:textId="77777777" w:rsidR="00466E27" w:rsidRDefault="00466E27" w:rsidP="00466E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4)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no vjetnamiešu valodas: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Tue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Chua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-Lai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Chau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Tuoču-Lajķou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tēja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23B5CBD" w14:textId="7AE70E9E" w:rsidR="00466E27" w:rsidRDefault="00466E27" w:rsidP="00466E2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5) no angļu valodas: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Gunpowder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green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tea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fermentēta zaļā tēja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1E18A8D" w14:textId="77777777" w:rsidR="00331E97" w:rsidRDefault="00331E97"/>
    <w:sectPr w:rsidR="00331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DA0"/>
    <w:multiLevelType w:val="hybridMultilevel"/>
    <w:tmpl w:val="F40C0338"/>
    <w:lvl w:ilvl="0" w:tplc="B7B63468">
      <w:start w:val="4"/>
      <w:numFmt w:val="decimal"/>
      <w:lvlText w:val="%1)"/>
      <w:lvlJc w:val="left"/>
      <w:pPr>
        <w:ind w:left="928" w:hanging="360"/>
      </w:pPr>
    </w:lvl>
    <w:lvl w:ilvl="1" w:tplc="04070019">
      <w:start w:val="1"/>
      <w:numFmt w:val="lowerLetter"/>
      <w:lvlText w:val="%2."/>
      <w:lvlJc w:val="left"/>
      <w:pPr>
        <w:ind w:left="1648" w:hanging="360"/>
      </w:pPr>
    </w:lvl>
    <w:lvl w:ilvl="2" w:tplc="0407001B">
      <w:start w:val="1"/>
      <w:numFmt w:val="lowerRoman"/>
      <w:lvlText w:val="%3."/>
      <w:lvlJc w:val="right"/>
      <w:pPr>
        <w:ind w:left="2368" w:hanging="180"/>
      </w:pPr>
    </w:lvl>
    <w:lvl w:ilvl="3" w:tplc="0407000F">
      <w:start w:val="1"/>
      <w:numFmt w:val="decimal"/>
      <w:lvlText w:val="%4."/>
      <w:lvlJc w:val="left"/>
      <w:pPr>
        <w:ind w:left="3088" w:hanging="360"/>
      </w:pPr>
    </w:lvl>
    <w:lvl w:ilvl="4" w:tplc="04070019">
      <w:start w:val="1"/>
      <w:numFmt w:val="lowerLetter"/>
      <w:lvlText w:val="%5."/>
      <w:lvlJc w:val="left"/>
      <w:pPr>
        <w:ind w:left="3808" w:hanging="360"/>
      </w:pPr>
    </w:lvl>
    <w:lvl w:ilvl="5" w:tplc="0407001B">
      <w:start w:val="1"/>
      <w:numFmt w:val="lowerRoman"/>
      <w:lvlText w:val="%6."/>
      <w:lvlJc w:val="right"/>
      <w:pPr>
        <w:ind w:left="4528" w:hanging="180"/>
      </w:pPr>
    </w:lvl>
    <w:lvl w:ilvl="6" w:tplc="0407000F">
      <w:start w:val="1"/>
      <w:numFmt w:val="decimal"/>
      <w:lvlText w:val="%7."/>
      <w:lvlJc w:val="left"/>
      <w:pPr>
        <w:ind w:left="5248" w:hanging="360"/>
      </w:pPr>
    </w:lvl>
    <w:lvl w:ilvl="7" w:tplc="04070019">
      <w:start w:val="1"/>
      <w:numFmt w:val="lowerLetter"/>
      <w:lvlText w:val="%8."/>
      <w:lvlJc w:val="left"/>
      <w:pPr>
        <w:ind w:left="5968" w:hanging="360"/>
      </w:pPr>
    </w:lvl>
    <w:lvl w:ilvl="8" w:tplc="0407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97"/>
    <w:rsid w:val="00027A10"/>
    <w:rsid w:val="0014167A"/>
    <w:rsid w:val="00232E54"/>
    <w:rsid w:val="00331E97"/>
    <w:rsid w:val="00466E27"/>
    <w:rsid w:val="007963EA"/>
    <w:rsid w:val="007F415F"/>
    <w:rsid w:val="00A97D32"/>
    <w:rsid w:val="00B92382"/>
    <w:rsid w:val="00DC509C"/>
    <w:rsid w:val="00F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DA69"/>
  <w15:chartTrackingRefBased/>
  <w15:docId w15:val="{F46DE5DB-C66E-4578-A11B-FF59D1DB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1E97"/>
    <w:pPr>
      <w:spacing w:line="256" w:lineRule="auto"/>
    </w:pPr>
    <w:rPr>
      <w:lang w:val="de-D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iPriority w:val="99"/>
    <w:semiHidden/>
    <w:unhideWhenUsed/>
    <w:rsid w:val="00331E97"/>
    <w:pPr>
      <w:spacing w:after="0" w:line="240" w:lineRule="auto"/>
    </w:pPr>
    <w:rPr>
      <w:rFonts w:ascii="Times New Roman" w:eastAsia="Calibri" w:hAnsi="Times New Roman" w:cs="Times New Roman"/>
      <w:sz w:val="24"/>
      <w:szCs w:val="21"/>
      <w:lang w:val="lv-LV" w:eastAsia="lv-LV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331E97"/>
    <w:rPr>
      <w:rFonts w:ascii="Times New Roman" w:eastAsia="Calibri" w:hAnsi="Times New Roman" w:cs="Times New Roman"/>
      <w:sz w:val="24"/>
      <w:szCs w:val="21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466E2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466E27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466E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%20ta/id/282521" TargetMode="External"/><Relationship Id="rId5" Type="http://schemas.openxmlformats.org/officeDocument/2006/relationships/hyperlink" Target="https://www.vestnesis.lv/ta/id/140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4038</Words>
  <Characters>2302</Characters>
  <Application>Microsoft Office Word</Application>
  <DocSecurity>0</DocSecurity>
  <Lines>19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Timuška</dc:creator>
  <cp:keywords/>
  <dc:description/>
  <cp:lastModifiedBy>Agris Timuška</cp:lastModifiedBy>
  <cp:revision>11</cp:revision>
  <dcterms:created xsi:type="dcterms:W3CDTF">2021-12-23T08:01:00Z</dcterms:created>
  <dcterms:modified xsi:type="dcterms:W3CDTF">2022-01-04T07:24:00Z</dcterms:modified>
</cp:coreProperties>
</file>