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D85F" w14:textId="77777777" w:rsidR="00B97AEE" w:rsidRDefault="00B97AEE" w:rsidP="00B97AEE">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75405D24" wp14:editId="41422EE1">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21807FE4" w14:textId="77777777" w:rsidR="00B97AEE" w:rsidRDefault="00B97AEE" w:rsidP="00B97AEE">
      <w:pPr>
        <w:widowControl/>
        <w:jc w:val="both"/>
        <w:rPr>
          <w:rFonts w:ascii="Times New Roman" w:eastAsia="Times New Roman" w:hAnsi="Times New Roman" w:cs="Times New Roman"/>
          <w:noProof/>
          <w:sz w:val="24"/>
          <w:szCs w:val="7"/>
        </w:rPr>
      </w:pPr>
    </w:p>
    <w:p w14:paraId="59B71D53" w14:textId="77777777" w:rsidR="00B97AEE" w:rsidRDefault="00B97AEE" w:rsidP="00B97AEE">
      <w:pPr>
        <w:widowControl/>
        <w:jc w:val="both"/>
        <w:rPr>
          <w:rFonts w:ascii="Times New Roman" w:eastAsia="Times New Roman" w:hAnsi="Times New Roman" w:cs="Times New Roman"/>
          <w:noProof/>
          <w:sz w:val="24"/>
          <w:szCs w:val="7"/>
        </w:rPr>
      </w:pPr>
    </w:p>
    <w:p w14:paraId="60ECEEA3" w14:textId="77777777" w:rsidR="00B97AEE" w:rsidRPr="006143DB" w:rsidRDefault="00B97AEE" w:rsidP="00B97AEE">
      <w:pPr>
        <w:widowControl/>
        <w:jc w:val="both"/>
        <w:rPr>
          <w:rFonts w:ascii="Times New Roman" w:eastAsia="Times New Roman" w:hAnsi="Times New Roman" w:cs="Times New Roman"/>
          <w:noProof/>
          <w:sz w:val="24"/>
          <w:szCs w:val="20"/>
        </w:rPr>
      </w:pPr>
    </w:p>
    <w:p w14:paraId="7C8BDC38" w14:textId="77777777" w:rsidR="00B97AEE" w:rsidRPr="006143DB" w:rsidRDefault="00B97AEE" w:rsidP="00B97AEE">
      <w:pPr>
        <w:widowControl/>
        <w:jc w:val="both"/>
        <w:rPr>
          <w:rFonts w:ascii="Times New Roman" w:eastAsia="Times New Roman" w:hAnsi="Times New Roman" w:cs="Times New Roman"/>
          <w:noProof/>
          <w:sz w:val="24"/>
          <w:szCs w:val="20"/>
        </w:rPr>
      </w:pPr>
    </w:p>
    <w:p w14:paraId="1C8C5DF6" w14:textId="77777777" w:rsidR="00B97AEE" w:rsidRPr="006143DB" w:rsidRDefault="00B97AEE" w:rsidP="00B97AEE">
      <w:pPr>
        <w:widowControl/>
        <w:jc w:val="both"/>
        <w:rPr>
          <w:rFonts w:ascii="Times New Roman" w:eastAsia="Times New Roman" w:hAnsi="Times New Roman" w:cs="Times New Roman"/>
          <w:noProof/>
          <w:sz w:val="24"/>
          <w:szCs w:val="20"/>
        </w:rPr>
      </w:pPr>
    </w:p>
    <w:p w14:paraId="4FFD6588" w14:textId="77777777" w:rsidR="00B97AEE" w:rsidRPr="006143DB" w:rsidRDefault="00B97AEE" w:rsidP="00B97AEE">
      <w:pPr>
        <w:widowControl/>
        <w:jc w:val="both"/>
        <w:rPr>
          <w:rFonts w:ascii="Times New Roman" w:eastAsia="Times New Roman" w:hAnsi="Times New Roman" w:cs="Times New Roman"/>
          <w:noProof/>
          <w:sz w:val="24"/>
          <w:szCs w:val="20"/>
        </w:rPr>
      </w:pPr>
    </w:p>
    <w:p w14:paraId="472CF0F7" w14:textId="77777777" w:rsidR="00B97AEE" w:rsidRPr="006143DB" w:rsidRDefault="00B97AEE" w:rsidP="00B97AEE">
      <w:pPr>
        <w:widowControl/>
        <w:jc w:val="both"/>
        <w:rPr>
          <w:rFonts w:ascii="Times New Roman" w:eastAsia="Times New Roman" w:hAnsi="Times New Roman" w:cs="Times New Roman"/>
          <w:noProof/>
          <w:sz w:val="24"/>
          <w:szCs w:val="20"/>
        </w:rPr>
      </w:pPr>
    </w:p>
    <w:p w14:paraId="2225166A" w14:textId="77777777" w:rsidR="00B97AEE" w:rsidRPr="006143DB" w:rsidRDefault="00B97AEE" w:rsidP="00B97AEE">
      <w:pPr>
        <w:widowControl/>
        <w:jc w:val="both"/>
        <w:rPr>
          <w:rFonts w:ascii="Times New Roman" w:eastAsia="Times New Roman" w:hAnsi="Times New Roman" w:cs="Times New Roman"/>
          <w:noProof/>
          <w:sz w:val="24"/>
          <w:szCs w:val="20"/>
        </w:rPr>
      </w:pPr>
    </w:p>
    <w:p w14:paraId="03D99C74" w14:textId="77777777" w:rsidR="00B97AEE" w:rsidRPr="006143DB" w:rsidRDefault="00B97AEE" w:rsidP="00B97AEE">
      <w:pPr>
        <w:widowControl/>
        <w:jc w:val="both"/>
        <w:rPr>
          <w:rFonts w:ascii="Times New Roman" w:eastAsia="Times New Roman" w:hAnsi="Times New Roman" w:cs="Times New Roman"/>
          <w:noProof/>
          <w:sz w:val="24"/>
          <w:szCs w:val="20"/>
        </w:rPr>
      </w:pPr>
    </w:p>
    <w:p w14:paraId="4E53CD9B" w14:textId="77777777" w:rsidR="00B97AEE" w:rsidRDefault="00B97AEE" w:rsidP="00B97AEE">
      <w:pPr>
        <w:widowControl/>
        <w:jc w:val="both"/>
        <w:rPr>
          <w:rFonts w:ascii="Times New Roman" w:eastAsia="Times New Roman" w:hAnsi="Times New Roman" w:cs="Times New Roman"/>
          <w:noProof/>
          <w:sz w:val="24"/>
          <w:szCs w:val="20"/>
        </w:rPr>
      </w:pPr>
    </w:p>
    <w:p w14:paraId="00038762" w14:textId="77777777" w:rsidR="00B97AEE" w:rsidRDefault="00B97AEE" w:rsidP="00B97AEE">
      <w:pPr>
        <w:widowControl/>
        <w:jc w:val="both"/>
        <w:rPr>
          <w:rFonts w:ascii="Times New Roman" w:eastAsia="Times New Roman" w:hAnsi="Times New Roman" w:cs="Times New Roman"/>
          <w:noProof/>
          <w:sz w:val="24"/>
          <w:szCs w:val="20"/>
        </w:rPr>
      </w:pPr>
    </w:p>
    <w:p w14:paraId="226D6670" w14:textId="77777777" w:rsidR="00B97AEE" w:rsidRDefault="00B97AEE" w:rsidP="00B97AEE">
      <w:pPr>
        <w:widowControl/>
        <w:jc w:val="both"/>
        <w:rPr>
          <w:rFonts w:ascii="Times New Roman" w:eastAsia="Times New Roman" w:hAnsi="Times New Roman" w:cs="Times New Roman"/>
          <w:noProof/>
          <w:sz w:val="24"/>
          <w:szCs w:val="20"/>
        </w:rPr>
      </w:pPr>
    </w:p>
    <w:p w14:paraId="59FF9421" w14:textId="77777777" w:rsidR="00B97AEE" w:rsidRDefault="00B97AEE" w:rsidP="00B97AEE">
      <w:pPr>
        <w:widowControl/>
        <w:jc w:val="both"/>
        <w:rPr>
          <w:rFonts w:ascii="Times New Roman" w:eastAsia="Times New Roman" w:hAnsi="Times New Roman" w:cs="Times New Roman"/>
          <w:noProof/>
          <w:sz w:val="24"/>
          <w:szCs w:val="20"/>
        </w:rPr>
      </w:pPr>
    </w:p>
    <w:p w14:paraId="3CE29B8E" w14:textId="77777777" w:rsidR="00B97AEE" w:rsidRDefault="00B97AEE" w:rsidP="00B97AEE">
      <w:pPr>
        <w:widowControl/>
        <w:jc w:val="both"/>
        <w:rPr>
          <w:rFonts w:ascii="Times New Roman" w:eastAsia="Times New Roman" w:hAnsi="Times New Roman" w:cs="Times New Roman"/>
          <w:noProof/>
          <w:sz w:val="24"/>
          <w:szCs w:val="20"/>
        </w:rPr>
      </w:pPr>
    </w:p>
    <w:p w14:paraId="5C766569" w14:textId="77777777" w:rsidR="00B97AEE" w:rsidRPr="006143DB" w:rsidRDefault="00B97AEE" w:rsidP="00B97AEE">
      <w:pPr>
        <w:widowControl/>
        <w:jc w:val="both"/>
        <w:rPr>
          <w:rFonts w:ascii="Times New Roman" w:eastAsia="Times New Roman" w:hAnsi="Times New Roman" w:cs="Times New Roman"/>
          <w:noProof/>
          <w:sz w:val="24"/>
          <w:szCs w:val="20"/>
        </w:rPr>
      </w:pPr>
    </w:p>
    <w:p w14:paraId="451D4A48" w14:textId="77777777" w:rsidR="00B97AEE" w:rsidRPr="006143DB" w:rsidRDefault="00B97AEE" w:rsidP="00B97AEE">
      <w:pPr>
        <w:widowControl/>
        <w:jc w:val="both"/>
        <w:rPr>
          <w:rFonts w:ascii="Times New Roman" w:eastAsia="Times New Roman" w:hAnsi="Times New Roman" w:cs="Times New Roman"/>
          <w:noProof/>
          <w:sz w:val="24"/>
          <w:szCs w:val="20"/>
        </w:rPr>
      </w:pPr>
    </w:p>
    <w:p w14:paraId="0FB77D88" w14:textId="77777777" w:rsidR="00B97AEE" w:rsidRPr="006143DB" w:rsidRDefault="00B97AEE" w:rsidP="00B97AEE">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B97AEE" w:rsidRPr="005E20A9" w14:paraId="06733C44" w14:textId="77777777" w:rsidTr="00242433">
        <w:tc>
          <w:tcPr>
            <w:tcW w:w="3652" w:type="dxa"/>
          </w:tcPr>
          <w:p w14:paraId="0D5787ED" w14:textId="77777777" w:rsidR="00B97AEE" w:rsidRPr="005E20A9" w:rsidRDefault="00B97AEE" w:rsidP="00242433">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72064771" w14:textId="77777777" w:rsidR="00B97AEE" w:rsidRPr="005E20A9" w:rsidRDefault="00B97AEE" w:rsidP="00242433">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75EFAAAA" w14:textId="77777777" w:rsidR="00B97AEE" w:rsidRPr="005E20A9" w:rsidRDefault="00B97AEE" w:rsidP="00242433">
            <w:pPr>
              <w:widowControl/>
              <w:jc w:val="both"/>
              <w:rPr>
                <w:rFonts w:ascii="Times New Roman" w:eastAsia="Times New Roman" w:hAnsi="Times New Roman" w:cs="Times New Roman"/>
                <w:noProof/>
                <w:sz w:val="28"/>
                <w:szCs w:val="24"/>
              </w:rPr>
            </w:pPr>
            <w:r>
              <w:rPr>
                <w:rFonts w:ascii="Times New Roman" w:hAnsi="Times New Roman"/>
                <w:sz w:val="28"/>
                <w:szCs w:val="24"/>
              </w:rPr>
              <w:t>20/12/2019</w:t>
            </w:r>
          </w:p>
        </w:tc>
      </w:tr>
    </w:tbl>
    <w:p w14:paraId="0DDB9D9A" w14:textId="77777777" w:rsidR="00B97AEE" w:rsidRDefault="00B97AEE" w:rsidP="00B97AEE">
      <w:pPr>
        <w:widowControl/>
        <w:jc w:val="both"/>
        <w:rPr>
          <w:rFonts w:ascii="Times New Roman" w:eastAsia="Times New Roman" w:hAnsi="Times New Roman" w:cs="Times New Roman"/>
          <w:noProof/>
          <w:sz w:val="24"/>
          <w:szCs w:val="20"/>
        </w:rPr>
      </w:pPr>
    </w:p>
    <w:p w14:paraId="3D39C675" w14:textId="77777777" w:rsidR="00B97AEE" w:rsidRDefault="00B97AEE" w:rsidP="00B97AEE">
      <w:pPr>
        <w:widowControl/>
        <w:jc w:val="both"/>
        <w:rPr>
          <w:rFonts w:ascii="Times New Roman" w:eastAsia="Times New Roman" w:hAnsi="Times New Roman" w:cs="Times New Roman"/>
          <w:noProof/>
          <w:sz w:val="24"/>
          <w:szCs w:val="7"/>
        </w:rPr>
      </w:pPr>
    </w:p>
    <w:p w14:paraId="6C7F421B" w14:textId="77777777" w:rsidR="00B97AEE" w:rsidRDefault="00B97AEE" w:rsidP="00B97AEE">
      <w:pPr>
        <w:rPr>
          <w:rFonts w:ascii="Times New Roman" w:eastAsia="Times New Roman" w:hAnsi="Times New Roman" w:cs="Times New Roman"/>
          <w:noProof/>
          <w:sz w:val="24"/>
          <w:szCs w:val="7"/>
        </w:rPr>
      </w:pPr>
      <w:r>
        <w:br w:type="page"/>
      </w:r>
    </w:p>
    <w:p w14:paraId="6917EA36" w14:textId="77777777" w:rsidR="00B97AEE" w:rsidRPr="006143DB" w:rsidRDefault="00B97AEE" w:rsidP="00B97AEE">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B97AEE" w14:paraId="7938766E" w14:textId="77777777" w:rsidTr="00242433">
        <w:tc>
          <w:tcPr>
            <w:tcW w:w="4640" w:type="dxa"/>
          </w:tcPr>
          <w:p w14:paraId="558102BE" w14:textId="77777777" w:rsidR="00B97AEE" w:rsidRDefault="00B97AEE" w:rsidP="00242433">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515306CB" w14:textId="77777777" w:rsidR="00B97AEE" w:rsidRDefault="00B97AEE" w:rsidP="00242433">
            <w:pPr>
              <w:pStyle w:val="BodyText"/>
              <w:widowControl/>
              <w:tabs>
                <w:tab w:val="left" w:pos="8091"/>
              </w:tabs>
              <w:ind w:left="0"/>
              <w:jc w:val="right"/>
              <w:rPr>
                <w:rFonts w:cs="Times New Roman"/>
                <w:noProof/>
                <w:sz w:val="24"/>
                <w:szCs w:val="16"/>
              </w:rPr>
            </w:pPr>
            <w:r>
              <w:rPr>
                <w:sz w:val="24"/>
              </w:rPr>
              <w:t>C</w:t>
            </w:r>
            <w:r>
              <w:rPr>
                <w:sz w:val="24"/>
              </w:rPr>
              <w:noBreakHyphen/>
              <w:t>450/19 - 18</w:t>
            </w:r>
          </w:p>
        </w:tc>
      </w:tr>
    </w:tbl>
    <w:p w14:paraId="06244E41" w14:textId="77777777" w:rsidR="00B97AEE" w:rsidRDefault="00B97AEE" w:rsidP="00B97AEE">
      <w:pPr>
        <w:widowControl/>
        <w:jc w:val="both"/>
        <w:rPr>
          <w:rFonts w:ascii="Times New Roman" w:eastAsia="Times New Roman" w:hAnsi="Times New Roman" w:cs="Times New Roman"/>
          <w:noProof/>
          <w:sz w:val="24"/>
          <w:szCs w:val="16"/>
        </w:rPr>
      </w:pPr>
    </w:p>
    <w:p w14:paraId="39DAC37E" w14:textId="77777777" w:rsidR="00B97AEE" w:rsidRDefault="00860686" w:rsidP="00B97AEE">
      <w:pPr>
        <w:pStyle w:val="BodyText"/>
        <w:widowControl/>
        <w:ind w:left="0" w:firstLine="0"/>
        <w:jc w:val="center"/>
        <w:rPr>
          <w:rFonts w:cs="Times New Roman"/>
          <w:noProof/>
          <w:sz w:val="24"/>
        </w:rPr>
      </w:pPr>
      <w:r>
        <w:rPr>
          <w:sz w:val="24"/>
        </w:rPr>
        <w:t>Itālijas apsvērumi</w:t>
      </w:r>
    </w:p>
    <w:p w14:paraId="188A953D" w14:textId="77777777" w:rsidR="00B97AEE" w:rsidRDefault="00B97AEE" w:rsidP="00B97AEE">
      <w:pPr>
        <w:pStyle w:val="BodyText"/>
        <w:widowControl/>
        <w:ind w:left="0" w:firstLine="0"/>
        <w:jc w:val="center"/>
        <w:rPr>
          <w:rFonts w:cs="Times New Roman"/>
          <w:noProof/>
          <w:sz w:val="24"/>
        </w:rPr>
      </w:pPr>
    </w:p>
    <w:p w14:paraId="178BFE2F" w14:textId="4686E299" w:rsidR="00860686" w:rsidRDefault="00860686" w:rsidP="00B97AEE">
      <w:pPr>
        <w:pStyle w:val="BodyText"/>
        <w:widowControl/>
        <w:ind w:left="0" w:firstLine="0"/>
        <w:jc w:val="center"/>
        <w:rPr>
          <w:rFonts w:cs="Times New Roman"/>
          <w:noProof/>
          <w:sz w:val="24"/>
          <w:szCs w:val="20"/>
        </w:rPr>
      </w:pPr>
      <w:r>
        <w:rPr>
          <w:sz w:val="24"/>
        </w:rPr>
        <w:t>Lietā C</w:t>
      </w:r>
      <w:r>
        <w:rPr>
          <w:sz w:val="24"/>
        </w:rPr>
        <w:noBreakHyphen/>
        <w:t>450/19</w:t>
      </w:r>
      <w:r w:rsidR="0023122F" w:rsidRPr="0023122F">
        <w:rPr>
          <w:rStyle w:val="FootnoteReference"/>
          <w:sz w:val="24"/>
        </w:rPr>
        <w:footnoteReference w:customMarkFollows="1" w:id="1"/>
        <w:sym w:font="Symbol" w:char="F02A"/>
      </w:r>
    </w:p>
    <w:p w14:paraId="70A30D50" w14:textId="77777777" w:rsidR="00B97AEE" w:rsidRPr="00860686" w:rsidRDefault="00B97AEE" w:rsidP="00860686">
      <w:pPr>
        <w:pStyle w:val="BodyText"/>
        <w:widowControl/>
        <w:ind w:left="0" w:firstLine="0"/>
        <w:jc w:val="both"/>
        <w:rPr>
          <w:rFonts w:cs="Times New Roman"/>
          <w:noProof/>
          <w:sz w:val="24"/>
          <w:szCs w:val="20"/>
        </w:rPr>
      </w:pPr>
    </w:p>
    <w:p w14:paraId="3A42B7C4" w14:textId="77777777" w:rsidR="00860686" w:rsidRPr="00860686" w:rsidRDefault="00860686" w:rsidP="00860686">
      <w:pPr>
        <w:pStyle w:val="Heading1"/>
        <w:widowControl/>
        <w:ind w:left="0"/>
        <w:jc w:val="both"/>
        <w:rPr>
          <w:rFonts w:cs="Times New Roman"/>
          <w:noProof/>
          <w:sz w:val="24"/>
        </w:rPr>
      </w:pPr>
      <w:r>
        <w:rPr>
          <w:sz w:val="24"/>
        </w:rPr>
        <w:t>Dokumentu iesniedza:</w:t>
      </w:r>
    </w:p>
    <w:p w14:paraId="2C909DDD" w14:textId="77777777" w:rsidR="00860686" w:rsidRPr="00860686" w:rsidRDefault="00860686" w:rsidP="00860686">
      <w:pPr>
        <w:widowControl/>
        <w:jc w:val="both"/>
        <w:rPr>
          <w:rFonts w:ascii="Times New Roman" w:eastAsia="Times New Roman" w:hAnsi="Times New Roman" w:cs="Times New Roman"/>
          <w:b/>
          <w:bCs/>
          <w:noProof/>
          <w:sz w:val="24"/>
          <w:szCs w:val="20"/>
        </w:rPr>
      </w:pPr>
    </w:p>
    <w:p w14:paraId="430501F3" w14:textId="77777777" w:rsidR="00860686" w:rsidRPr="00860686" w:rsidRDefault="00860686" w:rsidP="00B97AEE">
      <w:pPr>
        <w:pStyle w:val="BodyText"/>
        <w:widowControl/>
        <w:ind w:left="0" w:firstLine="1418"/>
        <w:jc w:val="both"/>
        <w:rPr>
          <w:rFonts w:cs="Times New Roman"/>
          <w:noProof/>
          <w:sz w:val="24"/>
        </w:rPr>
      </w:pPr>
      <w:r>
        <w:rPr>
          <w:sz w:val="24"/>
        </w:rPr>
        <w:t>Itālijas Republika</w:t>
      </w:r>
    </w:p>
    <w:p w14:paraId="322898E0" w14:textId="77777777" w:rsidR="00860686" w:rsidRPr="00860686" w:rsidRDefault="00860686" w:rsidP="00860686">
      <w:pPr>
        <w:widowControl/>
        <w:jc w:val="both"/>
        <w:rPr>
          <w:rFonts w:ascii="Times New Roman" w:eastAsia="Times New Roman" w:hAnsi="Times New Roman" w:cs="Times New Roman"/>
          <w:noProof/>
          <w:sz w:val="24"/>
          <w:szCs w:val="21"/>
        </w:rPr>
      </w:pPr>
    </w:p>
    <w:p w14:paraId="5A7D9BCB" w14:textId="77777777" w:rsidR="00860686" w:rsidRPr="00860686" w:rsidRDefault="00860686" w:rsidP="00860686">
      <w:pPr>
        <w:pStyle w:val="Heading1"/>
        <w:widowControl/>
        <w:ind w:left="0"/>
        <w:jc w:val="both"/>
        <w:rPr>
          <w:rFonts w:cs="Times New Roman"/>
          <w:noProof/>
          <w:sz w:val="24"/>
        </w:rPr>
      </w:pPr>
      <w:r>
        <w:rPr>
          <w:sz w:val="24"/>
        </w:rPr>
        <w:t>Lietas parastais nosaukums:</w:t>
      </w:r>
    </w:p>
    <w:p w14:paraId="1FCEB375" w14:textId="77777777" w:rsidR="00860686" w:rsidRPr="00860686" w:rsidRDefault="00860686" w:rsidP="00860686">
      <w:pPr>
        <w:widowControl/>
        <w:jc w:val="both"/>
        <w:rPr>
          <w:rFonts w:ascii="Times New Roman" w:eastAsia="Times New Roman" w:hAnsi="Times New Roman" w:cs="Times New Roman"/>
          <w:b/>
          <w:bCs/>
          <w:noProof/>
          <w:sz w:val="24"/>
          <w:szCs w:val="20"/>
        </w:rPr>
      </w:pPr>
    </w:p>
    <w:p w14:paraId="57C75AE1" w14:textId="77777777" w:rsidR="00860686" w:rsidRPr="00860686" w:rsidRDefault="00860686" w:rsidP="00B97AEE">
      <w:pPr>
        <w:pStyle w:val="BodyText"/>
        <w:widowControl/>
        <w:ind w:left="0" w:firstLine="1418"/>
        <w:jc w:val="both"/>
        <w:rPr>
          <w:rFonts w:cs="Times New Roman"/>
          <w:noProof/>
          <w:sz w:val="24"/>
        </w:rPr>
      </w:pPr>
      <w:r>
        <w:rPr>
          <w:i/>
          <w:iCs/>
          <w:sz w:val="24"/>
        </w:rPr>
        <w:t>KILPAILU</w:t>
      </w:r>
      <w:r>
        <w:rPr>
          <w:i/>
          <w:iCs/>
          <w:sz w:val="24"/>
        </w:rPr>
        <w:noBreakHyphen/>
        <w:t xml:space="preserve"> JA KULUTTAJAVIRASTO</w:t>
      </w:r>
    </w:p>
    <w:p w14:paraId="15F65F9A" w14:textId="77777777" w:rsidR="00860686" w:rsidRPr="00860686" w:rsidRDefault="00860686" w:rsidP="00860686">
      <w:pPr>
        <w:widowControl/>
        <w:jc w:val="both"/>
        <w:rPr>
          <w:rFonts w:ascii="Times New Roman" w:eastAsia="Times New Roman" w:hAnsi="Times New Roman" w:cs="Times New Roman"/>
          <w:noProof/>
          <w:sz w:val="24"/>
          <w:szCs w:val="21"/>
        </w:rPr>
      </w:pPr>
    </w:p>
    <w:p w14:paraId="27BE6612" w14:textId="77777777" w:rsidR="00860686" w:rsidRPr="00860686" w:rsidRDefault="00860686" w:rsidP="00860686">
      <w:pPr>
        <w:pStyle w:val="Heading1"/>
        <w:widowControl/>
        <w:ind w:left="0"/>
        <w:jc w:val="both"/>
        <w:rPr>
          <w:rFonts w:cs="Times New Roman"/>
          <w:noProof/>
          <w:sz w:val="24"/>
        </w:rPr>
      </w:pPr>
      <w:r>
        <w:rPr>
          <w:sz w:val="24"/>
        </w:rPr>
        <w:t>Iesniegšanas datums:</w:t>
      </w:r>
    </w:p>
    <w:p w14:paraId="4E5E932F" w14:textId="77777777" w:rsidR="00860686" w:rsidRPr="00860686" w:rsidRDefault="00860686" w:rsidP="00860686">
      <w:pPr>
        <w:widowControl/>
        <w:jc w:val="both"/>
        <w:rPr>
          <w:rFonts w:ascii="Times New Roman" w:eastAsia="Times New Roman" w:hAnsi="Times New Roman" w:cs="Times New Roman"/>
          <w:b/>
          <w:bCs/>
          <w:noProof/>
          <w:sz w:val="24"/>
          <w:szCs w:val="20"/>
        </w:rPr>
      </w:pPr>
    </w:p>
    <w:p w14:paraId="1D415954" w14:textId="77777777" w:rsidR="00860686" w:rsidRPr="00860686" w:rsidRDefault="00860686" w:rsidP="00B97AEE">
      <w:pPr>
        <w:pStyle w:val="BodyText"/>
        <w:widowControl/>
        <w:ind w:left="0" w:firstLine="1418"/>
        <w:jc w:val="both"/>
        <w:rPr>
          <w:rFonts w:cs="Times New Roman"/>
          <w:noProof/>
          <w:sz w:val="24"/>
        </w:rPr>
      </w:pPr>
      <w:r>
        <w:rPr>
          <w:sz w:val="24"/>
        </w:rPr>
        <w:t>2019. gada 9. oktobris (oriģināleksemplārs)</w:t>
      </w:r>
    </w:p>
    <w:p w14:paraId="6F0CAA87" w14:textId="77777777" w:rsidR="00860686" w:rsidRDefault="00860686" w:rsidP="00860686">
      <w:pPr>
        <w:widowControl/>
        <w:jc w:val="both"/>
        <w:rPr>
          <w:rFonts w:ascii="Times New Roman" w:eastAsia="Times New Roman" w:hAnsi="Times New Roman" w:cs="Times New Roman"/>
          <w:noProof/>
          <w:sz w:val="24"/>
          <w:szCs w:val="20"/>
        </w:rPr>
      </w:pPr>
    </w:p>
    <w:p w14:paraId="53F6F407" w14:textId="77777777" w:rsidR="00B97AEE" w:rsidRDefault="00B97AEE" w:rsidP="00B97AEE">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43FC9B77" w14:textId="77777777" w:rsidR="00B97AEE" w:rsidRDefault="00B97AEE" w:rsidP="00860686">
      <w:pPr>
        <w:widowControl/>
        <w:jc w:val="both"/>
        <w:rPr>
          <w:rFonts w:ascii="Times New Roman" w:eastAsia="Times New Roman" w:hAnsi="Times New Roman" w:cs="Times New Roman"/>
          <w:noProof/>
          <w:sz w:val="24"/>
          <w:szCs w:val="20"/>
        </w:rPr>
      </w:pPr>
    </w:p>
    <w:p w14:paraId="4CE505C9" w14:textId="77777777" w:rsidR="00860686" w:rsidRDefault="00860686" w:rsidP="00B97AEE">
      <w:pPr>
        <w:pStyle w:val="Heading1"/>
        <w:widowControl/>
        <w:ind w:left="0"/>
        <w:jc w:val="center"/>
        <w:rPr>
          <w:rFonts w:cs="Times New Roman"/>
          <w:noProof/>
          <w:sz w:val="24"/>
          <w:u w:val="thick" w:color="000000"/>
        </w:rPr>
      </w:pPr>
      <w:r>
        <w:rPr>
          <w:sz w:val="24"/>
          <w:u w:val="thick" w:color="000000"/>
        </w:rPr>
        <w:t>Satura rādītājs</w:t>
      </w:r>
    </w:p>
    <w:p w14:paraId="091BDCE5" w14:textId="0FFDB4B3" w:rsidR="00B97AEE" w:rsidRPr="008D0F6E" w:rsidRDefault="00B97AEE" w:rsidP="00860686">
      <w:pPr>
        <w:pStyle w:val="Heading1"/>
        <w:widowControl/>
        <w:ind w:left="0"/>
        <w:jc w:val="both"/>
        <w:rPr>
          <w:rFonts w:cs="Times New Roman"/>
          <w:b w:val="0"/>
          <w:bCs w:val="0"/>
          <w:noProof/>
          <w:sz w:val="24"/>
          <w:u w:val="thick" w:color="000000"/>
        </w:rPr>
      </w:pPr>
    </w:p>
    <w:p w14:paraId="14E8E2D9" w14:textId="5A3FFB23" w:rsidR="008D0F6E" w:rsidRPr="008D0F6E" w:rsidRDefault="008D0F6E" w:rsidP="0023122F">
      <w:pPr>
        <w:widowControl/>
        <w:tabs>
          <w:tab w:val="left" w:pos="1578"/>
          <w:tab w:val="left" w:leader="dot" w:pos="8931"/>
        </w:tabs>
        <w:jc w:val="both"/>
        <w:rPr>
          <w:rFonts w:ascii="Times New Roman" w:hAnsi="Times New Roman" w:cs="Times New Roman"/>
          <w:iCs/>
          <w:noProof/>
          <w:sz w:val="24"/>
        </w:rPr>
      </w:pPr>
      <w:r>
        <w:rPr>
          <w:rFonts w:ascii="Times New Roman" w:hAnsi="Times New Roman"/>
          <w:i/>
          <w:sz w:val="24"/>
          <w:u w:color="000000"/>
        </w:rPr>
        <w:t>I.</w:t>
      </w:r>
      <w:r w:rsidRPr="0023122F">
        <w:rPr>
          <w:rFonts w:ascii="Times New Roman" w:hAnsi="Times New Roman"/>
          <w:i/>
          <w:sz w:val="24"/>
        </w:rPr>
        <w:t xml:space="preserve"> PREJUDICIĀLAIS JAUTĀJUMS</w:t>
      </w:r>
      <w:r w:rsidR="0023122F" w:rsidRPr="0023122F">
        <w:rPr>
          <w:rFonts w:ascii="Times New Roman" w:hAnsi="Times New Roman"/>
          <w:i/>
          <w:sz w:val="24"/>
        </w:rPr>
        <w:tab/>
      </w:r>
      <w:r w:rsidRPr="0023122F">
        <w:rPr>
          <w:rFonts w:ascii="Times New Roman" w:hAnsi="Times New Roman"/>
          <w:iCs/>
          <w:sz w:val="24"/>
        </w:rPr>
        <w:t>2</w:t>
      </w:r>
    </w:p>
    <w:p w14:paraId="2C5AC667" w14:textId="095AACFF" w:rsidR="008D0F6E" w:rsidRPr="0023122F" w:rsidRDefault="008D0F6E" w:rsidP="0023122F">
      <w:pPr>
        <w:widowControl/>
        <w:tabs>
          <w:tab w:val="left" w:pos="941"/>
          <w:tab w:val="left" w:leader="dot" w:pos="8931"/>
        </w:tabs>
        <w:jc w:val="both"/>
        <w:rPr>
          <w:rFonts w:ascii="Times New Roman" w:eastAsia="Times New Roman" w:hAnsi="Times New Roman" w:cs="Times New Roman"/>
          <w:iCs/>
          <w:noProof/>
          <w:sz w:val="24"/>
          <w:szCs w:val="25"/>
        </w:rPr>
      </w:pPr>
      <w:r>
        <w:rPr>
          <w:rFonts w:ascii="Times New Roman" w:hAnsi="Times New Roman"/>
          <w:i/>
          <w:sz w:val="24"/>
          <w:szCs w:val="25"/>
          <w:u w:color="000000"/>
        </w:rPr>
        <w:t xml:space="preserve">II. </w:t>
      </w:r>
      <w:r w:rsidRPr="0023122F">
        <w:rPr>
          <w:rFonts w:ascii="Times New Roman" w:hAnsi="Times New Roman"/>
          <w:i/>
          <w:sz w:val="24"/>
          <w:szCs w:val="25"/>
        </w:rPr>
        <w:t>FAKTISKO APSTĀKĻU KONTEKSTS PAMATLIETĀ</w:t>
      </w:r>
      <w:r w:rsidR="0023122F" w:rsidRPr="0023122F">
        <w:rPr>
          <w:rFonts w:ascii="Times New Roman" w:hAnsi="Times New Roman"/>
          <w:i/>
          <w:sz w:val="24"/>
          <w:szCs w:val="25"/>
        </w:rPr>
        <w:tab/>
      </w:r>
      <w:r w:rsidR="0023122F" w:rsidRPr="0023122F">
        <w:rPr>
          <w:rFonts w:ascii="Times New Roman" w:hAnsi="Times New Roman"/>
          <w:iCs/>
          <w:sz w:val="24"/>
          <w:szCs w:val="25"/>
        </w:rPr>
        <w:t>3</w:t>
      </w:r>
    </w:p>
    <w:p w14:paraId="35931416" w14:textId="6B451C0A" w:rsidR="008D0F6E" w:rsidRPr="0023122F" w:rsidRDefault="008D0F6E" w:rsidP="0023122F">
      <w:pPr>
        <w:widowControl/>
        <w:tabs>
          <w:tab w:val="left" w:pos="1023"/>
          <w:tab w:val="left" w:leader="dot" w:pos="8931"/>
        </w:tabs>
        <w:jc w:val="both"/>
        <w:rPr>
          <w:rFonts w:ascii="Times New Roman" w:hAnsi="Times New Roman" w:cs="Times New Roman"/>
          <w:iCs/>
          <w:noProof/>
          <w:sz w:val="24"/>
        </w:rPr>
      </w:pPr>
      <w:r>
        <w:rPr>
          <w:rFonts w:ascii="Times New Roman" w:hAnsi="Times New Roman"/>
          <w:i/>
          <w:sz w:val="24"/>
          <w:u w:color="000000"/>
        </w:rPr>
        <w:t xml:space="preserve">III. </w:t>
      </w:r>
      <w:r w:rsidRPr="0023122F">
        <w:rPr>
          <w:rFonts w:ascii="Times New Roman" w:hAnsi="Times New Roman"/>
          <w:i/>
          <w:sz w:val="24"/>
        </w:rPr>
        <w:t>ATBILSTOŠĀS EIROPAS UN VALSTS TIESĪBAS</w:t>
      </w:r>
      <w:r w:rsidR="0023122F" w:rsidRPr="0023122F">
        <w:rPr>
          <w:rFonts w:ascii="Times New Roman" w:hAnsi="Times New Roman"/>
          <w:i/>
          <w:sz w:val="24"/>
        </w:rPr>
        <w:tab/>
      </w:r>
      <w:r w:rsidR="0023122F" w:rsidRPr="0023122F">
        <w:rPr>
          <w:rFonts w:ascii="Times New Roman" w:hAnsi="Times New Roman"/>
          <w:iCs/>
          <w:sz w:val="24"/>
        </w:rPr>
        <w:t>3</w:t>
      </w:r>
    </w:p>
    <w:p w14:paraId="64740854" w14:textId="0AA25006" w:rsidR="008D0F6E" w:rsidRPr="0023122F" w:rsidRDefault="008D0F6E" w:rsidP="0023122F">
      <w:pPr>
        <w:widowControl/>
        <w:tabs>
          <w:tab w:val="left" w:pos="1011"/>
          <w:tab w:val="left" w:leader="dot" w:pos="8931"/>
        </w:tabs>
        <w:jc w:val="both"/>
        <w:rPr>
          <w:rFonts w:ascii="Times New Roman" w:hAnsi="Times New Roman" w:cs="Times New Roman"/>
          <w:iCs/>
          <w:noProof/>
          <w:sz w:val="24"/>
        </w:rPr>
      </w:pPr>
      <w:r>
        <w:rPr>
          <w:rFonts w:ascii="Times New Roman" w:hAnsi="Times New Roman"/>
          <w:i/>
          <w:sz w:val="24"/>
          <w:u w:color="000000"/>
        </w:rPr>
        <w:t xml:space="preserve">IV. </w:t>
      </w:r>
      <w:r w:rsidRPr="0023122F">
        <w:rPr>
          <w:rFonts w:ascii="Times New Roman" w:hAnsi="Times New Roman"/>
          <w:i/>
          <w:sz w:val="24"/>
        </w:rPr>
        <w:t>VĒRTĒJUMS</w:t>
      </w:r>
      <w:r w:rsidR="0023122F" w:rsidRPr="0023122F">
        <w:rPr>
          <w:rFonts w:ascii="Times New Roman" w:hAnsi="Times New Roman"/>
          <w:i/>
          <w:sz w:val="24"/>
        </w:rPr>
        <w:tab/>
      </w:r>
      <w:r w:rsidR="0023122F" w:rsidRPr="0023122F">
        <w:rPr>
          <w:rFonts w:ascii="Times New Roman" w:hAnsi="Times New Roman"/>
          <w:iCs/>
          <w:sz w:val="24"/>
        </w:rPr>
        <w:t>4</w:t>
      </w:r>
    </w:p>
    <w:p w14:paraId="3F7DF8BE" w14:textId="325A0811" w:rsidR="008D0F6E" w:rsidRPr="0023122F" w:rsidRDefault="008D0F6E" w:rsidP="0023122F">
      <w:pPr>
        <w:widowControl/>
        <w:tabs>
          <w:tab w:val="left" w:pos="928"/>
          <w:tab w:val="left" w:leader="dot" w:pos="8931"/>
        </w:tabs>
        <w:jc w:val="both"/>
        <w:rPr>
          <w:rFonts w:ascii="Times New Roman" w:hAnsi="Times New Roman" w:cs="Times New Roman"/>
          <w:iCs/>
          <w:noProof/>
          <w:sz w:val="24"/>
        </w:rPr>
      </w:pPr>
      <w:r>
        <w:rPr>
          <w:rFonts w:ascii="Times New Roman" w:hAnsi="Times New Roman"/>
          <w:i/>
          <w:sz w:val="24"/>
          <w:u w:color="000000"/>
        </w:rPr>
        <w:t xml:space="preserve">V. </w:t>
      </w:r>
      <w:r w:rsidRPr="0023122F">
        <w:rPr>
          <w:rFonts w:ascii="Times New Roman" w:hAnsi="Times New Roman"/>
          <w:i/>
          <w:sz w:val="24"/>
        </w:rPr>
        <w:t>SECINĀJUMI</w:t>
      </w:r>
      <w:r w:rsidR="0023122F" w:rsidRPr="0023122F">
        <w:rPr>
          <w:rFonts w:ascii="Times New Roman" w:hAnsi="Times New Roman"/>
          <w:i/>
          <w:sz w:val="24"/>
        </w:rPr>
        <w:tab/>
      </w:r>
      <w:r w:rsidR="0023122F" w:rsidRPr="0023122F">
        <w:rPr>
          <w:rFonts w:ascii="Times New Roman" w:hAnsi="Times New Roman"/>
          <w:iCs/>
          <w:sz w:val="24"/>
        </w:rPr>
        <w:t>7</w:t>
      </w:r>
    </w:p>
    <w:p w14:paraId="436FFE20" w14:textId="77777777" w:rsidR="008D0F6E" w:rsidRPr="008D0F6E" w:rsidRDefault="008D0F6E" w:rsidP="00860686">
      <w:pPr>
        <w:pStyle w:val="Heading1"/>
        <w:widowControl/>
        <w:ind w:left="0"/>
        <w:jc w:val="both"/>
        <w:rPr>
          <w:rFonts w:cs="Times New Roman"/>
          <w:b w:val="0"/>
          <w:bCs w:val="0"/>
          <w:noProof/>
          <w:sz w:val="24"/>
          <w:u w:val="thick" w:color="000000"/>
        </w:rPr>
      </w:pPr>
    </w:p>
    <w:p w14:paraId="0CF5EDC0" w14:textId="77777777" w:rsidR="00B97AEE" w:rsidRPr="008D0F6E" w:rsidRDefault="00B97AEE" w:rsidP="00860686">
      <w:pPr>
        <w:pStyle w:val="Heading1"/>
        <w:widowControl/>
        <w:ind w:left="0"/>
        <w:jc w:val="both"/>
        <w:rPr>
          <w:rFonts w:cs="Times New Roman"/>
          <w:b w:val="0"/>
          <w:bCs w:val="0"/>
          <w:noProof/>
          <w:sz w:val="24"/>
          <w:u w:val="thick" w:color="000000"/>
        </w:rPr>
      </w:pPr>
      <w:bookmarkStart w:id="0" w:name="_GoBack"/>
      <w:bookmarkEnd w:id="0"/>
    </w:p>
    <w:p w14:paraId="51AE86D6" w14:textId="77777777" w:rsidR="00860686" w:rsidRPr="00860686" w:rsidRDefault="00860686" w:rsidP="00860686">
      <w:pPr>
        <w:widowControl/>
        <w:jc w:val="both"/>
        <w:rPr>
          <w:rFonts w:ascii="Times New Roman" w:hAnsi="Times New Roman" w:cs="Times New Roman"/>
          <w:b/>
          <w:noProof/>
          <w:sz w:val="24"/>
        </w:rPr>
      </w:pPr>
      <w:r>
        <w:rPr>
          <w:rFonts w:ascii="Times New Roman" w:hAnsi="Times New Roman"/>
          <w:b/>
          <w:sz w:val="24"/>
          <w:highlight w:val="lightGray"/>
        </w:rPr>
        <w:t>[oriģ. 2. lpp.]</w:t>
      </w:r>
    </w:p>
    <w:p w14:paraId="2F77A067" w14:textId="77777777" w:rsidR="00231885" w:rsidRDefault="00231885" w:rsidP="00231885">
      <w:pPr>
        <w:widowControl/>
        <w:tabs>
          <w:tab w:val="left" w:pos="1578"/>
        </w:tabs>
        <w:jc w:val="both"/>
        <w:rPr>
          <w:rFonts w:ascii="Times New Roman" w:hAnsi="Times New Roman" w:cs="Times New Roman"/>
          <w:i/>
          <w:noProof/>
          <w:sz w:val="24"/>
          <w:u w:val="single" w:color="000000"/>
        </w:rPr>
      </w:pPr>
    </w:p>
    <w:p w14:paraId="1B514F09" w14:textId="77777777" w:rsidR="00231885" w:rsidRDefault="00231885" w:rsidP="00231885">
      <w:pPr>
        <w:widowControl/>
        <w:tabs>
          <w:tab w:val="left" w:pos="1578"/>
        </w:tabs>
        <w:jc w:val="both"/>
        <w:rPr>
          <w:rFonts w:ascii="Times New Roman" w:hAnsi="Times New Roman" w:cs="Times New Roman"/>
          <w:i/>
          <w:noProof/>
          <w:sz w:val="24"/>
          <w:u w:val="single" w:color="000000"/>
        </w:rPr>
      </w:pPr>
    </w:p>
    <w:p w14:paraId="1951C7EA" w14:textId="77777777" w:rsidR="00860686" w:rsidRPr="00860686" w:rsidRDefault="00231885" w:rsidP="00231885">
      <w:pPr>
        <w:widowControl/>
        <w:tabs>
          <w:tab w:val="left" w:pos="1578"/>
        </w:tabs>
        <w:jc w:val="both"/>
        <w:rPr>
          <w:rFonts w:ascii="Times New Roman" w:hAnsi="Times New Roman" w:cs="Times New Roman"/>
          <w:i/>
          <w:noProof/>
          <w:sz w:val="24"/>
          <w:u w:val="single" w:color="000000"/>
        </w:rPr>
      </w:pPr>
      <w:r>
        <w:rPr>
          <w:rFonts w:ascii="Times New Roman" w:hAnsi="Times New Roman"/>
          <w:i/>
          <w:sz w:val="24"/>
          <w:u w:color="000000"/>
        </w:rPr>
        <w:t>I.</w:t>
      </w:r>
      <w:r>
        <w:rPr>
          <w:rFonts w:ascii="Times New Roman" w:hAnsi="Times New Roman"/>
          <w:i/>
          <w:sz w:val="24"/>
          <w:u w:val="single" w:color="000000"/>
        </w:rPr>
        <w:t xml:space="preserve"> PREJUDICIĀLAIS JAUTĀJUMS</w:t>
      </w:r>
      <w:bookmarkStart w:id="1" w:name="_bookmark0"/>
      <w:bookmarkEnd w:id="1"/>
    </w:p>
    <w:p w14:paraId="716F25F6" w14:textId="77777777" w:rsidR="00860686" w:rsidRPr="00860686" w:rsidRDefault="00860686" w:rsidP="00860686">
      <w:pPr>
        <w:widowControl/>
        <w:jc w:val="both"/>
        <w:rPr>
          <w:rFonts w:ascii="Times New Roman" w:eastAsia="Times New Roman" w:hAnsi="Times New Roman" w:cs="Times New Roman"/>
          <w:i/>
          <w:noProof/>
          <w:sz w:val="24"/>
          <w:szCs w:val="20"/>
        </w:rPr>
      </w:pPr>
    </w:p>
    <w:p w14:paraId="501032EC" w14:textId="77777777" w:rsidR="00860686" w:rsidRPr="00860686" w:rsidRDefault="00285704" w:rsidP="00285704">
      <w:pPr>
        <w:pStyle w:val="BodyText"/>
        <w:widowControl/>
        <w:tabs>
          <w:tab w:val="left" w:pos="1370"/>
        </w:tabs>
        <w:ind w:left="0" w:firstLine="0"/>
        <w:jc w:val="both"/>
        <w:rPr>
          <w:rFonts w:cs="Times New Roman"/>
          <w:noProof/>
          <w:sz w:val="24"/>
        </w:rPr>
      </w:pPr>
      <w:r>
        <w:rPr>
          <w:sz w:val="24"/>
        </w:rPr>
        <w:t xml:space="preserve">1. Lemjot pēdējā instancē tiesvedībā starp </w:t>
      </w:r>
      <w:r>
        <w:rPr>
          <w:i/>
          <w:iCs/>
          <w:sz w:val="24"/>
        </w:rPr>
        <w:t>Kilpailu</w:t>
      </w:r>
      <w:r>
        <w:rPr>
          <w:i/>
          <w:iCs/>
          <w:sz w:val="24"/>
        </w:rPr>
        <w:noBreakHyphen/>
        <w:t xml:space="preserve"> ja kuluttajavirasto</w:t>
      </w:r>
      <w:r>
        <w:rPr>
          <w:sz w:val="24"/>
        </w:rPr>
        <w:t xml:space="preserve"> (Konkurences un patērētāju tiesību aizsardzības iestāde, turpmāk tekstā – iestāde) un “Elten Networks OY” un “Elten Group OY”, </w:t>
      </w:r>
      <w:r>
        <w:rPr>
          <w:i/>
          <w:iCs/>
          <w:sz w:val="24"/>
        </w:rPr>
        <w:t>Korkein hallinto</w:t>
      </w:r>
      <w:r>
        <w:rPr>
          <w:i/>
          <w:iCs/>
          <w:sz w:val="24"/>
        </w:rPr>
        <w:noBreakHyphen/>
        <w:t xml:space="preserve"> oikeus</w:t>
      </w:r>
      <w:r>
        <w:rPr>
          <w:sz w:val="24"/>
        </w:rPr>
        <w:t xml:space="preserve"> (Somijas Augstākā administratīvā tiesa, turpmāk tekstā – iesniedzējtiesa) ar 2019. gada 10. jūnija rīkojumu, kas 13. jūnijā tika iesniegts Tiesas kancelejā, uzdeva Eiropas Savienības Tiesai šādu prejudiciālu jautājumu.</w:t>
      </w:r>
    </w:p>
    <w:p w14:paraId="187E5896" w14:textId="77777777" w:rsidR="00860686" w:rsidRPr="00860686" w:rsidRDefault="00860686" w:rsidP="00860686">
      <w:pPr>
        <w:widowControl/>
        <w:jc w:val="both"/>
        <w:rPr>
          <w:rFonts w:ascii="Times New Roman" w:eastAsia="Times New Roman" w:hAnsi="Times New Roman" w:cs="Times New Roman"/>
          <w:noProof/>
          <w:sz w:val="24"/>
          <w:szCs w:val="20"/>
        </w:rPr>
      </w:pPr>
    </w:p>
    <w:p w14:paraId="42192598" w14:textId="77777777" w:rsidR="00285704" w:rsidRPr="00860686" w:rsidRDefault="00860686" w:rsidP="00285704">
      <w:pPr>
        <w:widowControl/>
        <w:jc w:val="both"/>
        <w:rPr>
          <w:rFonts w:ascii="Times New Roman" w:eastAsia="Times New Roman" w:hAnsi="Times New Roman" w:cs="Times New Roman"/>
          <w:i/>
          <w:noProof/>
          <w:sz w:val="24"/>
          <w:szCs w:val="25"/>
        </w:rPr>
      </w:pPr>
      <w:r>
        <w:rPr>
          <w:rFonts w:ascii="Times New Roman" w:hAnsi="Times New Roman"/>
          <w:i/>
          <w:sz w:val="24"/>
          <w:szCs w:val="25"/>
        </w:rPr>
        <w:t>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59C40D69" w14:textId="77777777" w:rsidR="00285704" w:rsidRPr="00860686" w:rsidRDefault="00285704" w:rsidP="00285704">
      <w:pPr>
        <w:widowControl/>
        <w:jc w:val="both"/>
        <w:rPr>
          <w:rFonts w:ascii="Times New Roman" w:eastAsia="Times New Roman" w:hAnsi="Times New Roman" w:cs="Times New Roman"/>
          <w:i/>
          <w:noProof/>
          <w:sz w:val="24"/>
          <w:szCs w:val="20"/>
        </w:rPr>
      </w:pPr>
    </w:p>
    <w:p w14:paraId="51436323" w14:textId="77777777" w:rsidR="00285704" w:rsidRPr="00860686" w:rsidRDefault="00285704" w:rsidP="00285704">
      <w:pPr>
        <w:widowControl/>
        <w:jc w:val="both"/>
        <w:rPr>
          <w:rFonts w:ascii="Times New Roman" w:eastAsia="Times New Roman" w:hAnsi="Times New Roman" w:cs="Times New Roman"/>
          <w:i/>
          <w:noProof/>
          <w:sz w:val="24"/>
          <w:szCs w:val="25"/>
        </w:rPr>
      </w:pPr>
      <w:r>
        <w:rPr>
          <w:rFonts w:ascii="Times New Roman" w:hAnsi="Times New Roman"/>
          <w:i/>
          <w:sz w:val="24"/>
          <w:szCs w:val="25"/>
        </w:rPr>
        <w:t>vai arī ir jāuzskata, ka konkurences pārkāpums turpinās tikai līdz brīdim, kad pārkāpumā vainojamais uzņēmums ir iesniedzis piedāvājumu par attiecīgo darbu veikšanu vai arī ir noslēdzis līgumu par darbu izpildi?</w:t>
      </w:r>
    </w:p>
    <w:p w14:paraId="213F286F" w14:textId="77777777" w:rsidR="00860686" w:rsidRPr="00860686" w:rsidRDefault="00860686" w:rsidP="00860686">
      <w:pPr>
        <w:widowControl/>
        <w:jc w:val="both"/>
        <w:rPr>
          <w:rFonts w:ascii="Times New Roman" w:eastAsia="Times New Roman" w:hAnsi="Times New Roman" w:cs="Times New Roman"/>
          <w:i/>
          <w:noProof/>
          <w:sz w:val="24"/>
          <w:szCs w:val="25"/>
        </w:rPr>
      </w:pPr>
    </w:p>
    <w:p w14:paraId="034E2BDC" w14:textId="77777777" w:rsidR="00285704" w:rsidRDefault="00285704" w:rsidP="00860686">
      <w:pPr>
        <w:widowControl/>
        <w:jc w:val="both"/>
        <w:rPr>
          <w:rFonts w:ascii="Times New Roman" w:eastAsia="Times New Roman" w:hAnsi="Times New Roman" w:cs="Times New Roman"/>
          <w:noProof/>
          <w:sz w:val="24"/>
          <w:szCs w:val="26"/>
        </w:rPr>
      </w:pPr>
    </w:p>
    <w:p w14:paraId="68F554E3" w14:textId="77777777" w:rsidR="00860686" w:rsidRPr="00860686" w:rsidRDefault="00285704" w:rsidP="00285704">
      <w:pPr>
        <w:widowControl/>
        <w:tabs>
          <w:tab w:val="left" w:pos="941"/>
        </w:tabs>
        <w:jc w:val="both"/>
        <w:rPr>
          <w:rFonts w:ascii="Times New Roman" w:eastAsia="Times New Roman" w:hAnsi="Times New Roman" w:cs="Times New Roman"/>
          <w:i/>
          <w:noProof/>
          <w:sz w:val="24"/>
          <w:szCs w:val="25"/>
          <w:u w:val="single" w:color="000000"/>
        </w:rPr>
      </w:pPr>
      <w:r>
        <w:rPr>
          <w:rFonts w:ascii="Times New Roman" w:hAnsi="Times New Roman"/>
          <w:i/>
          <w:sz w:val="24"/>
          <w:szCs w:val="25"/>
          <w:u w:color="000000"/>
        </w:rPr>
        <w:t xml:space="preserve">II. </w:t>
      </w:r>
      <w:r>
        <w:rPr>
          <w:rFonts w:ascii="Times New Roman" w:hAnsi="Times New Roman"/>
          <w:i/>
          <w:sz w:val="24"/>
          <w:szCs w:val="25"/>
          <w:u w:val="single" w:color="000000"/>
        </w:rPr>
        <w:t>FAKTISKO APSTĀKĻU KONTEKSTS PAMATLIETĀ</w:t>
      </w:r>
    </w:p>
    <w:p w14:paraId="26C66AA0" w14:textId="77777777" w:rsidR="00860686" w:rsidRPr="00860686" w:rsidRDefault="00860686" w:rsidP="00860686">
      <w:pPr>
        <w:widowControl/>
        <w:jc w:val="both"/>
        <w:rPr>
          <w:rFonts w:ascii="Times New Roman" w:eastAsia="Times New Roman" w:hAnsi="Times New Roman" w:cs="Times New Roman"/>
          <w:i/>
          <w:noProof/>
          <w:sz w:val="24"/>
          <w:szCs w:val="14"/>
        </w:rPr>
      </w:pPr>
    </w:p>
    <w:p w14:paraId="24F544A8"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2. No rīkojuma par lūgumu sniegt prejudiciālu nolēmumu izriet, ka Somijas konkurences uzraudzības iestāde (turpmāk tekstā – iestāde) konstatēja aizliegtu vienošanos starp diviem uzņēmumiem, kas vienojušies par cenām dalībai publiskā iepirkumā par augstsprieguma elektropārvades līnijas plānošanas darbiem un būvdarbiem.</w:t>
      </w:r>
    </w:p>
    <w:p w14:paraId="7057B446" w14:textId="77777777" w:rsidR="00860686" w:rsidRPr="00860686" w:rsidRDefault="00860686" w:rsidP="00285704">
      <w:pPr>
        <w:widowControl/>
        <w:jc w:val="both"/>
        <w:rPr>
          <w:rFonts w:ascii="Times New Roman" w:eastAsia="Times New Roman" w:hAnsi="Times New Roman" w:cs="Times New Roman"/>
          <w:noProof/>
          <w:sz w:val="24"/>
          <w:szCs w:val="20"/>
        </w:rPr>
      </w:pPr>
    </w:p>
    <w:p w14:paraId="6FABDA10" w14:textId="77777777" w:rsidR="00860686" w:rsidRPr="00860686" w:rsidRDefault="00285704" w:rsidP="00285704">
      <w:pPr>
        <w:pStyle w:val="BodyText"/>
        <w:widowControl/>
        <w:tabs>
          <w:tab w:val="left" w:pos="651"/>
        </w:tabs>
        <w:ind w:left="0" w:firstLine="0"/>
        <w:jc w:val="both"/>
        <w:rPr>
          <w:rFonts w:cs="Times New Roman"/>
          <w:b/>
          <w:bCs/>
          <w:noProof/>
          <w:sz w:val="24"/>
        </w:rPr>
      </w:pPr>
      <w:r>
        <w:rPr>
          <w:sz w:val="24"/>
        </w:rPr>
        <w:t xml:space="preserve">3. Saskaņā ar Somijas tiesībām iestāde nevar tieši noteikt sodus, bet tai ir jāvēršas </w:t>
      </w:r>
      <w:r>
        <w:rPr>
          <w:i/>
          <w:iCs/>
          <w:sz w:val="24"/>
        </w:rPr>
        <w:t>markkinaoikeus</w:t>
      </w:r>
      <w:r>
        <w:rPr>
          <w:sz w:val="24"/>
        </w:rPr>
        <w:t xml:space="preserve"> (Tirdzniecības tiesa), lai tos nosaka pēdējā minētā. Pamatlietā </w:t>
      </w:r>
      <w:r>
        <w:rPr>
          <w:i/>
          <w:iCs/>
          <w:sz w:val="24"/>
        </w:rPr>
        <w:t>markkinaoikeus</w:t>
      </w:r>
      <w:r>
        <w:rPr>
          <w:sz w:val="24"/>
        </w:rPr>
        <w:t xml:space="preserve"> noraidīja iestādes lūgumu, uzskatot, ka ir iestājies noilgums, jo lūgums par naudas soda noteikšanu tai tika iesniegts vairāk nekā piecus gadus pēc pārkāpuma beigām. Proti, apstrīdētajā lēmumā </w:t>
      </w:r>
      <w:r>
        <w:rPr>
          <w:i/>
          <w:iCs/>
          <w:sz w:val="24"/>
        </w:rPr>
        <w:t>markkinaoikeus</w:t>
      </w:r>
      <w:r>
        <w:rPr>
          <w:sz w:val="24"/>
        </w:rPr>
        <w:t xml:space="preserve"> secināja, ka aizliegtā vienošanās bija spēkā no 2004. gada (pirms piedāvājumu iesniegšanas, kuras termiņš beidzās 2007. gadā) un turpināja būt spēkā vēl plānošanas darbu laikā, kas tika veikti pēc konkursa procedūras, bet vairs nebija spēkā būvdarbu laikā. </w:t>
      </w:r>
      <w:r>
        <w:rPr>
          <w:b/>
          <w:bCs/>
          <w:sz w:val="24"/>
          <w:highlight w:val="lightGray"/>
        </w:rPr>
        <w:t>[oriģ. 3. lpp.]</w:t>
      </w:r>
    </w:p>
    <w:p w14:paraId="2ED982BD" w14:textId="77777777" w:rsidR="00860686" w:rsidRPr="00860686" w:rsidRDefault="00860686" w:rsidP="00285704">
      <w:pPr>
        <w:widowControl/>
        <w:jc w:val="both"/>
        <w:rPr>
          <w:rFonts w:ascii="Times New Roman" w:hAnsi="Times New Roman" w:cs="Times New Roman"/>
          <w:b/>
          <w:bCs/>
          <w:noProof/>
          <w:sz w:val="24"/>
        </w:rPr>
      </w:pPr>
    </w:p>
    <w:p w14:paraId="697947ED"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4. Taču iestāde, kas lūgumu noteikt naudas sodu iesniedza 2014. gada 31. oktobrī, apgalvo, ka aizliegtā vienošanās bija spēkā līdz līguma izpildei, proti, līdz būvdarbu pabeigšanai (2009. gads) un līdz pēdējam maksājumam, ko saskaņā ar norunāto cenu veica pasūtītājs (2010. gada janvāris).</w:t>
      </w:r>
    </w:p>
    <w:p w14:paraId="6CC942EF" w14:textId="77777777" w:rsidR="00860686" w:rsidRPr="00860686" w:rsidRDefault="00860686" w:rsidP="00285704">
      <w:pPr>
        <w:widowControl/>
        <w:jc w:val="both"/>
        <w:rPr>
          <w:rFonts w:ascii="Times New Roman" w:eastAsia="Times New Roman" w:hAnsi="Times New Roman" w:cs="Times New Roman"/>
          <w:noProof/>
          <w:sz w:val="24"/>
          <w:szCs w:val="20"/>
        </w:rPr>
      </w:pPr>
    </w:p>
    <w:p w14:paraId="0019C3FD"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5. Iesniedzējtiesai, kam iestāde iesniedza apelācijas sūdzību, lietas dalībnieki apstiprināja savus argumentus, un tādēļ tika formulēts iepriekš minētais prejudiciālais jautājums.</w:t>
      </w:r>
    </w:p>
    <w:p w14:paraId="77806971" w14:textId="77777777" w:rsidR="00860686" w:rsidRPr="00860686" w:rsidRDefault="00860686" w:rsidP="00860686">
      <w:pPr>
        <w:widowControl/>
        <w:jc w:val="both"/>
        <w:rPr>
          <w:rFonts w:ascii="Times New Roman" w:eastAsia="Times New Roman" w:hAnsi="Times New Roman" w:cs="Times New Roman"/>
          <w:noProof/>
          <w:sz w:val="24"/>
          <w:szCs w:val="24"/>
        </w:rPr>
      </w:pPr>
    </w:p>
    <w:p w14:paraId="145A1E86" w14:textId="77777777" w:rsidR="00860686" w:rsidRPr="00860686" w:rsidRDefault="00285704" w:rsidP="00285704">
      <w:pPr>
        <w:widowControl/>
        <w:tabs>
          <w:tab w:val="left" w:pos="1023"/>
        </w:tabs>
        <w:jc w:val="both"/>
        <w:rPr>
          <w:rFonts w:ascii="Times New Roman" w:hAnsi="Times New Roman" w:cs="Times New Roman"/>
          <w:i/>
          <w:noProof/>
          <w:sz w:val="24"/>
          <w:u w:val="single" w:color="000000"/>
        </w:rPr>
      </w:pPr>
      <w:r>
        <w:rPr>
          <w:rFonts w:ascii="Times New Roman" w:hAnsi="Times New Roman"/>
          <w:i/>
          <w:sz w:val="24"/>
          <w:u w:color="000000"/>
        </w:rPr>
        <w:t xml:space="preserve">III. </w:t>
      </w:r>
      <w:r>
        <w:rPr>
          <w:rFonts w:ascii="Times New Roman" w:hAnsi="Times New Roman"/>
          <w:i/>
          <w:sz w:val="24"/>
          <w:u w:val="single" w:color="000000"/>
        </w:rPr>
        <w:t>ATBILSTOŠĀS EIROPAS UN VALSTS TIESĪBAS</w:t>
      </w:r>
      <w:bookmarkStart w:id="2" w:name="_bookmark2"/>
      <w:bookmarkEnd w:id="2"/>
    </w:p>
    <w:p w14:paraId="6051AF5A" w14:textId="77777777" w:rsidR="00860686" w:rsidRPr="00860686" w:rsidRDefault="00860686" w:rsidP="00860686">
      <w:pPr>
        <w:widowControl/>
        <w:jc w:val="both"/>
        <w:rPr>
          <w:rFonts w:ascii="Times New Roman" w:eastAsia="Times New Roman" w:hAnsi="Times New Roman" w:cs="Times New Roman"/>
          <w:i/>
          <w:noProof/>
          <w:sz w:val="24"/>
          <w:szCs w:val="14"/>
        </w:rPr>
      </w:pPr>
    </w:p>
    <w:p w14:paraId="38C10422"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6. Iesniedzējtiesas uzdotie jautājumi ir par primāro tiesību noteikuma – LESD 101. panta – interpretāciju (uz šo jautājumu mēs šajos apsvērumos neatbildēsim), kā arī par to, kā interpretēt Padomes 2002. gada 16. decembra Regulas (EK) Nr. 1/2003 par to konkurences noteikumu īstenošanu, kas noteikti Līguma 81. un 82. pantā (OV 2003, L 1, p. 19), 25. pantu “Noilguma termiņi sodu uzlikšanai”, kas ir formulēts šādi:</w:t>
      </w:r>
    </w:p>
    <w:p w14:paraId="5FC87087" w14:textId="77777777" w:rsidR="00860686" w:rsidRPr="00860686" w:rsidRDefault="00860686" w:rsidP="00860686">
      <w:pPr>
        <w:widowControl/>
        <w:jc w:val="both"/>
        <w:rPr>
          <w:rFonts w:ascii="Times New Roman" w:hAnsi="Times New Roman" w:cs="Times New Roman"/>
          <w:noProof/>
          <w:sz w:val="24"/>
        </w:rPr>
      </w:pPr>
    </w:p>
    <w:p w14:paraId="2791E5A1" w14:textId="77777777" w:rsidR="00860686" w:rsidRPr="00860686" w:rsidRDefault="00860686" w:rsidP="00860686">
      <w:pPr>
        <w:widowControl/>
        <w:jc w:val="both"/>
        <w:rPr>
          <w:rFonts w:ascii="Times New Roman" w:hAnsi="Times New Roman" w:cs="Times New Roman"/>
          <w:i/>
          <w:noProof/>
          <w:sz w:val="24"/>
        </w:rPr>
      </w:pPr>
      <w:r>
        <w:rPr>
          <w:rFonts w:ascii="Times New Roman" w:hAnsi="Times New Roman"/>
          <w:sz w:val="24"/>
        </w:rPr>
        <w:t>“</w:t>
      </w:r>
      <w:r>
        <w:rPr>
          <w:rFonts w:ascii="Times New Roman" w:hAnsi="Times New Roman"/>
          <w:i/>
          <w:iCs/>
          <w:sz w:val="24"/>
        </w:rPr>
        <w:t>1.</w:t>
      </w:r>
      <w:r>
        <w:rPr>
          <w:rFonts w:ascii="Times New Roman" w:hAnsi="Times New Roman"/>
          <w:i/>
          <w:sz w:val="24"/>
        </w:rPr>
        <w:t xml:space="preserve"> Uz pilnvarām, kas ar 23. un 24. pantu piešķirtas Komisijai, attiecas šādi noilguma termiņi:</w:t>
      </w:r>
    </w:p>
    <w:p w14:paraId="23230B43" w14:textId="77777777" w:rsidR="00860686" w:rsidRPr="00860686" w:rsidRDefault="00860686" w:rsidP="00860686">
      <w:pPr>
        <w:widowControl/>
        <w:jc w:val="both"/>
        <w:rPr>
          <w:rFonts w:ascii="Times New Roman" w:hAnsi="Times New Roman" w:cs="Times New Roman"/>
          <w:i/>
          <w:noProof/>
          <w:sz w:val="24"/>
        </w:rPr>
      </w:pPr>
    </w:p>
    <w:p w14:paraId="1273BE8B" w14:textId="77777777" w:rsidR="00860686" w:rsidRPr="00860686" w:rsidRDefault="00285704" w:rsidP="00285704">
      <w:pPr>
        <w:widowControl/>
        <w:tabs>
          <w:tab w:val="left" w:pos="976"/>
        </w:tabs>
        <w:jc w:val="both"/>
        <w:rPr>
          <w:rFonts w:ascii="Times New Roman" w:eastAsia="Times New Roman" w:hAnsi="Times New Roman" w:cs="Times New Roman"/>
          <w:i/>
          <w:noProof/>
          <w:sz w:val="24"/>
          <w:szCs w:val="25"/>
        </w:rPr>
      </w:pPr>
      <w:r>
        <w:rPr>
          <w:rFonts w:ascii="Times New Roman" w:hAnsi="Times New Roman"/>
          <w:i/>
          <w:sz w:val="24"/>
          <w:szCs w:val="25"/>
        </w:rPr>
        <w:t>a) trīs gadi gadījumā, kad pārkāpti noteikumi attiecībā uz informācijas pieprasīšanu vai pārbaužu veikšanu;</w:t>
      </w:r>
    </w:p>
    <w:p w14:paraId="7D618C9F" w14:textId="77777777" w:rsidR="00860686" w:rsidRPr="00860686" w:rsidRDefault="00860686" w:rsidP="00285704">
      <w:pPr>
        <w:widowControl/>
        <w:jc w:val="both"/>
        <w:rPr>
          <w:rFonts w:ascii="Times New Roman" w:eastAsia="Times New Roman" w:hAnsi="Times New Roman" w:cs="Times New Roman"/>
          <w:i/>
          <w:noProof/>
          <w:sz w:val="24"/>
          <w:szCs w:val="20"/>
        </w:rPr>
      </w:pPr>
    </w:p>
    <w:p w14:paraId="225C9D75" w14:textId="77777777" w:rsidR="00860686" w:rsidRPr="00860686" w:rsidRDefault="00285704" w:rsidP="00285704">
      <w:pPr>
        <w:widowControl/>
        <w:tabs>
          <w:tab w:val="left" w:pos="921"/>
        </w:tabs>
        <w:jc w:val="both"/>
        <w:rPr>
          <w:rFonts w:ascii="Times New Roman" w:hAnsi="Times New Roman" w:cs="Times New Roman"/>
          <w:i/>
          <w:noProof/>
          <w:sz w:val="24"/>
        </w:rPr>
      </w:pPr>
      <w:r>
        <w:rPr>
          <w:rFonts w:ascii="Times New Roman" w:hAnsi="Times New Roman"/>
          <w:i/>
          <w:sz w:val="24"/>
        </w:rPr>
        <w:t>b) pieci gadi visu pārējo pārkāpumu gadījumā.</w:t>
      </w:r>
    </w:p>
    <w:p w14:paraId="56116858" w14:textId="77777777" w:rsidR="00860686" w:rsidRPr="00860686" w:rsidRDefault="00860686" w:rsidP="00860686">
      <w:pPr>
        <w:widowControl/>
        <w:jc w:val="both"/>
        <w:rPr>
          <w:rFonts w:ascii="Times New Roman" w:eastAsia="Times New Roman" w:hAnsi="Times New Roman" w:cs="Times New Roman"/>
          <w:i/>
          <w:noProof/>
          <w:sz w:val="24"/>
          <w:szCs w:val="20"/>
        </w:rPr>
      </w:pPr>
    </w:p>
    <w:p w14:paraId="74DCE5D0" w14:textId="77777777" w:rsidR="00860686" w:rsidRPr="00860686" w:rsidRDefault="00860686" w:rsidP="00860686">
      <w:pPr>
        <w:widowControl/>
        <w:jc w:val="both"/>
        <w:rPr>
          <w:rFonts w:ascii="Times New Roman" w:eastAsia="Times New Roman" w:hAnsi="Times New Roman" w:cs="Times New Roman"/>
          <w:noProof/>
          <w:sz w:val="24"/>
          <w:szCs w:val="25"/>
        </w:rPr>
      </w:pPr>
      <w:r>
        <w:rPr>
          <w:rFonts w:ascii="Times New Roman" w:hAnsi="Times New Roman"/>
          <w:i/>
          <w:sz w:val="24"/>
          <w:szCs w:val="25"/>
        </w:rPr>
        <w:t xml:space="preserve">2. Laiku skaita no dienas, kuras [kurā] izdarīts pārkāpums. </w:t>
      </w:r>
      <w:r>
        <w:rPr>
          <w:rFonts w:ascii="Times New Roman" w:hAnsi="Times New Roman"/>
          <w:i/>
          <w:iCs/>
          <w:sz w:val="24"/>
          <w:szCs w:val="25"/>
        </w:rPr>
        <w:t>Tomēr pārkāpumu turpināšanas vai atkārtošanas gadījumā laiku skaita no dienas, kurā pārtrauc pārkāpšanu.</w:t>
      </w:r>
      <w:r>
        <w:rPr>
          <w:rFonts w:ascii="Times New Roman" w:hAnsi="Times New Roman"/>
          <w:sz w:val="24"/>
          <w:szCs w:val="25"/>
        </w:rPr>
        <w:t>”</w:t>
      </w:r>
    </w:p>
    <w:p w14:paraId="59694157" w14:textId="77777777" w:rsidR="00860686" w:rsidRPr="00860686" w:rsidRDefault="00860686" w:rsidP="00860686">
      <w:pPr>
        <w:widowControl/>
        <w:jc w:val="both"/>
        <w:rPr>
          <w:rFonts w:ascii="Times New Roman" w:eastAsia="Times New Roman" w:hAnsi="Times New Roman" w:cs="Times New Roman"/>
          <w:noProof/>
          <w:sz w:val="24"/>
          <w:szCs w:val="20"/>
        </w:rPr>
      </w:pPr>
    </w:p>
    <w:p w14:paraId="35FC8C49" w14:textId="77777777" w:rsidR="00860686" w:rsidRPr="00860686" w:rsidRDefault="00285704" w:rsidP="00285704">
      <w:pPr>
        <w:pStyle w:val="BodyText"/>
        <w:widowControl/>
        <w:tabs>
          <w:tab w:val="left" w:pos="651"/>
        </w:tabs>
        <w:ind w:left="0" w:firstLine="0"/>
        <w:jc w:val="both"/>
        <w:rPr>
          <w:rFonts w:cs="Times New Roman"/>
          <w:b/>
          <w:bCs/>
          <w:noProof/>
          <w:sz w:val="24"/>
        </w:rPr>
      </w:pPr>
      <w:r>
        <w:rPr>
          <w:sz w:val="24"/>
        </w:rPr>
        <w:t xml:space="preserve">7. </w:t>
      </w:r>
      <w:r>
        <w:rPr>
          <w:i/>
          <w:iCs/>
          <w:sz w:val="24"/>
        </w:rPr>
        <w:t>Kilpailunrajoituslaki</w:t>
      </w:r>
      <w:r>
        <w:rPr>
          <w:sz w:val="24"/>
        </w:rPr>
        <w:t xml:space="preserve"> (Likums par konkurences ierobežojumu novēršanu [(318/2004), turpmāk tekstā – </w:t>
      </w:r>
      <w:r>
        <w:rPr>
          <w:i/>
          <w:iCs/>
          <w:sz w:val="24"/>
        </w:rPr>
        <w:t>Kilpailunrajoituslaki</w:t>
      </w:r>
      <w:r>
        <w:rPr>
          <w:sz w:val="24"/>
        </w:rPr>
        <w:t xml:space="preserve">]) 22. pantā arī ir paredzēts piecus gadus ilgs noilguma termiņš naudas soda noteikšanai saskaņā ar šā likuma 4. pantu vai LESD 101. pantu. Somijas tiesību noteikumos ir paredzēts, ka naudas sodu nevar noteikt, ja šajā ziņā priekšlikums </w:t>
      </w:r>
      <w:r>
        <w:rPr>
          <w:i/>
          <w:iCs/>
          <w:sz w:val="24"/>
        </w:rPr>
        <w:t>markkinaoikeus</w:t>
      </w:r>
      <w:r>
        <w:rPr>
          <w:sz w:val="24"/>
        </w:rPr>
        <w:t xml:space="preserve"> nav ticis iesniegts piecu gadu laikā pēc dienas, kad ir beidzies konkurences ierobežojums, vai pēc dienas, par kuru iestādei ir zināms, ka līdz tai ir turpinājies konkurences ierobežojums. </w:t>
      </w:r>
      <w:r>
        <w:rPr>
          <w:b/>
          <w:bCs/>
          <w:sz w:val="24"/>
          <w:highlight w:val="lightGray"/>
        </w:rPr>
        <w:t>[oriģ. 4. lpp.]</w:t>
      </w:r>
    </w:p>
    <w:p w14:paraId="349E92A7" w14:textId="77777777" w:rsidR="00860686" w:rsidRPr="00860686" w:rsidRDefault="00860686" w:rsidP="00285704">
      <w:pPr>
        <w:widowControl/>
        <w:jc w:val="both"/>
        <w:rPr>
          <w:rFonts w:ascii="Times New Roman" w:hAnsi="Times New Roman" w:cs="Times New Roman"/>
          <w:b/>
          <w:bCs/>
          <w:noProof/>
          <w:sz w:val="24"/>
        </w:rPr>
      </w:pPr>
    </w:p>
    <w:p w14:paraId="426CEB1B"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8. Šajā ziņā iesniedzējtiesa precizē, ka no </w:t>
      </w:r>
      <w:r>
        <w:rPr>
          <w:i/>
          <w:iCs/>
          <w:sz w:val="24"/>
        </w:rPr>
        <w:t>kilpailunrajoituslaki</w:t>
      </w:r>
      <w:r>
        <w:rPr>
          <w:sz w:val="24"/>
        </w:rPr>
        <w:t xml:space="preserve"> izstrādes priekšdarbiem izriet, ka piecu gadu noilguma termiņš tika noteikts, lai tas “būtu tāds pats kā Savienības tiesībās piemērotais”.</w:t>
      </w:r>
    </w:p>
    <w:p w14:paraId="67844DDD" w14:textId="77777777" w:rsidR="00860686" w:rsidRPr="00860686" w:rsidRDefault="00860686" w:rsidP="00860686">
      <w:pPr>
        <w:widowControl/>
        <w:jc w:val="both"/>
        <w:rPr>
          <w:rFonts w:ascii="Times New Roman" w:eastAsia="Times New Roman" w:hAnsi="Times New Roman" w:cs="Times New Roman"/>
          <w:noProof/>
          <w:sz w:val="24"/>
          <w:szCs w:val="20"/>
        </w:rPr>
      </w:pPr>
    </w:p>
    <w:p w14:paraId="59ABF611" w14:textId="77777777" w:rsidR="00860686" w:rsidRPr="00860686" w:rsidRDefault="00285704" w:rsidP="00285704">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9. Spriedumā “EMI Records” lietā</w:t>
      </w:r>
      <w:r>
        <w:rPr>
          <w:rStyle w:val="FootnoteReference"/>
          <w:rFonts w:ascii="Times New Roman" w:eastAsia="Times New Roman" w:hAnsi="Times New Roman" w:cs="Times New Roman"/>
          <w:noProof/>
          <w:sz w:val="24"/>
          <w:szCs w:val="25"/>
        </w:rPr>
        <w:footnoteReference w:id="2"/>
      </w:r>
      <w:r>
        <w:rPr>
          <w:rFonts w:ascii="Times New Roman" w:hAnsi="Times New Roman"/>
          <w:sz w:val="24"/>
          <w:szCs w:val="25"/>
        </w:rPr>
        <w:t xml:space="preserve"> par to, kā konstatēt aizliegtu vienošanos, kas vairs nav spēkā, Tiesa nosprieda, ka, “</w:t>
      </w:r>
      <w:r>
        <w:rPr>
          <w:rFonts w:ascii="Times New Roman" w:hAnsi="Times New Roman"/>
          <w:i/>
          <w:sz w:val="24"/>
          <w:szCs w:val="25"/>
        </w:rPr>
        <w:t>lai varētu piemērot 85. pantu tādam gadījumam, kad aizliegta vienošanās vairs nav spēkā, kā tas ir šajā lietā, pietiek, ka šādas vienošanās sekas turpinās pēc tam, kad tā formāli vairs nav spēkā”</w:t>
      </w:r>
      <w:r>
        <w:rPr>
          <w:rFonts w:ascii="Times New Roman" w:hAnsi="Times New Roman"/>
          <w:sz w:val="24"/>
          <w:szCs w:val="25"/>
        </w:rPr>
        <w:t xml:space="preserve"> (30. punkts), un </w:t>
      </w:r>
      <w:r>
        <w:rPr>
          <w:rFonts w:ascii="Times New Roman" w:hAnsi="Times New Roman"/>
          <w:i/>
          <w:iCs/>
          <w:sz w:val="24"/>
          <w:szCs w:val="25"/>
        </w:rPr>
        <w:t>“tiek uzskatīts, ka aizliegtas vienošanās sekas turpinās tikai tad, ja no attiecīgo personu rīcības netieši izriet, ka pastāv tādi saskaņotas darbības elementi, kas norāda uz aizliegtu vienošanos, un ja šai rīcībai ir tāds pats rezultāts, kāds paredzēts ar aizliegtu vienošanos”</w:t>
      </w:r>
      <w:r>
        <w:rPr>
          <w:rFonts w:ascii="Times New Roman" w:hAnsi="Times New Roman"/>
          <w:sz w:val="24"/>
          <w:szCs w:val="25"/>
        </w:rPr>
        <w:t xml:space="preserve"> (31. punkts).</w:t>
      </w:r>
    </w:p>
    <w:p w14:paraId="350BE1C3" w14:textId="77777777" w:rsidR="00860686" w:rsidRPr="00860686" w:rsidRDefault="00860686" w:rsidP="00860686">
      <w:pPr>
        <w:widowControl/>
        <w:jc w:val="both"/>
        <w:rPr>
          <w:rFonts w:ascii="Times New Roman" w:eastAsia="Times New Roman" w:hAnsi="Times New Roman" w:cs="Times New Roman"/>
          <w:noProof/>
          <w:sz w:val="24"/>
          <w:szCs w:val="20"/>
        </w:rPr>
      </w:pPr>
    </w:p>
    <w:p w14:paraId="23E0CBC9" w14:textId="77777777" w:rsidR="00860686" w:rsidRPr="00285704" w:rsidRDefault="00285704" w:rsidP="00285704">
      <w:pPr>
        <w:widowControl/>
        <w:tabs>
          <w:tab w:val="left" w:pos="651"/>
        </w:tabs>
        <w:jc w:val="both"/>
        <w:rPr>
          <w:rFonts w:ascii="Times New Roman" w:eastAsia="Times New Roman" w:hAnsi="Times New Roman" w:cs="Times New Roman"/>
          <w:i/>
          <w:noProof/>
          <w:sz w:val="24"/>
          <w:szCs w:val="25"/>
        </w:rPr>
      </w:pPr>
      <w:r>
        <w:rPr>
          <w:rFonts w:ascii="Times New Roman" w:hAnsi="Times New Roman"/>
          <w:sz w:val="24"/>
          <w:szCs w:val="25"/>
        </w:rPr>
        <w:t>10. Spriedumā lietā ““Quinn Barlo” u. c. pret Komisiju”</w:t>
      </w:r>
      <w:r>
        <w:rPr>
          <w:rStyle w:val="FootnoteReference"/>
          <w:rFonts w:ascii="Times New Roman" w:eastAsia="Times New Roman" w:hAnsi="Times New Roman" w:cs="Times New Roman"/>
          <w:noProof/>
          <w:sz w:val="24"/>
          <w:szCs w:val="25"/>
        </w:rPr>
        <w:footnoteReference w:id="3"/>
      </w:r>
      <w:r>
        <w:rPr>
          <w:rFonts w:ascii="Times New Roman" w:hAnsi="Times New Roman"/>
          <w:sz w:val="24"/>
          <w:szCs w:val="25"/>
        </w:rPr>
        <w:t xml:space="preserve"> Tiesa nosprieda: </w:t>
      </w:r>
      <w:r>
        <w:rPr>
          <w:rFonts w:ascii="Times New Roman" w:hAnsi="Times New Roman"/>
          <w:i/>
          <w:iCs/>
          <w:sz w:val="24"/>
          <w:szCs w:val="25"/>
        </w:rPr>
        <w:t>“(..) atbilstoši pastāvīgajai judikatūrai konkurences režīms, kas izveidots ar LESD 101. un 102. pantu, attiecas uz vienošanos vai citu līdzīgu saskaņošanas vai koordinēšanas veidu ekonomiskajām sekām, nevis uz to juridisko formu.</w:t>
      </w:r>
      <w:r>
        <w:rPr>
          <w:rFonts w:ascii="Times New Roman" w:hAnsi="Times New Roman"/>
          <w:i/>
          <w:sz w:val="24"/>
          <w:szCs w:val="25"/>
        </w:rPr>
        <w:t xml:space="preserve"> Tātad, lai piemērotu LESD 101. pantu attiecībā uz tādu aizliegtu vienošanos gadījumiem, kas vairs nav spēkā, pietiek, ka tie rada sekas, kas turpinās arī pēc tam, kad aizliegta sazināšanās formāli ir izbeigta. </w:t>
      </w:r>
      <w:r>
        <w:rPr>
          <w:rFonts w:ascii="Times New Roman" w:hAnsi="Times New Roman"/>
          <w:i/>
          <w:iCs/>
          <w:sz w:val="24"/>
          <w:szCs w:val="25"/>
        </w:rPr>
        <w:t>No tā izriet, ka pārkāpuma ilgumu var novērtēt atkarībā no laika posma, kurā apsūdzētie uzņēmumi veica darbības, kas ir aizliegtas ar minēto pantu (..).</w:t>
      </w:r>
      <w:r>
        <w:rPr>
          <w:rFonts w:ascii="Times New Roman" w:hAnsi="Times New Roman"/>
          <w:sz w:val="24"/>
          <w:szCs w:val="25"/>
        </w:rPr>
        <w:t xml:space="preserve"> </w:t>
      </w:r>
      <w:r>
        <w:rPr>
          <w:rFonts w:ascii="Times New Roman" w:hAnsi="Times New Roman"/>
          <w:i/>
          <w:iCs/>
          <w:sz w:val="24"/>
          <w:szCs w:val="25"/>
        </w:rPr>
        <w:t>Citiem vārdiem sakot, Vispārējā tiesa teorētiski varēja konstatēt, ka pārkāpums ir ildzis piemēram, visu periodu, kurā bija spēkā cenas, kas tika saskaņotas ar aizliegto vienošanos, līdz ar to šajā lietā būtu sasniegts prasītāju interesēm objektīvi nelabvēlīgākais iznākums (40. punkts</w:t>
      </w:r>
      <w:r>
        <w:rPr>
          <w:rStyle w:val="FootnoteReference"/>
          <w:rFonts w:ascii="Times New Roman" w:eastAsia="Times New Roman" w:hAnsi="Times New Roman" w:cs="Times New Roman"/>
          <w:i/>
          <w:noProof/>
          <w:sz w:val="24"/>
          <w:szCs w:val="25"/>
        </w:rPr>
        <w:footnoteReference w:id="4"/>
      </w:r>
      <w:r>
        <w:rPr>
          <w:rFonts w:ascii="Times New Roman" w:hAnsi="Times New Roman"/>
          <w:i/>
          <w:iCs/>
          <w:sz w:val="24"/>
          <w:szCs w:val="25"/>
        </w:rPr>
        <w:t>).</w:t>
      </w:r>
      <w:r>
        <w:rPr>
          <w:rFonts w:ascii="Times New Roman" w:hAnsi="Times New Roman"/>
          <w:sz w:val="24"/>
          <w:szCs w:val="25"/>
        </w:rPr>
        <w:t xml:space="preserve"> </w:t>
      </w:r>
      <w:r>
        <w:rPr>
          <w:rFonts w:ascii="Times New Roman" w:hAnsi="Times New Roman"/>
          <w:b/>
          <w:bCs/>
          <w:sz w:val="24"/>
          <w:szCs w:val="25"/>
          <w:highlight w:val="lightGray"/>
        </w:rPr>
        <w:t>[oriģ. 5. lpp.]</w:t>
      </w:r>
    </w:p>
    <w:p w14:paraId="01F69E9D" w14:textId="77777777" w:rsidR="00860686" w:rsidRDefault="00860686" w:rsidP="00860686">
      <w:pPr>
        <w:widowControl/>
        <w:jc w:val="both"/>
        <w:rPr>
          <w:rFonts w:ascii="Times New Roman" w:eastAsia="Times New Roman" w:hAnsi="Times New Roman" w:cs="Times New Roman"/>
          <w:b/>
          <w:bCs/>
          <w:noProof/>
          <w:sz w:val="24"/>
          <w:szCs w:val="25"/>
        </w:rPr>
      </w:pPr>
    </w:p>
    <w:p w14:paraId="6D2F902D" w14:textId="77777777" w:rsidR="00285704" w:rsidRPr="00860686" w:rsidRDefault="00285704" w:rsidP="00860686">
      <w:pPr>
        <w:widowControl/>
        <w:jc w:val="both"/>
        <w:rPr>
          <w:rFonts w:ascii="Times New Roman" w:eastAsia="Times New Roman" w:hAnsi="Times New Roman" w:cs="Times New Roman"/>
          <w:b/>
          <w:bCs/>
          <w:noProof/>
          <w:sz w:val="24"/>
          <w:szCs w:val="25"/>
        </w:rPr>
      </w:pPr>
    </w:p>
    <w:p w14:paraId="54BAEF75" w14:textId="77777777" w:rsidR="00860686" w:rsidRPr="00860686" w:rsidRDefault="00285704" w:rsidP="00285704">
      <w:pPr>
        <w:widowControl/>
        <w:tabs>
          <w:tab w:val="left" w:pos="1011"/>
        </w:tabs>
        <w:jc w:val="both"/>
        <w:rPr>
          <w:rFonts w:ascii="Times New Roman" w:hAnsi="Times New Roman" w:cs="Times New Roman"/>
          <w:i/>
          <w:noProof/>
          <w:sz w:val="24"/>
          <w:u w:val="single" w:color="000000"/>
        </w:rPr>
      </w:pPr>
      <w:r>
        <w:rPr>
          <w:rFonts w:ascii="Times New Roman" w:hAnsi="Times New Roman"/>
          <w:i/>
          <w:sz w:val="24"/>
          <w:u w:color="000000"/>
        </w:rPr>
        <w:t xml:space="preserve">IV. </w:t>
      </w:r>
      <w:r>
        <w:rPr>
          <w:rFonts w:ascii="Times New Roman" w:hAnsi="Times New Roman"/>
          <w:i/>
          <w:sz w:val="24"/>
          <w:u w:val="single" w:color="000000"/>
        </w:rPr>
        <w:t>VĒRTĒJUMS</w:t>
      </w:r>
      <w:bookmarkStart w:id="3" w:name="_bookmark3"/>
      <w:bookmarkEnd w:id="3"/>
    </w:p>
    <w:p w14:paraId="228135A5" w14:textId="77777777" w:rsidR="00860686" w:rsidRPr="00860686" w:rsidRDefault="00860686" w:rsidP="00860686">
      <w:pPr>
        <w:widowControl/>
        <w:jc w:val="both"/>
        <w:rPr>
          <w:rFonts w:ascii="Times New Roman" w:eastAsia="Times New Roman" w:hAnsi="Times New Roman" w:cs="Times New Roman"/>
          <w:i/>
          <w:noProof/>
          <w:sz w:val="24"/>
          <w:szCs w:val="14"/>
        </w:rPr>
      </w:pPr>
    </w:p>
    <w:p w14:paraId="51F3C21F"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11. Tiesai uzdotie iesniedzējtiesas jautājumi ir galvenokārt par to, kā aprēķināt tādas aizliegtas vienošanās ilgumu, kas ierobežo konkurenci, piedaloties publiskajā iepirkumā (minētā darbība tiek klasificēta kā </w:t>
      </w:r>
      <w:r>
        <w:rPr>
          <w:i/>
          <w:sz w:val="24"/>
        </w:rPr>
        <w:t>bid rigging</w:t>
      </w:r>
      <w:r>
        <w:rPr>
          <w:sz w:val="24"/>
        </w:rPr>
        <w:t>). Šāda aprēķināšana ir būtiska, lai noteiktu noilgumu tiesībām pieprasīt naudas sodu. Konkrētāk – iesniedzējtiesa jautā, vai, kā uzskatīja iestāde, pārkāpums ilgst līdz brīdim, kad ir pilnībā veikti ar līgumu saistītie maksājumi, vai arī tas beidzas brīdī, kad tiek iesniegts saskaņotais piedāvājums, vai, vēlākais, līguma noslēgšanas brīdī (šādi sprieda pirmās instances tiesa).</w:t>
      </w:r>
    </w:p>
    <w:p w14:paraId="0F6B0E89" w14:textId="77777777" w:rsidR="00860686" w:rsidRPr="00860686" w:rsidRDefault="00860686" w:rsidP="00285704">
      <w:pPr>
        <w:widowControl/>
        <w:jc w:val="both"/>
        <w:rPr>
          <w:rFonts w:ascii="Times New Roman" w:hAnsi="Times New Roman" w:cs="Times New Roman"/>
          <w:noProof/>
          <w:sz w:val="24"/>
        </w:rPr>
      </w:pPr>
    </w:p>
    <w:p w14:paraId="19194722"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12. Saskaņā ar Somijas tiesībām valsts tiesību aktu noteikumi par noilgumu, kādā iestāde var pieprasīt noteikt naudas sodu, tostarp par noilguma termiņa atskaites sākuma punktu, ir jāinterpretē atbilstoši Savienības tiesībām šajā jomā.</w:t>
      </w:r>
    </w:p>
    <w:p w14:paraId="79CAA104" w14:textId="77777777" w:rsidR="00860686" w:rsidRPr="00860686" w:rsidRDefault="00860686" w:rsidP="00285704">
      <w:pPr>
        <w:widowControl/>
        <w:jc w:val="both"/>
        <w:rPr>
          <w:rFonts w:ascii="Times New Roman" w:eastAsia="Times New Roman" w:hAnsi="Times New Roman" w:cs="Times New Roman"/>
          <w:noProof/>
          <w:sz w:val="24"/>
          <w:szCs w:val="21"/>
        </w:rPr>
      </w:pPr>
    </w:p>
    <w:p w14:paraId="6D900319"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13. Ar to pietiek, lai lūgums sniegt prejudiciālu nolēmumu būtu pieņemams atbilstoši Tiesas kompetencei uz to atbildēt bez nepieciešamības konstatēt, vai termiņa atskaites sākuma punkts, kas valsts konkurences uzraudzības iestādēm jāpiemēro valsts procedūrās, ir Savienības tiesību jēdziens. Pat ja jautājums nebūtu pieņemams, būtu jāpiemēro princips, saskaņā ar kuru, ja valsts tiesību aktos situācijām, kas ir saistītas tikai ar šo valsti, ir paredzēti tādi paši risinājumi kā Kopienas tiesībās, tad Kopienas interesēs ir vienveidīga to noteikumu vai jēdzienu interpretācija, kas pārņemti no Kopienas tiesībām, neatkarīgi no apstākļiem, kādos tos ir paredzēts piemērot, lai izvairītos no interpretācijas atšķirībām nākotnē.</w:t>
      </w:r>
      <w:r>
        <w:rPr>
          <w:rStyle w:val="FootnoteReference"/>
          <w:rFonts w:cs="Times New Roman"/>
          <w:noProof/>
          <w:sz w:val="24"/>
        </w:rPr>
        <w:footnoteReference w:id="5"/>
      </w:r>
    </w:p>
    <w:p w14:paraId="48D3BE9B" w14:textId="77777777" w:rsidR="00860686" w:rsidRPr="00860686" w:rsidRDefault="00860686" w:rsidP="00860686">
      <w:pPr>
        <w:widowControl/>
        <w:jc w:val="both"/>
        <w:rPr>
          <w:rFonts w:ascii="Times New Roman" w:eastAsia="Times New Roman" w:hAnsi="Times New Roman" w:cs="Times New Roman"/>
          <w:noProof/>
          <w:sz w:val="24"/>
          <w:szCs w:val="20"/>
        </w:rPr>
      </w:pPr>
    </w:p>
    <w:p w14:paraId="7E442921"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14. Kad tas ir precizēts – pēdējo gadu laikā jautājums par tādas horizontālas aizliegtas vienošanās ilgumu, kas noslēgta starp tiem, kuri publiskajā iepirkumā atsaukušies uz uzaicinājumu iesniegt piedāvājumu </w:t>
      </w:r>
      <w:r>
        <w:rPr>
          <w:b/>
          <w:bCs/>
          <w:sz w:val="24"/>
          <w:highlight w:val="lightGray"/>
        </w:rPr>
        <w:t>[oriģ. 6. lpp.]</w:t>
      </w:r>
      <w:r>
        <w:rPr>
          <w:sz w:val="24"/>
        </w:rPr>
        <w:t>, tiek bieži uzdots Itālijas tiesu praksē. Šajā ziņā mums šķiet lietderīgi norādīt Tiesai risinājumu, kas ir izstrādāts Itālijas judikatūrā.</w:t>
      </w:r>
    </w:p>
    <w:p w14:paraId="17EADB9D" w14:textId="77777777" w:rsidR="00860686" w:rsidRPr="00860686" w:rsidRDefault="00860686" w:rsidP="00860686">
      <w:pPr>
        <w:widowControl/>
        <w:jc w:val="both"/>
        <w:rPr>
          <w:rFonts w:ascii="Times New Roman" w:hAnsi="Times New Roman" w:cs="Times New Roman"/>
          <w:noProof/>
          <w:sz w:val="24"/>
        </w:rPr>
      </w:pPr>
    </w:p>
    <w:p w14:paraId="27F7DCFE"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15. Principiālu nolēmumu šajā jomā Itālijas konkurences uzraudzības iestāde pasludināja 2002. gadā. Itālijas valsts iestādes centralizētās iepirkumu institūcijas “Consip S.p.A.” publiskajā iepirkumā organizētā uzaicinājuma iesniegt piedāvājumu par maltīšu kuponu piegādi Itālijas iestādei nosacījumi bija sagrozīti. Šajā lietā Itālijas konkurences uzraudzības iestāde uzskatīja, ka pārkāpums aptvēra ne tikai to, ka tika kopīgi noteikta kārtība, kas attiecās uz uzaicinājumu iesniegt piedāvājumu, bet arī to, ka šis pārkāpums turpinājās, faktiski sadalot pakalpojumus noslēgto līgumu izpildes laikā.</w:t>
      </w:r>
    </w:p>
    <w:p w14:paraId="6AE5D6A2" w14:textId="77777777" w:rsidR="00860686" w:rsidRPr="00860686" w:rsidRDefault="00860686" w:rsidP="00285704">
      <w:pPr>
        <w:widowControl/>
        <w:jc w:val="both"/>
        <w:rPr>
          <w:rFonts w:ascii="Times New Roman" w:eastAsia="Times New Roman" w:hAnsi="Times New Roman" w:cs="Times New Roman"/>
          <w:noProof/>
          <w:sz w:val="24"/>
          <w:szCs w:val="21"/>
        </w:rPr>
      </w:pPr>
    </w:p>
    <w:p w14:paraId="0E68074E"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16. Itālijas administratīvā tiesa nosprieda citādi, ciktāl tā uzskatīja, ka pārkāpums bija “tūlītējs ar pastāvīgām sekām” un ka tātad ir jāuzskata, ka tas tika izdarīts piedāvājumu iesniegšanas brīdī.</w:t>
      </w:r>
      <w:r>
        <w:rPr>
          <w:rStyle w:val="FootnoteReference"/>
          <w:rFonts w:cs="Times New Roman"/>
          <w:noProof/>
          <w:sz w:val="24"/>
        </w:rPr>
        <w:footnoteReference w:id="6"/>
      </w:r>
    </w:p>
    <w:p w14:paraId="47ECF7F4" w14:textId="77777777" w:rsidR="00860686" w:rsidRPr="00860686" w:rsidRDefault="00860686" w:rsidP="00285704">
      <w:pPr>
        <w:widowControl/>
        <w:jc w:val="both"/>
        <w:rPr>
          <w:rFonts w:ascii="Times New Roman" w:eastAsia="Times New Roman" w:hAnsi="Times New Roman" w:cs="Times New Roman"/>
          <w:noProof/>
          <w:sz w:val="24"/>
          <w:szCs w:val="20"/>
        </w:rPr>
      </w:pPr>
    </w:p>
    <w:p w14:paraId="68F12374" w14:textId="77777777" w:rsidR="00860686" w:rsidRPr="00860686" w:rsidRDefault="00285704" w:rsidP="00285704">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17. Itālijas Valsts padome piemēroja krimināltiesību judikatūras un doktrīnas principus un citu starpā secināja, ka, runājot par pārkāpuma nepārtrauktību, “tas, ka pārkāpuma izraisītā kaitējuma vai apdraudējuma sekas turpinās arī pēc tam, nav būtiski, ciktāl runa nav par pārkāpumu veidojošiem elementiem (..). Tātad tas, vai pārkāpums ir nepārtraukts, ir atkarīgs nevis no tā sekām, bet gan no šo seku radīšanas.” Citiem vārdiem sakot, Itālijas Valsts padome uzskatīja, ka konkurences tiesību pārkāpumos ir jānošķir “nepārtraukti pārkāpumi, kad to izdarītāja nelikumīgā rīcība turpinās laikā, un tūlītēji pārkāpumi ar pastāvīgām sekām, kad kaitējumu izraisošās sekas turpinās arī pēc nelikumīgās rīcības beigām.”</w:t>
      </w:r>
    </w:p>
    <w:p w14:paraId="05EA14DA" w14:textId="77777777" w:rsidR="00860686" w:rsidRPr="00860686" w:rsidRDefault="00860686" w:rsidP="00285704">
      <w:pPr>
        <w:widowControl/>
        <w:jc w:val="both"/>
        <w:rPr>
          <w:rFonts w:ascii="Times New Roman" w:eastAsia="Times New Roman" w:hAnsi="Times New Roman" w:cs="Times New Roman"/>
          <w:noProof/>
          <w:sz w:val="24"/>
          <w:szCs w:val="20"/>
        </w:rPr>
      </w:pPr>
    </w:p>
    <w:p w14:paraId="002E9E68" w14:textId="77777777" w:rsidR="00860686" w:rsidRPr="00860686" w:rsidRDefault="00285704" w:rsidP="00285704">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 xml:space="preserve">18. Saskaņā ar Itālijas Valsts padomi </w:t>
      </w:r>
      <w:r>
        <w:rPr>
          <w:rFonts w:ascii="Times New Roman" w:hAnsi="Times New Roman"/>
          <w:i/>
          <w:sz w:val="24"/>
          <w:szCs w:val="25"/>
        </w:rPr>
        <w:t>bid rigging</w:t>
      </w:r>
      <w:r>
        <w:rPr>
          <w:rFonts w:ascii="Times New Roman" w:hAnsi="Times New Roman"/>
          <w:sz w:val="24"/>
          <w:szCs w:val="25"/>
        </w:rPr>
        <w:t xml:space="preserve"> ietilpst otrajā pārkāpumu kategorijā, jo “uzņēmumi ir izdarījuši pārkāpumu pirms piedāvājumu iesniegšanas, vienojoties par piedāvājumu iesniegšanas kārtību, kā arī par piedāvātajām atlaidēm”, tikmēr “maltīšu kuponu piegādē iesaistīto uzņēmumu rīcība pēc konkursa procedūras</w:t>
      </w:r>
      <w:r>
        <w:rPr>
          <w:rFonts w:ascii="Times New Roman" w:hAnsi="Times New Roman"/>
          <w:i/>
          <w:sz w:val="24"/>
          <w:szCs w:val="25"/>
        </w:rPr>
        <w:t xml:space="preserve"> </w:t>
      </w:r>
      <w:r>
        <w:rPr>
          <w:rFonts w:ascii="Times New Roman" w:hAnsi="Times New Roman"/>
          <w:b/>
          <w:bCs/>
          <w:sz w:val="24"/>
          <w:szCs w:val="25"/>
          <w:highlight w:val="lightGray"/>
        </w:rPr>
        <w:t xml:space="preserve">[oriģ. 7. lpp.] </w:t>
      </w:r>
      <w:r>
        <w:rPr>
          <w:rFonts w:ascii="Times New Roman" w:hAnsi="Times New Roman"/>
          <w:sz w:val="24"/>
          <w:szCs w:val="25"/>
        </w:rPr>
        <w:t>ir aizliegtās vienošanās sekas, nevis pārkāpuma daļa.”</w:t>
      </w:r>
    </w:p>
    <w:p w14:paraId="177F9988" w14:textId="77777777" w:rsidR="00860686" w:rsidRPr="00860686" w:rsidRDefault="00860686" w:rsidP="00860686">
      <w:pPr>
        <w:widowControl/>
        <w:jc w:val="both"/>
        <w:rPr>
          <w:rFonts w:ascii="Times New Roman" w:eastAsia="Times New Roman" w:hAnsi="Times New Roman" w:cs="Times New Roman"/>
          <w:noProof/>
          <w:sz w:val="24"/>
          <w:szCs w:val="20"/>
        </w:rPr>
      </w:pPr>
    </w:p>
    <w:p w14:paraId="1531AE28" w14:textId="77777777" w:rsidR="00860686" w:rsidRPr="00860686" w:rsidRDefault="00285704" w:rsidP="00285704">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19. Savukārt otrādi ir gadījumā, kad notikusi aizliegta vienošanās par cenu. Proti, tad runa ir par nepārtrauktu pārkāpumu, nevis par tūlītēju pārkāpumu ar pastāvīgām sekām, jo “nelikumīgā rīcība ir vienādu un saskaņotu cenu tieša noteikšana, un pārkāpums tātad turpinās tik ilgi, kamēr turpinās rīcība.</w:t>
      </w:r>
      <w:r>
        <w:rPr>
          <w:rFonts w:ascii="Times New Roman" w:hAnsi="Times New Roman"/>
          <w:i/>
          <w:sz w:val="24"/>
          <w:szCs w:val="25"/>
        </w:rPr>
        <w:t xml:space="preserve"> </w:t>
      </w:r>
      <w:r>
        <w:rPr>
          <w:rFonts w:ascii="Times New Roman" w:hAnsi="Times New Roman"/>
          <w:sz w:val="24"/>
          <w:szCs w:val="25"/>
        </w:rPr>
        <w:t>Proti, šajā gadījumā tas, ka tiek saglabātas saskaņotās cenas, nav aizliegtas vienošanās sekas, bet šī saglabāšana pati par sevi ir konkurences tiesību pārkāpuma priekšmets.”</w:t>
      </w:r>
    </w:p>
    <w:p w14:paraId="2DF2FBC5" w14:textId="77777777" w:rsidR="00860686" w:rsidRPr="00860686" w:rsidRDefault="00860686" w:rsidP="00860686">
      <w:pPr>
        <w:widowControl/>
        <w:jc w:val="both"/>
        <w:rPr>
          <w:rFonts w:ascii="Times New Roman" w:eastAsia="Times New Roman" w:hAnsi="Times New Roman" w:cs="Times New Roman"/>
          <w:noProof/>
          <w:sz w:val="24"/>
          <w:szCs w:val="20"/>
        </w:rPr>
      </w:pPr>
    </w:p>
    <w:p w14:paraId="5DB18C4A"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20. Itālijas konkurences uzraudzības iestāde ievēroja šādu judikatūras virzienu arī turpmākajās </w:t>
      </w:r>
      <w:r>
        <w:rPr>
          <w:i/>
          <w:sz w:val="24"/>
        </w:rPr>
        <w:t xml:space="preserve">bid rigging </w:t>
      </w:r>
      <w:r>
        <w:rPr>
          <w:sz w:val="24"/>
        </w:rPr>
        <w:t>lietās. Līdz ar to tā vienmēr ir uzskatījusi, ka pārkāpums, ko veido konkurenci kropļojoša aizliegta vienošanās, kādu noslēdza uzņēmumi, kas atsaucās uzaicinājumam iesniegt piedāvājumu, sākās ar pirmo sazināšanās reizi, kuras mērķis bija konkurenci kropļojošas darbības, un ka šis pārkāpums beidzās līdz ar piedāvājumu iesniegšanai paredzētā termiņa beigām.</w:t>
      </w:r>
    </w:p>
    <w:p w14:paraId="7F5FC91F" w14:textId="77777777" w:rsidR="00860686" w:rsidRPr="00860686" w:rsidRDefault="00860686" w:rsidP="00860686">
      <w:pPr>
        <w:widowControl/>
        <w:jc w:val="both"/>
        <w:rPr>
          <w:rFonts w:ascii="Times New Roman" w:eastAsia="Times New Roman" w:hAnsi="Times New Roman" w:cs="Times New Roman"/>
          <w:noProof/>
          <w:sz w:val="24"/>
          <w:szCs w:val="20"/>
        </w:rPr>
      </w:pPr>
    </w:p>
    <w:p w14:paraId="18B3AD17" w14:textId="77777777" w:rsidR="00860686" w:rsidRPr="00285704" w:rsidRDefault="00285704" w:rsidP="00285704">
      <w:pPr>
        <w:pStyle w:val="BodyText"/>
        <w:widowControl/>
        <w:tabs>
          <w:tab w:val="left" w:pos="651"/>
        </w:tabs>
        <w:ind w:left="0" w:firstLine="0"/>
        <w:jc w:val="both"/>
        <w:rPr>
          <w:rFonts w:cs="Times New Roman"/>
          <w:noProof/>
          <w:sz w:val="24"/>
        </w:rPr>
      </w:pPr>
      <w:r>
        <w:rPr>
          <w:sz w:val="24"/>
        </w:rPr>
        <w:t>21. Vispirms ir jānorāda, ka Itālijas Valsts padomes interpretācija saskan ar Eiropas Cilvēktiesību tiesas pastāvīgo judikatūru attiecībā uz sodiem, kas pēc formas ir administratīvi, bet pēc satura – krimināltiesiski. Tie ir sodi, kādus nosaka valsts konkurences uzraudzības iestādes un par kuru represīvajām un “krimināltiesiskajām” iezīmēm šī jēdziena vispārpieņemtajā izpratnē vairs nav šaubu.</w:t>
      </w:r>
      <w:r>
        <w:rPr>
          <w:rStyle w:val="FootnoteReference"/>
          <w:rFonts w:cs="Times New Roman"/>
          <w:noProof/>
          <w:sz w:val="24"/>
        </w:rPr>
        <w:footnoteReference w:id="7"/>
      </w:r>
    </w:p>
    <w:p w14:paraId="40040487" w14:textId="77777777" w:rsidR="00860686" w:rsidRPr="00860686" w:rsidRDefault="00860686" w:rsidP="00285704">
      <w:pPr>
        <w:widowControl/>
        <w:jc w:val="both"/>
        <w:rPr>
          <w:rFonts w:ascii="Times New Roman" w:eastAsia="Times New Roman" w:hAnsi="Times New Roman" w:cs="Times New Roman"/>
          <w:noProof/>
          <w:sz w:val="24"/>
          <w:szCs w:val="20"/>
        </w:rPr>
      </w:pPr>
    </w:p>
    <w:p w14:paraId="752E7938" w14:textId="77777777" w:rsidR="00860686" w:rsidRPr="00860686" w:rsidRDefault="00285704" w:rsidP="00285704">
      <w:pPr>
        <w:pStyle w:val="BodyText"/>
        <w:widowControl/>
        <w:tabs>
          <w:tab w:val="left" w:pos="651"/>
        </w:tabs>
        <w:ind w:left="0" w:firstLine="0"/>
        <w:jc w:val="both"/>
        <w:rPr>
          <w:rFonts w:cs="Times New Roman"/>
          <w:b/>
          <w:bCs/>
          <w:noProof/>
          <w:sz w:val="24"/>
        </w:rPr>
      </w:pPr>
      <w:r>
        <w:rPr>
          <w:sz w:val="24"/>
        </w:rPr>
        <w:t xml:space="preserve">22. Kad tiek konstatēts konkurences tiesību pārkāpums, sodītie uzņēmumi, neskaitot tiem noteiktos lielos administratīvos naudas sodus, var ciest arī no ievērojama sociāla nosodījuma, kas kaitē to reputācijai. Tātad pārkāpuma konstatācijai vienlaikus ir arī represīvs mērķis (sodīt rīcību, ar ko pārkāptas konkurences tiesības) un preventīvs mērķis (atturēt uzņēmumu no šādas nelikumīgas rīcības atkārtošanas). </w:t>
      </w:r>
      <w:r>
        <w:rPr>
          <w:b/>
          <w:bCs/>
          <w:sz w:val="24"/>
          <w:highlight w:val="lightGray"/>
        </w:rPr>
        <w:t>[oriģ. 8. lpp.]</w:t>
      </w:r>
    </w:p>
    <w:p w14:paraId="12ED52CE" w14:textId="77777777" w:rsidR="00860686" w:rsidRPr="00860686" w:rsidRDefault="00860686" w:rsidP="00285704">
      <w:pPr>
        <w:widowControl/>
        <w:jc w:val="both"/>
        <w:rPr>
          <w:rFonts w:ascii="Times New Roman" w:hAnsi="Times New Roman" w:cs="Times New Roman"/>
          <w:b/>
          <w:bCs/>
          <w:noProof/>
          <w:sz w:val="24"/>
        </w:rPr>
      </w:pPr>
    </w:p>
    <w:p w14:paraId="358E6D3F"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23. Šādos apstākļos, dažu krimināltiesību principu un it īpaši krimināltiesībām raksturīgu garantiju piemērošana pēc analoģijas</w:t>
      </w:r>
      <w:r>
        <w:rPr>
          <w:rStyle w:val="FootnoteReference"/>
          <w:rFonts w:cs="Times New Roman"/>
          <w:noProof/>
          <w:sz w:val="24"/>
        </w:rPr>
        <w:footnoteReference w:id="8"/>
      </w:r>
      <w:r>
        <w:rPr>
          <w:sz w:val="24"/>
          <w:szCs w:val="16"/>
        </w:rPr>
        <w:t xml:space="preserve"> </w:t>
      </w:r>
      <w:r>
        <w:rPr>
          <w:sz w:val="24"/>
        </w:rPr>
        <w:t>konkurences tiesību pārkāpumiem šķiet loģiska un atbalstāma, kā arī šī izvēle saskan ar neseniem Eiropas Cilvēktiesību tiesas lēmumiem konkurences tiesību pārkāpumu jomā.</w:t>
      </w:r>
      <w:r>
        <w:rPr>
          <w:rStyle w:val="FootnoteReference"/>
          <w:rFonts w:cs="Times New Roman"/>
          <w:noProof/>
          <w:sz w:val="24"/>
        </w:rPr>
        <w:footnoteReference w:id="9"/>
      </w:r>
    </w:p>
    <w:p w14:paraId="3401DD82" w14:textId="77777777" w:rsidR="00860686" w:rsidRPr="00860686" w:rsidRDefault="00860686" w:rsidP="00285704">
      <w:pPr>
        <w:widowControl/>
        <w:jc w:val="both"/>
        <w:rPr>
          <w:rFonts w:ascii="Times New Roman" w:eastAsia="Times New Roman" w:hAnsi="Times New Roman" w:cs="Times New Roman"/>
          <w:noProof/>
          <w:sz w:val="24"/>
          <w:szCs w:val="20"/>
        </w:rPr>
      </w:pPr>
    </w:p>
    <w:p w14:paraId="469B92FA"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24. Itālijas valdība uzskata, ka Itālijas judikatūrā piemērotais risinājums saskan arī ar Tiesas apstiprinātajiem principiem.</w:t>
      </w:r>
    </w:p>
    <w:p w14:paraId="596256FD" w14:textId="77777777" w:rsidR="00860686" w:rsidRPr="00860686" w:rsidRDefault="00860686" w:rsidP="00285704">
      <w:pPr>
        <w:widowControl/>
        <w:jc w:val="both"/>
        <w:rPr>
          <w:rFonts w:ascii="Times New Roman" w:eastAsia="Times New Roman" w:hAnsi="Times New Roman" w:cs="Times New Roman"/>
          <w:noProof/>
          <w:sz w:val="24"/>
          <w:szCs w:val="20"/>
        </w:rPr>
      </w:pPr>
    </w:p>
    <w:p w14:paraId="2CAFFD68" w14:textId="77777777" w:rsidR="00860686" w:rsidRPr="00860686" w:rsidRDefault="00285704" w:rsidP="00285704">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25. Proti, kā mēs jau norādījām šo apsvērumu III daļā, 2013. gada 30. maija sprieduma lietā ““Quinn Barlo” u. c. pret Komisiju” (C</w:t>
      </w:r>
      <w:r>
        <w:rPr>
          <w:rFonts w:ascii="Times New Roman" w:hAnsi="Times New Roman"/>
          <w:sz w:val="24"/>
          <w:szCs w:val="25"/>
        </w:rPr>
        <w:noBreakHyphen/>
        <w:t xml:space="preserve">70/12 P, nav publicēts, EU:C:2013:351) 40. punktā Tiesa nosprieda, ka “pārkāpuma ilgumu var novērtēt atkarībā no perioda, kādā apsūdzētie uzņēmumi </w:t>
      </w:r>
      <w:r>
        <w:rPr>
          <w:rFonts w:ascii="Times New Roman" w:hAnsi="Times New Roman"/>
          <w:sz w:val="24"/>
          <w:szCs w:val="25"/>
          <w:u w:val="single" w:color="000000"/>
        </w:rPr>
        <w:t>ir īstenojuši</w:t>
      </w:r>
      <w:r>
        <w:rPr>
          <w:rFonts w:ascii="Times New Roman" w:hAnsi="Times New Roman"/>
          <w:sz w:val="24"/>
          <w:szCs w:val="25"/>
        </w:rPr>
        <w:t xml:space="preserve"> šajā pantā </w:t>
      </w:r>
      <w:r>
        <w:rPr>
          <w:rFonts w:ascii="Times New Roman" w:hAnsi="Times New Roman"/>
          <w:sz w:val="24"/>
          <w:szCs w:val="25"/>
          <w:u w:val="single" w:color="000000"/>
        </w:rPr>
        <w:t>aizliegtu rīcību</w:t>
      </w:r>
      <w:r>
        <w:rPr>
          <w:rFonts w:ascii="Times New Roman" w:hAnsi="Times New Roman"/>
          <w:sz w:val="24"/>
          <w:szCs w:val="25"/>
        </w:rPr>
        <w:t>”. (mūsu izcēlums)</w:t>
      </w:r>
    </w:p>
    <w:p w14:paraId="76993BEB" w14:textId="77777777" w:rsidR="00860686" w:rsidRPr="00860686" w:rsidRDefault="00860686" w:rsidP="00860686">
      <w:pPr>
        <w:widowControl/>
        <w:jc w:val="both"/>
        <w:rPr>
          <w:rFonts w:ascii="Times New Roman" w:eastAsia="Times New Roman" w:hAnsi="Times New Roman" w:cs="Times New Roman"/>
          <w:noProof/>
          <w:sz w:val="24"/>
          <w:szCs w:val="20"/>
        </w:rPr>
      </w:pPr>
    </w:p>
    <w:p w14:paraId="6F9CAEF6"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26. </w:t>
      </w:r>
      <w:r>
        <w:rPr>
          <w:i/>
          <w:sz w:val="24"/>
        </w:rPr>
        <w:t xml:space="preserve">Bid rigging </w:t>
      </w:r>
      <w:r>
        <w:rPr>
          <w:sz w:val="24"/>
        </w:rPr>
        <w:t xml:space="preserve">gadījumā, lai arī konkurenci kropļojošas aizliegtas vienošanās ietekme turpinās pēc piedāvājumu iesniegšanas un it īpaši pēc konkursa procedūras, kā arī līgumu izpildes laikā, šī ietekme nav </w:t>
      </w:r>
      <w:r>
        <w:rPr>
          <w:i/>
          <w:iCs/>
          <w:sz w:val="24"/>
        </w:rPr>
        <w:t>jaunas</w:t>
      </w:r>
      <w:r>
        <w:rPr>
          <w:sz w:val="24"/>
        </w:rPr>
        <w:t xml:space="preserve"> nelikumīgas rīcības sekas, bet gan sekas rīcībai, kas tika veikta līdz piedāvājumu iesniegšanai.</w:t>
      </w:r>
    </w:p>
    <w:p w14:paraId="68F118AA" w14:textId="77777777" w:rsidR="00860686" w:rsidRPr="00860686" w:rsidRDefault="00860686" w:rsidP="00285704">
      <w:pPr>
        <w:widowControl/>
        <w:jc w:val="both"/>
        <w:rPr>
          <w:rFonts w:ascii="Times New Roman" w:eastAsia="Times New Roman" w:hAnsi="Times New Roman" w:cs="Times New Roman"/>
          <w:noProof/>
          <w:sz w:val="24"/>
          <w:szCs w:val="20"/>
        </w:rPr>
      </w:pPr>
    </w:p>
    <w:p w14:paraId="044C10FF"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27. Uzņēmumam tad nevar pārmest nelikumīgu rīcību, bet gan drīzāk to, ka tas nav veicis pretdarbību, lai likvidētu savas iepriekšējās rīcības sekas.</w:t>
      </w:r>
    </w:p>
    <w:p w14:paraId="7534B4F1" w14:textId="77777777" w:rsidR="00860686" w:rsidRPr="00860686" w:rsidRDefault="00860686" w:rsidP="00285704">
      <w:pPr>
        <w:widowControl/>
        <w:jc w:val="both"/>
        <w:rPr>
          <w:rFonts w:ascii="Times New Roman" w:eastAsia="Times New Roman" w:hAnsi="Times New Roman" w:cs="Times New Roman"/>
          <w:noProof/>
          <w:sz w:val="24"/>
          <w:szCs w:val="21"/>
        </w:rPr>
      </w:pPr>
    </w:p>
    <w:p w14:paraId="020E6522" w14:textId="05065A37" w:rsidR="00860686" w:rsidRPr="00860686" w:rsidRDefault="00285704" w:rsidP="00285704">
      <w:pPr>
        <w:pStyle w:val="BodyText"/>
        <w:widowControl/>
        <w:tabs>
          <w:tab w:val="left" w:pos="651"/>
        </w:tabs>
        <w:ind w:left="0" w:firstLine="0"/>
        <w:jc w:val="both"/>
        <w:rPr>
          <w:rFonts w:cs="Times New Roman"/>
          <w:noProof/>
          <w:sz w:val="24"/>
        </w:rPr>
      </w:pPr>
      <w:r>
        <w:rPr>
          <w:sz w:val="24"/>
        </w:rPr>
        <w:t xml:space="preserve">28. Taču sodu par konkurences tiesību pārkāpumiem mērķis ir sodīt nelikumīgas darbības, nevis to, ka uzņēmumi nerīkojas, lai likvidētu iepriekšējas nelikumīgas rīcības radīto ietekmi. Pretējā gadījumā būtu jāuzskata, ka </w:t>
      </w:r>
      <w:r>
        <w:rPr>
          <w:b/>
          <w:bCs/>
          <w:sz w:val="24"/>
          <w:highlight w:val="lightGray"/>
        </w:rPr>
        <w:t xml:space="preserve">[oriģ. 9. lpp.] </w:t>
      </w:r>
      <w:r>
        <w:rPr>
          <w:sz w:val="24"/>
        </w:rPr>
        <w:t>jebkurš konkurences tiesību pārkāpums turpinās līdz brīdim, kad</w:t>
      </w:r>
      <w:r w:rsidR="0023122F" w:rsidRPr="0023122F">
        <w:rPr>
          <w:rStyle w:val="FootnoteReference"/>
          <w:sz w:val="24"/>
        </w:rPr>
        <w:footnoteReference w:customMarkFollows="1" w:id="10"/>
        <w:sym w:font="Symbol" w:char="F02A"/>
      </w:r>
      <w:r>
        <w:rPr>
          <w:sz w:val="24"/>
          <w:szCs w:val="16"/>
        </w:rPr>
        <w:t xml:space="preserve"> </w:t>
      </w:r>
      <w:r>
        <w:rPr>
          <w:sz w:val="24"/>
        </w:rPr>
        <w:t>uzņēmums spēs izvairīties no šī pārkāpuma seku turpināšanās.</w:t>
      </w:r>
    </w:p>
    <w:p w14:paraId="7D4A8C42" w14:textId="77777777" w:rsidR="00860686" w:rsidRPr="00860686" w:rsidRDefault="00860686" w:rsidP="00285704">
      <w:pPr>
        <w:widowControl/>
        <w:jc w:val="both"/>
        <w:rPr>
          <w:rFonts w:ascii="Times New Roman" w:eastAsia="Times New Roman" w:hAnsi="Times New Roman" w:cs="Times New Roman"/>
          <w:noProof/>
          <w:sz w:val="24"/>
          <w:szCs w:val="20"/>
        </w:rPr>
      </w:pPr>
    </w:p>
    <w:p w14:paraId="2FF3C80D"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29. Tādēļ ir jāuzskata, ka darbības, kas veiktas pēc piedāvājumu iesniegšanas, ir notikušas pēc pārkāpuma izdarīšanas. Šīs darbības var ņemt vērā, lai samazinātu uzņēmumu atbildību, pat piešķirot tiem imunitāti, ja šīs darbības izpaužas ievērojamā sadarbībā ar konkurences uzraudzības iestādi, bet tās nekādi neietekmē noilguma termiņa atskaites sākuma punktu.</w:t>
      </w:r>
    </w:p>
    <w:p w14:paraId="364E5FE2" w14:textId="77777777" w:rsidR="00860686" w:rsidRDefault="00860686" w:rsidP="00860686">
      <w:pPr>
        <w:widowControl/>
        <w:jc w:val="both"/>
        <w:rPr>
          <w:rFonts w:ascii="Times New Roman" w:eastAsia="Times New Roman" w:hAnsi="Times New Roman" w:cs="Times New Roman"/>
          <w:noProof/>
          <w:sz w:val="24"/>
          <w:szCs w:val="24"/>
        </w:rPr>
      </w:pPr>
    </w:p>
    <w:p w14:paraId="77C12DAD" w14:textId="77777777" w:rsidR="00285704" w:rsidRPr="00860686" w:rsidRDefault="00285704" w:rsidP="00860686">
      <w:pPr>
        <w:widowControl/>
        <w:jc w:val="both"/>
        <w:rPr>
          <w:rFonts w:ascii="Times New Roman" w:eastAsia="Times New Roman" w:hAnsi="Times New Roman" w:cs="Times New Roman"/>
          <w:noProof/>
          <w:sz w:val="24"/>
          <w:szCs w:val="24"/>
        </w:rPr>
      </w:pPr>
    </w:p>
    <w:p w14:paraId="4902381D" w14:textId="77777777" w:rsidR="00860686" w:rsidRPr="00860686" w:rsidRDefault="00285704" w:rsidP="00285704">
      <w:pPr>
        <w:widowControl/>
        <w:tabs>
          <w:tab w:val="left" w:pos="928"/>
        </w:tabs>
        <w:jc w:val="both"/>
        <w:rPr>
          <w:rFonts w:ascii="Times New Roman" w:hAnsi="Times New Roman" w:cs="Times New Roman"/>
          <w:i/>
          <w:noProof/>
          <w:sz w:val="24"/>
          <w:u w:val="single" w:color="000000"/>
        </w:rPr>
      </w:pPr>
      <w:r>
        <w:rPr>
          <w:rFonts w:ascii="Times New Roman" w:hAnsi="Times New Roman"/>
          <w:i/>
          <w:sz w:val="24"/>
          <w:u w:color="000000"/>
        </w:rPr>
        <w:t xml:space="preserve">V. </w:t>
      </w:r>
      <w:r>
        <w:rPr>
          <w:rFonts w:ascii="Times New Roman" w:hAnsi="Times New Roman"/>
          <w:i/>
          <w:sz w:val="24"/>
          <w:u w:val="single" w:color="000000"/>
        </w:rPr>
        <w:t>SECINĀJUMI</w:t>
      </w:r>
      <w:bookmarkStart w:id="4" w:name="_bookmark4"/>
      <w:bookmarkEnd w:id="4"/>
    </w:p>
    <w:p w14:paraId="752F8A85" w14:textId="77777777" w:rsidR="00860686" w:rsidRPr="00860686" w:rsidRDefault="00860686" w:rsidP="00860686">
      <w:pPr>
        <w:widowControl/>
        <w:jc w:val="both"/>
        <w:rPr>
          <w:rFonts w:ascii="Times New Roman" w:eastAsia="Times New Roman" w:hAnsi="Times New Roman" w:cs="Times New Roman"/>
          <w:i/>
          <w:noProof/>
          <w:sz w:val="24"/>
          <w:szCs w:val="14"/>
        </w:rPr>
      </w:pPr>
    </w:p>
    <w:p w14:paraId="3BE2164A" w14:textId="77777777" w:rsidR="00860686" w:rsidRPr="00860686" w:rsidRDefault="00285704" w:rsidP="00285704">
      <w:pPr>
        <w:pStyle w:val="BodyText"/>
        <w:widowControl/>
        <w:tabs>
          <w:tab w:val="left" w:pos="651"/>
        </w:tabs>
        <w:ind w:left="0" w:firstLine="0"/>
        <w:jc w:val="both"/>
        <w:rPr>
          <w:rFonts w:cs="Times New Roman"/>
          <w:noProof/>
          <w:sz w:val="24"/>
        </w:rPr>
      </w:pPr>
      <w:r>
        <w:rPr>
          <w:sz w:val="24"/>
        </w:rPr>
        <w:t>30. Ņemot vērā iepriekš izklāstītos argumentus, Itālijas valdība aicina Tiesu uz prejudiciālo jautājumu atbildēt šādi.</w:t>
      </w:r>
    </w:p>
    <w:p w14:paraId="6B7DE607" w14:textId="77777777" w:rsidR="00860686" w:rsidRPr="00860686" w:rsidRDefault="00860686" w:rsidP="00860686">
      <w:pPr>
        <w:widowControl/>
        <w:jc w:val="both"/>
        <w:rPr>
          <w:rFonts w:ascii="Times New Roman" w:eastAsia="Times New Roman" w:hAnsi="Times New Roman" w:cs="Times New Roman"/>
          <w:noProof/>
          <w:sz w:val="24"/>
          <w:szCs w:val="20"/>
        </w:rPr>
      </w:pPr>
    </w:p>
    <w:p w14:paraId="57EE8FE1" w14:textId="77777777" w:rsidR="00860686" w:rsidRPr="00860686" w:rsidRDefault="00860686" w:rsidP="00860686">
      <w:pPr>
        <w:widowControl/>
        <w:jc w:val="both"/>
        <w:rPr>
          <w:rFonts w:ascii="Times New Roman" w:eastAsia="Times New Roman" w:hAnsi="Times New Roman" w:cs="Times New Roman"/>
          <w:i/>
          <w:noProof/>
          <w:sz w:val="24"/>
          <w:szCs w:val="25"/>
        </w:rPr>
      </w:pPr>
      <w:r>
        <w:rPr>
          <w:rFonts w:ascii="Times New Roman" w:hAnsi="Times New Roman"/>
          <w:i/>
          <w:sz w:val="24"/>
          <w:szCs w:val="25"/>
        </w:rPr>
        <w:t>LESD 101. pantā ietvertais konkurences režīms ir jāinterpretē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tikai līdz brīdim, kad uzņēmums, kas izdarījis pārkāpumu, ir iesniedzis attiecīgā līguma piedāvājumu.</w:t>
      </w:r>
    </w:p>
    <w:p w14:paraId="761295F5" w14:textId="77777777" w:rsidR="00860686" w:rsidRPr="00860686" w:rsidRDefault="00860686" w:rsidP="00860686">
      <w:pPr>
        <w:widowControl/>
        <w:jc w:val="both"/>
        <w:rPr>
          <w:rFonts w:ascii="Times New Roman" w:eastAsia="Times New Roman" w:hAnsi="Times New Roman" w:cs="Times New Roman"/>
          <w:i/>
          <w:noProof/>
          <w:sz w:val="24"/>
          <w:szCs w:val="21"/>
        </w:rPr>
      </w:pPr>
    </w:p>
    <w:p w14:paraId="420FD56F" w14:textId="77777777" w:rsidR="00860686" w:rsidRPr="00860686" w:rsidRDefault="00860686" w:rsidP="00860686">
      <w:pPr>
        <w:pStyle w:val="Heading1"/>
        <w:widowControl/>
        <w:ind w:left="0"/>
        <w:jc w:val="both"/>
        <w:rPr>
          <w:rFonts w:cs="Times New Roman"/>
          <w:noProof/>
          <w:sz w:val="24"/>
        </w:rPr>
      </w:pPr>
      <w:r>
        <w:rPr>
          <w:sz w:val="24"/>
        </w:rPr>
        <w:t>Romā, 2019. gada 7. oktobrī</w:t>
      </w:r>
    </w:p>
    <w:p w14:paraId="747BDFDC" w14:textId="77777777" w:rsidR="00860686" w:rsidRPr="00860686" w:rsidRDefault="00860686" w:rsidP="00860686">
      <w:pPr>
        <w:widowControl/>
        <w:jc w:val="both"/>
        <w:rPr>
          <w:rFonts w:ascii="Times New Roman" w:eastAsia="Times New Roman" w:hAnsi="Times New Roman" w:cs="Times New Roman"/>
          <w:b/>
          <w:bCs/>
          <w:noProof/>
          <w:sz w:val="24"/>
          <w:szCs w:val="20"/>
        </w:rPr>
      </w:pPr>
    </w:p>
    <w:p w14:paraId="4F47E146" w14:textId="77777777" w:rsidR="00285704" w:rsidRDefault="00860686" w:rsidP="00285704">
      <w:pPr>
        <w:pStyle w:val="BodyText"/>
        <w:widowControl/>
        <w:ind w:left="0" w:firstLine="0"/>
        <w:jc w:val="right"/>
        <w:rPr>
          <w:rFonts w:cs="Times New Roman"/>
          <w:noProof/>
          <w:sz w:val="24"/>
        </w:rPr>
      </w:pPr>
      <w:r>
        <w:rPr>
          <w:sz w:val="24"/>
        </w:rPr>
        <w:t>Serdžo Fjorentīno [</w:t>
      </w:r>
      <w:r>
        <w:rPr>
          <w:i/>
          <w:iCs/>
          <w:sz w:val="24"/>
        </w:rPr>
        <w:t>Sergio Fiorentino</w:t>
      </w:r>
      <w:r>
        <w:rPr>
          <w:sz w:val="24"/>
        </w:rPr>
        <w:t>]</w:t>
      </w:r>
    </w:p>
    <w:p w14:paraId="139A1911" w14:textId="77777777" w:rsidR="00285704" w:rsidRDefault="00285704" w:rsidP="00285704">
      <w:pPr>
        <w:pStyle w:val="BodyText"/>
        <w:widowControl/>
        <w:ind w:left="0" w:firstLine="0"/>
        <w:jc w:val="right"/>
        <w:rPr>
          <w:rFonts w:cs="Times New Roman"/>
          <w:noProof/>
          <w:sz w:val="24"/>
        </w:rPr>
      </w:pPr>
    </w:p>
    <w:p w14:paraId="19C06477" w14:textId="77777777" w:rsidR="00860686" w:rsidRDefault="00860686" w:rsidP="00285704">
      <w:pPr>
        <w:pStyle w:val="BodyText"/>
        <w:widowControl/>
        <w:ind w:left="0" w:firstLine="0"/>
        <w:jc w:val="right"/>
        <w:rPr>
          <w:rFonts w:cs="Times New Roman"/>
          <w:noProof/>
          <w:sz w:val="24"/>
        </w:rPr>
      </w:pPr>
      <w:r>
        <w:rPr>
          <w:i/>
          <w:iCs/>
          <w:sz w:val="24"/>
        </w:rPr>
        <w:t>Avvocato dello Stato</w:t>
      </w:r>
    </w:p>
    <w:p w14:paraId="04DAE10E" w14:textId="77777777" w:rsidR="00285704" w:rsidRDefault="00285704" w:rsidP="00860686">
      <w:pPr>
        <w:pStyle w:val="BodyText"/>
        <w:widowControl/>
        <w:ind w:left="0" w:firstLine="0"/>
        <w:jc w:val="both"/>
        <w:rPr>
          <w:rFonts w:cs="Times New Roman"/>
          <w:noProof/>
          <w:sz w:val="24"/>
        </w:rPr>
      </w:pPr>
    </w:p>
    <w:p w14:paraId="0F601CDF" w14:textId="77777777" w:rsidR="00285704" w:rsidRPr="00860686" w:rsidRDefault="00285704" w:rsidP="00860686">
      <w:pPr>
        <w:widowControl/>
        <w:tabs>
          <w:tab w:val="left" w:pos="1190"/>
        </w:tabs>
        <w:jc w:val="both"/>
        <w:rPr>
          <w:rFonts w:ascii="Times New Roman" w:eastAsia="Times New Roman" w:hAnsi="Times New Roman" w:cs="Times New Roman"/>
          <w:noProof/>
          <w:sz w:val="24"/>
          <w:szCs w:val="20"/>
        </w:rPr>
      </w:pPr>
    </w:p>
    <w:sectPr w:rsidR="00285704" w:rsidRPr="00860686" w:rsidSect="00860686">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9C47" w14:textId="77777777" w:rsidR="00930589" w:rsidRPr="00860686" w:rsidRDefault="00285704">
      <w:pPr>
        <w:rPr>
          <w:noProof/>
        </w:rPr>
      </w:pPr>
      <w:r w:rsidRPr="00860686">
        <w:rPr>
          <w:noProof/>
        </w:rPr>
        <w:separator/>
      </w:r>
    </w:p>
  </w:endnote>
  <w:endnote w:type="continuationSeparator" w:id="0">
    <w:p w14:paraId="203B38B9" w14:textId="77777777" w:rsidR="00930589" w:rsidRPr="00860686" w:rsidRDefault="00285704">
      <w:pPr>
        <w:rPr>
          <w:noProof/>
        </w:rPr>
      </w:pPr>
      <w:r w:rsidRPr="008606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8235" w14:textId="77777777" w:rsidR="00DE0CF7" w:rsidRPr="00860686" w:rsidRDefault="00DE0CF7">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8605" w14:textId="77777777" w:rsidR="008D0F6E" w:rsidRPr="00832E2F" w:rsidRDefault="008D0F6E" w:rsidP="008D0F6E">
    <w:pPr>
      <w:pStyle w:val="Header"/>
      <w:tabs>
        <w:tab w:val="left" w:pos="9072"/>
      </w:tabs>
      <w:rPr>
        <w:rStyle w:val="PageNumber"/>
        <w:rFonts w:ascii="Times New Roman" w:hAnsi="Times New Roman" w:cs="Times New Roman"/>
        <w:sz w:val="20"/>
        <w:szCs w:val="18"/>
      </w:rPr>
    </w:pPr>
  </w:p>
  <w:p w14:paraId="420B3CA4" w14:textId="6857EBCB" w:rsidR="008D0F6E" w:rsidRPr="00832E2F" w:rsidRDefault="008D0F6E" w:rsidP="008D0F6E">
    <w:pPr>
      <w:pStyle w:val="Header"/>
      <w:tabs>
        <w:tab w:val="clear" w:pos="4153"/>
        <w:tab w:val="clear" w:pos="830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44223CB7" w14:textId="77777777" w:rsidR="008D0F6E" w:rsidRPr="00832E2F" w:rsidRDefault="008D0F6E" w:rsidP="008D0F6E">
    <w:pPr>
      <w:pStyle w:val="Header"/>
      <w:tabs>
        <w:tab w:val="right" w:pos="9072"/>
      </w:tabs>
      <w:rPr>
        <w:rStyle w:val="PageNumber"/>
        <w:rFonts w:ascii="Times New Roman" w:hAnsi="Times New Roman" w:cs="Times New Roman"/>
        <w:sz w:val="20"/>
        <w:szCs w:val="18"/>
      </w:rPr>
    </w:pPr>
  </w:p>
  <w:p w14:paraId="708009DA" w14:textId="77777777" w:rsidR="008D0F6E" w:rsidRPr="00832E2F" w:rsidRDefault="008D0F6E" w:rsidP="008D0F6E">
    <w:pPr>
      <w:pStyle w:val="Footer"/>
      <w:tabs>
        <w:tab w:val="clear" w:pos="4153"/>
        <w:tab w:val="clear" w:pos="830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B0B9" w14:textId="77777777" w:rsidR="008D0F6E" w:rsidRPr="00832E2F" w:rsidRDefault="008D0F6E" w:rsidP="008D0F6E">
    <w:pPr>
      <w:pStyle w:val="Header"/>
      <w:tabs>
        <w:tab w:val="left" w:pos="9072"/>
      </w:tabs>
      <w:rPr>
        <w:rStyle w:val="PageNumber"/>
        <w:rFonts w:ascii="Times New Roman" w:hAnsi="Times New Roman" w:cs="Times New Roman"/>
        <w:sz w:val="20"/>
        <w:szCs w:val="18"/>
      </w:rPr>
    </w:pPr>
    <w:bookmarkStart w:id="19" w:name="_Hlk496261764"/>
    <w:bookmarkStart w:id="20" w:name="_Hlk496261765"/>
    <w:bookmarkStart w:id="21" w:name="_Hlk496261766"/>
    <w:bookmarkStart w:id="22" w:name="_Hlk30491075"/>
    <w:bookmarkStart w:id="23" w:name="_Hlk30491076"/>
  </w:p>
  <w:p w14:paraId="432F6D78" w14:textId="6027C932" w:rsidR="008D0F6E" w:rsidRPr="00832E2F" w:rsidRDefault="008D0F6E" w:rsidP="008D0F6E">
    <w:pPr>
      <w:pStyle w:val="Header"/>
      <w:tabs>
        <w:tab w:val="clear" w:pos="4153"/>
        <w:tab w:val="clear" w:pos="830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0D875A48" w14:textId="77777777" w:rsidR="008D0F6E" w:rsidRPr="00832E2F" w:rsidRDefault="008D0F6E" w:rsidP="008D0F6E">
    <w:pPr>
      <w:pStyle w:val="Header"/>
      <w:tabs>
        <w:tab w:val="left" w:pos="9072"/>
      </w:tabs>
      <w:rPr>
        <w:rStyle w:val="PageNumber"/>
        <w:rFonts w:ascii="Times New Roman" w:hAnsi="Times New Roman" w:cs="Times New Roman"/>
        <w:sz w:val="20"/>
        <w:szCs w:val="18"/>
      </w:rPr>
    </w:pPr>
  </w:p>
  <w:p w14:paraId="1C9F2CCA" w14:textId="77777777" w:rsidR="008D0F6E" w:rsidRPr="00832E2F" w:rsidRDefault="008D0F6E" w:rsidP="008D0F6E">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19"/>
    <w:bookmarkEnd w:id="20"/>
    <w:bookmarkEnd w:id="21"/>
    <w:r w:rsidRPr="00832E2F">
      <w:rPr>
        <w:rFonts w:ascii="Times New Roman" w:hAnsi="Times New Roman" w:cs="Times New Roman"/>
        <w:noProof/>
        <w:sz w:val="20"/>
        <w:szCs w:val="18"/>
      </w:rPr>
      <w:t>20</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50DF" w14:textId="77777777" w:rsidR="00930589" w:rsidRPr="00860686" w:rsidRDefault="00285704">
      <w:pPr>
        <w:rPr>
          <w:noProof/>
        </w:rPr>
      </w:pPr>
      <w:r w:rsidRPr="00860686">
        <w:rPr>
          <w:noProof/>
        </w:rPr>
        <w:separator/>
      </w:r>
    </w:p>
  </w:footnote>
  <w:footnote w:type="continuationSeparator" w:id="0">
    <w:p w14:paraId="5EA14E85" w14:textId="77777777" w:rsidR="00930589" w:rsidRPr="00860686" w:rsidRDefault="00285704">
      <w:pPr>
        <w:rPr>
          <w:noProof/>
        </w:rPr>
      </w:pPr>
      <w:r w:rsidRPr="00860686">
        <w:rPr>
          <w:noProof/>
        </w:rPr>
        <w:continuationSeparator/>
      </w:r>
    </w:p>
  </w:footnote>
  <w:footnote w:id="1">
    <w:p w14:paraId="3FAFCF10" w14:textId="0E2FAE8B" w:rsidR="0023122F" w:rsidRPr="0023122F" w:rsidRDefault="0023122F">
      <w:pPr>
        <w:pStyle w:val="FootnoteText"/>
        <w:rPr>
          <w:rFonts w:ascii="Times New Roman" w:hAnsi="Times New Roman" w:cs="Times New Roman"/>
        </w:rPr>
      </w:pPr>
      <w:r w:rsidRPr="0023122F">
        <w:rPr>
          <w:rStyle w:val="FootnoteReference"/>
          <w:rFonts w:ascii="Times New Roman" w:hAnsi="Times New Roman" w:cs="Times New Roman"/>
        </w:rPr>
        <w:sym w:font="Symbol" w:char="F02A"/>
      </w:r>
      <w:r w:rsidRPr="0023122F">
        <w:rPr>
          <w:rFonts w:ascii="Times New Roman" w:hAnsi="Times New Roman" w:cs="Times New Roman"/>
        </w:rPr>
        <w:t xml:space="preserve"> </w:t>
      </w:r>
      <w:r w:rsidRPr="0023122F">
        <w:rPr>
          <w:rFonts w:ascii="Times New Roman" w:hAnsi="Times New Roman" w:cs="Times New Roman"/>
        </w:rPr>
        <w:t>Tiesvedības valoda – somu.</w:t>
      </w:r>
    </w:p>
  </w:footnote>
  <w:footnote w:id="2">
    <w:p w14:paraId="3DFD2FC1"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1976. gada 15. jūnija spriedums “EMI Records” lietā (51/75, EU:C:1976:85).</w:t>
      </w:r>
    </w:p>
  </w:footnote>
  <w:footnote w:id="3">
    <w:p w14:paraId="351DC5C6"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2013. gada 30. maija spriedums lietā ““Quinn Barlo” u. c. pret Komisiju” (C</w:t>
      </w:r>
      <w:r>
        <w:rPr>
          <w:rFonts w:ascii="Times New Roman" w:hAnsi="Times New Roman"/>
        </w:rPr>
        <w:noBreakHyphen/>
        <w:t>70/12 P, nav publicēts, EU:C:2013:351).</w:t>
      </w:r>
    </w:p>
  </w:footnote>
  <w:footnote w:id="4">
    <w:p w14:paraId="5238FB6B"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[Nebūtiska piezīme redakcijai franču valodā.]</w:t>
      </w:r>
    </w:p>
  </w:footnote>
  <w:footnote w:id="5">
    <w:p w14:paraId="6F122471"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2007. gada 11. decembra spriedums lietā ““ETI” u. c.” (C</w:t>
      </w:r>
      <w:r>
        <w:rPr>
          <w:rFonts w:ascii="Times New Roman" w:hAnsi="Times New Roman"/>
        </w:rPr>
        <w:noBreakHyphen/>
        <w:t>280/06, EU:C:2007:775, 21. punkts).</w:t>
      </w:r>
    </w:p>
  </w:footnote>
  <w:footnote w:id="6">
    <w:p w14:paraId="260CE476"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Itālijas Valsts padomes 2004. gada 2. marta spriedums lietā Nr. 926.</w:t>
      </w:r>
    </w:p>
  </w:footnote>
  <w:footnote w:id="7">
    <w:p w14:paraId="57A53B70"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Cilvēktiesību tiesas 2011. gada 27. septembra spriedums lietā Nr. 43509/08 ““A. Menarini Diagnostics Srl” pret Itāliju”.</w:t>
      </w:r>
    </w:p>
  </w:footnote>
  <w:footnote w:id="8">
    <w:p w14:paraId="78E616D8" w14:textId="77777777" w:rsidR="00285704" w:rsidRPr="00285704" w:rsidRDefault="00285704" w:rsidP="002857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Itālijas judikatūrā veiktā nošķīruma starp nepārtrauktiem pārkāpumiem un tūlītējiem pārkāpumiem ar pastāvīgām sekām mērķis ir neinkriminēt pārkāpuma izdarītājam darbības, kuras nav tā iepriekšējās nelikumīgās darbības sekas un kuru rašanos tas nevar aizkavēt citādi, kā vien atzīstot pārkāpumu.</w:t>
      </w:r>
    </w:p>
  </w:footnote>
  <w:footnote w:id="9">
    <w:p w14:paraId="2E075089" w14:textId="77777777" w:rsidR="00285704" w:rsidRPr="00285704" w:rsidRDefault="00285704" w:rsidP="00285704">
      <w:pPr>
        <w:widowControl/>
        <w:tabs>
          <w:tab w:val="left" w:pos="1190"/>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Skat. iepriekš minētā sprieduma lietā ““A. Menarini Diagnostics Srl” pret Itāliju” 39. un 40. punktu un tajā minēto judikatūru; Eiropas Cilvēktiesību tiesa tajā uzsver, ka, lai gan pārmestās konkurenci kropļojošās darbības nav pārkāpums Itālijas tiesību izpratnē, Itālijas konkurences uzraudzības iestāde:</w:t>
      </w:r>
    </w:p>
    <w:p w14:paraId="69A9592E" w14:textId="77777777" w:rsidR="00285704" w:rsidRPr="00285704" w:rsidRDefault="00285704" w:rsidP="00285704">
      <w:pPr>
        <w:pStyle w:val="FootnoteText"/>
        <w:jc w:val="both"/>
        <w:rPr>
          <w:rFonts w:ascii="Times New Roman" w:hAnsi="Times New Roman" w:cs="Times New Roman"/>
        </w:rPr>
      </w:pPr>
      <w:r>
        <w:rPr>
          <w:rFonts w:ascii="Times New Roman" w:hAnsi="Times New Roman"/>
        </w:rPr>
        <w:t>“skar sabiedrības vispārējās intereses, ko parasti aizsargā ar krimināltiesībām.”</w:t>
      </w:r>
    </w:p>
  </w:footnote>
  <w:footnote w:id="10">
    <w:p w14:paraId="5FBFB583" w14:textId="349B30C6" w:rsidR="0023122F" w:rsidRPr="0023122F" w:rsidRDefault="0023122F" w:rsidP="0023122F">
      <w:pPr>
        <w:pStyle w:val="FootnoteText"/>
        <w:jc w:val="both"/>
        <w:rPr>
          <w:rFonts w:ascii="Times New Roman" w:hAnsi="Times New Roman" w:cs="Times New Roman"/>
        </w:rPr>
      </w:pPr>
      <w:r w:rsidRPr="0023122F">
        <w:rPr>
          <w:rStyle w:val="FootnoteReference"/>
          <w:rFonts w:ascii="Times New Roman" w:hAnsi="Times New Roman" w:cs="Times New Roman"/>
        </w:rPr>
        <w:sym w:font="Symbol" w:char="F02A"/>
      </w:r>
      <w:r w:rsidRPr="0023122F">
        <w:rPr>
          <w:rFonts w:ascii="Times New Roman" w:hAnsi="Times New Roman" w:cs="Times New Roman"/>
        </w:rPr>
        <w:t xml:space="preserve"> </w:t>
      </w:r>
      <w:r w:rsidRPr="0023122F">
        <w:rPr>
          <w:rFonts w:ascii="Times New Roman" w:hAnsi="Times New Roman" w:cs="Times New Roman"/>
        </w:rPr>
        <w:t>Tulkotāja uz franču valodu piezīme: iespējams, ka ir jāsaprot kā</w:t>
      </w:r>
      <w:r w:rsidRPr="0023122F">
        <w:rPr>
          <w:rFonts w:ascii="Times New Roman" w:hAnsi="Times New Roman" w:cs="Times New Roman"/>
          <w:i/>
          <w:iCs/>
        </w:rPr>
        <w:t xml:space="preserve"> tant que</w:t>
      </w:r>
      <w:r w:rsidRPr="0023122F">
        <w:rPr>
          <w:rFonts w:ascii="Times New Roman" w:hAnsi="Times New Roman" w:cs="Times New Roman"/>
        </w:rPr>
        <w:t xml:space="preserve"> (“tik ilgi”, “kamēr”).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47A3" w14:textId="77777777" w:rsidR="00DE0CF7" w:rsidRPr="00860686" w:rsidRDefault="00DE0CF7">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43EA" w14:textId="77777777" w:rsidR="008D0F6E" w:rsidRPr="00832E2F" w:rsidRDefault="008D0F6E" w:rsidP="008D0F6E">
    <w:pPr>
      <w:pStyle w:val="Header"/>
      <w:rPr>
        <w:rStyle w:val="PageNumber"/>
        <w:rFonts w:ascii="Times New Roman" w:hAnsi="Times New Roman" w:cs="Times New Roman"/>
        <w:sz w:val="20"/>
        <w:szCs w:val="20"/>
      </w:rPr>
    </w:pPr>
    <w:bookmarkStart w:id="5" w:name="_Hlk496261784"/>
    <w:bookmarkStart w:id="6" w:name="_Hlk496261785"/>
    <w:bookmarkStart w:id="7" w:name="_Hlk496261786"/>
    <w:bookmarkStart w:id="8" w:name="_Hlk502757728"/>
    <w:bookmarkStart w:id="9" w:name="_Hlk502757729"/>
    <w:bookmarkStart w:id="10" w:name="_Hlk502757738"/>
    <w:bookmarkStart w:id="11" w:name="_Hlk502757739"/>
    <w:bookmarkStart w:id="12" w:name="_Hlk30491084"/>
    <w:bookmarkStart w:id="13" w:name="_Hlk30491085"/>
  </w:p>
  <w:p w14:paraId="50127399" w14:textId="172F51DD" w:rsidR="008D0F6E" w:rsidRPr="00832E2F" w:rsidRDefault="008D0F6E" w:rsidP="008D0F6E">
    <w:pPr>
      <w:pStyle w:val="Header"/>
      <w:tabs>
        <w:tab w:val="clear" w:pos="4153"/>
        <w:tab w:val="clear" w:pos="830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5"/>
  <w:bookmarkEnd w:id="6"/>
  <w:bookmarkEnd w:id="7"/>
  <w:bookmarkEnd w:id="8"/>
  <w:bookmarkEnd w:id="9"/>
  <w:bookmarkEnd w:id="10"/>
  <w:bookmarkEnd w:id="11"/>
  <w:bookmarkEnd w:id="12"/>
  <w:bookmarkEnd w:id="13"/>
  <w:p w14:paraId="6EE99DB4" w14:textId="77777777" w:rsidR="008D0F6E" w:rsidRPr="00832E2F" w:rsidRDefault="008D0F6E" w:rsidP="008D0F6E">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3569" w14:textId="77777777" w:rsidR="008D0F6E" w:rsidRPr="00832E2F" w:rsidRDefault="008D0F6E" w:rsidP="008D0F6E">
    <w:pPr>
      <w:pBdr>
        <w:bottom w:val="single" w:sz="12" w:space="5" w:color="auto"/>
      </w:pBdr>
      <w:rPr>
        <w:rFonts w:ascii="Times New Roman" w:hAnsi="Times New Roman" w:cs="Times New Roman"/>
        <w:spacing w:val="-2"/>
        <w:sz w:val="20"/>
        <w:szCs w:val="20"/>
      </w:rPr>
    </w:pPr>
    <w:bookmarkStart w:id="14" w:name="_Hlk496261745"/>
    <w:bookmarkStart w:id="15" w:name="_Hlk496261746"/>
    <w:bookmarkStart w:id="16" w:name="_Hlk496261747"/>
    <w:bookmarkStart w:id="17" w:name="_Hlk30491063"/>
    <w:bookmarkStart w:id="18" w:name="_Hlk30491064"/>
  </w:p>
  <w:bookmarkEnd w:id="14"/>
  <w:bookmarkEnd w:id="15"/>
  <w:bookmarkEnd w:id="16"/>
  <w:bookmarkEnd w:id="17"/>
  <w:bookmarkEnd w:id="18"/>
  <w:p w14:paraId="536BF0C2" w14:textId="77777777" w:rsidR="008D0F6E" w:rsidRPr="00832E2F" w:rsidRDefault="008D0F6E" w:rsidP="008D0F6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1A4B"/>
    <w:multiLevelType w:val="hybridMultilevel"/>
    <w:tmpl w:val="DC08B562"/>
    <w:lvl w:ilvl="0" w:tplc="1F0A3468">
      <w:start w:val="1"/>
      <w:numFmt w:val="upperRoman"/>
      <w:lvlText w:val="%1."/>
      <w:lvlJc w:val="left"/>
      <w:pPr>
        <w:ind w:left="1578" w:hanging="209"/>
      </w:pPr>
      <w:rPr>
        <w:rFonts w:ascii="Times New Roman" w:eastAsia="Times New Roman" w:hAnsi="Times New Roman" w:hint="default"/>
        <w:i/>
        <w:sz w:val="25"/>
        <w:szCs w:val="25"/>
      </w:rPr>
    </w:lvl>
    <w:lvl w:ilvl="1" w:tplc="FDB6DECA">
      <w:start w:val="1"/>
      <w:numFmt w:val="bullet"/>
      <w:lvlText w:val="•"/>
      <w:lvlJc w:val="left"/>
      <w:pPr>
        <w:ind w:left="2401" w:hanging="209"/>
      </w:pPr>
      <w:rPr>
        <w:rFonts w:hint="default"/>
      </w:rPr>
    </w:lvl>
    <w:lvl w:ilvl="2" w:tplc="9586D852">
      <w:start w:val="1"/>
      <w:numFmt w:val="bullet"/>
      <w:lvlText w:val="•"/>
      <w:lvlJc w:val="left"/>
      <w:pPr>
        <w:ind w:left="3224" w:hanging="209"/>
      </w:pPr>
      <w:rPr>
        <w:rFonts w:hint="default"/>
      </w:rPr>
    </w:lvl>
    <w:lvl w:ilvl="3" w:tplc="682009CC">
      <w:start w:val="1"/>
      <w:numFmt w:val="bullet"/>
      <w:lvlText w:val="•"/>
      <w:lvlJc w:val="left"/>
      <w:pPr>
        <w:ind w:left="4046" w:hanging="209"/>
      </w:pPr>
      <w:rPr>
        <w:rFonts w:hint="default"/>
      </w:rPr>
    </w:lvl>
    <w:lvl w:ilvl="4" w:tplc="1898FFAA">
      <w:start w:val="1"/>
      <w:numFmt w:val="bullet"/>
      <w:lvlText w:val="•"/>
      <w:lvlJc w:val="left"/>
      <w:pPr>
        <w:ind w:left="4869" w:hanging="209"/>
      </w:pPr>
      <w:rPr>
        <w:rFonts w:hint="default"/>
      </w:rPr>
    </w:lvl>
    <w:lvl w:ilvl="5" w:tplc="B5D65A88">
      <w:start w:val="1"/>
      <w:numFmt w:val="bullet"/>
      <w:lvlText w:val="•"/>
      <w:lvlJc w:val="left"/>
      <w:pPr>
        <w:ind w:left="5691" w:hanging="209"/>
      </w:pPr>
      <w:rPr>
        <w:rFonts w:hint="default"/>
      </w:rPr>
    </w:lvl>
    <w:lvl w:ilvl="6" w:tplc="976A3510">
      <w:start w:val="1"/>
      <w:numFmt w:val="bullet"/>
      <w:lvlText w:val="•"/>
      <w:lvlJc w:val="left"/>
      <w:pPr>
        <w:ind w:left="6514" w:hanging="209"/>
      </w:pPr>
      <w:rPr>
        <w:rFonts w:hint="default"/>
      </w:rPr>
    </w:lvl>
    <w:lvl w:ilvl="7" w:tplc="3460CA30">
      <w:start w:val="1"/>
      <w:numFmt w:val="bullet"/>
      <w:lvlText w:val="•"/>
      <w:lvlJc w:val="left"/>
      <w:pPr>
        <w:ind w:left="7337" w:hanging="209"/>
      </w:pPr>
      <w:rPr>
        <w:rFonts w:hint="default"/>
      </w:rPr>
    </w:lvl>
    <w:lvl w:ilvl="8" w:tplc="4E825C7A">
      <w:start w:val="1"/>
      <w:numFmt w:val="bullet"/>
      <w:lvlText w:val="•"/>
      <w:lvlJc w:val="left"/>
      <w:pPr>
        <w:ind w:left="8159" w:hanging="209"/>
      </w:pPr>
      <w:rPr>
        <w:rFonts w:hint="default"/>
      </w:rPr>
    </w:lvl>
  </w:abstractNum>
  <w:abstractNum w:abstractNumId="1" w15:restartNumberingAfterBreak="0">
    <w:nsid w:val="35BD53A5"/>
    <w:multiLevelType w:val="hybridMultilevel"/>
    <w:tmpl w:val="47E4548E"/>
    <w:lvl w:ilvl="0" w:tplc="426C9768">
      <w:start w:val="2"/>
      <w:numFmt w:val="decimal"/>
      <w:lvlText w:val="%1"/>
      <w:lvlJc w:val="left"/>
      <w:pPr>
        <w:ind w:left="650" w:hanging="540"/>
      </w:pPr>
      <w:rPr>
        <w:rFonts w:ascii="Times New Roman" w:eastAsia="Times New Roman" w:hAnsi="Times New Roman" w:hint="default"/>
        <w:sz w:val="25"/>
        <w:szCs w:val="25"/>
      </w:rPr>
    </w:lvl>
    <w:lvl w:ilvl="1" w:tplc="FD821C6A">
      <w:start w:val="1"/>
      <w:numFmt w:val="lowerLetter"/>
      <w:lvlText w:val="%2)"/>
      <w:lvlJc w:val="left"/>
      <w:pPr>
        <w:ind w:left="650" w:hanging="325"/>
      </w:pPr>
      <w:rPr>
        <w:rFonts w:ascii="Times New Roman" w:eastAsia="Times New Roman" w:hAnsi="Times New Roman" w:hint="default"/>
        <w:i/>
        <w:sz w:val="25"/>
        <w:szCs w:val="25"/>
      </w:rPr>
    </w:lvl>
    <w:lvl w:ilvl="2" w:tplc="8F702242">
      <w:start w:val="1"/>
      <w:numFmt w:val="bullet"/>
      <w:lvlText w:val="•"/>
      <w:lvlJc w:val="left"/>
      <w:pPr>
        <w:ind w:left="2329" w:hanging="325"/>
      </w:pPr>
      <w:rPr>
        <w:rFonts w:hint="default"/>
      </w:rPr>
    </w:lvl>
    <w:lvl w:ilvl="3" w:tplc="A8F652F4">
      <w:start w:val="1"/>
      <w:numFmt w:val="bullet"/>
      <w:lvlText w:val="•"/>
      <w:lvlJc w:val="left"/>
      <w:pPr>
        <w:ind w:left="3168" w:hanging="325"/>
      </w:pPr>
      <w:rPr>
        <w:rFonts w:hint="default"/>
      </w:rPr>
    </w:lvl>
    <w:lvl w:ilvl="4" w:tplc="BEF200E0">
      <w:start w:val="1"/>
      <w:numFmt w:val="bullet"/>
      <w:lvlText w:val="•"/>
      <w:lvlJc w:val="left"/>
      <w:pPr>
        <w:ind w:left="4008" w:hanging="325"/>
      </w:pPr>
      <w:rPr>
        <w:rFonts w:hint="default"/>
      </w:rPr>
    </w:lvl>
    <w:lvl w:ilvl="5" w:tplc="E84AEFBA">
      <w:start w:val="1"/>
      <w:numFmt w:val="bullet"/>
      <w:lvlText w:val="•"/>
      <w:lvlJc w:val="left"/>
      <w:pPr>
        <w:ind w:left="4847" w:hanging="325"/>
      </w:pPr>
      <w:rPr>
        <w:rFonts w:hint="default"/>
      </w:rPr>
    </w:lvl>
    <w:lvl w:ilvl="6" w:tplc="5366C866">
      <w:start w:val="1"/>
      <w:numFmt w:val="bullet"/>
      <w:lvlText w:val="•"/>
      <w:lvlJc w:val="left"/>
      <w:pPr>
        <w:ind w:left="5687" w:hanging="325"/>
      </w:pPr>
      <w:rPr>
        <w:rFonts w:hint="default"/>
      </w:rPr>
    </w:lvl>
    <w:lvl w:ilvl="7" w:tplc="9BD24658">
      <w:start w:val="1"/>
      <w:numFmt w:val="bullet"/>
      <w:lvlText w:val="•"/>
      <w:lvlJc w:val="left"/>
      <w:pPr>
        <w:ind w:left="6526" w:hanging="325"/>
      </w:pPr>
      <w:rPr>
        <w:rFonts w:hint="default"/>
      </w:rPr>
    </w:lvl>
    <w:lvl w:ilvl="8" w:tplc="EBBE8020">
      <w:start w:val="1"/>
      <w:numFmt w:val="bullet"/>
      <w:lvlText w:val="•"/>
      <w:lvlJc w:val="left"/>
      <w:pPr>
        <w:ind w:left="7366" w:hanging="325"/>
      </w:pPr>
      <w:rPr>
        <w:rFonts w:hint="default"/>
      </w:rPr>
    </w:lvl>
  </w:abstractNum>
  <w:abstractNum w:abstractNumId="2" w15:restartNumberingAfterBreak="0">
    <w:nsid w:val="5A1522D0"/>
    <w:multiLevelType w:val="hybridMultilevel"/>
    <w:tmpl w:val="6190447C"/>
    <w:lvl w:ilvl="0" w:tplc="D31A0ECA">
      <w:start w:val="1"/>
      <w:numFmt w:val="upperRoman"/>
      <w:lvlText w:val="%1."/>
      <w:lvlJc w:val="left"/>
      <w:pPr>
        <w:ind w:left="1578" w:hanging="208"/>
        <w:jc w:val="right"/>
      </w:pPr>
      <w:rPr>
        <w:rFonts w:ascii="Times New Roman" w:eastAsia="Times New Roman" w:hAnsi="Times New Roman" w:hint="default"/>
        <w:i/>
        <w:sz w:val="25"/>
        <w:szCs w:val="25"/>
      </w:rPr>
    </w:lvl>
    <w:lvl w:ilvl="1" w:tplc="D2D840B4">
      <w:start w:val="1"/>
      <w:numFmt w:val="bullet"/>
      <w:lvlText w:val="•"/>
      <w:lvlJc w:val="left"/>
      <w:pPr>
        <w:ind w:left="2400" w:hanging="208"/>
      </w:pPr>
      <w:rPr>
        <w:rFonts w:hint="default"/>
      </w:rPr>
    </w:lvl>
    <w:lvl w:ilvl="2" w:tplc="BA8C3B94">
      <w:start w:val="1"/>
      <w:numFmt w:val="bullet"/>
      <w:lvlText w:val="•"/>
      <w:lvlJc w:val="left"/>
      <w:pPr>
        <w:ind w:left="3223" w:hanging="208"/>
      </w:pPr>
      <w:rPr>
        <w:rFonts w:hint="default"/>
      </w:rPr>
    </w:lvl>
    <w:lvl w:ilvl="3" w:tplc="E70078CE">
      <w:start w:val="1"/>
      <w:numFmt w:val="bullet"/>
      <w:lvlText w:val="•"/>
      <w:lvlJc w:val="left"/>
      <w:pPr>
        <w:ind w:left="4046" w:hanging="208"/>
      </w:pPr>
      <w:rPr>
        <w:rFonts w:hint="default"/>
      </w:rPr>
    </w:lvl>
    <w:lvl w:ilvl="4" w:tplc="D34A4880">
      <w:start w:val="1"/>
      <w:numFmt w:val="bullet"/>
      <w:lvlText w:val="•"/>
      <w:lvlJc w:val="left"/>
      <w:pPr>
        <w:ind w:left="4868" w:hanging="208"/>
      </w:pPr>
      <w:rPr>
        <w:rFonts w:hint="default"/>
      </w:rPr>
    </w:lvl>
    <w:lvl w:ilvl="5" w:tplc="A3A805AE">
      <w:start w:val="1"/>
      <w:numFmt w:val="bullet"/>
      <w:lvlText w:val="•"/>
      <w:lvlJc w:val="left"/>
      <w:pPr>
        <w:ind w:left="5691" w:hanging="208"/>
      </w:pPr>
      <w:rPr>
        <w:rFonts w:hint="default"/>
      </w:rPr>
    </w:lvl>
    <w:lvl w:ilvl="6" w:tplc="1CB81244">
      <w:start w:val="1"/>
      <w:numFmt w:val="bullet"/>
      <w:lvlText w:val="•"/>
      <w:lvlJc w:val="left"/>
      <w:pPr>
        <w:ind w:left="6514" w:hanging="208"/>
      </w:pPr>
      <w:rPr>
        <w:rFonts w:hint="default"/>
      </w:rPr>
    </w:lvl>
    <w:lvl w:ilvl="7" w:tplc="0B68D02A">
      <w:start w:val="1"/>
      <w:numFmt w:val="bullet"/>
      <w:lvlText w:val="•"/>
      <w:lvlJc w:val="left"/>
      <w:pPr>
        <w:ind w:left="7336" w:hanging="208"/>
      </w:pPr>
      <w:rPr>
        <w:rFonts w:hint="default"/>
      </w:rPr>
    </w:lvl>
    <w:lvl w:ilvl="8" w:tplc="52F28656">
      <w:start w:val="1"/>
      <w:numFmt w:val="bullet"/>
      <w:lvlText w:val="•"/>
      <w:lvlJc w:val="left"/>
      <w:pPr>
        <w:ind w:left="8159" w:hanging="20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0CF7"/>
    <w:rsid w:val="0023122F"/>
    <w:rsid w:val="00231885"/>
    <w:rsid w:val="00285704"/>
    <w:rsid w:val="00860686"/>
    <w:rsid w:val="008D0F6E"/>
    <w:rsid w:val="00930589"/>
    <w:rsid w:val="00B97AEE"/>
    <w:rsid w:val="00DB3D97"/>
    <w:rsid w:val="00DE0C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7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60686"/>
    <w:pPr>
      <w:tabs>
        <w:tab w:val="center" w:pos="4153"/>
        <w:tab w:val="right" w:pos="8306"/>
      </w:tabs>
    </w:pPr>
  </w:style>
  <w:style w:type="character" w:customStyle="1" w:styleId="HeaderChar">
    <w:name w:val="Header Char"/>
    <w:basedOn w:val="DefaultParagraphFont"/>
    <w:link w:val="Header"/>
    <w:uiPriority w:val="99"/>
    <w:rsid w:val="00860686"/>
  </w:style>
  <w:style w:type="paragraph" w:styleId="Footer">
    <w:name w:val="footer"/>
    <w:basedOn w:val="Normal"/>
    <w:link w:val="FooterChar"/>
    <w:unhideWhenUsed/>
    <w:rsid w:val="00860686"/>
    <w:pPr>
      <w:tabs>
        <w:tab w:val="center" w:pos="4153"/>
        <w:tab w:val="right" w:pos="8306"/>
      </w:tabs>
    </w:pPr>
  </w:style>
  <w:style w:type="character" w:customStyle="1" w:styleId="FooterChar">
    <w:name w:val="Footer Char"/>
    <w:basedOn w:val="DefaultParagraphFont"/>
    <w:link w:val="Footer"/>
    <w:uiPriority w:val="99"/>
    <w:rsid w:val="00860686"/>
  </w:style>
  <w:style w:type="character" w:customStyle="1" w:styleId="BodyTextChar">
    <w:name w:val="Body Text Char"/>
    <w:basedOn w:val="DefaultParagraphFont"/>
    <w:link w:val="BodyText"/>
    <w:uiPriority w:val="1"/>
    <w:rsid w:val="00B97AEE"/>
    <w:rPr>
      <w:rFonts w:ascii="Times New Roman" w:eastAsia="Times New Roman" w:hAnsi="Times New Roman"/>
      <w:sz w:val="25"/>
      <w:szCs w:val="25"/>
    </w:rPr>
  </w:style>
  <w:style w:type="table" w:styleId="TableGrid">
    <w:name w:val="Table Grid"/>
    <w:basedOn w:val="TableNormal"/>
    <w:uiPriority w:val="39"/>
    <w:rsid w:val="00B9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5704"/>
    <w:rPr>
      <w:sz w:val="20"/>
      <w:szCs w:val="20"/>
    </w:rPr>
  </w:style>
  <w:style w:type="character" w:customStyle="1" w:styleId="FootnoteTextChar">
    <w:name w:val="Footnote Text Char"/>
    <w:basedOn w:val="DefaultParagraphFont"/>
    <w:link w:val="FootnoteText"/>
    <w:uiPriority w:val="99"/>
    <w:semiHidden/>
    <w:rsid w:val="00285704"/>
    <w:rPr>
      <w:sz w:val="20"/>
      <w:szCs w:val="20"/>
    </w:rPr>
  </w:style>
  <w:style w:type="character" w:styleId="FootnoteReference">
    <w:name w:val="footnote reference"/>
    <w:basedOn w:val="DefaultParagraphFont"/>
    <w:uiPriority w:val="99"/>
    <w:semiHidden/>
    <w:unhideWhenUsed/>
    <w:rsid w:val="00285704"/>
    <w:rPr>
      <w:vertAlign w:val="superscript"/>
    </w:rPr>
  </w:style>
  <w:style w:type="character" w:styleId="PageNumber">
    <w:name w:val="page number"/>
    <w:basedOn w:val="DefaultParagraphFont"/>
    <w:semiHidden/>
    <w:rsid w:val="008D0F6E"/>
  </w:style>
  <w:style w:type="paragraph" w:styleId="TOCHeading">
    <w:name w:val="TOC Heading"/>
    <w:basedOn w:val="Heading1"/>
    <w:next w:val="Normal"/>
    <w:uiPriority w:val="39"/>
    <w:unhideWhenUsed/>
    <w:qFormat/>
    <w:rsid w:val="008D0F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8D0F6E"/>
    <w:pPr>
      <w:spacing w:after="100"/>
    </w:pPr>
  </w:style>
  <w:style w:type="character" w:styleId="Hyperlink">
    <w:name w:val="Hyperlink"/>
    <w:basedOn w:val="DefaultParagraphFont"/>
    <w:uiPriority w:val="99"/>
    <w:unhideWhenUsed/>
    <w:rsid w:val="008D0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8297-242B-41D7-94E5-A4321744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9462</Words>
  <Characters>5394</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2020-01-15T12:51:00Z</dcterms:created>
  <dcterms:modified xsi:type="dcterms:W3CDTF">2020-03-11T16:28:00Z</dcterms:modified>
</cp:coreProperties>
</file>