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E18FC" w14:textId="77777777" w:rsidR="00E62C1C" w:rsidRDefault="00E62C1C" w:rsidP="00E62C1C">
      <w:pPr>
        <w:widowControl/>
        <w:jc w:val="right"/>
        <w:rPr>
          <w:rFonts w:ascii="Times New Roman" w:eastAsia="Times New Roman" w:hAnsi="Times New Roman" w:cs="Times New Roman"/>
          <w:noProof/>
          <w:sz w:val="24"/>
          <w:szCs w:val="7"/>
        </w:rPr>
      </w:pPr>
      <w:r>
        <w:rPr>
          <w:rFonts w:ascii="Times New Roman" w:hAnsi="Times New Roman"/>
          <w:noProof/>
          <w:sz w:val="24"/>
          <w:szCs w:val="7"/>
        </w:rPr>
        <w:drawing>
          <wp:inline distT="0" distB="0" distL="0" distR="0" wp14:anchorId="0FCD451D" wp14:editId="50E134EA">
            <wp:extent cx="1095375" cy="11430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143000"/>
                    </a:xfrm>
                    <a:prstGeom prst="rect">
                      <a:avLst/>
                    </a:prstGeom>
                    <a:noFill/>
                    <a:ln>
                      <a:noFill/>
                    </a:ln>
                  </pic:spPr>
                </pic:pic>
              </a:graphicData>
            </a:graphic>
          </wp:inline>
        </w:drawing>
      </w:r>
    </w:p>
    <w:p w14:paraId="63712B6D" w14:textId="77777777" w:rsidR="00E62C1C" w:rsidRDefault="00E62C1C" w:rsidP="00E62C1C">
      <w:pPr>
        <w:widowControl/>
        <w:jc w:val="both"/>
        <w:rPr>
          <w:rFonts w:ascii="Times New Roman" w:eastAsia="Times New Roman" w:hAnsi="Times New Roman" w:cs="Times New Roman"/>
          <w:noProof/>
          <w:sz w:val="24"/>
          <w:szCs w:val="7"/>
        </w:rPr>
      </w:pPr>
    </w:p>
    <w:p w14:paraId="079BD110" w14:textId="77777777" w:rsidR="00E62C1C" w:rsidRDefault="00E62C1C" w:rsidP="00E62C1C">
      <w:pPr>
        <w:widowControl/>
        <w:jc w:val="both"/>
        <w:rPr>
          <w:rFonts w:ascii="Times New Roman" w:eastAsia="Times New Roman" w:hAnsi="Times New Roman" w:cs="Times New Roman"/>
          <w:noProof/>
          <w:sz w:val="24"/>
          <w:szCs w:val="7"/>
        </w:rPr>
      </w:pPr>
    </w:p>
    <w:p w14:paraId="7FB0174B" w14:textId="77777777" w:rsidR="00E62C1C" w:rsidRPr="006143DB" w:rsidRDefault="00E62C1C" w:rsidP="00E62C1C">
      <w:pPr>
        <w:widowControl/>
        <w:jc w:val="both"/>
        <w:rPr>
          <w:rFonts w:ascii="Times New Roman" w:eastAsia="Times New Roman" w:hAnsi="Times New Roman" w:cs="Times New Roman"/>
          <w:noProof/>
          <w:sz w:val="24"/>
          <w:szCs w:val="20"/>
        </w:rPr>
      </w:pPr>
    </w:p>
    <w:p w14:paraId="217A9933" w14:textId="77777777" w:rsidR="00E62C1C" w:rsidRPr="006143DB" w:rsidRDefault="00E62C1C" w:rsidP="00E62C1C">
      <w:pPr>
        <w:widowControl/>
        <w:jc w:val="both"/>
        <w:rPr>
          <w:rFonts w:ascii="Times New Roman" w:eastAsia="Times New Roman" w:hAnsi="Times New Roman" w:cs="Times New Roman"/>
          <w:noProof/>
          <w:sz w:val="24"/>
          <w:szCs w:val="20"/>
        </w:rPr>
      </w:pPr>
    </w:p>
    <w:p w14:paraId="7754043A" w14:textId="77777777" w:rsidR="00E62C1C" w:rsidRPr="006143DB" w:rsidRDefault="00E62C1C" w:rsidP="00E62C1C">
      <w:pPr>
        <w:widowControl/>
        <w:jc w:val="both"/>
        <w:rPr>
          <w:rFonts w:ascii="Times New Roman" w:eastAsia="Times New Roman" w:hAnsi="Times New Roman" w:cs="Times New Roman"/>
          <w:noProof/>
          <w:sz w:val="24"/>
          <w:szCs w:val="20"/>
        </w:rPr>
      </w:pPr>
    </w:p>
    <w:p w14:paraId="6D3328F1" w14:textId="77777777" w:rsidR="00E62C1C" w:rsidRPr="006143DB" w:rsidRDefault="00E62C1C" w:rsidP="00E62C1C">
      <w:pPr>
        <w:widowControl/>
        <w:jc w:val="both"/>
        <w:rPr>
          <w:rFonts w:ascii="Times New Roman" w:eastAsia="Times New Roman" w:hAnsi="Times New Roman" w:cs="Times New Roman"/>
          <w:noProof/>
          <w:sz w:val="24"/>
          <w:szCs w:val="20"/>
        </w:rPr>
      </w:pPr>
    </w:p>
    <w:p w14:paraId="5EB699C3" w14:textId="77777777" w:rsidR="00E62C1C" w:rsidRPr="006143DB" w:rsidRDefault="00E62C1C" w:rsidP="00E62C1C">
      <w:pPr>
        <w:widowControl/>
        <w:jc w:val="both"/>
        <w:rPr>
          <w:rFonts w:ascii="Times New Roman" w:eastAsia="Times New Roman" w:hAnsi="Times New Roman" w:cs="Times New Roman"/>
          <w:noProof/>
          <w:sz w:val="24"/>
          <w:szCs w:val="20"/>
        </w:rPr>
      </w:pPr>
    </w:p>
    <w:p w14:paraId="1E35C38E" w14:textId="77777777" w:rsidR="00E62C1C" w:rsidRPr="006143DB" w:rsidRDefault="00E62C1C" w:rsidP="00E62C1C">
      <w:pPr>
        <w:widowControl/>
        <w:jc w:val="both"/>
        <w:rPr>
          <w:rFonts w:ascii="Times New Roman" w:eastAsia="Times New Roman" w:hAnsi="Times New Roman" w:cs="Times New Roman"/>
          <w:noProof/>
          <w:sz w:val="24"/>
          <w:szCs w:val="20"/>
        </w:rPr>
      </w:pPr>
    </w:p>
    <w:p w14:paraId="0F9BDFC7" w14:textId="77777777" w:rsidR="00E62C1C" w:rsidRPr="006143DB" w:rsidRDefault="00E62C1C" w:rsidP="00E62C1C">
      <w:pPr>
        <w:widowControl/>
        <w:jc w:val="both"/>
        <w:rPr>
          <w:rFonts w:ascii="Times New Roman" w:eastAsia="Times New Roman" w:hAnsi="Times New Roman" w:cs="Times New Roman"/>
          <w:noProof/>
          <w:sz w:val="24"/>
          <w:szCs w:val="20"/>
        </w:rPr>
      </w:pPr>
    </w:p>
    <w:p w14:paraId="69E489D1" w14:textId="77777777" w:rsidR="00E62C1C" w:rsidRDefault="00E62C1C" w:rsidP="00E62C1C">
      <w:pPr>
        <w:widowControl/>
        <w:jc w:val="both"/>
        <w:rPr>
          <w:rFonts w:ascii="Times New Roman" w:eastAsia="Times New Roman" w:hAnsi="Times New Roman" w:cs="Times New Roman"/>
          <w:noProof/>
          <w:sz w:val="24"/>
          <w:szCs w:val="20"/>
        </w:rPr>
      </w:pPr>
    </w:p>
    <w:p w14:paraId="7F87FD6D" w14:textId="77777777" w:rsidR="00E62C1C" w:rsidRDefault="00E62C1C" w:rsidP="00E62C1C">
      <w:pPr>
        <w:widowControl/>
        <w:jc w:val="both"/>
        <w:rPr>
          <w:rFonts w:ascii="Times New Roman" w:eastAsia="Times New Roman" w:hAnsi="Times New Roman" w:cs="Times New Roman"/>
          <w:noProof/>
          <w:sz w:val="24"/>
          <w:szCs w:val="20"/>
        </w:rPr>
      </w:pPr>
    </w:p>
    <w:p w14:paraId="1F122B05" w14:textId="77777777" w:rsidR="00E62C1C" w:rsidRDefault="00E62C1C" w:rsidP="00E62C1C">
      <w:pPr>
        <w:widowControl/>
        <w:jc w:val="both"/>
        <w:rPr>
          <w:rFonts w:ascii="Times New Roman" w:eastAsia="Times New Roman" w:hAnsi="Times New Roman" w:cs="Times New Roman"/>
          <w:noProof/>
          <w:sz w:val="24"/>
          <w:szCs w:val="20"/>
        </w:rPr>
      </w:pPr>
    </w:p>
    <w:p w14:paraId="1709325D" w14:textId="77777777" w:rsidR="00E62C1C" w:rsidRDefault="00E62C1C" w:rsidP="00E62C1C">
      <w:pPr>
        <w:widowControl/>
        <w:jc w:val="both"/>
        <w:rPr>
          <w:rFonts w:ascii="Times New Roman" w:eastAsia="Times New Roman" w:hAnsi="Times New Roman" w:cs="Times New Roman"/>
          <w:noProof/>
          <w:sz w:val="24"/>
          <w:szCs w:val="20"/>
        </w:rPr>
      </w:pPr>
    </w:p>
    <w:p w14:paraId="56DDE191" w14:textId="77777777" w:rsidR="00E62C1C" w:rsidRDefault="00E62C1C" w:rsidP="00E62C1C">
      <w:pPr>
        <w:widowControl/>
        <w:jc w:val="both"/>
        <w:rPr>
          <w:rFonts w:ascii="Times New Roman" w:eastAsia="Times New Roman" w:hAnsi="Times New Roman" w:cs="Times New Roman"/>
          <w:noProof/>
          <w:sz w:val="24"/>
          <w:szCs w:val="20"/>
        </w:rPr>
      </w:pPr>
    </w:p>
    <w:p w14:paraId="192351F8" w14:textId="77777777" w:rsidR="00E62C1C" w:rsidRPr="006143DB" w:rsidRDefault="00E62C1C" w:rsidP="00E62C1C">
      <w:pPr>
        <w:widowControl/>
        <w:jc w:val="both"/>
        <w:rPr>
          <w:rFonts w:ascii="Times New Roman" w:eastAsia="Times New Roman" w:hAnsi="Times New Roman" w:cs="Times New Roman"/>
          <w:noProof/>
          <w:sz w:val="24"/>
          <w:szCs w:val="20"/>
        </w:rPr>
      </w:pPr>
    </w:p>
    <w:p w14:paraId="7B0C45D9" w14:textId="77777777" w:rsidR="00E62C1C" w:rsidRPr="006143DB" w:rsidRDefault="00E62C1C" w:rsidP="00E62C1C">
      <w:pPr>
        <w:widowControl/>
        <w:jc w:val="both"/>
        <w:rPr>
          <w:rFonts w:ascii="Times New Roman" w:eastAsia="Times New Roman" w:hAnsi="Times New Roman" w:cs="Times New Roman"/>
          <w:noProof/>
          <w:sz w:val="24"/>
          <w:szCs w:val="20"/>
        </w:rPr>
      </w:pPr>
    </w:p>
    <w:p w14:paraId="20E07CDC" w14:textId="77777777" w:rsidR="00E62C1C" w:rsidRPr="006143DB" w:rsidRDefault="00E62C1C" w:rsidP="00E62C1C">
      <w:pPr>
        <w:widowControl/>
        <w:jc w:val="both"/>
        <w:rPr>
          <w:rFonts w:ascii="Times New Roman" w:eastAsia="Times New Roman" w:hAnsi="Times New Roman" w:cs="Times New Roman"/>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843"/>
        <w:gridCol w:w="3786"/>
      </w:tblGrid>
      <w:tr w:rsidR="00E62C1C" w:rsidRPr="005E20A9" w14:paraId="41DE0F44" w14:textId="77777777" w:rsidTr="004E28DA">
        <w:tc>
          <w:tcPr>
            <w:tcW w:w="3652" w:type="dxa"/>
          </w:tcPr>
          <w:p w14:paraId="5F22D478" w14:textId="77777777" w:rsidR="00E62C1C" w:rsidRPr="005E20A9" w:rsidRDefault="00E62C1C" w:rsidP="004E28DA">
            <w:pPr>
              <w:widowControl/>
              <w:jc w:val="both"/>
              <w:rPr>
                <w:rFonts w:ascii="Times New Roman" w:eastAsia="Times New Roman" w:hAnsi="Times New Roman" w:cs="Times New Roman"/>
                <w:noProof/>
                <w:sz w:val="28"/>
                <w:szCs w:val="24"/>
              </w:rPr>
            </w:pPr>
            <w:r>
              <w:rPr>
                <w:rFonts w:ascii="Times New Roman" w:hAnsi="Times New Roman"/>
                <w:sz w:val="28"/>
                <w:szCs w:val="24"/>
              </w:rPr>
              <w:t>Saņemšanas datums</w:t>
            </w:r>
          </w:p>
        </w:tc>
        <w:tc>
          <w:tcPr>
            <w:tcW w:w="1843" w:type="dxa"/>
          </w:tcPr>
          <w:p w14:paraId="563DE38C" w14:textId="77777777" w:rsidR="00E62C1C" w:rsidRPr="005E20A9" w:rsidRDefault="00E62C1C" w:rsidP="004E28DA">
            <w:pPr>
              <w:widowControl/>
              <w:jc w:val="both"/>
              <w:rPr>
                <w:rFonts w:ascii="Times New Roman" w:eastAsia="Times New Roman" w:hAnsi="Times New Roman" w:cs="Times New Roman"/>
                <w:noProof/>
                <w:sz w:val="28"/>
                <w:szCs w:val="24"/>
              </w:rPr>
            </w:pPr>
            <w:r>
              <w:rPr>
                <w:rFonts w:ascii="Times New Roman" w:hAnsi="Times New Roman"/>
                <w:sz w:val="28"/>
                <w:szCs w:val="24"/>
              </w:rPr>
              <w:t>:</w:t>
            </w:r>
          </w:p>
        </w:tc>
        <w:tc>
          <w:tcPr>
            <w:tcW w:w="3786" w:type="dxa"/>
          </w:tcPr>
          <w:p w14:paraId="1F4F578A" w14:textId="77777777" w:rsidR="00E62C1C" w:rsidRPr="005E20A9" w:rsidRDefault="00E62C1C" w:rsidP="004E28DA">
            <w:pPr>
              <w:widowControl/>
              <w:jc w:val="both"/>
              <w:rPr>
                <w:rFonts w:ascii="Times New Roman" w:eastAsia="Times New Roman" w:hAnsi="Times New Roman" w:cs="Times New Roman"/>
                <w:noProof/>
                <w:sz w:val="28"/>
                <w:szCs w:val="24"/>
              </w:rPr>
            </w:pPr>
            <w:r>
              <w:rPr>
                <w:rFonts w:ascii="Times New Roman" w:hAnsi="Times New Roman"/>
                <w:sz w:val="28"/>
                <w:szCs w:val="24"/>
              </w:rPr>
              <w:t>07/01/2020</w:t>
            </w:r>
          </w:p>
        </w:tc>
      </w:tr>
    </w:tbl>
    <w:p w14:paraId="7EFC7E23" w14:textId="77777777" w:rsidR="00E62C1C" w:rsidRDefault="00E62C1C" w:rsidP="00E62C1C">
      <w:pPr>
        <w:widowControl/>
        <w:jc w:val="both"/>
        <w:rPr>
          <w:rFonts w:ascii="Times New Roman" w:eastAsia="Times New Roman" w:hAnsi="Times New Roman" w:cs="Times New Roman"/>
          <w:noProof/>
          <w:sz w:val="24"/>
          <w:szCs w:val="20"/>
        </w:rPr>
      </w:pPr>
    </w:p>
    <w:p w14:paraId="37800E22" w14:textId="77777777" w:rsidR="00E62C1C" w:rsidRDefault="00E62C1C" w:rsidP="00E62C1C">
      <w:pPr>
        <w:widowControl/>
        <w:jc w:val="both"/>
        <w:rPr>
          <w:rFonts w:ascii="Times New Roman" w:eastAsia="Times New Roman" w:hAnsi="Times New Roman" w:cs="Times New Roman"/>
          <w:noProof/>
          <w:sz w:val="24"/>
          <w:szCs w:val="7"/>
        </w:rPr>
      </w:pPr>
    </w:p>
    <w:p w14:paraId="46AB0D49" w14:textId="77777777" w:rsidR="00E62C1C" w:rsidRDefault="00E62C1C" w:rsidP="00E62C1C">
      <w:pPr>
        <w:rPr>
          <w:rFonts w:ascii="Times New Roman" w:eastAsia="Times New Roman" w:hAnsi="Times New Roman" w:cs="Times New Roman"/>
          <w:noProof/>
          <w:sz w:val="24"/>
          <w:szCs w:val="7"/>
        </w:rPr>
      </w:pPr>
      <w:r>
        <w:br w:type="page"/>
      </w:r>
    </w:p>
    <w:p w14:paraId="2B2988AE" w14:textId="77777777" w:rsidR="00E62C1C" w:rsidRPr="006143DB" w:rsidRDefault="00E62C1C" w:rsidP="00E62C1C">
      <w:pPr>
        <w:widowControl/>
        <w:jc w:val="both"/>
        <w:rPr>
          <w:rFonts w:ascii="Times New Roman" w:eastAsia="Times New Roman" w:hAnsi="Times New Roman" w:cs="Times New Roman"/>
          <w:noProof/>
          <w:sz w:val="24"/>
          <w:szCs w:val="1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1"/>
      </w:tblGrid>
      <w:tr w:rsidR="00E62C1C" w14:paraId="1B9AEACC" w14:textId="77777777" w:rsidTr="004E28DA">
        <w:tc>
          <w:tcPr>
            <w:tcW w:w="4640" w:type="dxa"/>
          </w:tcPr>
          <w:p w14:paraId="736D48E9" w14:textId="77777777" w:rsidR="00E62C1C" w:rsidRDefault="00E62C1C" w:rsidP="004E28DA">
            <w:pPr>
              <w:widowControl/>
              <w:jc w:val="both"/>
              <w:rPr>
                <w:rFonts w:ascii="Times New Roman" w:eastAsia="Times New Roman" w:hAnsi="Times New Roman" w:cs="Times New Roman"/>
                <w:noProof/>
                <w:sz w:val="24"/>
                <w:szCs w:val="16"/>
              </w:rPr>
            </w:pPr>
            <w:r>
              <w:rPr>
                <w:rFonts w:ascii="Times New Roman" w:hAnsi="Times New Roman"/>
                <w:sz w:val="24"/>
              </w:rPr>
              <w:t>Tulkojums</w:t>
            </w:r>
          </w:p>
        </w:tc>
        <w:tc>
          <w:tcPr>
            <w:tcW w:w="4641" w:type="dxa"/>
          </w:tcPr>
          <w:p w14:paraId="4292FA58" w14:textId="77777777" w:rsidR="00E62C1C" w:rsidRDefault="00E62C1C" w:rsidP="004E28DA">
            <w:pPr>
              <w:pStyle w:val="BodyText"/>
              <w:widowControl/>
              <w:tabs>
                <w:tab w:val="left" w:pos="8091"/>
              </w:tabs>
              <w:ind w:left="0"/>
              <w:jc w:val="right"/>
              <w:rPr>
                <w:rFonts w:cs="Times New Roman"/>
                <w:noProof/>
                <w:sz w:val="24"/>
                <w:szCs w:val="16"/>
              </w:rPr>
            </w:pPr>
            <w:r>
              <w:rPr>
                <w:sz w:val="24"/>
              </w:rPr>
              <w:t>C-398/19 - 23</w:t>
            </w:r>
          </w:p>
        </w:tc>
      </w:tr>
    </w:tbl>
    <w:p w14:paraId="212E4C02" w14:textId="77777777" w:rsidR="00E62C1C" w:rsidRDefault="00E62C1C" w:rsidP="00E62C1C">
      <w:pPr>
        <w:widowControl/>
        <w:jc w:val="both"/>
        <w:rPr>
          <w:rFonts w:ascii="Times New Roman" w:eastAsia="Times New Roman" w:hAnsi="Times New Roman" w:cs="Times New Roman"/>
          <w:noProof/>
          <w:sz w:val="24"/>
          <w:szCs w:val="16"/>
        </w:rPr>
      </w:pPr>
    </w:p>
    <w:p w14:paraId="0826AF8A" w14:textId="77777777" w:rsidR="00E62C1C" w:rsidRDefault="00E62C1C" w:rsidP="00E62C1C">
      <w:pPr>
        <w:pStyle w:val="BodyText"/>
        <w:widowControl/>
        <w:ind w:left="0" w:firstLine="0"/>
        <w:jc w:val="center"/>
        <w:rPr>
          <w:rFonts w:cs="Times New Roman"/>
          <w:noProof/>
          <w:sz w:val="24"/>
        </w:rPr>
      </w:pPr>
      <w:r>
        <w:rPr>
          <w:sz w:val="24"/>
        </w:rPr>
        <w:t>Rumānijas apsvērumi</w:t>
      </w:r>
    </w:p>
    <w:p w14:paraId="4F28E732" w14:textId="77777777" w:rsidR="00E62C1C" w:rsidRDefault="00E62C1C" w:rsidP="00E62C1C">
      <w:pPr>
        <w:pStyle w:val="BodyText"/>
        <w:widowControl/>
        <w:ind w:left="0" w:firstLine="0"/>
        <w:jc w:val="center"/>
        <w:rPr>
          <w:rFonts w:cs="Times New Roman"/>
          <w:noProof/>
          <w:sz w:val="24"/>
        </w:rPr>
      </w:pPr>
    </w:p>
    <w:p w14:paraId="6F3A4D7E" w14:textId="050FA8C8" w:rsidR="00E62C1C" w:rsidRDefault="00E62C1C" w:rsidP="00E62C1C">
      <w:pPr>
        <w:pStyle w:val="BodyText"/>
        <w:widowControl/>
        <w:ind w:left="0" w:firstLine="0"/>
        <w:jc w:val="center"/>
        <w:rPr>
          <w:rFonts w:cs="Times New Roman"/>
          <w:noProof/>
          <w:sz w:val="24"/>
        </w:rPr>
      </w:pPr>
      <w:r>
        <w:rPr>
          <w:sz w:val="24"/>
        </w:rPr>
        <w:t>Lieta C-398/19</w:t>
      </w:r>
      <w:r w:rsidR="00832E2F" w:rsidRPr="00832E2F">
        <w:rPr>
          <w:rStyle w:val="FootnoteReference"/>
          <w:sz w:val="24"/>
        </w:rPr>
        <w:footnoteReference w:customMarkFollows="1" w:id="1"/>
        <w:sym w:font="Symbol" w:char="F02A"/>
      </w:r>
    </w:p>
    <w:p w14:paraId="2ABBBCEE" w14:textId="77777777" w:rsidR="00E62C1C" w:rsidRPr="00E62C1C" w:rsidRDefault="00E62C1C" w:rsidP="00E62C1C">
      <w:pPr>
        <w:pStyle w:val="BodyText"/>
        <w:widowControl/>
        <w:ind w:left="0" w:firstLine="0"/>
        <w:jc w:val="both"/>
        <w:rPr>
          <w:rFonts w:cs="Times New Roman"/>
          <w:noProof/>
          <w:sz w:val="24"/>
        </w:rPr>
      </w:pPr>
    </w:p>
    <w:p w14:paraId="7F4BCE80" w14:textId="77777777" w:rsidR="00E62C1C" w:rsidRPr="00E62C1C" w:rsidRDefault="00E62C1C" w:rsidP="00E62C1C">
      <w:pPr>
        <w:pStyle w:val="Heading1"/>
        <w:widowControl/>
        <w:ind w:left="0"/>
        <w:jc w:val="both"/>
        <w:rPr>
          <w:rFonts w:cs="Times New Roman"/>
          <w:noProof/>
          <w:sz w:val="24"/>
        </w:rPr>
      </w:pPr>
      <w:bookmarkStart w:id="0" w:name="_Toc32416583"/>
      <w:r>
        <w:rPr>
          <w:sz w:val="24"/>
        </w:rPr>
        <w:t>Dokumentu iesniedza:</w:t>
      </w:r>
      <w:bookmarkEnd w:id="0"/>
    </w:p>
    <w:p w14:paraId="1A3DEEC0" w14:textId="77777777" w:rsidR="00E62C1C" w:rsidRPr="00E62C1C" w:rsidRDefault="00E62C1C" w:rsidP="00E62C1C">
      <w:pPr>
        <w:widowControl/>
        <w:jc w:val="both"/>
        <w:rPr>
          <w:rFonts w:ascii="Times New Roman" w:eastAsia="Times New Roman" w:hAnsi="Times New Roman" w:cs="Times New Roman"/>
          <w:b/>
          <w:bCs/>
          <w:noProof/>
          <w:sz w:val="24"/>
          <w:szCs w:val="20"/>
        </w:rPr>
      </w:pPr>
    </w:p>
    <w:p w14:paraId="54FD051B" w14:textId="77777777" w:rsidR="00E62C1C" w:rsidRPr="00E62C1C" w:rsidRDefault="00E62C1C" w:rsidP="00611F84">
      <w:pPr>
        <w:pStyle w:val="BodyText"/>
        <w:widowControl/>
        <w:ind w:left="0" w:firstLine="1418"/>
        <w:jc w:val="both"/>
        <w:rPr>
          <w:rFonts w:cs="Times New Roman"/>
          <w:noProof/>
          <w:sz w:val="24"/>
        </w:rPr>
      </w:pPr>
      <w:r>
        <w:rPr>
          <w:sz w:val="24"/>
        </w:rPr>
        <w:t>Rumānija</w:t>
      </w:r>
    </w:p>
    <w:p w14:paraId="09B9AFFC" w14:textId="77777777" w:rsidR="00E62C1C" w:rsidRPr="00E62C1C" w:rsidRDefault="00E62C1C" w:rsidP="00E62C1C">
      <w:pPr>
        <w:widowControl/>
        <w:jc w:val="both"/>
        <w:rPr>
          <w:rFonts w:ascii="Times New Roman" w:eastAsia="Times New Roman" w:hAnsi="Times New Roman" w:cs="Times New Roman"/>
          <w:noProof/>
          <w:sz w:val="24"/>
          <w:szCs w:val="21"/>
        </w:rPr>
      </w:pPr>
    </w:p>
    <w:p w14:paraId="33A0FB7D" w14:textId="77777777" w:rsidR="00E62C1C" w:rsidRPr="00E62C1C" w:rsidRDefault="00E62C1C" w:rsidP="00E62C1C">
      <w:pPr>
        <w:pStyle w:val="Heading1"/>
        <w:widowControl/>
        <w:ind w:left="0"/>
        <w:jc w:val="both"/>
        <w:rPr>
          <w:rFonts w:cs="Times New Roman"/>
          <w:noProof/>
          <w:sz w:val="24"/>
        </w:rPr>
      </w:pPr>
      <w:bookmarkStart w:id="1" w:name="_Toc32416584"/>
      <w:r>
        <w:rPr>
          <w:sz w:val="24"/>
        </w:rPr>
        <w:t>Lietas parastais nosaukums:</w:t>
      </w:r>
      <w:bookmarkEnd w:id="1"/>
    </w:p>
    <w:p w14:paraId="41DCB2F1" w14:textId="77777777" w:rsidR="00E62C1C" w:rsidRPr="00E62C1C" w:rsidRDefault="00E62C1C" w:rsidP="00E62C1C">
      <w:pPr>
        <w:widowControl/>
        <w:jc w:val="both"/>
        <w:rPr>
          <w:rFonts w:ascii="Times New Roman" w:eastAsia="Times New Roman" w:hAnsi="Times New Roman" w:cs="Times New Roman"/>
          <w:b/>
          <w:bCs/>
          <w:noProof/>
          <w:sz w:val="24"/>
          <w:szCs w:val="20"/>
        </w:rPr>
      </w:pPr>
    </w:p>
    <w:p w14:paraId="4AC99ACC" w14:textId="77777777" w:rsidR="00E62C1C" w:rsidRPr="00E62C1C" w:rsidRDefault="00E62C1C" w:rsidP="00611F84">
      <w:pPr>
        <w:pStyle w:val="BodyText"/>
        <w:widowControl/>
        <w:ind w:left="0" w:firstLine="1418"/>
        <w:jc w:val="both"/>
        <w:rPr>
          <w:rFonts w:cs="Times New Roman"/>
          <w:noProof/>
          <w:sz w:val="24"/>
        </w:rPr>
      </w:pPr>
      <w:r>
        <w:rPr>
          <w:i/>
          <w:iCs/>
          <w:sz w:val="24"/>
        </w:rPr>
        <w:t>GENERALSTAATSANWALTSCHAFT BERLIN</w:t>
      </w:r>
    </w:p>
    <w:p w14:paraId="33445662" w14:textId="77777777" w:rsidR="00E62C1C" w:rsidRPr="00E62C1C" w:rsidRDefault="00E62C1C" w:rsidP="00E62C1C">
      <w:pPr>
        <w:widowControl/>
        <w:jc w:val="both"/>
        <w:rPr>
          <w:rFonts w:ascii="Times New Roman" w:eastAsia="Times New Roman" w:hAnsi="Times New Roman" w:cs="Times New Roman"/>
          <w:noProof/>
          <w:sz w:val="24"/>
          <w:szCs w:val="21"/>
        </w:rPr>
      </w:pPr>
    </w:p>
    <w:p w14:paraId="5FB2B202" w14:textId="77777777" w:rsidR="00E62C1C" w:rsidRPr="00E62C1C" w:rsidRDefault="00E62C1C" w:rsidP="00E62C1C">
      <w:pPr>
        <w:pStyle w:val="Heading1"/>
        <w:widowControl/>
        <w:ind w:left="0"/>
        <w:jc w:val="both"/>
        <w:rPr>
          <w:rFonts w:cs="Times New Roman"/>
          <w:noProof/>
          <w:sz w:val="24"/>
        </w:rPr>
      </w:pPr>
      <w:bookmarkStart w:id="2" w:name="_Toc32416585"/>
      <w:r>
        <w:rPr>
          <w:sz w:val="24"/>
        </w:rPr>
        <w:t>Iesniegšanas datums:</w:t>
      </w:r>
      <w:bookmarkEnd w:id="2"/>
    </w:p>
    <w:p w14:paraId="6563F0B5" w14:textId="77777777" w:rsidR="00E62C1C" w:rsidRPr="00E62C1C" w:rsidRDefault="00E62C1C" w:rsidP="00E62C1C">
      <w:pPr>
        <w:widowControl/>
        <w:jc w:val="both"/>
        <w:rPr>
          <w:rFonts w:ascii="Times New Roman" w:eastAsia="Times New Roman" w:hAnsi="Times New Roman" w:cs="Times New Roman"/>
          <w:b/>
          <w:bCs/>
          <w:noProof/>
          <w:sz w:val="24"/>
          <w:szCs w:val="20"/>
        </w:rPr>
      </w:pPr>
    </w:p>
    <w:p w14:paraId="461644DE" w14:textId="77777777" w:rsidR="00E62C1C" w:rsidRPr="00E62C1C" w:rsidRDefault="00E62C1C" w:rsidP="00611F84">
      <w:pPr>
        <w:pStyle w:val="BodyText"/>
        <w:widowControl/>
        <w:ind w:left="0" w:firstLine="1418"/>
        <w:jc w:val="both"/>
        <w:rPr>
          <w:rFonts w:cs="Times New Roman"/>
          <w:noProof/>
          <w:sz w:val="24"/>
        </w:rPr>
      </w:pPr>
      <w:r>
        <w:rPr>
          <w:sz w:val="24"/>
        </w:rPr>
        <w:t>2019. gada 18. septembris</w:t>
      </w:r>
    </w:p>
    <w:p w14:paraId="5F5CCED0" w14:textId="77777777" w:rsidR="00E62C1C" w:rsidRDefault="00E62C1C" w:rsidP="00E62C1C">
      <w:pPr>
        <w:widowControl/>
        <w:jc w:val="both"/>
        <w:rPr>
          <w:rFonts w:ascii="Times New Roman" w:eastAsia="Times New Roman" w:hAnsi="Times New Roman" w:cs="Times New Roman"/>
          <w:noProof/>
          <w:sz w:val="24"/>
          <w:szCs w:val="20"/>
        </w:rPr>
      </w:pPr>
    </w:p>
    <w:p w14:paraId="0676FD6C" w14:textId="77777777" w:rsidR="00611F84" w:rsidRDefault="00611F84" w:rsidP="00611F84">
      <w:pPr>
        <w:widowControl/>
        <w:ind w:firstLine="1418"/>
        <w:jc w:val="both"/>
        <w:rPr>
          <w:rFonts w:ascii="Times New Roman" w:eastAsia="Times New Roman" w:hAnsi="Times New Roman" w:cs="Times New Roman"/>
          <w:noProof/>
          <w:sz w:val="24"/>
          <w:szCs w:val="20"/>
        </w:rPr>
      </w:pPr>
      <w:r>
        <w:rPr>
          <w:rFonts w:ascii="Times New Roman" w:hAnsi="Times New Roman"/>
          <w:sz w:val="24"/>
          <w:szCs w:val="20"/>
        </w:rPr>
        <w:t>_______________________________________________________________</w:t>
      </w:r>
    </w:p>
    <w:p w14:paraId="1DE4D561" w14:textId="77777777" w:rsidR="00611F84" w:rsidRPr="00E62C1C" w:rsidRDefault="00611F84" w:rsidP="00E62C1C">
      <w:pPr>
        <w:widowControl/>
        <w:jc w:val="both"/>
        <w:rPr>
          <w:rFonts w:ascii="Times New Roman" w:eastAsia="Times New Roman" w:hAnsi="Times New Roman" w:cs="Times New Roman"/>
          <w:noProof/>
          <w:sz w:val="24"/>
          <w:szCs w:val="20"/>
        </w:rPr>
      </w:pPr>
    </w:p>
    <w:p w14:paraId="6EDAA61A" w14:textId="77777777" w:rsidR="00E62C1C" w:rsidRPr="00E62C1C" w:rsidRDefault="00E62C1C" w:rsidP="00611F84">
      <w:pPr>
        <w:pStyle w:val="Heading1"/>
        <w:widowControl/>
        <w:ind w:left="0"/>
        <w:jc w:val="center"/>
        <w:rPr>
          <w:rFonts w:cs="Times New Roman"/>
          <w:noProof/>
          <w:sz w:val="24"/>
        </w:rPr>
      </w:pPr>
      <w:bookmarkStart w:id="3" w:name="_Toc32416586"/>
      <w:r>
        <w:rPr>
          <w:sz w:val="24"/>
        </w:rPr>
        <w:t>EIROPAS SAVIENĪBAS TIESAS PRIEKŠSĒDĒTĀJAM UN TIESAS LOCEKĻIEM</w:t>
      </w:r>
      <w:bookmarkEnd w:id="3"/>
    </w:p>
    <w:p w14:paraId="552338AB" w14:textId="77777777" w:rsidR="00E62C1C" w:rsidRPr="00E62C1C" w:rsidRDefault="00E62C1C" w:rsidP="00611F84">
      <w:pPr>
        <w:widowControl/>
        <w:jc w:val="center"/>
        <w:rPr>
          <w:rFonts w:ascii="Times New Roman" w:eastAsia="Times New Roman" w:hAnsi="Times New Roman" w:cs="Times New Roman"/>
          <w:b/>
          <w:bCs/>
          <w:noProof/>
          <w:sz w:val="24"/>
          <w:szCs w:val="20"/>
        </w:rPr>
      </w:pPr>
    </w:p>
    <w:p w14:paraId="4341D076" w14:textId="77777777" w:rsidR="00E62C1C" w:rsidRPr="00E62C1C" w:rsidRDefault="00E62C1C" w:rsidP="00611F84">
      <w:pPr>
        <w:widowControl/>
        <w:jc w:val="center"/>
        <w:rPr>
          <w:rFonts w:ascii="Times New Roman" w:hAnsi="Times New Roman" w:cs="Times New Roman"/>
          <w:b/>
          <w:noProof/>
          <w:sz w:val="24"/>
        </w:rPr>
      </w:pPr>
      <w:r>
        <w:rPr>
          <w:rFonts w:ascii="Times New Roman" w:hAnsi="Times New Roman"/>
          <w:b/>
          <w:sz w:val="24"/>
        </w:rPr>
        <w:t>APSVĒRUMI,</w:t>
      </w:r>
    </w:p>
    <w:p w14:paraId="4EE71EA0" w14:textId="77777777" w:rsidR="00E62C1C" w:rsidRPr="00E62C1C" w:rsidRDefault="00E62C1C" w:rsidP="00E62C1C">
      <w:pPr>
        <w:widowControl/>
        <w:jc w:val="both"/>
        <w:rPr>
          <w:rFonts w:ascii="Times New Roman" w:eastAsia="Times New Roman" w:hAnsi="Times New Roman" w:cs="Times New Roman"/>
          <w:b/>
          <w:bCs/>
          <w:noProof/>
          <w:sz w:val="24"/>
          <w:szCs w:val="20"/>
        </w:rPr>
      </w:pPr>
    </w:p>
    <w:p w14:paraId="138EBF36" w14:textId="77777777" w:rsidR="00E62C1C" w:rsidRPr="00E62C1C" w:rsidRDefault="00E62C1C" w:rsidP="00E62C1C">
      <w:pPr>
        <w:pStyle w:val="BodyText"/>
        <w:widowControl/>
        <w:ind w:left="0" w:firstLine="0"/>
        <w:jc w:val="both"/>
        <w:rPr>
          <w:rFonts w:cs="Times New Roman"/>
          <w:noProof/>
          <w:sz w:val="24"/>
        </w:rPr>
      </w:pPr>
      <w:r>
        <w:rPr>
          <w:sz w:val="24"/>
        </w:rPr>
        <w:t>ko atbilstoši Eiropas Savienības Tiesas statūtu 23. panta otrajai daļai sagatavojusi</w:t>
      </w:r>
    </w:p>
    <w:p w14:paraId="664A4159" w14:textId="77777777" w:rsidR="00E62C1C" w:rsidRPr="00E62C1C" w:rsidRDefault="00E62C1C" w:rsidP="00E62C1C">
      <w:pPr>
        <w:widowControl/>
        <w:jc w:val="both"/>
        <w:rPr>
          <w:rFonts w:ascii="Times New Roman" w:eastAsia="Times New Roman" w:hAnsi="Times New Roman" w:cs="Times New Roman"/>
          <w:noProof/>
          <w:sz w:val="24"/>
          <w:szCs w:val="21"/>
        </w:rPr>
      </w:pPr>
    </w:p>
    <w:p w14:paraId="49B9DF27" w14:textId="77777777" w:rsidR="00E62C1C" w:rsidRPr="00E62C1C" w:rsidRDefault="00E62C1C" w:rsidP="00611F84">
      <w:pPr>
        <w:pStyle w:val="Heading1"/>
        <w:widowControl/>
        <w:ind w:left="0"/>
        <w:jc w:val="center"/>
        <w:rPr>
          <w:rFonts w:cs="Times New Roman"/>
          <w:noProof/>
          <w:sz w:val="24"/>
        </w:rPr>
      </w:pPr>
      <w:bookmarkStart w:id="4" w:name="_Toc32416587"/>
      <w:r>
        <w:rPr>
          <w:sz w:val="24"/>
        </w:rPr>
        <w:t>Rumānija,</w:t>
      </w:r>
      <w:bookmarkEnd w:id="4"/>
    </w:p>
    <w:p w14:paraId="7AB2C39D" w14:textId="77777777" w:rsidR="00E62C1C" w:rsidRPr="00E62C1C" w:rsidRDefault="00E62C1C" w:rsidP="00E62C1C">
      <w:pPr>
        <w:widowControl/>
        <w:jc w:val="both"/>
        <w:rPr>
          <w:rFonts w:ascii="Times New Roman" w:eastAsia="Times New Roman" w:hAnsi="Times New Roman" w:cs="Times New Roman"/>
          <w:b/>
          <w:bCs/>
          <w:noProof/>
          <w:sz w:val="24"/>
          <w:szCs w:val="19"/>
        </w:rPr>
      </w:pPr>
    </w:p>
    <w:p w14:paraId="3707662E" w14:textId="77777777" w:rsidR="00E62C1C" w:rsidRPr="00E62C1C" w:rsidRDefault="00E62C1C" w:rsidP="00E62C1C">
      <w:pPr>
        <w:pStyle w:val="BodyText"/>
        <w:widowControl/>
        <w:ind w:left="0" w:firstLine="0"/>
        <w:jc w:val="both"/>
        <w:rPr>
          <w:rFonts w:cs="Times New Roman"/>
          <w:noProof/>
          <w:sz w:val="24"/>
        </w:rPr>
      </w:pPr>
      <w:r>
        <w:rPr>
          <w:sz w:val="24"/>
        </w:rPr>
        <w:t>ko pārstāv tās pārstāvis Radu Kancers [</w:t>
      </w:r>
      <w:r>
        <w:rPr>
          <w:i/>
          <w:iCs/>
          <w:sz w:val="24"/>
        </w:rPr>
        <w:t>Radu CANȚĂR</w:t>
      </w:r>
      <w:r>
        <w:rPr>
          <w:sz w:val="24"/>
        </w:rPr>
        <w:t>] un konsultanti Laura Licu [</w:t>
      </w:r>
      <w:r>
        <w:rPr>
          <w:i/>
          <w:iCs/>
          <w:sz w:val="24"/>
        </w:rPr>
        <w:t>Laura LIȚU</w:t>
      </w:r>
      <w:r>
        <w:rPr>
          <w:sz w:val="24"/>
        </w:rPr>
        <w:t>] un Simjons Adrians Purza [</w:t>
      </w:r>
      <w:r>
        <w:rPr>
          <w:i/>
          <w:iCs/>
          <w:sz w:val="24"/>
        </w:rPr>
        <w:t>Simion-Adrian PURZA</w:t>
      </w:r>
      <w:r>
        <w:rPr>
          <w:sz w:val="24"/>
        </w:rPr>
        <w:t>],</w:t>
      </w:r>
    </w:p>
    <w:p w14:paraId="31E7CE33" w14:textId="77777777" w:rsidR="00E62C1C" w:rsidRPr="00E62C1C" w:rsidRDefault="00E62C1C" w:rsidP="00E62C1C">
      <w:pPr>
        <w:widowControl/>
        <w:jc w:val="both"/>
        <w:rPr>
          <w:rFonts w:ascii="Times New Roman" w:eastAsia="Times New Roman" w:hAnsi="Times New Roman" w:cs="Times New Roman"/>
          <w:noProof/>
          <w:sz w:val="24"/>
          <w:szCs w:val="21"/>
        </w:rPr>
      </w:pPr>
    </w:p>
    <w:p w14:paraId="24DE4C0D" w14:textId="77777777" w:rsidR="00E62C1C" w:rsidRPr="00E62C1C" w:rsidRDefault="00E62C1C" w:rsidP="00611F84">
      <w:pPr>
        <w:pStyle w:val="Heading1"/>
        <w:widowControl/>
        <w:ind w:left="0"/>
        <w:jc w:val="center"/>
        <w:rPr>
          <w:rFonts w:cs="Times New Roman"/>
          <w:noProof/>
          <w:sz w:val="24"/>
        </w:rPr>
      </w:pPr>
      <w:bookmarkStart w:id="5" w:name="_Toc32416588"/>
      <w:r>
        <w:rPr>
          <w:sz w:val="24"/>
        </w:rPr>
        <w:t>lietā C-398/19 “Generalstaatsanwaltschaft Berlin”</w:t>
      </w:r>
      <w:bookmarkEnd w:id="5"/>
    </w:p>
    <w:p w14:paraId="7F185A2C" w14:textId="77777777" w:rsidR="00E62C1C" w:rsidRPr="00E62C1C" w:rsidRDefault="00E62C1C" w:rsidP="00E62C1C">
      <w:pPr>
        <w:widowControl/>
        <w:jc w:val="both"/>
        <w:rPr>
          <w:rFonts w:ascii="Times New Roman" w:eastAsia="Times New Roman" w:hAnsi="Times New Roman" w:cs="Times New Roman"/>
          <w:b/>
          <w:bCs/>
          <w:noProof/>
          <w:sz w:val="24"/>
          <w:szCs w:val="20"/>
        </w:rPr>
      </w:pPr>
    </w:p>
    <w:p w14:paraId="644846D0" w14:textId="77777777" w:rsidR="00E62C1C" w:rsidRPr="00E62C1C" w:rsidRDefault="00E62C1C" w:rsidP="00E62C1C">
      <w:pPr>
        <w:pStyle w:val="BodyText"/>
        <w:widowControl/>
        <w:ind w:left="0" w:firstLine="0"/>
        <w:jc w:val="both"/>
        <w:rPr>
          <w:rFonts w:cs="Times New Roman"/>
          <w:b/>
          <w:bCs/>
          <w:noProof/>
          <w:sz w:val="24"/>
        </w:rPr>
      </w:pPr>
      <w:r>
        <w:rPr>
          <w:sz w:val="24"/>
        </w:rPr>
        <w:t>par lūgumu sniegt prejudiciālu nolēmumu</w:t>
      </w:r>
      <w:r w:rsidR="00611F84">
        <w:rPr>
          <w:rStyle w:val="FootnoteReference"/>
          <w:rFonts w:cs="Times New Roman"/>
          <w:noProof/>
          <w:sz w:val="24"/>
        </w:rPr>
        <w:footnoteReference w:id="2"/>
      </w:r>
      <w:r>
        <w:rPr>
          <w:sz w:val="24"/>
        </w:rPr>
        <w:t>, ko saskaņā ar Līguma par Eiropas Savienības darbību</w:t>
      </w:r>
      <w:r w:rsidR="00611F84">
        <w:rPr>
          <w:rStyle w:val="FootnoteReference"/>
          <w:rFonts w:cs="Times New Roman"/>
          <w:noProof/>
          <w:sz w:val="24"/>
        </w:rPr>
        <w:footnoteReference w:id="3"/>
      </w:r>
      <w:r>
        <w:rPr>
          <w:sz w:val="24"/>
        </w:rPr>
        <w:t xml:space="preserve"> 267. pantu ir iesniegusi </w:t>
      </w:r>
      <w:r>
        <w:rPr>
          <w:i/>
          <w:iCs/>
          <w:sz w:val="24"/>
        </w:rPr>
        <w:t>Kammergericht Berlin</w:t>
      </w:r>
      <w:r>
        <w:rPr>
          <w:sz w:val="24"/>
        </w:rPr>
        <w:t xml:space="preserve"> (Berlīnes Augstākā reģionālā tiesa, Vācija)</w:t>
      </w:r>
      <w:r w:rsidR="00611F84">
        <w:rPr>
          <w:rStyle w:val="FootnoteReference"/>
          <w:rFonts w:cs="Times New Roman"/>
          <w:noProof/>
          <w:sz w:val="24"/>
        </w:rPr>
        <w:footnoteReference w:id="4"/>
      </w:r>
      <w:r>
        <w:rPr>
          <w:sz w:val="24"/>
        </w:rPr>
        <w:t xml:space="preserve"> saistībā ar LESD 18. un 21. panta interpretāciju. </w:t>
      </w:r>
      <w:r>
        <w:rPr>
          <w:b/>
          <w:bCs/>
          <w:sz w:val="24"/>
          <w:highlight w:val="lightGray"/>
        </w:rPr>
        <w:t>[oriģ. 2. lpp.]</w:t>
      </w:r>
    </w:p>
    <w:p w14:paraId="6C4005CB" w14:textId="77777777" w:rsidR="00E62C1C" w:rsidRDefault="00E62C1C" w:rsidP="00E62C1C">
      <w:pPr>
        <w:widowControl/>
        <w:jc w:val="both"/>
        <w:rPr>
          <w:rFonts w:ascii="Times New Roman" w:eastAsia="Times New Roman" w:hAnsi="Times New Roman" w:cs="Times New Roman"/>
          <w:noProof/>
          <w:sz w:val="24"/>
          <w:szCs w:val="16"/>
        </w:rPr>
      </w:pPr>
    </w:p>
    <w:p w14:paraId="6F2B2E1C" w14:textId="77777777" w:rsidR="00611F84" w:rsidRDefault="00611F84" w:rsidP="00E62C1C">
      <w:pPr>
        <w:widowControl/>
        <w:jc w:val="both"/>
        <w:rPr>
          <w:rFonts w:ascii="Times New Roman" w:eastAsia="Times New Roman" w:hAnsi="Times New Roman" w:cs="Times New Roman"/>
          <w:noProof/>
          <w:sz w:val="24"/>
          <w:szCs w:val="16"/>
        </w:rPr>
      </w:pPr>
    </w:p>
    <w:p w14:paraId="6694E1A1" w14:textId="77777777" w:rsidR="00611F84" w:rsidRDefault="00611F84">
      <w:pPr>
        <w:rPr>
          <w:rFonts w:ascii="Times New Roman" w:eastAsia="Times New Roman" w:hAnsi="Times New Roman" w:cs="Times New Roman"/>
          <w:noProof/>
          <w:sz w:val="24"/>
          <w:szCs w:val="16"/>
        </w:rPr>
      </w:pPr>
      <w:r>
        <w:br w:type="page"/>
      </w:r>
    </w:p>
    <w:p w14:paraId="78A0C842" w14:textId="77777777" w:rsidR="00611F84" w:rsidRPr="00E62C1C" w:rsidRDefault="00611F84" w:rsidP="00E62C1C">
      <w:pPr>
        <w:widowControl/>
        <w:jc w:val="both"/>
        <w:rPr>
          <w:rFonts w:ascii="Times New Roman" w:eastAsia="Times New Roman" w:hAnsi="Times New Roman" w:cs="Times New Roman"/>
          <w:noProof/>
          <w:sz w:val="24"/>
          <w:szCs w:val="16"/>
        </w:rPr>
      </w:pPr>
    </w:p>
    <w:p w14:paraId="4B2F85F6" w14:textId="77777777" w:rsidR="00E62C1C" w:rsidRPr="00E62C1C" w:rsidRDefault="00E62C1C" w:rsidP="00E62C1C">
      <w:pPr>
        <w:pStyle w:val="Heading1"/>
        <w:widowControl/>
        <w:ind w:left="0"/>
        <w:jc w:val="both"/>
        <w:rPr>
          <w:rFonts w:cs="Times New Roman"/>
          <w:noProof/>
          <w:sz w:val="24"/>
        </w:rPr>
      </w:pPr>
      <w:bookmarkStart w:id="6" w:name="_Toc32416589"/>
      <w:r>
        <w:rPr>
          <w:sz w:val="24"/>
        </w:rPr>
        <w:t>Rumānijas valdībai ir tas gods sniegt Eiropas Savienības Tiesai</w:t>
      </w:r>
      <w:r w:rsidR="00611F84">
        <w:rPr>
          <w:rStyle w:val="FootnoteReference"/>
          <w:rFonts w:cs="Times New Roman"/>
          <w:noProof/>
          <w:sz w:val="24"/>
        </w:rPr>
        <w:footnoteReference w:id="5"/>
      </w:r>
      <w:r>
        <w:rPr>
          <w:sz w:val="24"/>
        </w:rPr>
        <w:t xml:space="preserve"> šādus apsvērumus.</w:t>
      </w:r>
      <w:bookmarkEnd w:id="6"/>
    </w:p>
    <w:p w14:paraId="7932FD1D" w14:textId="77777777" w:rsidR="00E62C1C" w:rsidRPr="00E62C1C" w:rsidRDefault="00E62C1C" w:rsidP="00E62C1C">
      <w:pPr>
        <w:widowControl/>
        <w:jc w:val="both"/>
        <w:rPr>
          <w:rFonts w:ascii="Times New Roman" w:eastAsia="Times New Roman" w:hAnsi="Times New Roman" w:cs="Times New Roman"/>
          <w:b/>
          <w:bCs/>
          <w:noProof/>
          <w:sz w:val="24"/>
          <w:szCs w:val="20"/>
        </w:rPr>
      </w:pPr>
    </w:p>
    <w:p w14:paraId="34253E11" w14:textId="77777777" w:rsidR="00E62C1C" w:rsidRDefault="00E62C1C" w:rsidP="00611F84">
      <w:pPr>
        <w:widowControl/>
        <w:jc w:val="center"/>
        <w:rPr>
          <w:rFonts w:ascii="Times New Roman" w:hAnsi="Times New Roman" w:cs="Times New Roman"/>
          <w:b/>
          <w:noProof/>
          <w:sz w:val="24"/>
        </w:rPr>
      </w:pPr>
      <w:r>
        <w:rPr>
          <w:rFonts w:ascii="Times New Roman" w:hAnsi="Times New Roman"/>
          <w:b/>
          <w:sz w:val="24"/>
        </w:rPr>
        <w:t>Satura rādītājs</w:t>
      </w:r>
    </w:p>
    <w:sdt>
      <w:sdtPr>
        <w:rPr>
          <w:rFonts w:ascii="Times New Roman" w:hAnsi="Times New Roman" w:cs="Times New Roman"/>
          <w:color w:val="auto"/>
          <w:sz w:val="24"/>
          <w:szCs w:val="24"/>
        </w:rPr>
        <w:id w:val="233517819"/>
        <w:docPartObj>
          <w:docPartGallery w:val="Table of Contents"/>
          <w:docPartUnique/>
        </w:docPartObj>
      </w:sdtPr>
      <w:sdtEndPr>
        <w:rPr>
          <w:rFonts w:eastAsiaTheme="minorHAnsi"/>
          <w:b/>
          <w:bCs/>
          <w:noProof/>
          <w:lang w:val="lv-LV"/>
        </w:rPr>
      </w:sdtEndPr>
      <w:sdtContent>
        <w:p w14:paraId="4D2AA2CE" w14:textId="0E6BF5B4" w:rsidR="00832E2F" w:rsidRPr="00832E2F" w:rsidRDefault="00832E2F" w:rsidP="00832E2F">
          <w:pPr>
            <w:pStyle w:val="TOCHeading"/>
            <w:keepNext w:val="0"/>
            <w:keepLines w:val="0"/>
            <w:widowControl w:val="0"/>
            <w:spacing w:before="0" w:line="240" w:lineRule="auto"/>
            <w:jc w:val="both"/>
            <w:rPr>
              <w:rFonts w:ascii="Times New Roman" w:eastAsiaTheme="minorEastAsia" w:hAnsi="Times New Roman" w:cs="Times New Roman"/>
              <w:noProof/>
              <w:color w:val="auto"/>
              <w:sz w:val="24"/>
              <w:szCs w:val="24"/>
              <w:lang w:eastAsia="lv-LV"/>
            </w:rPr>
          </w:pPr>
          <w:r w:rsidRPr="00832E2F">
            <w:rPr>
              <w:rFonts w:ascii="Times New Roman" w:hAnsi="Times New Roman" w:cs="Times New Roman"/>
              <w:color w:val="auto"/>
              <w:sz w:val="24"/>
              <w:szCs w:val="24"/>
            </w:rPr>
            <w:fldChar w:fldCharType="begin"/>
          </w:r>
          <w:r w:rsidRPr="00832E2F">
            <w:rPr>
              <w:rFonts w:ascii="Times New Roman" w:hAnsi="Times New Roman" w:cs="Times New Roman"/>
              <w:color w:val="auto"/>
              <w:sz w:val="24"/>
              <w:szCs w:val="24"/>
            </w:rPr>
            <w:instrText xml:space="preserve"> TOC \o "1-3" \h \z \u </w:instrText>
          </w:r>
          <w:r w:rsidRPr="00832E2F">
            <w:rPr>
              <w:rFonts w:ascii="Times New Roman" w:hAnsi="Times New Roman" w:cs="Times New Roman"/>
              <w:color w:val="auto"/>
              <w:sz w:val="24"/>
              <w:szCs w:val="24"/>
            </w:rPr>
            <w:fldChar w:fldCharType="separate"/>
          </w:r>
        </w:p>
        <w:p w14:paraId="77B49D9D" w14:textId="15A96817" w:rsidR="00832E2F" w:rsidRPr="00832E2F" w:rsidRDefault="00832E2F" w:rsidP="00832E2F">
          <w:pPr>
            <w:pStyle w:val="TOC1"/>
            <w:tabs>
              <w:tab w:val="right" w:leader="dot" w:pos="9065"/>
            </w:tabs>
            <w:spacing w:before="0"/>
            <w:ind w:left="0" w:firstLine="0"/>
            <w:jc w:val="both"/>
            <w:rPr>
              <w:rFonts w:eastAsiaTheme="minorEastAsia" w:cs="Times New Roman"/>
              <w:noProof/>
              <w:sz w:val="24"/>
              <w:szCs w:val="24"/>
              <w:lang w:eastAsia="lv-LV"/>
            </w:rPr>
          </w:pPr>
          <w:hyperlink w:anchor="_Toc32416590" w:history="1">
            <w:r w:rsidRPr="00832E2F">
              <w:rPr>
                <w:rStyle w:val="Hyperlink"/>
                <w:rFonts w:cs="Times New Roman"/>
                <w:noProof/>
                <w:color w:val="auto"/>
                <w:sz w:val="24"/>
                <w:szCs w:val="24"/>
              </w:rPr>
              <w:t>I. Faktiskie apstākļi un prejudiciālie jautājumi</w:t>
            </w:r>
            <w:r w:rsidRPr="00832E2F">
              <w:rPr>
                <w:rFonts w:cs="Times New Roman"/>
                <w:noProof/>
                <w:webHidden/>
                <w:sz w:val="24"/>
                <w:szCs w:val="24"/>
              </w:rPr>
              <w:tab/>
            </w:r>
            <w:r w:rsidRPr="00832E2F">
              <w:rPr>
                <w:rFonts w:cs="Times New Roman"/>
                <w:noProof/>
                <w:webHidden/>
                <w:sz w:val="24"/>
                <w:szCs w:val="24"/>
              </w:rPr>
              <w:fldChar w:fldCharType="begin"/>
            </w:r>
            <w:r w:rsidRPr="00832E2F">
              <w:rPr>
                <w:rFonts w:cs="Times New Roman"/>
                <w:noProof/>
                <w:webHidden/>
                <w:sz w:val="24"/>
                <w:szCs w:val="24"/>
              </w:rPr>
              <w:instrText xml:space="preserve"> PAGEREF _Toc32416590 \h </w:instrText>
            </w:r>
            <w:r w:rsidRPr="00832E2F">
              <w:rPr>
                <w:rFonts w:cs="Times New Roman"/>
                <w:noProof/>
                <w:webHidden/>
                <w:sz w:val="24"/>
                <w:szCs w:val="24"/>
              </w:rPr>
            </w:r>
            <w:r w:rsidRPr="00832E2F">
              <w:rPr>
                <w:rFonts w:cs="Times New Roman"/>
                <w:noProof/>
                <w:webHidden/>
                <w:sz w:val="24"/>
                <w:szCs w:val="24"/>
              </w:rPr>
              <w:fldChar w:fldCharType="separate"/>
            </w:r>
            <w:r w:rsidR="00D237A6">
              <w:rPr>
                <w:rFonts w:cs="Times New Roman"/>
                <w:noProof/>
                <w:webHidden/>
                <w:sz w:val="24"/>
                <w:szCs w:val="24"/>
              </w:rPr>
              <w:t>3</w:t>
            </w:r>
            <w:r w:rsidRPr="00832E2F">
              <w:rPr>
                <w:rFonts w:cs="Times New Roman"/>
                <w:noProof/>
                <w:webHidden/>
                <w:sz w:val="24"/>
                <w:szCs w:val="24"/>
              </w:rPr>
              <w:fldChar w:fldCharType="end"/>
            </w:r>
          </w:hyperlink>
        </w:p>
        <w:p w14:paraId="670F75A3" w14:textId="039D3BAC" w:rsidR="00832E2F" w:rsidRPr="00832E2F" w:rsidRDefault="00832E2F" w:rsidP="00832E2F">
          <w:pPr>
            <w:pStyle w:val="TOC1"/>
            <w:tabs>
              <w:tab w:val="right" w:leader="dot" w:pos="9065"/>
            </w:tabs>
            <w:spacing w:before="0"/>
            <w:ind w:left="0" w:firstLine="0"/>
            <w:jc w:val="both"/>
            <w:rPr>
              <w:rFonts w:eastAsiaTheme="minorEastAsia" w:cs="Times New Roman"/>
              <w:noProof/>
              <w:sz w:val="24"/>
              <w:szCs w:val="24"/>
              <w:lang w:eastAsia="lv-LV"/>
            </w:rPr>
          </w:pPr>
          <w:hyperlink w:anchor="_Toc32416591" w:history="1">
            <w:r w:rsidRPr="00832E2F">
              <w:rPr>
                <w:rStyle w:val="Hyperlink"/>
                <w:rFonts w:cs="Times New Roman"/>
                <w:noProof/>
                <w:color w:val="auto"/>
                <w:sz w:val="24"/>
                <w:szCs w:val="24"/>
              </w:rPr>
              <w:t>II. Piemērojamās tiesību normas</w:t>
            </w:r>
            <w:r w:rsidRPr="00832E2F">
              <w:rPr>
                <w:rFonts w:cs="Times New Roman"/>
                <w:noProof/>
                <w:webHidden/>
                <w:sz w:val="24"/>
                <w:szCs w:val="24"/>
              </w:rPr>
              <w:tab/>
            </w:r>
            <w:r w:rsidRPr="00832E2F">
              <w:rPr>
                <w:rFonts w:cs="Times New Roman"/>
                <w:noProof/>
                <w:webHidden/>
                <w:sz w:val="24"/>
                <w:szCs w:val="24"/>
              </w:rPr>
              <w:fldChar w:fldCharType="begin"/>
            </w:r>
            <w:r w:rsidRPr="00832E2F">
              <w:rPr>
                <w:rFonts w:cs="Times New Roman"/>
                <w:noProof/>
                <w:webHidden/>
                <w:sz w:val="24"/>
                <w:szCs w:val="24"/>
              </w:rPr>
              <w:instrText xml:space="preserve"> PAGEREF _Toc32416591 \h </w:instrText>
            </w:r>
            <w:r w:rsidRPr="00832E2F">
              <w:rPr>
                <w:rFonts w:cs="Times New Roman"/>
                <w:noProof/>
                <w:webHidden/>
                <w:sz w:val="24"/>
                <w:szCs w:val="24"/>
              </w:rPr>
            </w:r>
            <w:r w:rsidRPr="00832E2F">
              <w:rPr>
                <w:rFonts w:cs="Times New Roman"/>
                <w:noProof/>
                <w:webHidden/>
                <w:sz w:val="24"/>
                <w:szCs w:val="24"/>
              </w:rPr>
              <w:fldChar w:fldCharType="separate"/>
            </w:r>
            <w:r w:rsidR="00D237A6">
              <w:rPr>
                <w:rFonts w:cs="Times New Roman"/>
                <w:noProof/>
                <w:webHidden/>
                <w:sz w:val="24"/>
                <w:szCs w:val="24"/>
              </w:rPr>
              <w:t>3</w:t>
            </w:r>
            <w:r w:rsidRPr="00832E2F">
              <w:rPr>
                <w:rFonts w:cs="Times New Roman"/>
                <w:noProof/>
                <w:webHidden/>
                <w:sz w:val="24"/>
                <w:szCs w:val="24"/>
              </w:rPr>
              <w:fldChar w:fldCharType="end"/>
            </w:r>
          </w:hyperlink>
        </w:p>
        <w:p w14:paraId="2167FE96" w14:textId="1E913221" w:rsidR="00832E2F" w:rsidRPr="00832E2F" w:rsidRDefault="00832E2F" w:rsidP="00832E2F">
          <w:pPr>
            <w:pStyle w:val="TOC1"/>
            <w:tabs>
              <w:tab w:val="right" w:leader="dot" w:pos="9065"/>
            </w:tabs>
            <w:spacing w:before="0"/>
            <w:ind w:left="284" w:firstLine="0"/>
            <w:jc w:val="both"/>
            <w:rPr>
              <w:rFonts w:eastAsiaTheme="minorEastAsia" w:cs="Times New Roman"/>
              <w:noProof/>
              <w:sz w:val="24"/>
              <w:szCs w:val="24"/>
              <w:lang w:eastAsia="lv-LV"/>
            </w:rPr>
          </w:pPr>
          <w:hyperlink w:anchor="_Toc32416592" w:history="1">
            <w:r w:rsidRPr="00832E2F">
              <w:rPr>
                <w:rStyle w:val="Hyperlink"/>
                <w:rFonts w:cs="Times New Roman"/>
                <w:noProof/>
                <w:color w:val="auto"/>
                <w:sz w:val="24"/>
                <w:szCs w:val="24"/>
              </w:rPr>
              <w:t>A. Savienības tiesības</w:t>
            </w:r>
            <w:r w:rsidRPr="00832E2F">
              <w:rPr>
                <w:rFonts w:cs="Times New Roman"/>
                <w:noProof/>
                <w:webHidden/>
                <w:sz w:val="24"/>
                <w:szCs w:val="24"/>
              </w:rPr>
              <w:tab/>
            </w:r>
            <w:r w:rsidRPr="00832E2F">
              <w:rPr>
                <w:rFonts w:cs="Times New Roman"/>
                <w:noProof/>
                <w:webHidden/>
                <w:sz w:val="24"/>
                <w:szCs w:val="24"/>
              </w:rPr>
              <w:fldChar w:fldCharType="begin"/>
            </w:r>
            <w:r w:rsidRPr="00832E2F">
              <w:rPr>
                <w:rFonts w:cs="Times New Roman"/>
                <w:noProof/>
                <w:webHidden/>
                <w:sz w:val="24"/>
                <w:szCs w:val="24"/>
              </w:rPr>
              <w:instrText xml:space="preserve"> PAGEREF _Toc32416592 \h </w:instrText>
            </w:r>
            <w:r w:rsidRPr="00832E2F">
              <w:rPr>
                <w:rFonts w:cs="Times New Roman"/>
                <w:noProof/>
                <w:webHidden/>
                <w:sz w:val="24"/>
                <w:szCs w:val="24"/>
              </w:rPr>
            </w:r>
            <w:r w:rsidRPr="00832E2F">
              <w:rPr>
                <w:rFonts w:cs="Times New Roman"/>
                <w:noProof/>
                <w:webHidden/>
                <w:sz w:val="24"/>
                <w:szCs w:val="24"/>
              </w:rPr>
              <w:fldChar w:fldCharType="separate"/>
            </w:r>
            <w:r w:rsidR="00D237A6">
              <w:rPr>
                <w:rFonts w:cs="Times New Roman"/>
                <w:noProof/>
                <w:webHidden/>
                <w:sz w:val="24"/>
                <w:szCs w:val="24"/>
              </w:rPr>
              <w:t>3</w:t>
            </w:r>
            <w:r w:rsidRPr="00832E2F">
              <w:rPr>
                <w:rFonts w:cs="Times New Roman"/>
                <w:noProof/>
                <w:webHidden/>
                <w:sz w:val="24"/>
                <w:szCs w:val="24"/>
              </w:rPr>
              <w:fldChar w:fldCharType="end"/>
            </w:r>
          </w:hyperlink>
        </w:p>
        <w:p w14:paraId="2D9E7CD0" w14:textId="0E65E01D" w:rsidR="00832E2F" w:rsidRPr="00832E2F" w:rsidRDefault="00832E2F" w:rsidP="00832E2F">
          <w:pPr>
            <w:pStyle w:val="TOC1"/>
            <w:tabs>
              <w:tab w:val="right" w:leader="dot" w:pos="9065"/>
            </w:tabs>
            <w:spacing w:before="0"/>
            <w:ind w:left="284" w:firstLine="0"/>
            <w:jc w:val="both"/>
            <w:rPr>
              <w:rFonts w:eastAsiaTheme="minorEastAsia" w:cs="Times New Roman"/>
              <w:noProof/>
              <w:sz w:val="24"/>
              <w:szCs w:val="24"/>
              <w:lang w:eastAsia="lv-LV"/>
            </w:rPr>
          </w:pPr>
          <w:hyperlink w:anchor="_Toc32416594" w:history="1">
            <w:r w:rsidRPr="00832E2F">
              <w:rPr>
                <w:rStyle w:val="Hyperlink"/>
                <w:rFonts w:cs="Times New Roman"/>
                <w:noProof/>
                <w:color w:val="auto"/>
                <w:sz w:val="24"/>
                <w:szCs w:val="24"/>
              </w:rPr>
              <w:t>B. Valsts tiesību akti</w:t>
            </w:r>
            <w:r w:rsidRPr="00832E2F">
              <w:rPr>
                <w:rFonts w:cs="Times New Roman"/>
                <w:noProof/>
                <w:webHidden/>
                <w:sz w:val="24"/>
                <w:szCs w:val="24"/>
              </w:rPr>
              <w:tab/>
            </w:r>
            <w:r w:rsidRPr="00832E2F">
              <w:rPr>
                <w:rFonts w:cs="Times New Roman"/>
                <w:noProof/>
                <w:webHidden/>
                <w:sz w:val="24"/>
                <w:szCs w:val="24"/>
              </w:rPr>
              <w:fldChar w:fldCharType="begin"/>
            </w:r>
            <w:r w:rsidRPr="00832E2F">
              <w:rPr>
                <w:rFonts w:cs="Times New Roman"/>
                <w:noProof/>
                <w:webHidden/>
                <w:sz w:val="24"/>
                <w:szCs w:val="24"/>
              </w:rPr>
              <w:instrText xml:space="preserve"> PAGEREF _Toc32416594 \h </w:instrText>
            </w:r>
            <w:r w:rsidRPr="00832E2F">
              <w:rPr>
                <w:rFonts w:cs="Times New Roman"/>
                <w:noProof/>
                <w:webHidden/>
                <w:sz w:val="24"/>
                <w:szCs w:val="24"/>
              </w:rPr>
            </w:r>
            <w:r w:rsidRPr="00832E2F">
              <w:rPr>
                <w:rFonts w:cs="Times New Roman"/>
                <w:noProof/>
                <w:webHidden/>
                <w:sz w:val="24"/>
                <w:szCs w:val="24"/>
              </w:rPr>
              <w:fldChar w:fldCharType="separate"/>
            </w:r>
            <w:r w:rsidR="00D237A6">
              <w:rPr>
                <w:rFonts w:cs="Times New Roman"/>
                <w:noProof/>
                <w:webHidden/>
                <w:sz w:val="24"/>
                <w:szCs w:val="24"/>
              </w:rPr>
              <w:t>4</w:t>
            </w:r>
            <w:r w:rsidRPr="00832E2F">
              <w:rPr>
                <w:rFonts w:cs="Times New Roman"/>
                <w:noProof/>
                <w:webHidden/>
                <w:sz w:val="24"/>
                <w:szCs w:val="24"/>
              </w:rPr>
              <w:fldChar w:fldCharType="end"/>
            </w:r>
          </w:hyperlink>
        </w:p>
        <w:p w14:paraId="3426F382" w14:textId="1D383732" w:rsidR="00832E2F" w:rsidRPr="00832E2F" w:rsidRDefault="00832E2F" w:rsidP="00832E2F">
          <w:pPr>
            <w:pStyle w:val="TOC1"/>
            <w:tabs>
              <w:tab w:val="right" w:leader="dot" w:pos="9065"/>
            </w:tabs>
            <w:spacing w:before="0"/>
            <w:ind w:left="0" w:firstLine="0"/>
            <w:jc w:val="both"/>
            <w:rPr>
              <w:rFonts w:eastAsiaTheme="minorEastAsia" w:cs="Times New Roman"/>
              <w:noProof/>
              <w:sz w:val="24"/>
              <w:szCs w:val="24"/>
              <w:lang w:eastAsia="lv-LV"/>
            </w:rPr>
          </w:pPr>
          <w:hyperlink w:anchor="_Toc32416595" w:history="1">
            <w:r w:rsidRPr="00832E2F">
              <w:rPr>
                <w:rStyle w:val="Hyperlink"/>
                <w:rFonts w:cs="Times New Roman"/>
                <w:noProof/>
                <w:color w:val="auto"/>
                <w:sz w:val="24"/>
                <w:szCs w:val="24"/>
              </w:rPr>
              <w:t>III. Juridiskā analīze</w:t>
            </w:r>
            <w:r w:rsidRPr="00832E2F">
              <w:rPr>
                <w:rFonts w:cs="Times New Roman"/>
                <w:noProof/>
                <w:webHidden/>
                <w:sz w:val="24"/>
                <w:szCs w:val="24"/>
              </w:rPr>
              <w:tab/>
            </w:r>
            <w:r w:rsidRPr="00832E2F">
              <w:rPr>
                <w:rFonts w:cs="Times New Roman"/>
                <w:noProof/>
                <w:webHidden/>
                <w:sz w:val="24"/>
                <w:szCs w:val="24"/>
              </w:rPr>
              <w:fldChar w:fldCharType="begin"/>
            </w:r>
            <w:r w:rsidRPr="00832E2F">
              <w:rPr>
                <w:rFonts w:cs="Times New Roman"/>
                <w:noProof/>
                <w:webHidden/>
                <w:sz w:val="24"/>
                <w:szCs w:val="24"/>
              </w:rPr>
              <w:instrText xml:space="preserve"> PAGEREF _Toc32416595 \h </w:instrText>
            </w:r>
            <w:r w:rsidRPr="00832E2F">
              <w:rPr>
                <w:rFonts w:cs="Times New Roman"/>
                <w:noProof/>
                <w:webHidden/>
                <w:sz w:val="24"/>
                <w:szCs w:val="24"/>
              </w:rPr>
            </w:r>
            <w:r w:rsidRPr="00832E2F">
              <w:rPr>
                <w:rFonts w:cs="Times New Roman"/>
                <w:noProof/>
                <w:webHidden/>
                <w:sz w:val="24"/>
                <w:szCs w:val="24"/>
              </w:rPr>
              <w:fldChar w:fldCharType="separate"/>
            </w:r>
            <w:r w:rsidR="00D237A6">
              <w:rPr>
                <w:rFonts w:cs="Times New Roman"/>
                <w:noProof/>
                <w:webHidden/>
                <w:sz w:val="24"/>
                <w:szCs w:val="24"/>
              </w:rPr>
              <w:t>5</w:t>
            </w:r>
            <w:r w:rsidRPr="00832E2F">
              <w:rPr>
                <w:rFonts w:cs="Times New Roman"/>
                <w:noProof/>
                <w:webHidden/>
                <w:sz w:val="24"/>
                <w:szCs w:val="24"/>
              </w:rPr>
              <w:fldChar w:fldCharType="end"/>
            </w:r>
          </w:hyperlink>
        </w:p>
        <w:p w14:paraId="555881B1" w14:textId="6BB8DEA9" w:rsidR="00832E2F" w:rsidRPr="00832E2F" w:rsidRDefault="00832E2F" w:rsidP="00832E2F">
          <w:pPr>
            <w:pStyle w:val="TOC1"/>
            <w:tabs>
              <w:tab w:val="right" w:leader="dot" w:pos="9065"/>
            </w:tabs>
            <w:spacing w:before="0"/>
            <w:ind w:left="284" w:firstLine="0"/>
            <w:jc w:val="both"/>
            <w:rPr>
              <w:rFonts w:eastAsiaTheme="minorEastAsia" w:cs="Times New Roman"/>
              <w:noProof/>
              <w:sz w:val="24"/>
              <w:szCs w:val="24"/>
              <w:lang w:eastAsia="lv-LV"/>
            </w:rPr>
          </w:pPr>
          <w:hyperlink w:anchor="_Toc32416596" w:history="1">
            <w:r w:rsidRPr="00832E2F">
              <w:rPr>
                <w:rStyle w:val="Hyperlink"/>
                <w:rFonts w:cs="Times New Roman"/>
                <w:noProof/>
                <w:color w:val="auto"/>
                <w:sz w:val="24"/>
                <w:szCs w:val="24"/>
              </w:rPr>
              <w:t>A. Par pirmo prejudiciālo jautājumu</w:t>
            </w:r>
            <w:r w:rsidRPr="00832E2F">
              <w:rPr>
                <w:rFonts w:cs="Times New Roman"/>
                <w:noProof/>
                <w:webHidden/>
                <w:sz w:val="24"/>
                <w:szCs w:val="24"/>
              </w:rPr>
              <w:tab/>
            </w:r>
            <w:r w:rsidRPr="00832E2F">
              <w:rPr>
                <w:rFonts w:cs="Times New Roman"/>
                <w:noProof/>
                <w:webHidden/>
                <w:sz w:val="24"/>
                <w:szCs w:val="24"/>
              </w:rPr>
              <w:fldChar w:fldCharType="begin"/>
            </w:r>
            <w:r w:rsidRPr="00832E2F">
              <w:rPr>
                <w:rFonts w:cs="Times New Roman"/>
                <w:noProof/>
                <w:webHidden/>
                <w:sz w:val="24"/>
                <w:szCs w:val="24"/>
              </w:rPr>
              <w:instrText xml:space="preserve"> PAGEREF _Toc32416596 \h </w:instrText>
            </w:r>
            <w:r w:rsidRPr="00832E2F">
              <w:rPr>
                <w:rFonts w:cs="Times New Roman"/>
                <w:noProof/>
                <w:webHidden/>
                <w:sz w:val="24"/>
                <w:szCs w:val="24"/>
              </w:rPr>
            </w:r>
            <w:r w:rsidRPr="00832E2F">
              <w:rPr>
                <w:rFonts w:cs="Times New Roman"/>
                <w:noProof/>
                <w:webHidden/>
                <w:sz w:val="24"/>
                <w:szCs w:val="24"/>
              </w:rPr>
              <w:fldChar w:fldCharType="separate"/>
            </w:r>
            <w:r w:rsidR="00D237A6">
              <w:rPr>
                <w:rFonts w:cs="Times New Roman"/>
                <w:noProof/>
                <w:webHidden/>
                <w:sz w:val="24"/>
                <w:szCs w:val="24"/>
              </w:rPr>
              <w:t>5</w:t>
            </w:r>
            <w:r w:rsidRPr="00832E2F">
              <w:rPr>
                <w:rFonts w:cs="Times New Roman"/>
                <w:noProof/>
                <w:webHidden/>
                <w:sz w:val="24"/>
                <w:szCs w:val="24"/>
              </w:rPr>
              <w:fldChar w:fldCharType="end"/>
            </w:r>
          </w:hyperlink>
        </w:p>
        <w:p w14:paraId="3F74375F" w14:textId="59827EEF" w:rsidR="00832E2F" w:rsidRPr="00832E2F" w:rsidRDefault="00832E2F" w:rsidP="00832E2F">
          <w:pPr>
            <w:pStyle w:val="TOC1"/>
            <w:tabs>
              <w:tab w:val="right" w:leader="dot" w:pos="9065"/>
            </w:tabs>
            <w:spacing w:before="0"/>
            <w:ind w:left="284" w:firstLine="0"/>
            <w:jc w:val="both"/>
            <w:rPr>
              <w:rFonts w:eastAsiaTheme="minorEastAsia" w:cs="Times New Roman"/>
              <w:noProof/>
              <w:sz w:val="24"/>
              <w:szCs w:val="24"/>
              <w:lang w:eastAsia="lv-LV"/>
            </w:rPr>
          </w:pPr>
          <w:hyperlink w:anchor="_Toc32416597" w:history="1">
            <w:r w:rsidRPr="00832E2F">
              <w:rPr>
                <w:rStyle w:val="Hyperlink"/>
                <w:rFonts w:cs="Times New Roman"/>
                <w:noProof/>
                <w:color w:val="auto"/>
                <w:sz w:val="24"/>
                <w:szCs w:val="24"/>
              </w:rPr>
              <w:t>B. Par otro prejudiciālo jautājumu</w:t>
            </w:r>
            <w:r w:rsidRPr="00832E2F">
              <w:rPr>
                <w:rFonts w:cs="Times New Roman"/>
                <w:noProof/>
                <w:webHidden/>
                <w:sz w:val="24"/>
                <w:szCs w:val="24"/>
              </w:rPr>
              <w:tab/>
            </w:r>
            <w:r w:rsidRPr="00832E2F">
              <w:rPr>
                <w:rFonts w:cs="Times New Roman"/>
                <w:noProof/>
                <w:webHidden/>
                <w:sz w:val="24"/>
                <w:szCs w:val="24"/>
              </w:rPr>
              <w:fldChar w:fldCharType="begin"/>
            </w:r>
            <w:r w:rsidRPr="00832E2F">
              <w:rPr>
                <w:rFonts w:cs="Times New Roman"/>
                <w:noProof/>
                <w:webHidden/>
                <w:sz w:val="24"/>
                <w:szCs w:val="24"/>
              </w:rPr>
              <w:instrText xml:space="preserve"> PAGEREF _Toc32416597 \h </w:instrText>
            </w:r>
            <w:r w:rsidRPr="00832E2F">
              <w:rPr>
                <w:rFonts w:cs="Times New Roman"/>
                <w:noProof/>
                <w:webHidden/>
                <w:sz w:val="24"/>
                <w:szCs w:val="24"/>
              </w:rPr>
            </w:r>
            <w:r w:rsidRPr="00832E2F">
              <w:rPr>
                <w:rFonts w:cs="Times New Roman"/>
                <w:noProof/>
                <w:webHidden/>
                <w:sz w:val="24"/>
                <w:szCs w:val="24"/>
              </w:rPr>
              <w:fldChar w:fldCharType="separate"/>
            </w:r>
            <w:r w:rsidR="00D237A6">
              <w:rPr>
                <w:rFonts w:cs="Times New Roman"/>
                <w:noProof/>
                <w:webHidden/>
                <w:sz w:val="24"/>
                <w:szCs w:val="24"/>
              </w:rPr>
              <w:t>6</w:t>
            </w:r>
            <w:r w:rsidRPr="00832E2F">
              <w:rPr>
                <w:rFonts w:cs="Times New Roman"/>
                <w:noProof/>
                <w:webHidden/>
                <w:sz w:val="24"/>
                <w:szCs w:val="24"/>
              </w:rPr>
              <w:fldChar w:fldCharType="end"/>
            </w:r>
          </w:hyperlink>
        </w:p>
        <w:p w14:paraId="687D09B5" w14:textId="556B5CDA" w:rsidR="00832E2F" w:rsidRPr="00832E2F" w:rsidRDefault="00832E2F" w:rsidP="00832E2F">
          <w:pPr>
            <w:pStyle w:val="TOC1"/>
            <w:tabs>
              <w:tab w:val="right" w:leader="dot" w:pos="9065"/>
            </w:tabs>
            <w:spacing w:before="0"/>
            <w:ind w:left="284" w:firstLine="0"/>
            <w:jc w:val="both"/>
            <w:rPr>
              <w:rFonts w:eastAsiaTheme="minorEastAsia" w:cs="Times New Roman"/>
              <w:noProof/>
              <w:sz w:val="24"/>
              <w:szCs w:val="24"/>
              <w:lang w:eastAsia="lv-LV"/>
            </w:rPr>
          </w:pPr>
          <w:hyperlink w:anchor="_Toc32416598" w:history="1">
            <w:r w:rsidRPr="00832E2F">
              <w:rPr>
                <w:rStyle w:val="Hyperlink"/>
                <w:rFonts w:cs="Times New Roman"/>
                <w:noProof/>
                <w:color w:val="auto"/>
                <w:sz w:val="24"/>
                <w:szCs w:val="24"/>
              </w:rPr>
              <w:t>C. Par trešo prejudiciālo jautājumu</w:t>
            </w:r>
            <w:r w:rsidRPr="00832E2F">
              <w:rPr>
                <w:rFonts w:cs="Times New Roman"/>
                <w:noProof/>
                <w:webHidden/>
                <w:sz w:val="24"/>
                <w:szCs w:val="24"/>
              </w:rPr>
              <w:tab/>
            </w:r>
            <w:r w:rsidRPr="00832E2F">
              <w:rPr>
                <w:rFonts w:cs="Times New Roman"/>
                <w:noProof/>
                <w:webHidden/>
                <w:sz w:val="24"/>
                <w:szCs w:val="24"/>
              </w:rPr>
              <w:fldChar w:fldCharType="begin"/>
            </w:r>
            <w:r w:rsidRPr="00832E2F">
              <w:rPr>
                <w:rFonts w:cs="Times New Roman"/>
                <w:noProof/>
                <w:webHidden/>
                <w:sz w:val="24"/>
                <w:szCs w:val="24"/>
              </w:rPr>
              <w:instrText xml:space="preserve"> PAGEREF _Toc32416598 \h </w:instrText>
            </w:r>
            <w:r w:rsidRPr="00832E2F">
              <w:rPr>
                <w:rFonts w:cs="Times New Roman"/>
                <w:noProof/>
                <w:webHidden/>
                <w:sz w:val="24"/>
                <w:szCs w:val="24"/>
              </w:rPr>
            </w:r>
            <w:r w:rsidRPr="00832E2F">
              <w:rPr>
                <w:rFonts w:cs="Times New Roman"/>
                <w:noProof/>
                <w:webHidden/>
                <w:sz w:val="24"/>
                <w:szCs w:val="24"/>
              </w:rPr>
              <w:fldChar w:fldCharType="separate"/>
            </w:r>
            <w:r w:rsidR="00D237A6">
              <w:rPr>
                <w:rFonts w:cs="Times New Roman"/>
                <w:noProof/>
                <w:webHidden/>
                <w:sz w:val="24"/>
                <w:szCs w:val="24"/>
              </w:rPr>
              <w:t>9</w:t>
            </w:r>
            <w:r w:rsidRPr="00832E2F">
              <w:rPr>
                <w:rFonts w:cs="Times New Roman"/>
                <w:noProof/>
                <w:webHidden/>
                <w:sz w:val="24"/>
                <w:szCs w:val="24"/>
              </w:rPr>
              <w:fldChar w:fldCharType="end"/>
            </w:r>
          </w:hyperlink>
        </w:p>
        <w:p w14:paraId="1FEA4890" w14:textId="3589AC90" w:rsidR="00832E2F" w:rsidRPr="00832E2F" w:rsidRDefault="00832E2F" w:rsidP="00832E2F">
          <w:pPr>
            <w:pStyle w:val="TOC1"/>
            <w:tabs>
              <w:tab w:val="right" w:leader="dot" w:pos="9065"/>
            </w:tabs>
            <w:spacing w:before="0"/>
            <w:ind w:left="0" w:firstLine="0"/>
            <w:jc w:val="both"/>
            <w:rPr>
              <w:rFonts w:eastAsiaTheme="minorEastAsia" w:cs="Times New Roman"/>
              <w:noProof/>
              <w:sz w:val="24"/>
              <w:szCs w:val="24"/>
              <w:lang w:eastAsia="lv-LV"/>
            </w:rPr>
          </w:pPr>
          <w:hyperlink w:anchor="_Toc32416599" w:history="1">
            <w:r w:rsidRPr="00832E2F">
              <w:rPr>
                <w:rStyle w:val="Hyperlink"/>
                <w:rFonts w:cs="Times New Roman"/>
                <w:noProof/>
                <w:color w:val="auto"/>
                <w:sz w:val="24"/>
                <w:szCs w:val="24"/>
              </w:rPr>
              <w:t>IV. Secinājumi</w:t>
            </w:r>
            <w:r w:rsidRPr="00832E2F">
              <w:rPr>
                <w:rFonts w:cs="Times New Roman"/>
                <w:noProof/>
                <w:webHidden/>
                <w:sz w:val="24"/>
                <w:szCs w:val="24"/>
              </w:rPr>
              <w:tab/>
            </w:r>
            <w:r w:rsidRPr="00832E2F">
              <w:rPr>
                <w:rFonts w:cs="Times New Roman"/>
                <w:noProof/>
                <w:webHidden/>
                <w:sz w:val="24"/>
                <w:szCs w:val="24"/>
              </w:rPr>
              <w:fldChar w:fldCharType="begin"/>
            </w:r>
            <w:r w:rsidRPr="00832E2F">
              <w:rPr>
                <w:rFonts w:cs="Times New Roman"/>
                <w:noProof/>
                <w:webHidden/>
                <w:sz w:val="24"/>
                <w:szCs w:val="24"/>
              </w:rPr>
              <w:instrText xml:space="preserve"> PAGEREF _Toc32416599 \h </w:instrText>
            </w:r>
            <w:r w:rsidRPr="00832E2F">
              <w:rPr>
                <w:rFonts w:cs="Times New Roman"/>
                <w:noProof/>
                <w:webHidden/>
                <w:sz w:val="24"/>
                <w:szCs w:val="24"/>
              </w:rPr>
            </w:r>
            <w:r w:rsidRPr="00832E2F">
              <w:rPr>
                <w:rFonts w:cs="Times New Roman"/>
                <w:noProof/>
                <w:webHidden/>
                <w:sz w:val="24"/>
                <w:szCs w:val="24"/>
              </w:rPr>
              <w:fldChar w:fldCharType="separate"/>
            </w:r>
            <w:r w:rsidR="00D237A6">
              <w:rPr>
                <w:rFonts w:cs="Times New Roman"/>
                <w:noProof/>
                <w:webHidden/>
                <w:sz w:val="24"/>
                <w:szCs w:val="24"/>
              </w:rPr>
              <w:t>10</w:t>
            </w:r>
            <w:r w:rsidRPr="00832E2F">
              <w:rPr>
                <w:rFonts w:cs="Times New Roman"/>
                <w:noProof/>
                <w:webHidden/>
                <w:sz w:val="24"/>
                <w:szCs w:val="24"/>
              </w:rPr>
              <w:fldChar w:fldCharType="end"/>
            </w:r>
          </w:hyperlink>
        </w:p>
        <w:p w14:paraId="398F12F1" w14:textId="593D9923" w:rsidR="00832E2F" w:rsidRPr="00832E2F" w:rsidRDefault="00832E2F" w:rsidP="00832E2F">
          <w:pPr>
            <w:jc w:val="both"/>
            <w:rPr>
              <w:rFonts w:ascii="Times New Roman" w:hAnsi="Times New Roman" w:cs="Times New Roman"/>
              <w:sz w:val="24"/>
              <w:szCs w:val="24"/>
            </w:rPr>
          </w:pPr>
          <w:r w:rsidRPr="00832E2F">
            <w:rPr>
              <w:rFonts w:ascii="Times New Roman" w:hAnsi="Times New Roman" w:cs="Times New Roman"/>
              <w:b/>
              <w:bCs/>
              <w:noProof/>
              <w:sz w:val="24"/>
              <w:szCs w:val="24"/>
            </w:rPr>
            <w:fldChar w:fldCharType="end"/>
          </w:r>
        </w:p>
      </w:sdtContent>
    </w:sdt>
    <w:p w14:paraId="3BFBA623" w14:textId="77777777" w:rsidR="00E62C1C" w:rsidRPr="00E62C1C" w:rsidRDefault="00E62C1C" w:rsidP="00E62C1C">
      <w:pPr>
        <w:widowControl/>
        <w:jc w:val="both"/>
        <w:rPr>
          <w:rFonts w:ascii="Times New Roman" w:eastAsia="Times New Roman" w:hAnsi="Times New Roman" w:cs="Times New Roman"/>
          <w:noProof/>
          <w:sz w:val="24"/>
          <w:szCs w:val="31"/>
        </w:rPr>
      </w:pPr>
      <w:bookmarkStart w:id="7" w:name="_GoBack"/>
      <w:bookmarkEnd w:id="7"/>
    </w:p>
    <w:p w14:paraId="40216C53" w14:textId="77777777" w:rsidR="00E62C1C" w:rsidRPr="00E62C1C" w:rsidRDefault="00E62C1C" w:rsidP="00E62C1C">
      <w:pPr>
        <w:widowControl/>
        <w:jc w:val="both"/>
        <w:rPr>
          <w:rFonts w:ascii="Times New Roman" w:hAnsi="Times New Roman" w:cs="Times New Roman"/>
          <w:b/>
          <w:noProof/>
          <w:sz w:val="24"/>
        </w:rPr>
      </w:pPr>
      <w:r>
        <w:rPr>
          <w:rFonts w:ascii="Times New Roman" w:hAnsi="Times New Roman"/>
          <w:b/>
          <w:sz w:val="24"/>
          <w:highlight w:val="lightGray"/>
        </w:rPr>
        <w:t>[oriģ. 3. lpp.]</w:t>
      </w:r>
    </w:p>
    <w:p w14:paraId="5D457D4C" w14:textId="77777777" w:rsidR="00E62C1C" w:rsidRDefault="00E62C1C" w:rsidP="00E62C1C">
      <w:pPr>
        <w:widowControl/>
        <w:jc w:val="both"/>
        <w:rPr>
          <w:rFonts w:ascii="Times New Roman" w:eastAsia="Times New Roman" w:hAnsi="Times New Roman" w:cs="Times New Roman"/>
          <w:b/>
          <w:bCs/>
          <w:noProof/>
          <w:sz w:val="24"/>
          <w:szCs w:val="24"/>
        </w:rPr>
      </w:pPr>
    </w:p>
    <w:p w14:paraId="4DE4C1F2" w14:textId="77777777" w:rsidR="00611F84" w:rsidRPr="00E62C1C" w:rsidRDefault="00611F84" w:rsidP="00E62C1C">
      <w:pPr>
        <w:widowControl/>
        <w:jc w:val="both"/>
        <w:rPr>
          <w:rFonts w:ascii="Times New Roman" w:eastAsia="Times New Roman" w:hAnsi="Times New Roman" w:cs="Times New Roman"/>
          <w:b/>
          <w:bCs/>
          <w:noProof/>
          <w:sz w:val="24"/>
          <w:szCs w:val="24"/>
        </w:rPr>
      </w:pPr>
    </w:p>
    <w:p w14:paraId="5BF14BFC" w14:textId="77777777" w:rsidR="00E62C1C" w:rsidRPr="00E62C1C" w:rsidRDefault="00F53780" w:rsidP="00F53780">
      <w:pPr>
        <w:pStyle w:val="Heading1"/>
        <w:widowControl/>
        <w:tabs>
          <w:tab w:val="left" w:pos="1218"/>
        </w:tabs>
        <w:ind w:left="0"/>
        <w:jc w:val="both"/>
        <w:rPr>
          <w:rFonts w:cs="Times New Roman"/>
          <w:noProof/>
          <w:sz w:val="24"/>
        </w:rPr>
      </w:pPr>
      <w:bookmarkStart w:id="8" w:name="_Toc32416590"/>
      <w:r>
        <w:rPr>
          <w:sz w:val="24"/>
        </w:rPr>
        <w:t>I. Faktiskie apstākļi un prejudiciālie jautājumi</w:t>
      </w:r>
      <w:bookmarkStart w:id="9" w:name="_bookmark0"/>
      <w:bookmarkEnd w:id="9"/>
      <w:bookmarkEnd w:id="8"/>
    </w:p>
    <w:p w14:paraId="52FCF20A" w14:textId="77777777" w:rsidR="00E62C1C" w:rsidRPr="00E62C1C" w:rsidRDefault="00E62C1C" w:rsidP="00E62C1C">
      <w:pPr>
        <w:widowControl/>
        <w:jc w:val="both"/>
        <w:rPr>
          <w:rFonts w:ascii="Times New Roman" w:eastAsia="Times New Roman" w:hAnsi="Times New Roman" w:cs="Times New Roman"/>
          <w:b/>
          <w:bCs/>
          <w:noProof/>
          <w:sz w:val="24"/>
          <w:szCs w:val="20"/>
        </w:rPr>
      </w:pPr>
    </w:p>
    <w:p w14:paraId="4CDE4E43" w14:textId="77777777" w:rsidR="00E62C1C" w:rsidRPr="00E62C1C" w:rsidRDefault="00F53780" w:rsidP="00F53780">
      <w:pPr>
        <w:pStyle w:val="BodyText"/>
        <w:widowControl/>
        <w:tabs>
          <w:tab w:val="left" w:pos="651"/>
        </w:tabs>
        <w:ind w:left="0" w:firstLine="0"/>
        <w:jc w:val="both"/>
        <w:rPr>
          <w:rFonts w:cs="Times New Roman"/>
          <w:noProof/>
          <w:sz w:val="24"/>
        </w:rPr>
      </w:pPr>
      <w:r>
        <w:rPr>
          <w:sz w:val="24"/>
        </w:rPr>
        <w:t>1. Attiecībā uz faktiskajiem apstākļiem un prejudiciālajiem jautājumiem mēs atsaucamies uz lūgumu sniegt prejudiciālu nolēmumu.</w:t>
      </w:r>
    </w:p>
    <w:p w14:paraId="076D3802" w14:textId="77777777" w:rsidR="00E62C1C" w:rsidRPr="00E62C1C" w:rsidRDefault="00E62C1C" w:rsidP="00E62C1C">
      <w:pPr>
        <w:widowControl/>
        <w:jc w:val="both"/>
        <w:rPr>
          <w:rFonts w:ascii="Times New Roman" w:eastAsia="Times New Roman" w:hAnsi="Times New Roman" w:cs="Times New Roman"/>
          <w:noProof/>
          <w:sz w:val="24"/>
          <w:szCs w:val="24"/>
        </w:rPr>
      </w:pPr>
    </w:p>
    <w:p w14:paraId="040A6C23" w14:textId="77777777" w:rsidR="00E62C1C" w:rsidRPr="00E62C1C" w:rsidRDefault="00F53780" w:rsidP="00F53780">
      <w:pPr>
        <w:pStyle w:val="Heading1"/>
        <w:widowControl/>
        <w:tabs>
          <w:tab w:val="left" w:pos="1218"/>
        </w:tabs>
        <w:ind w:left="0"/>
        <w:jc w:val="both"/>
        <w:rPr>
          <w:rFonts w:cs="Times New Roman"/>
          <w:noProof/>
          <w:sz w:val="24"/>
        </w:rPr>
      </w:pPr>
      <w:bookmarkStart w:id="10" w:name="_Toc32416591"/>
      <w:r>
        <w:rPr>
          <w:sz w:val="24"/>
        </w:rPr>
        <w:t>II. Piemērojamās tiesību normas</w:t>
      </w:r>
      <w:bookmarkStart w:id="11" w:name="_bookmark1"/>
      <w:bookmarkEnd w:id="11"/>
      <w:bookmarkEnd w:id="10"/>
    </w:p>
    <w:p w14:paraId="1EE3322A" w14:textId="77777777" w:rsidR="00E62C1C" w:rsidRPr="00E62C1C" w:rsidRDefault="00E62C1C" w:rsidP="00E62C1C">
      <w:pPr>
        <w:widowControl/>
        <w:jc w:val="both"/>
        <w:rPr>
          <w:rFonts w:ascii="Times New Roman" w:eastAsia="Times New Roman" w:hAnsi="Times New Roman" w:cs="Times New Roman"/>
          <w:b/>
          <w:bCs/>
          <w:noProof/>
          <w:sz w:val="24"/>
          <w:szCs w:val="31"/>
        </w:rPr>
      </w:pPr>
    </w:p>
    <w:p w14:paraId="0D08389F" w14:textId="77777777" w:rsidR="00E62C1C" w:rsidRPr="00E62C1C" w:rsidRDefault="00F53780" w:rsidP="00F53780">
      <w:pPr>
        <w:pStyle w:val="Heading1"/>
        <w:widowControl/>
        <w:tabs>
          <w:tab w:val="left" w:pos="1218"/>
        </w:tabs>
        <w:ind w:left="0"/>
        <w:jc w:val="both"/>
        <w:rPr>
          <w:rFonts w:cs="Times New Roman"/>
          <w:noProof/>
          <w:sz w:val="24"/>
        </w:rPr>
      </w:pPr>
      <w:bookmarkStart w:id="12" w:name="_Toc32416592"/>
      <w:r>
        <w:rPr>
          <w:sz w:val="24"/>
        </w:rPr>
        <w:t>A. Savienības tiesības</w:t>
      </w:r>
      <w:bookmarkStart w:id="13" w:name="_bookmark2"/>
      <w:bookmarkEnd w:id="13"/>
      <w:bookmarkEnd w:id="12"/>
    </w:p>
    <w:p w14:paraId="0F70EA8E" w14:textId="77777777" w:rsidR="00E62C1C" w:rsidRPr="00E62C1C" w:rsidRDefault="00E62C1C" w:rsidP="00E62C1C">
      <w:pPr>
        <w:widowControl/>
        <w:jc w:val="both"/>
        <w:rPr>
          <w:rFonts w:ascii="Times New Roman" w:eastAsia="Times New Roman" w:hAnsi="Times New Roman" w:cs="Times New Roman"/>
          <w:b/>
          <w:bCs/>
          <w:noProof/>
          <w:sz w:val="24"/>
          <w:szCs w:val="20"/>
        </w:rPr>
      </w:pPr>
    </w:p>
    <w:p w14:paraId="79E3054D" w14:textId="77777777" w:rsidR="00E62C1C" w:rsidRPr="00E62C1C" w:rsidRDefault="00F53780" w:rsidP="00F53780">
      <w:pPr>
        <w:pStyle w:val="BodyText"/>
        <w:widowControl/>
        <w:tabs>
          <w:tab w:val="left" w:pos="651"/>
        </w:tabs>
        <w:ind w:left="0" w:firstLine="0"/>
        <w:jc w:val="both"/>
        <w:rPr>
          <w:rFonts w:cs="Times New Roman"/>
          <w:noProof/>
          <w:sz w:val="24"/>
        </w:rPr>
      </w:pPr>
      <w:r>
        <w:rPr>
          <w:sz w:val="24"/>
        </w:rPr>
        <w:lastRenderedPageBreak/>
        <w:t>2. Attiecībā uz Savienības tiesībām mēs atsaucamies uz lūgumu sniegt prejudiciālu nolēmumu un pievienojam turpmāko informāciju.</w:t>
      </w:r>
    </w:p>
    <w:p w14:paraId="154F5243" w14:textId="77777777" w:rsidR="00E62C1C" w:rsidRPr="00E62C1C" w:rsidRDefault="00E62C1C" w:rsidP="00E62C1C">
      <w:pPr>
        <w:widowControl/>
        <w:jc w:val="both"/>
        <w:rPr>
          <w:rFonts w:ascii="Times New Roman" w:eastAsia="Times New Roman" w:hAnsi="Times New Roman" w:cs="Times New Roman"/>
          <w:noProof/>
          <w:sz w:val="24"/>
          <w:szCs w:val="21"/>
        </w:rPr>
      </w:pPr>
    </w:p>
    <w:p w14:paraId="1F138E69" w14:textId="77777777" w:rsidR="00E62C1C" w:rsidRPr="00E62C1C" w:rsidRDefault="00E62C1C" w:rsidP="00E62C1C">
      <w:pPr>
        <w:pStyle w:val="Heading1"/>
        <w:widowControl/>
        <w:ind w:left="0"/>
        <w:jc w:val="both"/>
        <w:rPr>
          <w:rFonts w:cs="Times New Roman"/>
          <w:noProof/>
          <w:sz w:val="24"/>
        </w:rPr>
      </w:pPr>
      <w:bookmarkStart w:id="14" w:name="_Toc32416593"/>
      <w:r>
        <w:rPr>
          <w:sz w:val="24"/>
        </w:rPr>
        <w:t>Padomes 2002. gada 13. jūnija Pamatlēmums 2002/584/TI par Eiropas apcietināšanas orderi un par nodošanas procedūrām starp dalībvalstīm</w:t>
      </w:r>
      <w:r w:rsidR="00F53780">
        <w:rPr>
          <w:rStyle w:val="FootnoteReference"/>
          <w:rFonts w:cs="Times New Roman"/>
          <w:noProof/>
          <w:sz w:val="24"/>
        </w:rPr>
        <w:footnoteReference w:id="6"/>
      </w:r>
      <w:bookmarkEnd w:id="14"/>
    </w:p>
    <w:p w14:paraId="4C4B2337" w14:textId="77777777" w:rsidR="00F53780" w:rsidRDefault="00F53780" w:rsidP="00F53780">
      <w:pPr>
        <w:pStyle w:val="BodyText"/>
        <w:widowControl/>
        <w:tabs>
          <w:tab w:val="left" w:pos="651"/>
        </w:tabs>
        <w:ind w:left="0" w:firstLine="0"/>
        <w:jc w:val="both"/>
        <w:rPr>
          <w:rFonts w:cs="Times New Roman"/>
          <w:noProof/>
          <w:sz w:val="24"/>
        </w:rPr>
      </w:pPr>
    </w:p>
    <w:p w14:paraId="7992E359" w14:textId="77777777" w:rsidR="00E62C1C" w:rsidRPr="00E62C1C" w:rsidRDefault="00F53780" w:rsidP="00F53780">
      <w:pPr>
        <w:pStyle w:val="BodyText"/>
        <w:widowControl/>
        <w:tabs>
          <w:tab w:val="left" w:pos="651"/>
        </w:tabs>
        <w:ind w:left="0" w:firstLine="0"/>
        <w:jc w:val="both"/>
        <w:rPr>
          <w:rFonts w:cs="Times New Roman"/>
          <w:noProof/>
          <w:sz w:val="24"/>
        </w:rPr>
      </w:pPr>
      <w:r>
        <w:rPr>
          <w:sz w:val="24"/>
        </w:rPr>
        <w:t>3. Pamatlēmuma 2002/584 1. pants</w:t>
      </w:r>
    </w:p>
    <w:p w14:paraId="1328BC87" w14:textId="77777777" w:rsidR="00E62C1C" w:rsidRPr="00E62C1C" w:rsidRDefault="00E62C1C" w:rsidP="00E62C1C">
      <w:pPr>
        <w:widowControl/>
        <w:jc w:val="both"/>
        <w:rPr>
          <w:rFonts w:ascii="Times New Roman" w:eastAsia="Times New Roman" w:hAnsi="Times New Roman" w:cs="Times New Roman"/>
          <w:noProof/>
          <w:sz w:val="24"/>
          <w:szCs w:val="20"/>
        </w:rPr>
      </w:pPr>
    </w:p>
    <w:p w14:paraId="1CD54FCD" w14:textId="77777777" w:rsidR="00E62C1C" w:rsidRPr="00E62C1C" w:rsidRDefault="00E62C1C" w:rsidP="00E62C1C">
      <w:pPr>
        <w:pStyle w:val="BodyText"/>
        <w:widowControl/>
        <w:ind w:left="0" w:firstLine="0"/>
        <w:jc w:val="both"/>
        <w:rPr>
          <w:rFonts w:cs="Times New Roman"/>
          <w:noProof/>
          <w:sz w:val="24"/>
        </w:rPr>
      </w:pPr>
      <w:r>
        <w:rPr>
          <w:sz w:val="24"/>
        </w:rPr>
        <w:t>“Eiropas apcietināšanas ordera definīcija un pienākums to izpildīt</w:t>
      </w:r>
    </w:p>
    <w:p w14:paraId="3E632D43" w14:textId="77777777" w:rsidR="00E62C1C" w:rsidRPr="00E62C1C" w:rsidRDefault="00E62C1C" w:rsidP="00E62C1C">
      <w:pPr>
        <w:widowControl/>
        <w:jc w:val="both"/>
        <w:rPr>
          <w:rFonts w:ascii="Times New Roman" w:eastAsia="Times New Roman" w:hAnsi="Times New Roman" w:cs="Times New Roman"/>
          <w:noProof/>
          <w:sz w:val="24"/>
          <w:szCs w:val="24"/>
        </w:rPr>
      </w:pPr>
    </w:p>
    <w:p w14:paraId="7DCC293F" w14:textId="77777777" w:rsidR="00E62C1C" w:rsidRPr="00E62C1C" w:rsidRDefault="00F53780" w:rsidP="00F53780">
      <w:pPr>
        <w:pStyle w:val="BodyText"/>
        <w:widowControl/>
        <w:tabs>
          <w:tab w:val="left" w:pos="968"/>
        </w:tabs>
        <w:ind w:left="0" w:firstLine="0"/>
        <w:jc w:val="both"/>
        <w:rPr>
          <w:rFonts w:cs="Times New Roman"/>
          <w:noProof/>
          <w:sz w:val="24"/>
        </w:rPr>
      </w:pPr>
      <w:r>
        <w:rPr>
          <w:sz w:val="24"/>
        </w:rPr>
        <w:t>1. Eiropas apcietināšanas orderis ir tiesas nolēmums, ko izsniedz dalībvalsts, lai cita dalībvalsts apcietinātu un nodotu pieprasīto personu kriminālvajāšanas veikšanai vai lai izpildītu brīvības atņemšanas sodu, vai arī lai piemērotu ar brīvības atņemšanu saistītu drošības līdzekli.</w:t>
      </w:r>
    </w:p>
    <w:p w14:paraId="1C5741C9" w14:textId="77777777" w:rsidR="00E62C1C" w:rsidRPr="00E62C1C" w:rsidRDefault="00E62C1C" w:rsidP="00F53780">
      <w:pPr>
        <w:widowControl/>
        <w:jc w:val="both"/>
        <w:rPr>
          <w:rFonts w:ascii="Times New Roman" w:eastAsia="Times New Roman" w:hAnsi="Times New Roman" w:cs="Times New Roman"/>
          <w:noProof/>
          <w:sz w:val="24"/>
          <w:szCs w:val="20"/>
        </w:rPr>
      </w:pPr>
    </w:p>
    <w:p w14:paraId="5A838513" w14:textId="77777777" w:rsidR="00E62C1C" w:rsidRPr="00E62C1C" w:rsidRDefault="00F53780" w:rsidP="00F53780">
      <w:pPr>
        <w:pStyle w:val="BodyText"/>
        <w:widowControl/>
        <w:tabs>
          <w:tab w:val="left" w:pos="958"/>
        </w:tabs>
        <w:ind w:left="0" w:firstLine="0"/>
        <w:jc w:val="both"/>
        <w:rPr>
          <w:rFonts w:cs="Times New Roman"/>
          <w:noProof/>
          <w:sz w:val="24"/>
        </w:rPr>
      </w:pPr>
      <w:r>
        <w:rPr>
          <w:sz w:val="24"/>
        </w:rPr>
        <w:t>2. Dalībvalstis izpilda ikvienu Eiropas apcietināšanas orderi, pamatojoties uz savstarpējas atzīšanas principu un saskaņā ar šī pamatlēmuma noteikumiem. (..)”</w:t>
      </w:r>
    </w:p>
    <w:p w14:paraId="02950791" w14:textId="2C6F2641" w:rsidR="00D237A6" w:rsidRDefault="00D237A6">
      <w:pPr>
        <w:rPr>
          <w:rFonts w:ascii="Times New Roman" w:eastAsia="Times New Roman" w:hAnsi="Times New Roman" w:cs="Times New Roman"/>
          <w:noProof/>
          <w:sz w:val="24"/>
          <w:szCs w:val="31"/>
        </w:rPr>
      </w:pPr>
      <w:r>
        <w:rPr>
          <w:rFonts w:ascii="Times New Roman" w:eastAsia="Times New Roman" w:hAnsi="Times New Roman" w:cs="Times New Roman"/>
          <w:noProof/>
          <w:sz w:val="24"/>
          <w:szCs w:val="31"/>
        </w:rPr>
        <w:br w:type="page"/>
      </w:r>
    </w:p>
    <w:p w14:paraId="3F1B4D07" w14:textId="77777777" w:rsidR="00E62C1C" w:rsidRPr="00E62C1C" w:rsidRDefault="00E62C1C" w:rsidP="00E62C1C">
      <w:pPr>
        <w:widowControl/>
        <w:jc w:val="both"/>
        <w:rPr>
          <w:rFonts w:ascii="Times New Roman" w:eastAsia="Times New Roman" w:hAnsi="Times New Roman" w:cs="Times New Roman"/>
          <w:noProof/>
          <w:sz w:val="24"/>
          <w:szCs w:val="31"/>
        </w:rPr>
      </w:pPr>
    </w:p>
    <w:p w14:paraId="2A4FFB1A" w14:textId="77777777" w:rsidR="00E62C1C" w:rsidRPr="00E62C1C" w:rsidRDefault="00F53780" w:rsidP="00F53780">
      <w:pPr>
        <w:pStyle w:val="Heading1"/>
        <w:widowControl/>
        <w:tabs>
          <w:tab w:val="left" w:pos="1218"/>
        </w:tabs>
        <w:ind w:left="0"/>
        <w:jc w:val="both"/>
        <w:rPr>
          <w:rFonts w:cs="Times New Roman"/>
          <w:noProof/>
          <w:sz w:val="24"/>
        </w:rPr>
      </w:pPr>
      <w:bookmarkStart w:id="15" w:name="_Toc32416594"/>
      <w:r>
        <w:rPr>
          <w:sz w:val="24"/>
        </w:rPr>
        <w:t>B. Valsts tiesību akti</w:t>
      </w:r>
      <w:bookmarkStart w:id="16" w:name="_bookmark3"/>
      <w:bookmarkEnd w:id="16"/>
      <w:bookmarkEnd w:id="15"/>
    </w:p>
    <w:p w14:paraId="5960DB7A" w14:textId="77777777" w:rsidR="00E62C1C" w:rsidRPr="00E62C1C" w:rsidRDefault="00E62C1C" w:rsidP="00E62C1C">
      <w:pPr>
        <w:widowControl/>
        <w:jc w:val="both"/>
        <w:rPr>
          <w:rFonts w:ascii="Times New Roman" w:eastAsia="Times New Roman" w:hAnsi="Times New Roman" w:cs="Times New Roman"/>
          <w:b/>
          <w:bCs/>
          <w:noProof/>
          <w:sz w:val="24"/>
          <w:szCs w:val="20"/>
        </w:rPr>
      </w:pPr>
    </w:p>
    <w:p w14:paraId="73D0CFA7" w14:textId="77777777" w:rsidR="00E62C1C" w:rsidRPr="00E62C1C" w:rsidRDefault="00F53780" w:rsidP="00F53780">
      <w:pPr>
        <w:pStyle w:val="BodyText"/>
        <w:widowControl/>
        <w:tabs>
          <w:tab w:val="left" w:pos="651"/>
        </w:tabs>
        <w:ind w:left="0" w:firstLine="0"/>
        <w:jc w:val="both"/>
        <w:rPr>
          <w:rFonts w:cs="Times New Roman"/>
          <w:noProof/>
          <w:sz w:val="24"/>
        </w:rPr>
      </w:pPr>
      <w:r>
        <w:rPr>
          <w:sz w:val="24"/>
        </w:rPr>
        <w:t>4. Attiecībā uz valsts tiesību aktiem mēs atsaucamies uz lūgumu sniegt prejudiciālu nolēmumu un pievienojam turpmāko informāciju.</w:t>
      </w:r>
    </w:p>
    <w:p w14:paraId="2CBB2EEF" w14:textId="77777777" w:rsidR="00E62C1C" w:rsidRPr="00E62C1C" w:rsidRDefault="00E62C1C" w:rsidP="00E62C1C">
      <w:pPr>
        <w:widowControl/>
        <w:jc w:val="both"/>
        <w:rPr>
          <w:rFonts w:ascii="Times New Roman" w:eastAsia="Times New Roman" w:hAnsi="Times New Roman" w:cs="Times New Roman"/>
          <w:noProof/>
          <w:sz w:val="24"/>
          <w:szCs w:val="20"/>
        </w:rPr>
      </w:pPr>
    </w:p>
    <w:p w14:paraId="240444A4" w14:textId="77777777" w:rsidR="00E62C1C" w:rsidRPr="00F53780" w:rsidRDefault="00E62C1C" w:rsidP="00F53780">
      <w:pPr>
        <w:widowControl/>
        <w:jc w:val="both"/>
        <w:rPr>
          <w:rFonts w:ascii="Times New Roman" w:hAnsi="Times New Roman" w:cs="Times New Roman"/>
          <w:noProof/>
          <w:sz w:val="24"/>
          <w:szCs w:val="24"/>
        </w:rPr>
      </w:pPr>
      <w:r>
        <w:rPr>
          <w:rFonts w:ascii="Times New Roman" w:hAnsi="Times New Roman"/>
          <w:b/>
          <w:i/>
          <w:iCs/>
          <w:sz w:val="24"/>
          <w:szCs w:val="24"/>
        </w:rPr>
        <w:t>Legea nr. 286 din 17 iulie 2009 privind Codul Penal</w:t>
      </w:r>
      <w:r>
        <w:rPr>
          <w:rFonts w:ascii="Times New Roman" w:hAnsi="Times New Roman"/>
          <w:b/>
          <w:sz w:val="24"/>
          <w:szCs w:val="24"/>
        </w:rPr>
        <w:t xml:space="preserve"> </w:t>
      </w:r>
      <w:r>
        <w:rPr>
          <w:rFonts w:ascii="Times New Roman" w:hAnsi="Times New Roman"/>
          <w:sz w:val="24"/>
          <w:szCs w:val="24"/>
        </w:rPr>
        <w:t>(2009. gada 17. jūlija Likums Nr. 286, kurā ietverts Rumānijas Kriminālkodekss)</w:t>
      </w:r>
      <w:r w:rsidR="007738C4">
        <w:rPr>
          <w:rStyle w:val="FootnoteReference"/>
          <w:rFonts w:ascii="Times New Roman" w:hAnsi="Times New Roman" w:cs="Times New Roman"/>
          <w:noProof/>
          <w:sz w:val="24"/>
          <w:szCs w:val="24"/>
        </w:rPr>
        <w:footnoteReference w:id="7"/>
      </w:r>
    </w:p>
    <w:p w14:paraId="52CA1BCC" w14:textId="77777777" w:rsidR="00E62C1C" w:rsidRPr="00E62C1C" w:rsidRDefault="00E62C1C" w:rsidP="00E62C1C">
      <w:pPr>
        <w:widowControl/>
        <w:jc w:val="both"/>
        <w:rPr>
          <w:rFonts w:ascii="Times New Roman" w:eastAsia="Times New Roman" w:hAnsi="Times New Roman" w:cs="Times New Roman"/>
          <w:noProof/>
          <w:sz w:val="24"/>
          <w:szCs w:val="20"/>
        </w:rPr>
      </w:pPr>
    </w:p>
    <w:p w14:paraId="2E99413E" w14:textId="77777777" w:rsidR="00E62C1C" w:rsidRPr="00E62C1C" w:rsidRDefault="00F53780" w:rsidP="00F53780">
      <w:pPr>
        <w:pStyle w:val="BodyText"/>
        <w:widowControl/>
        <w:tabs>
          <w:tab w:val="left" w:pos="651"/>
        </w:tabs>
        <w:ind w:left="0" w:firstLine="0"/>
        <w:jc w:val="both"/>
        <w:rPr>
          <w:rFonts w:cs="Times New Roman"/>
          <w:noProof/>
          <w:sz w:val="24"/>
        </w:rPr>
      </w:pPr>
      <w:r>
        <w:rPr>
          <w:sz w:val="24"/>
        </w:rPr>
        <w:t>5. 8. panta “Krimināllikuma teritoriālā piemērošana” 1. punkts</w:t>
      </w:r>
    </w:p>
    <w:p w14:paraId="4868C316" w14:textId="77777777" w:rsidR="00E62C1C" w:rsidRPr="00E62C1C" w:rsidRDefault="00E62C1C" w:rsidP="00E62C1C">
      <w:pPr>
        <w:widowControl/>
        <w:jc w:val="both"/>
        <w:rPr>
          <w:rFonts w:ascii="Times New Roman" w:eastAsia="Times New Roman" w:hAnsi="Times New Roman" w:cs="Times New Roman"/>
          <w:noProof/>
          <w:sz w:val="24"/>
          <w:szCs w:val="20"/>
        </w:rPr>
      </w:pPr>
    </w:p>
    <w:p w14:paraId="7610FB7B" w14:textId="77777777" w:rsidR="00E62C1C" w:rsidRPr="00E62C1C" w:rsidRDefault="00E62C1C" w:rsidP="00E62C1C">
      <w:pPr>
        <w:pStyle w:val="BodyText"/>
        <w:widowControl/>
        <w:ind w:left="0" w:firstLine="0"/>
        <w:jc w:val="both"/>
        <w:rPr>
          <w:rFonts w:cs="Times New Roman"/>
          <w:b/>
          <w:bCs/>
          <w:noProof/>
          <w:sz w:val="24"/>
        </w:rPr>
      </w:pPr>
      <w:r>
        <w:rPr>
          <w:sz w:val="24"/>
        </w:rPr>
        <w:t xml:space="preserve">“Rumānijas Krimināllikums ir piemērojams pārkāpumiem, kas izdarīti Rumānijas teritorijā.” </w:t>
      </w:r>
      <w:r>
        <w:rPr>
          <w:b/>
          <w:bCs/>
          <w:sz w:val="24"/>
          <w:highlight w:val="lightGray"/>
        </w:rPr>
        <w:t>[oriģ. 4. lpp.]</w:t>
      </w:r>
    </w:p>
    <w:p w14:paraId="048C8B62" w14:textId="77777777" w:rsidR="00E62C1C" w:rsidRPr="00E62C1C" w:rsidRDefault="00E62C1C" w:rsidP="00E62C1C">
      <w:pPr>
        <w:widowControl/>
        <w:jc w:val="both"/>
        <w:rPr>
          <w:rFonts w:cs="Times New Roman"/>
          <w:b/>
          <w:bCs/>
          <w:noProof/>
          <w:sz w:val="24"/>
        </w:rPr>
      </w:pPr>
    </w:p>
    <w:p w14:paraId="1ECBDF15" w14:textId="77777777" w:rsidR="00E62C1C" w:rsidRPr="00E62C1C" w:rsidRDefault="00F53780" w:rsidP="00F53780">
      <w:pPr>
        <w:pStyle w:val="BodyText"/>
        <w:widowControl/>
        <w:tabs>
          <w:tab w:val="left" w:pos="651"/>
        </w:tabs>
        <w:ind w:left="0" w:firstLine="0"/>
        <w:jc w:val="both"/>
        <w:rPr>
          <w:rFonts w:cs="Times New Roman"/>
          <w:noProof/>
          <w:sz w:val="24"/>
        </w:rPr>
      </w:pPr>
      <w:r>
        <w:rPr>
          <w:sz w:val="24"/>
        </w:rPr>
        <w:t>6. 9. panta “Krimināllikuma piemērošana personām” 1. punkts</w:t>
      </w:r>
    </w:p>
    <w:p w14:paraId="0E39F01D" w14:textId="77777777" w:rsidR="00E62C1C" w:rsidRPr="00E62C1C" w:rsidRDefault="00E62C1C" w:rsidP="00E62C1C">
      <w:pPr>
        <w:widowControl/>
        <w:jc w:val="both"/>
        <w:rPr>
          <w:rFonts w:ascii="Times New Roman" w:eastAsia="Times New Roman" w:hAnsi="Times New Roman" w:cs="Times New Roman"/>
          <w:noProof/>
          <w:sz w:val="24"/>
          <w:szCs w:val="20"/>
        </w:rPr>
      </w:pPr>
    </w:p>
    <w:p w14:paraId="5FBD46F3" w14:textId="77777777" w:rsidR="00E62C1C" w:rsidRPr="00E62C1C" w:rsidRDefault="00E62C1C" w:rsidP="00E62C1C">
      <w:pPr>
        <w:pStyle w:val="BodyText"/>
        <w:widowControl/>
        <w:ind w:left="0" w:firstLine="0"/>
        <w:jc w:val="both"/>
        <w:rPr>
          <w:rFonts w:cs="Times New Roman"/>
          <w:noProof/>
          <w:sz w:val="24"/>
        </w:rPr>
      </w:pPr>
      <w:r>
        <w:rPr>
          <w:sz w:val="24"/>
        </w:rPr>
        <w:t>“Rumānijas Krimināllikumu piemēro par pārkāpumu, kuru ir izdarījis Rumānijas pilsonis vai Rumānijas juridiskā persona ārpus Rumānijas valsts teritorijas, ja ar Rumānijas likumu par to ir piemērojams mūža ieslodzījums vai ieslodzījums uz laiku, kas pārsniedz 10 gadus.”</w:t>
      </w:r>
    </w:p>
    <w:p w14:paraId="7B57BDE0" w14:textId="77777777" w:rsidR="00E62C1C" w:rsidRPr="00E62C1C" w:rsidRDefault="00E62C1C" w:rsidP="00E62C1C">
      <w:pPr>
        <w:widowControl/>
        <w:jc w:val="both"/>
        <w:rPr>
          <w:rFonts w:ascii="Times New Roman" w:eastAsia="Times New Roman" w:hAnsi="Times New Roman" w:cs="Times New Roman"/>
          <w:noProof/>
          <w:sz w:val="24"/>
          <w:szCs w:val="20"/>
        </w:rPr>
      </w:pPr>
    </w:p>
    <w:p w14:paraId="701C4643" w14:textId="77777777" w:rsidR="00E62C1C" w:rsidRPr="00E62C1C" w:rsidRDefault="00F53780" w:rsidP="00F53780">
      <w:pPr>
        <w:pStyle w:val="BodyText"/>
        <w:widowControl/>
        <w:tabs>
          <w:tab w:val="left" w:pos="651"/>
        </w:tabs>
        <w:ind w:left="0" w:firstLine="0"/>
        <w:jc w:val="both"/>
        <w:rPr>
          <w:rFonts w:cs="Times New Roman"/>
          <w:noProof/>
          <w:sz w:val="24"/>
        </w:rPr>
      </w:pPr>
      <w:r>
        <w:rPr>
          <w:sz w:val="24"/>
        </w:rPr>
        <w:t>7. 10. panta “Krimināllikuma realitāte” 1. punkts</w:t>
      </w:r>
    </w:p>
    <w:p w14:paraId="07C07D57" w14:textId="77777777" w:rsidR="00E62C1C" w:rsidRPr="00E62C1C" w:rsidRDefault="00E62C1C" w:rsidP="00E62C1C">
      <w:pPr>
        <w:widowControl/>
        <w:jc w:val="both"/>
        <w:rPr>
          <w:rFonts w:ascii="Times New Roman" w:eastAsia="Times New Roman" w:hAnsi="Times New Roman" w:cs="Times New Roman"/>
          <w:noProof/>
          <w:sz w:val="24"/>
          <w:szCs w:val="20"/>
        </w:rPr>
      </w:pPr>
    </w:p>
    <w:p w14:paraId="7E9535F6" w14:textId="77777777" w:rsidR="00E62C1C" w:rsidRPr="00E62C1C" w:rsidRDefault="00E62C1C" w:rsidP="00E62C1C">
      <w:pPr>
        <w:pStyle w:val="BodyText"/>
        <w:widowControl/>
        <w:ind w:left="0" w:firstLine="0"/>
        <w:jc w:val="both"/>
        <w:rPr>
          <w:rFonts w:cs="Times New Roman"/>
          <w:noProof/>
          <w:sz w:val="24"/>
        </w:rPr>
      </w:pPr>
      <w:r>
        <w:rPr>
          <w:sz w:val="24"/>
        </w:rPr>
        <w:t>“Rumānijas Krimināllikumu piemēro par tādiem pārkāpumiem pret Rumānijas valsti, Rumānijas pilsoni vai Rumānijas juridisko personu, ko ārpus Rumānijas teritorijas ir izdarījuši ārvalstnieki vai personas bez pilsonības.”</w:t>
      </w:r>
    </w:p>
    <w:p w14:paraId="3D4429E2" w14:textId="77777777" w:rsidR="00E62C1C" w:rsidRPr="00E62C1C" w:rsidRDefault="00E62C1C" w:rsidP="00E62C1C">
      <w:pPr>
        <w:widowControl/>
        <w:jc w:val="both"/>
        <w:rPr>
          <w:rFonts w:ascii="Times New Roman" w:eastAsia="Times New Roman" w:hAnsi="Times New Roman" w:cs="Times New Roman"/>
          <w:noProof/>
          <w:sz w:val="24"/>
          <w:szCs w:val="21"/>
        </w:rPr>
      </w:pPr>
    </w:p>
    <w:p w14:paraId="7B07A554" w14:textId="77777777" w:rsidR="00E62C1C" w:rsidRPr="00E62C1C" w:rsidRDefault="00E62C1C" w:rsidP="00E62C1C">
      <w:pPr>
        <w:widowControl/>
        <w:jc w:val="both"/>
        <w:rPr>
          <w:rFonts w:ascii="Times New Roman" w:eastAsia="Times New Roman" w:hAnsi="Times New Roman" w:cs="Times New Roman"/>
          <w:noProof/>
          <w:sz w:val="24"/>
          <w:szCs w:val="16"/>
        </w:rPr>
      </w:pPr>
      <w:r>
        <w:rPr>
          <w:rFonts w:ascii="Times New Roman" w:hAnsi="Times New Roman"/>
          <w:b/>
          <w:i/>
          <w:iCs/>
          <w:sz w:val="24"/>
        </w:rPr>
        <w:t>Legea nr. 135 din 1 iulie 2010 privind Codul de procedură penală</w:t>
      </w:r>
      <w:r>
        <w:rPr>
          <w:rFonts w:ascii="Times New Roman" w:hAnsi="Times New Roman"/>
          <w:b/>
          <w:sz w:val="24"/>
        </w:rPr>
        <w:t xml:space="preserve"> </w:t>
      </w:r>
      <w:r>
        <w:rPr>
          <w:rFonts w:ascii="Times New Roman" w:hAnsi="Times New Roman"/>
          <w:sz w:val="24"/>
        </w:rPr>
        <w:t>(2010. gada 1. jūlija Likums Nr. 135, kurā ietverts Kriminālprocesa kodekss)</w:t>
      </w:r>
      <w:r w:rsidR="007738C4">
        <w:rPr>
          <w:rStyle w:val="FootnoteReference"/>
          <w:rFonts w:ascii="Times New Roman" w:hAnsi="Times New Roman" w:cs="Times New Roman"/>
          <w:noProof/>
          <w:sz w:val="24"/>
        </w:rPr>
        <w:footnoteReference w:id="8"/>
      </w:r>
    </w:p>
    <w:p w14:paraId="6F5E8CBC" w14:textId="77777777" w:rsidR="00E62C1C" w:rsidRPr="00E62C1C" w:rsidRDefault="00E62C1C" w:rsidP="00E62C1C">
      <w:pPr>
        <w:widowControl/>
        <w:jc w:val="both"/>
        <w:rPr>
          <w:rFonts w:ascii="Times New Roman" w:eastAsia="Times New Roman" w:hAnsi="Times New Roman" w:cs="Times New Roman"/>
          <w:noProof/>
          <w:sz w:val="24"/>
          <w:szCs w:val="20"/>
        </w:rPr>
      </w:pPr>
    </w:p>
    <w:p w14:paraId="194A0701" w14:textId="77777777" w:rsidR="00E62C1C" w:rsidRPr="00E62C1C" w:rsidRDefault="00F53780" w:rsidP="00F53780">
      <w:pPr>
        <w:pStyle w:val="BodyText"/>
        <w:widowControl/>
        <w:tabs>
          <w:tab w:val="left" w:pos="651"/>
        </w:tabs>
        <w:ind w:left="0" w:firstLine="0"/>
        <w:jc w:val="both"/>
        <w:rPr>
          <w:rFonts w:cs="Times New Roman"/>
          <w:noProof/>
          <w:sz w:val="24"/>
        </w:rPr>
      </w:pPr>
      <w:r>
        <w:rPr>
          <w:sz w:val="24"/>
        </w:rPr>
        <w:lastRenderedPageBreak/>
        <w:t>8. 223. panta “Apstākļi un gadījumi, kad piemērojams pirmstiesas apcietinājums” 1. punkts</w:t>
      </w:r>
    </w:p>
    <w:p w14:paraId="47FB6AD5" w14:textId="77777777" w:rsidR="00E62C1C" w:rsidRDefault="00E62C1C" w:rsidP="00E62C1C">
      <w:pPr>
        <w:widowControl/>
        <w:jc w:val="both"/>
        <w:rPr>
          <w:rFonts w:ascii="Times New Roman" w:eastAsia="Times New Roman" w:hAnsi="Times New Roman" w:cs="Times New Roman"/>
          <w:noProof/>
          <w:sz w:val="24"/>
          <w:szCs w:val="24"/>
        </w:rPr>
      </w:pPr>
    </w:p>
    <w:p w14:paraId="133E536F" w14:textId="77777777" w:rsidR="00E62C1C" w:rsidRPr="00E62C1C" w:rsidRDefault="00E62C1C" w:rsidP="00E62C1C">
      <w:pPr>
        <w:pStyle w:val="BodyText"/>
        <w:widowControl/>
        <w:ind w:left="0" w:firstLine="0"/>
        <w:jc w:val="both"/>
        <w:rPr>
          <w:rFonts w:cs="Times New Roman"/>
          <w:noProof/>
          <w:sz w:val="24"/>
        </w:rPr>
      </w:pPr>
      <w:r>
        <w:rPr>
          <w:sz w:val="24"/>
        </w:rPr>
        <w:t>“Tiesību un brīvību tiesnesis kriminālvajāšanas procesā, pirmstiesas palātas tiesnesis procesā pirmstiesas palātā vai tiesa, kas skata lietu, sprieduma laikā var piemērot pirmstiesas apcietinājumu tikai tad, ja pierādījumi sniedz pamatotas aizdomas, ka apsūdzētais ir izdarījis pārkāpumu, un ir kāda no šīm situācijām:</w:t>
      </w:r>
    </w:p>
    <w:p w14:paraId="59138BEF" w14:textId="77777777" w:rsidR="00E62C1C" w:rsidRPr="00E62C1C" w:rsidRDefault="00E62C1C" w:rsidP="00E62C1C">
      <w:pPr>
        <w:widowControl/>
        <w:jc w:val="both"/>
        <w:rPr>
          <w:rFonts w:ascii="Times New Roman" w:eastAsia="Times New Roman" w:hAnsi="Times New Roman" w:cs="Times New Roman"/>
          <w:noProof/>
          <w:sz w:val="24"/>
          <w:szCs w:val="20"/>
        </w:rPr>
      </w:pPr>
    </w:p>
    <w:p w14:paraId="5DEC3C05" w14:textId="77777777" w:rsidR="00E62C1C" w:rsidRPr="00E62C1C" w:rsidRDefault="007738C4" w:rsidP="007738C4">
      <w:pPr>
        <w:pStyle w:val="BodyText"/>
        <w:widowControl/>
        <w:tabs>
          <w:tab w:val="left" w:pos="908"/>
        </w:tabs>
        <w:ind w:left="0" w:firstLine="0"/>
        <w:jc w:val="both"/>
        <w:rPr>
          <w:rFonts w:cs="Times New Roman"/>
          <w:noProof/>
          <w:sz w:val="24"/>
        </w:rPr>
      </w:pPr>
      <w:r>
        <w:rPr>
          <w:sz w:val="24"/>
        </w:rPr>
        <w:t>a) apsūdzētais ir bēdzis vai slēpies, lai izvairītos no kriminālvajāšanas vai tiesas, vai ir kā citādi gatavojies veikt minētās darbības;</w:t>
      </w:r>
    </w:p>
    <w:p w14:paraId="4AC770BF" w14:textId="77777777" w:rsidR="00E62C1C" w:rsidRPr="00E62C1C" w:rsidRDefault="00E62C1C" w:rsidP="007738C4">
      <w:pPr>
        <w:widowControl/>
        <w:jc w:val="both"/>
        <w:rPr>
          <w:rFonts w:ascii="Times New Roman" w:eastAsia="Times New Roman" w:hAnsi="Times New Roman" w:cs="Times New Roman"/>
          <w:noProof/>
          <w:sz w:val="24"/>
          <w:szCs w:val="20"/>
        </w:rPr>
      </w:pPr>
    </w:p>
    <w:p w14:paraId="603D1C90" w14:textId="77777777" w:rsidR="00E62C1C" w:rsidRPr="00E62C1C" w:rsidRDefault="007738C4" w:rsidP="007738C4">
      <w:pPr>
        <w:pStyle w:val="BodyText"/>
        <w:widowControl/>
        <w:tabs>
          <w:tab w:val="left" w:pos="926"/>
        </w:tabs>
        <w:ind w:left="0" w:firstLine="0"/>
        <w:jc w:val="both"/>
        <w:rPr>
          <w:rFonts w:cs="Times New Roman"/>
          <w:noProof/>
          <w:sz w:val="24"/>
        </w:rPr>
      </w:pPr>
      <w:r>
        <w:rPr>
          <w:sz w:val="24"/>
        </w:rPr>
        <w:t>b) apsūdzētais ir mēģinājis ietekmēt citu pārkāpuma līdzdalībnieku, liecinieku vai ekspertu, mēģinājis iznīcināt, grozīt, slēpt vai nozagt lietiskos pierādījumus vai mēģinājis panākt, ka minētās darbības veic cita persona;</w:t>
      </w:r>
    </w:p>
    <w:p w14:paraId="237D9D9A" w14:textId="77777777" w:rsidR="00E62C1C" w:rsidRPr="00E62C1C" w:rsidRDefault="00E62C1C" w:rsidP="007738C4">
      <w:pPr>
        <w:widowControl/>
        <w:jc w:val="both"/>
        <w:rPr>
          <w:rFonts w:ascii="Times New Roman" w:eastAsia="Times New Roman" w:hAnsi="Times New Roman" w:cs="Times New Roman"/>
          <w:noProof/>
          <w:sz w:val="24"/>
          <w:szCs w:val="20"/>
        </w:rPr>
      </w:pPr>
    </w:p>
    <w:p w14:paraId="2513D5E5" w14:textId="77777777" w:rsidR="00E62C1C" w:rsidRPr="00E62C1C" w:rsidRDefault="007738C4" w:rsidP="007738C4">
      <w:pPr>
        <w:pStyle w:val="BodyText"/>
        <w:widowControl/>
        <w:tabs>
          <w:tab w:val="left" w:pos="926"/>
        </w:tabs>
        <w:ind w:left="0" w:firstLine="0"/>
        <w:jc w:val="both"/>
        <w:rPr>
          <w:rFonts w:cs="Times New Roman"/>
          <w:noProof/>
          <w:sz w:val="24"/>
        </w:rPr>
      </w:pPr>
      <w:r>
        <w:rPr>
          <w:sz w:val="24"/>
        </w:rPr>
        <w:t>c) apsūdzētais izdara spiedienu uz cietušo vai cenšas ar cietušo panākt krāpniecisku vienošanos;</w:t>
      </w:r>
    </w:p>
    <w:p w14:paraId="05016778" w14:textId="77777777" w:rsidR="00E62C1C" w:rsidRPr="00E62C1C" w:rsidRDefault="00E62C1C" w:rsidP="007738C4">
      <w:pPr>
        <w:widowControl/>
        <w:jc w:val="both"/>
        <w:rPr>
          <w:rFonts w:ascii="Times New Roman" w:eastAsia="Times New Roman" w:hAnsi="Times New Roman" w:cs="Times New Roman"/>
          <w:noProof/>
          <w:sz w:val="24"/>
          <w:szCs w:val="20"/>
        </w:rPr>
      </w:pPr>
    </w:p>
    <w:p w14:paraId="21EB1FB1" w14:textId="77777777" w:rsidR="00E62C1C" w:rsidRPr="00E62C1C" w:rsidRDefault="007738C4" w:rsidP="007738C4">
      <w:pPr>
        <w:pStyle w:val="BodyText"/>
        <w:widowControl/>
        <w:tabs>
          <w:tab w:val="left" w:pos="943"/>
        </w:tabs>
        <w:ind w:left="0" w:firstLine="0"/>
        <w:jc w:val="both"/>
        <w:rPr>
          <w:rFonts w:cs="Times New Roman"/>
          <w:noProof/>
          <w:sz w:val="24"/>
        </w:rPr>
      </w:pPr>
      <w:r>
        <w:rPr>
          <w:sz w:val="24"/>
        </w:rPr>
        <w:t>d) ir pamatotas aizdomas, ka pēc apsūdzības izvirzīšanas apsūdzētais ir tīši izdarījis jaunu pārkāpumu vai gatavojas izdarīt jaunu pārkāpumu.”</w:t>
      </w:r>
    </w:p>
    <w:p w14:paraId="542B8C83" w14:textId="77777777" w:rsidR="00E62C1C" w:rsidRDefault="00E62C1C" w:rsidP="00E62C1C">
      <w:pPr>
        <w:widowControl/>
        <w:jc w:val="both"/>
        <w:rPr>
          <w:rFonts w:ascii="Times New Roman" w:eastAsia="Times New Roman" w:hAnsi="Times New Roman" w:cs="Times New Roman"/>
          <w:noProof/>
          <w:sz w:val="24"/>
          <w:szCs w:val="24"/>
        </w:rPr>
      </w:pPr>
    </w:p>
    <w:p w14:paraId="25BA54CF" w14:textId="77777777" w:rsidR="007738C4" w:rsidRPr="00E62C1C" w:rsidRDefault="007738C4" w:rsidP="00E62C1C">
      <w:pPr>
        <w:widowControl/>
        <w:jc w:val="both"/>
        <w:rPr>
          <w:rFonts w:ascii="Times New Roman" w:eastAsia="Times New Roman" w:hAnsi="Times New Roman" w:cs="Times New Roman"/>
          <w:noProof/>
          <w:sz w:val="24"/>
          <w:szCs w:val="24"/>
        </w:rPr>
      </w:pPr>
    </w:p>
    <w:p w14:paraId="78544D28" w14:textId="77777777" w:rsidR="00E62C1C" w:rsidRPr="00E62C1C" w:rsidRDefault="007738C4" w:rsidP="007738C4">
      <w:pPr>
        <w:pStyle w:val="Heading1"/>
        <w:widowControl/>
        <w:tabs>
          <w:tab w:val="left" w:pos="1218"/>
        </w:tabs>
        <w:ind w:left="0"/>
        <w:jc w:val="both"/>
        <w:rPr>
          <w:rFonts w:cs="Times New Roman"/>
          <w:noProof/>
          <w:sz w:val="24"/>
        </w:rPr>
      </w:pPr>
      <w:bookmarkStart w:id="17" w:name="_Toc32416595"/>
      <w:r>
        <w:rPr>
          <w:sz w:val="24"/>
        </w:rPr>
        <w:t>III. Juridiskā analīze</w:t>
      </w:r>
      <w:bookmarkStart w:id="18" w:name="_bookmark4"/>
      <w:bookmarkEnd w:id="18"/>
      <w:bookmarkEnd w:id="17"/>
    </w:p>
    <w:p w14:paraId="5520EE11" w14:textId="77777777" w:rsidR="00E62C1C" w:rsidRPr="00E62C1C" w:rsidRDefault="00E62C1C" w:rsidP="00E62C1C">
      <w:pPr>
        <w:widowControl/>
        <w:jc w:val="both"/>
        <w:rPr>
          <w:rFonts w:ascii="Times New Roman" w:eastAsia="Times New Roman" w:hAnsi="Times New Roman" w:cs="Times New Roman"/>
          <w:b/>
          <w:bCs/>
          <w:noProof/>
          <w:sz w:val="24"/>
          <w:szCs w:val="31"/>
        </w:rPr>
      </w:pPr>
    </w:p>
    <w:p w14:paraId="6B59E9CD" w14:textId="77777777" w:rsidR="00E62C1C" w:rsidRPr="00E62C1C" w:rsidRDefault="00E62C1C" w:rsidP="00E62C1C">
      <w:pPr>
        <w:pStyle w:val="Heading1"/>
        <w:widowControl/>
        <w:ind w:left="0"/>
        <w:jc w:val="both"/>
        <w:rPr>
          <w:rFonts w:cs="Times New Roman"/>
          <w:noProof/>
          <w:sz w:val="24"/>
        </w:rPr>
      </w:pPr>
      <w:bookmarkStart w:id="19" w:name="_Toc32416596"/>
      <w:r>
        <w:rPr>
          <w:sz w:val="24"/>
        </w:rPr>
        <w:t>A. Par pirmo prejudiciālo jautājumu</w:t>
      </w:r>
      <w:bookmarkStart w:id="20" w:name="_bookmark5"/>
      <w:bookmarkEnd w:id="20"/>
      <w:bookmarkEnd w:id="19"/>
    </w:p>
    <w:p w14:paraId="736B3F54" w14:textId="77777777" w:rsidR="00E62C1C" w:rsidRPr="00E62C1C" w:rsidRDefault="00E62C1C" w:rsidP="00E62C1C">
      <w:pPr>
        <w:widowControl/>
        <w:jc w:val="both"/>
        <w:rPr>
          <w:rFonts w:ascii="Times New Roman" w:eastAsia="Times New Roman" w:hAnsi="Times New Roman" w:cs="Times New Roman"/>
          <w:b/>
          <w:bCs/>
          <w:noProof/>
          <w:sz w:val="24"/>
          <w:szCs w:val="20"/>
        </w:rPr>
      </w:pPr>
    </w:p>
    <w:p w14:paraId="74695C0B" w14:textId="77777777" w:rsidR="00E62C1C" w:rsidRPr="00E62C1C" w:rsidRDefault="007738C4" w:rsidP="007738C4">
      <w:pPr>
        <w:pStyle w:val="BodyText"/>
        <w:widowControl/>
        <w:tabs>
          <w:tab w:val="left" w:pos="651"/>
        </w:tabs>
        <w:ind w:left="0" w:firstLine="0"/>
        <w:jc w:val="both"/>
        <w:rPr>
          <w:rFonts w:cs="Times New Roman"/>
          <w:noProof/>
          <w:sz w:val="24"/>
        </w:rPr>
      </w:pPr>
      <w:r>
        <w:rPr>
          <w:sz w:val="24"/>
        </w:rPr>
        <w:t>9. Rumānijas valdība atzīmē</w:t>
      </w:r>
      <w:r>
        <w:rPr>
          <w:rStyle w:val="FootnoteReference"/>
          <w:rFonts w:cs="Times New Roman"/>
          <w:noProof/>
          <w:sz w:val="24"/>
        </w:rPr>
        <w:footnoteReference w:id="9"/>
      </w:r>
      <w:r>
        <w:rPr>
          <w:sz w:val="24"/>
        </w:rPr>
        <w:t xml:space="preserve">, ka ar pirmo prejudiciālo jautājumu iesniedzējtiesa būtībā vēlas noskaidrot, vai principi, ko Tiesa konstatējusi spriedumā </w:t>
      </w:r>
      <w:r>
        <w:rPr>
          <w:b/>
          <w:bCs/>
          <w:sz w:val="24"/>
          <w:highlight w:val="lightGray"/>
        </w:rPr>
        <w:t>[Or. 5. lpp.]</w:t>
      </w:r>
      <w:r>
        <w:rPr>
          <w:sz w:val="24"/>
        </w:rPr>
        <w:t xml:space="preserve"> “Petruhins [</w:t>
      </w:r>
      <w:r>
        <w:rPr>
          <w:i/>
          <w:iCs/>
          <w:sz w:val="24"/>
        </w:rPr>
        <w:t>Petruhhin</w:t>
      </w:r>
      <w:r>
        <w:rPr>
          <w:sz w:val="24"/>
        </w:rPr>
        <w:t>]”</w:t>
      </w:r>
      <w:r>
        <w:rPr>
          <w:rStyle w:val="FootnoteReference"/>
          <w:rFonts w:cs="Times New Roman"/>
          <w:noProof/>
          <w:sz w:val="24"/>
        </w:rPr>
        <w:footnoteReference w:id="10"/>
      </w:r>
      <w:r>
        <w:rPr>
          <w:sz w:val="24"/>
        </w:rPr>
        <w:t xml:space="preserve"> attiecībā uz LESD 18. un 21. pantā noteiktajām brīvībām, ir piemērojami gadījumā, kad trešā valsts ir iesniegusi lūgumu izdot Savienības pilsoni, ja šī persona Savienības pilsonību ir ieguvusi pēc pārcelšanās uz lūguma saņēmēju dalībvalsti.</w:t>
      </w:r>
    </w:p>
    <w:p w14:paraId="08FD0CCF" w14:textId="77777777" w:rsidR="00E62C1C" w:rsidRPr="00E62C1C" w:rsidRDefault="00E62C1C" w:rsidP="007738C4">
      <w:pPr>
        <w:widowControl/>
        <w:jc w:val="both"/>
        <w:rPr>
          <w:rFonts w:ascii="Times New Roman" w:eastAsia="Times New Roman" w:hAnsi="Times New Roman" w:cs="Times New Roman"/>
          <w:noProof/>
          <w:sz w:val="24"/>
          <w:szCs w:val="20"/>
        </w:rPr>
      </w:pPr>
    </w:p>
    <w:p w14:paraId="6EE10995" w14:textId="77777777" w:rsidR="00E62C1C" w:rsidRPr="00E62C1C" w:rsidRDefault="007738C4" w:rsidP="007738C4">
      <w:pPr>
        <w:pStyle w:val="BodyText"/>
        <w:widowControl/>
        <w:tabs>
          <w:tab w:val="left" w:pos="651"/>
        </w:tabs>
        <w:ind w:left="0" w:firstLine="0"/>
        <w:jc w:val="both"/>
        <w:rPr>
          <w:rFonts w:cs="Times New Roman"/>
          <w:noProof/>
          <w:sz w:val="24"/>
        </w:rPr>
      </w:pPr>
      <w:r>
        <w:rPr>
          <w:sz w:val="24"/>
        </w:rPr>
        <w:t>10. Spriedumā Petruhina lietā Tiesa uzskatīja, ka priekšrocības, ko sniedz pasākumi, kas izstrādāti, lai aizsargātu Savienības pilsoņus gadījumā, ja trešā valsts iesniedz izdošanas lūgumu, ir saistītas ar to, ka persona sekmīgi īsteno brīvas pārvietošanās tiesības, pārceļoties uz dalībvalsti, kuras pilsonis nav minētā persona.</w:t>
      </w:r>
      <w:r>
        <w:rPr>
          <w:rStyle w:val="FootnoteReference"/>
          <w:rFonts w:cs="Times New Roman"/>
          <w:noProof/>
          <w:sz w:val="24"/>
        </w:rPr>
        <w:footnoteReference w:id="11"/>
      </w:r>
      <w:r>
        <w:rPr>
          <w:sz w:val="24"/>
        </w:rPr>
        <w:t xml:space="preserve"> Šādā kontekstā vienas dalībvalsts pilsoņa pārcelšanos uz citu dalībvalsti var interpretēt kā vienu no nosacījumiem, lai piemērotu spriedumā Petruhina lietā noteiktos principus.</w:t>
      </w:r>
    </w:p>
    <w:p w14:paraId="4A3995A9" w14:textId="77777777" w:rsidR="00E62C1C" w:rsidRPr="00E62C1C" w:rsidRDefault="00E62C1C" w:rsidP="00E62C1C">
      <w:pPr>
        <w:widowControl/>
        <w:jc w:val="both"/>
        <w:rPr>
          <w:rFonts w:ascii="Times New Roman" w:eastAsia="Times New Roman" w:hAnsi="Times New Roman" w:cs="Times New Roman"/>
          <w:noProof/>
          <w:sz w:val="24"/>
          <w:szCs w:val="20"/>
        </w:rPr>
      </w:pPr>
    </w:p>
    <w:p w14:paraId="1E2F4A0A" w14:textId="77777777" w:rsidR="00E62C1C" w:rsidRPr="00E62C1C" w:rsidRDefault="007738C4" w:rsidP="007738C4">
      <w:pPr>
        <w:pStyle w:val="BodyText"/>
        <w:widowControl/>
        <w:tabs>
          <w:tab w:val="left" w:pos="651"/>
        </w:tabs>
        <w:ind w:left="0" w:firstLine="0"/>
        <w:jc w:val="both"/>
        <w:rPr>
          <w:rFonts w:cs="Times New Roman"/>
          <w:noProof/>
          <w:sz w:val="24"/>
        </w:rPr>
      </w:pPr>
      <w:r>
        <w:rPr>
          <w:sz w:val="24"/>
        </w:rPr>
        <w:t xml:space="preserve">11. Līdz ar to šajā lietā ir jāanalizē, vai B. Y., Ukrainas un Rumānijas pilsonis, atbilst šim nosacījumam saistībā ar spriedumā Petruhina lietā noteiktajiem aspektiem. Šajā analīzē ir jāņem vērā tas, ka abās šajās lietās ir atšķirība, kas saistīta ar to personu pilsonību, uz kurām šīs lietas attiecas. Proti, A. Petruhinam jau bija Savienības dalībvalsts pilsonība brīdī, kad viņš pārcēlās uz citu dalībvalsti, pretēji B. Y., kas Rumānijas pilsonību (un tādējādi Savienības </w:t>
      </w:r>
      <w:r>
        <w:rPr>
          <w:sz w:val="24"/>
        </w:rPr>
        <w:lastRenderedPageBreak/>
        <w:t>pilsonību) ieguva pēc pārcelšanās uz Vāciju, proti, B. Y. pārcēlās uz Vāciju, kad uz viņu vēl neattiecās LESD 21. pantā paredzētās brīvas pārvietošanās tiesības.</w:t>
      </w:r>
    </w:p>
    <w:p w14:paraId="17382CB7" w14:textId="77777777" w:rsidR="00E62C1C" w:rsidRPr="00E62C1C" w:rsidRDefault="00E62C1C" w:rsidP="007738C4">
      <w:pPr>
        <w:widowControl/>
        <w:jc w:val="both"/>
        <w:rPr>
          <w:rFonts w:ascii="Times New Roman" w:eastAsia="Times New Roman" w:hAnsi="Times New Roman" w:cs="Times New Roman"/>
          <w:noProof/>
          <w:sz w:val="24"/>
          <w:szCs w:val="20"/>
        </w:rPr>
      </w:pPr>
    </w:p>
    <w:p w14:paraId="61181C1B" w14:textId="77777777" w:rsidR="00E62C1C" w:rsidRPr="00E62C1C" w:rsidRDefault="007738C4" w:rsidP="007738C4">
      <w:pPr>
        <w:pStyle w:val="BodyText"/>
        <w:widowControl/>
        <w:tabs>
          <w:tab w:val="left" w:pos="651"/>
        </w:tabs>
        <w:ind w:left="0" w:firstLine="0"/>
        <w:jc w:val="both"/>
        <w:rPr>
          <w:rFonts w:cs="Times New Roman"/>
          <w:noProof/>
          <w:sz w:val="24"/>
        </w:rPr>
      </w:pPr>
      <w:r>
        <w:rPr>
          <w:sz w:val="24"/>
        </w:rPr>
        <w:t>12. Šim kontekstam atbilst Tiesas judikatūra</w:t>
      </w:r>
      <w:r>
        <w:rPr>
          <w:rStyle w:val="FootnoteReference"/>
          <w:rFonts w:cs="Times New Roman"/>
          <w:noProof/>
          <w:sz w:val="24"/>
        </w:rPr>
        <w:footnoteReference w:id="12"/>
      </w:r>
      <w:r>
        <w:rPr>
          <w:sz w:val="24"/>
        </w:rPr>
        <w:t xml:space="preserve">, kas nosaka, ka “Savienības pilsoņa statusa mērķis ir būt par dalībvalstu pilsoņu fundamentālo statusu, kas ļauj personām, kuras atrodas līdzīgās situācijās, LESD </w:t>
      </w:r>
      <w:r>
        <w:rPr>
          <w:i/>
          <w:iCs/>
          <w:sz w:val="24"/>
        </w:rPr>
        <w:t>ratione materiae</w:t>
      </w:r>
      <w:r>
        <w:rPr>
          <w:sz w:val="24"/>
        </w:rPr>
        <w:t xml:space="preserve"> piemērošanas jomā saņemt vienādu tiesisko attieksmi neatkarīgi no viņu pilsonības, izņemot šajā ziņā īpaši paredzētus gadījumus”.</w:t>
      </w:r>
    </w:p>
    <w:p w14:paraId="74FB176A" w14:textId="77777777" w:rsidR="00E62C1C" w:rsidRPr="00E62C1C" w:rsidRDefault="00E62C1C" w:rsidP="007738C4">
      <w:pPr>
        <w:widowControl/>
        <w:jc w:val="both"/>
        <w:rPr>
          <w:rFonts w:ascii="Times New Roman" w:eastAsia="Times New Roman" w:hAnsi="Times New Roman" w:cs="Times New Roman"/>
          <w:noProof/>
          <w:sz w:val="24"/>
          <w:szCs w:val="20"/>
        </w:rPr>
      </w:pPr>
    </w:p>
    <w:p w14:paraId="5FBE3504" w14:textId="77777777" w:rsidR="00E62C1C" w:rsidRPr="00E62C1C" w:rsidRDefault="007738C4" w:rsidP="007738C4">
      <w:pPr>
        <w:pStyle w:val="BodyText"/>
        <w:widowControl/>
        <w:tabs>
          <w:tab w:val="left" w:pos="651"/>
        </w:tabs>
        <w:ind w:left="0" w:firstLine="0"/>
        <w:jc w:val="both"/>
        <w:rPr>
          <w:rFonts w:cs="Times New Roman"/>
          <w:noProof/>
          <w:sz w:val="24"/>
        </w:rPr>
      </w:pPr>
      <w:r>
        <w:rPr>
          <w:sz w:val="24"/>
        </w:rPr>
        <w:t xml:space="preserve">13. Rumānijas pilsonības iegūšana ir tas brīdis, no kura B. Y. var izmantot visas tiesības, ko sniedz Savienības pilsoņa statuss, tostarp brīvas pārvietošanās un uzturēšanās tiesības. B. Y. atrašanās Vācijas </w:t>
      </w:r>
      <w:r>
        <w:rPr>
          <w:b/>
          <w:bCs/>
          <w:sz w:val="24"/>
          <w:highlight w:val="lightGray"/>
        </w:rPr>
        <w:t xml:space="preserve">[oriģ. 6. lpp.] </w:t>
      </w:r>
      <w:r>
        <w:rPr>
          <w:sz w:val="24"/>
        </w:rPr>
        <w:t>teritorijā pēc Savienības pilsonības iegūšanas ietver visu tiesību kopumu, kas B. Y. ir piešķirtas saskaņā ar līgumiem, neatkarīgi no tā, kādu iemeslu dēļ viņš jau iepriekš bija pārcēlies uz Vāciju, vēl būdams trešās valsts pilsoņa statusā, vai tiesisko pamatu, pamatojoties uz kuru Vācijas iestādes tajā laikā viņam piešķīrušas uzturēšanās tiesības.</w:t>
      </w:r>
    </w:p>
    <w:p w14:paraId="1F04CFDE" w14:textId="77777777" w:rsidR="00E62C1C" w:rsidRPr="00E62C1C" w:rsidRDefault="00E62C1C" w:rsidP="007738C4">
      <w:pPr>
        <w:widowControl/>
        <w:jc w:val="both"/>
        <w:rPr>
          <w:rFonts w:ascii="Times New Roman" w:eastAsia="Times New Roman" w:hAnsi="Times New Roman" w:cs="Times New Roman"/>
          <w:noProof/>
          <w:sz w:val="24"/>
          <w:szCs w:val="20"/>
        </w:rPr>
      </w:pPr>
    </w:p>
    <w:p w14:paraId="16A74354" w14:textId="77777777" w:rsidR="00E62C1C" w:rsidRPr="00E62C1C" w:rsidRDefault="007738C4" w:rsidP="007738C4">
      <w:pPr>
        <w:pStyle w:val="BodyText"/>
        <w:widowControl/>
        <w:tabs>
          <w:tab w:val="left" w:pos="651"/>
        </w:tabs>
        <w:ind w:left="0" w:firstLine="0"/>
        <w:jc w:val="both"/>
        <w:rPr>
          <w:rFonts w:cs="Times New Roman"/>
          <w:noProof/>
          <w:sz w:val="24"/>
        </w:rPr>
      </w:pPr>
      <w:r>
        <w:rPr>
          <w:sz w:val="24"/>
        </w:rPr>
        <w:t>14. Tādējādi iesniedzējtiesai, novērtējot B. Y. tiesisko situāciju, jāpiešķir prioritāte viņa kā Savienības pilsoņa faktiskajam statusam, ņemot vērā apsvērumu, ka tad, kad viņš pārcēlās uz Vācijas teritoriju, viņam vēl nebija dalībvalsts pilsonības. Pretējā gadījumā pastāv risks, ka netiek ievērota Savienības pilsonības lietderīgā iedarbība</w:t>
      </w:r>
      <w:r>
        <w:rPr>
          <w:rStyle w:val="FootnoteReference"/>
          <w:rFonts w:cs="Times New Roman"/>
          <w:noProof/>
          <w:sz w:val="24"/>
        </w:rPr>
        <w:footnoteReference w:id="13"/>
      </w:r>
      <w:r>
        <w:rPr>
          <w:sz w:val="24"/>
        </w:rPr>
        <w:t>, kas liegtu B. Y. faktiski izmantot tiesību saturu, ko sniedz šis statuss. Rastos absurda situācija, kurā, lai izmantotu Savienības pilsoņa tiesības (šajā gadījumā LESD 18. un 21. pantā noteiktās tiesības saskaņā ar Petruhina lietā sniegto interpretāciju), B. Y. būtu bijis jāizbrauc no Vācijas pēc Rumānijas pilsonības (proti, citas dalībvalsts pilsonības) iegūšanas tikai tāpēc, lai mākslīgi pierādītu, ka tiek ievērots nosacījums attiecībā uz brīvas pārvietošanās tiesību faktisku izmantošanu Savienībā.</w:t>
      </w:r>
    </w:p>
    <w:p w14:paraId="29CEB287" w14:textId="77777777" w:rsidR="00E62C1C" w:rsidRPr="00E62C1C" w:rsidRDefault="00E62C1C" w:rsidP="00E62C1C">
      <w:pPr>
        <w:widowControl/>
        <w:jc w:val="both"/>
        <w:rPr>
          <w:rFonts w:ascii="Times New Roman" w:eastAsia="Times New Roman" w:hAnsi="Times New Roman" w:cs="Times New Roman"/>
          <w:noProof/>
          <w:sz w:val="24"/>
          <w:szCs w:val="20"/>
        </w:rPr>
      </w:pPr>
    </w:p>
    <w:p w14:paraId="79A3A3AE" w14:textId="77777777" w:rsidR="00E62C1C" w:rsidRPr="00E62C1C" w:rsidRDefault="00887CF5" w:rsidP="00887CF5">
      <w:pPr>
        <w:pStyle w:val="BodyText"/>
        <w:widowControl/>
        <w:tabs>
          <w:tab w:val="left" w:pos="651"/>
        </w:tabs>
        <w:ind w:left="0" w:firstLine="0"/>
        <w:jc w:val="both"/>
        <w:rPr>
          <w:rFonts w:cs="Times New Roman"/>
          <w:noProof/>
          <w:sz w:val="24"/>
        </w:rPr>
      </w:pPr>
      <w:r>
        <w:rPr>
          <w:sz w:val="24"/>
        </w:rPr>
        <w:t>15. Problēmu piemērot LESD 21. pantu konkrētās situācijās, kādās var būt Savienības pilsoņi, Tiesa ir risinājusi arī lietā “Tesērs [</w:t>
      </w:r>
      <w:r>
        <w:rPr>
          <w:i/>
          <w:iCs/>
          <w:sz w:val="24"/>
        </w:rPr>
        <w:t>Teisseyre</w:t>
      </w:r>
      <w:r>
        <w:rPr>
          <w:sz w:val="24"/>
        </w:rPr>
        <w:t>]”</w:t>
      </w:r>
      <w:r>
        <w:rPr>
          <w:rStyle w:val="FootnoteReference"/>
          <w:rFonts w:cs="Times New Roman"/>
          <w:noProof/>
          <w:sz w:val="24"/>
        </w:rPr>
        <w:footnoteReference w:id="14"/>
      </w:r>
      <w:r>
        <w:rPr>
          <w:sz w:val="24"/>
        </w:rPr>
        <w:t>, kurā tā noraidīja savu kompetenci, pamatojoties uz to, ka pamatlietā skatītās personas nekad nebija izmantojušas tiesības brīvi pārvietoties tādā ziņā, ka viņu situācijā “nav nekādas saiknes ar kādu no situācijām, kas paredzētas līguma noteikumos attiecībā uz personu brīvu pārvietošanos un jo īpaši LESD 21. pantā”. Šādā kontekstā mēs uzsveram, ka situācija Tesēra lietā būtiski atšķiras no tās, ko iesniedzējtiesa ir aprakstījusi B. Y. lietā. Proti, Jans Tesērs [</w:t>
      </w:r>
      <w:r>
        <w:rPr>
          <w:i/>
          <w:iCs/>
          <w:sz w:val="24"/>
        </w:rPr>
        <w:t>Jan Teisseyre</w:t>
      </w:r>
      <w:r>
        <w:rPr>
          <w:sz w:val="24"/>
        </w:rPr>
        <w:t xml:space="preserve">] ir Savienības pilsonis (Somijas pilsonis, pastāvīgi dzīvo Somijā), </w:t>
      </w:r>
      <w:r>
        <w:rPr>
          <w:sz w:val="24"/>
          <w:u w:val="single"/>
        </w:rPr>
        <w:t>kurš nekad nav dzīvojis</w:t>
      </w:r>
      <w:r>
        <w:rPr>
          <w:sz w:val="24"/>
        </w:rPr>
        <w:t xml:space="preserve"> Polijas teritorijā, tādējādi nebija iespējams uzskatīt, ka viņš būtu faktiski izmantojis tiesības brīvi pārvietoties, kas noteiktas LESD 21. pantā. Savukārt B. Y. (arī Savienības pilsonis) faktiski dzīvo Vācijas teritorijā, tātad dalībvalstī, kas nav dalībvalsts (proti, Rumānija), kuras pilsonis viņš ir.</w:t>
      </w:r>
    </w:p>
    <w:p w14:paraId="15CB44B9" w14:textId="77777777" w:rsidR="00516F8A" w:rsidRPr="00E62C1C" w:rsidRDefault="00516F8A" w:rsidP="00516F8A">
      <w:pPr>
        <w:widowControl/>
        <w:jc w:val="both"/>
        <w:rPr>
          <w:rFonts w:ascii="Times New Roman" w:eastAsia="Times New Roman" w:hAnsi="Times New Roman" w:cs="Times New Roman"/>
          <w:noProof/>
          <w:sz w:val="24"/>
          <w:szCs w:val="20"/>
        </w:rPr>
      </w:pPr>
    </w:p>
    <w:p w14:paraId="32182016" w14:textId="77777777" w:rsidR="00E62C1C" w:rsidRPr="00E62C1C" w:rsidRDefault="00887CF5" w:rsidP="00887CF5">
      <w:pPr>
        <w:pStyle w:val="BodyText"/>
        <w:widowControl/>
        <w:tabs>
          <w:tab w:val="left" w:pos="651"/>
        </w:tabs>
        <w:ind w:left="0" w:firstLine="0"/>
        <w:jc w:val="both"/>
        <w:rPr>
          <w:rFonts w:cs="Times New Roman"/>
          <w:b/>
          <w:bCs/>
          <w:noProof/>
          <w:sz w:val="24"/>
        </w:rPr>
      </w:pPr>
      <w:r>
        <w:rPr>
          <w:sz w:val="24"/>
        </w:rPr>
        <w:t>16. Tādējādi, ņemot vērā minētos apsvērumus, ir jāsecina, ka persona, kas norādīta izdošanas lūgumā pamatlietā C</w:t>
      </w:r>
      <w:r>
        <w:rPr>
          <w:sz w:val="24"/>
        </w:rPr>
        <w:noBreakHyphen/>
        <w:t xml:space="preserve">398/19, faktiski atrodas tādā situācijā, kurā tā var īstenot LESD 21. pantā noteiktās tiesības, jo dzīvo Savienības dalībvalsts teritorijā (Vācijā), kas nav dalībvalsts, kuras pilsonība piešķirta šai personai (Rumānija). </w:t>
      </w:r>
      <w:r>
        <w:rPr>
          <w:b/>
          <w:bCs/>
          <w:sz w:val="24"/>
          <w:highlight w:val="lightGray"/>
        </w:rPr>
        <w:t>[oriģ. 7. lpp.]</w:t>
      </w:r>
    </w:p>
    <w:p w14:paraId="6293AC47" w14:textId="77777777" w:rsidR="00516F8A" w:rsidRPr="00E62C1C" w:rsidRDefault="00516F8A" w:rsidP="00516F8A">
      <w:pPr>
        <w:widowControl/>
        <w:jc w:val="both"/>
        <w:rPr>
          <w:rFonts w:ascii="Times New Roman" w:eastAsia="Times New Roman" w:hAnsi="Times New Roman" w:cs="Times New Roman"/>
          <w:noProof/>
          <w:sz w:val="24"/>
          <w:szCs w:val="20"/>
        </w:rPr>
      </w:pPr>
    </w:p>
    <w:p w14:paraId="56451A26" w14:textId="77777777" w:rsidR="00E62C1C" w:rsidRPr="00E62C1C" w:rsidRDefault="00887CF5" w:rsidP="00887CF5">
      <w:pPr>
        <w:pStyle w:val="BodyText"/>
        <w:widowControl/>
        <w:tabs>
          <w:tab w:val="left" w:pos="651"/>
        </w:tabs>
        <w:ind w:left="0" w:firstLine="0"/>
        <w:jc w:val="both"/>
        <w:rPr>
          <w:rFonts w:cs="Times New Roman"/>
          <w:noProof/>
          <w:sz w:val="24"/>
        </w:rPr>
      </w:pPr>
      <w:r>
        <w:rPr>
          <w:sz w:val="24"/>
        </w:rPr>
        <w:t>17. Savienības pilsoņa statuss un aizsardzība, kas no tā izriet, tiek analizēti izdošanas lūguma saņemšanas dienā, neatkarīgi no tā, kurā datumā izdarīts pārkāpums.</w:t>
      </w:r>
    </w:p>
    <w:p w14:paraId="34091566" w14:textId="77777777" w:rsidR="00E62C1C" w:rsidRPr="00E62C1C" w:rsidRDefault="00E62C1C" w:rsidP="00887CF5">
      <w:pPr>
        <w:widowControl/>
        <w:jc w:val="both"/>
        <w:rPr>
          <w:rFonts w:ascii="Times New Roman" w:eastAsia="Times New Roman" w:hAnsi="Times New Roman" w:cs="Times New Roman"/>
          <w:noProof/>
          <w:sz w:val="24"/>
          <w:szCs w:val="20"/>
        </w:rPr>
      </w:pPr>
    </w:p>
    <w:p w14:paraId="5B86AB9E" w14:textId="77777777" w:rsidR="00E62C1C" w:rsidRPr="00E62C1C" w:rsidRDefault="00887CF5" w:rsidP="00887CF5">
      <w:pPr>
        <w:pStyle w:val="BodyText"/>
        <w:widowControl/>
        <w:tabs>
          <w:tab w:val="left" w:pos="651"/>
        </w:tabs>
        <w:ind w:left="0" w:firstLine="0"/>
        <w:jc w:val="both"/>
        <w:rPr>
          <w:rFonts w:cs="Times New Roman"/>
          <w:noProof/>
          <w:sz w:val="24"/>
        </w:rPr>
      </w:pPr>
      <w:r>
        <w:rPr>
          <w:sz w:val="24"/>
        </w:rPr>
        <w:t>18. Līdz ar to mēs uzskatām, ka uz pirmo prejudiciālo jautājumu ir jāatbild tādējādi, ka principi, kas izriet no sprieduma Petruhina lietā, attiecībā uz LESD 18. un 21. panta piemērošanu lietā saistībā ar Savienības pilsoņa izdošanas lūgumu, ko iesniegusi trešā valsts, ir piemērojami arī tad, ja attiecīgā persona ir ieguvusi Savienības pilsonību pēc pārcelšanās uz lūguma saņēmēju dalībvalsti un ja laikā, kad tika iesniegts izdošanas lūgums, šai personai bija Savienības pilsonība.</w:t>
      </w:r>
    </w:p>
    <w:p w14:paraId="5872A3C3" w14:textId="77777777" w:rsidR="00E62C1C" w:rsidRPr="00E62C1C" w:rsidRDefault="00E62C1C" w:rsidP="00E62C1C">
      <w:pPr>
        <w:widowControl/>
        <w:jc w:val="both"/>
        <w:rPr>
          <w:rFonts w:ascii="Times New Roman" w:eastAsia="Times New Roman" w:hAnsi="Times New Roman" w:cs="Times New Roman"/>
          <w:noProof/>
          <w:sz w:val="24"/>
          <w:szCs w:val="24"/>
        </w:rPr>
      </w:pPr>
    </w:p>
    <w:p w14:paraId="4101681A" w14:textId="77777777" w:rsidR="00E62C1C" w:rsidRPr="00E62C1C" w:rsidRDefault="00887CF5" w:rsidP="00887CF5">
      <w:pPr>
        <w:pStyle w:val="Heading1"/>
        <w:widowControl/>
        <w:tabs>
          <w:tab w:val="left" w:pos="1218"/>
        </w:tabs>
        <w:ind w:left="0"/>
        <w:jc w:val="both"/>
        <w:rPr>
          <w:rFonts w:cs="Times New Roman"/>
          <w:noProof/>
          <w:sz w:val="24"/>
        </w:rPr>
      </w:pPr>
      <w:bookmarkStart w:id="21" w:name="_Toc32416597"/>
      <w:r>
        <w:rPr>
          <w:sz w:val="24"/>
        </w:rPr>
        <w:t>B. Par otro prejudiciālo jautājumu</w:t>
      </w:r>
      <w:bookmarkStart w:id="22" w:name="_bookmark6"/>
      <w:bookmarkEnd w:id="22"/>
      <w:bookmarkEnd w:id="21"/>
    </w:p>
    <w:p w14:paraId="6E037560" w14:textId="77777777" w:rsidR="00E62C1C" w:rsidRPr="00E62C1C" w:rsidRDefault="00E62C1C" w:rsidP="00E62C1C">
      <w:pPr>
        <w:widowControl/>
        <w:jc w:val="both"/>
        <w:rPr>
          <w:rFonts w:ascii="Times New Roman" w:eastAsia="Times New Roman" w:hAnsi="Times New Roman" w:cs="Times New Roman"/>
          <w:b/>
          <w:bCs/>
          <w:noProof/>
          <w:sz w:val="24"/>
          <w:szCs w:val="20"/>
        </w:rPr>
      </w:pPr>
    </w:p>
    <w:p w14:paraId="15BACC1A" w14:textId="77777777" w:rsidR="00E62C1C" w:rsidRPr="00E62C1C" w:rsidRDefault="00516F8A" w:rsidP="00516F8A">
      <w:pPr>
        <w:pStyle w:val="BodyText"/>
        <w:widowControl/>
        <w:tabs>
          <w:tab w:val="left" w:pos="651"/>
        </w:tabs>
        <w:ind w:left="0" w:firstLine="0"/>
        <w:jc w:val="both"/>
        <w:rPr>
          <w:rFonts w:cs="Times New Roman"/>
          <w:noProof/>
          <w:sz w:val="24"/>
        </w:rPr>
      </w:pPr>
      <w:r>
        <w:rPr>
          <w:sz w:val="24"/>
        </w:rPr>
        <w:t>19. Ar otro jautājumu iesniedzējtiesa vēlas būtībā noskaidrot, vai, pamatojoties uz spriedumu Petruhina lietā, izcelsmes dalībvalstij, ir pienākums prasīt, lai trešā valsts, kas ir lūguma iesniedzēja, pārsūta izcelsmes dalībvalstij lietu, lai tā izvērtētu iespēju pašai veikt kriminālvajāšanu.</w:t>
      </w:r>
    </w:p>
    <w:p w14:paraId="3A34CE66" w14:textId="77777777" w:rsidR="00E62C1C" w:rsidRPr="00E62C1C" w:rsidRDefault="00E62C1C" w:rsidP="00516F8A">
      <w:pPr>
        <w:widowControl/>
        <w:jc w:val="both"/>
        <w:rPr>
          <w:rFonts w:ascii="Times New Roman" w:eastAsia="Times New Roman" w:hAnsi="Times New Roman" w:cs="Times New Roman"/>
          <w:noProof/>
          <w:sz w:val="24"/>
          <w:szCs w:val="20"/>
        </w:rPr>
      </w:pPr>
    </w:p>
    <w:p w14:paraId="16DEE770" w14:textId="77777777" w:rsidR="00E62C1C" w:rsidRPr="00E62C1C" w:rsidRDefault="00516F8A" w:rsidP="00516F8A">
      <w:pPr>
        <w:pStyle w:val="BodyText"/>
        <w:widowControl/>
        <w:tabs>
          <w:tab w:val="left" w:pos="651"/>
        </w:tabs>
        <w:ind w:left="0" w:firstLine="0"/>
        <w:jc w:val="both"/>
        <w:rPr>
          <w:rFonts w:cs="Times New Roman"/>
          <w:noProof/>
          <w:sz w:val="24"/>
        </w:rPr>
      </w:pPr>
      <w:r>
        <w:rPr>
          <w:sz w:val="24"/>
        </w:rPr>
        <w:t>20. Tādējādi, ņemot vērā mūsu norādīto šo apsvērumu 9.–16. punktā, kur izklāstījām, kādu iemeslu dēļ mēs uzskatām, ka spriedumā Petruhina lietā minētie principi ir piemērojami arī gadījumā, ja persona, kuru lūgts izdot, ir ieguvusi Savienības pilsonību pēc interešu centra izveidošanas lūguma saņēmējā dalībvalstī, mēs tagad izvērtēsim, kādas ir dalībvalstu saistības, pamatojoties uz minētajiem principiem.</w:t>
      </w:r>
    </w:p>
    <w:p w14:paraId="00617900" w14:textId="77777777" w:rsidR="00E62C1C" w:rsidRPr="00E62C1C" w:rsidRDefault="00E62C1C" w:rsidP="00516F8A">
      <w:pPr>
        <w:widowControl/>
        <w:jc w:val="both"/>
        <w:rPr>
          <w:rFonts w:ascii="Times New Roman" w:eastAsia="Times New Roman" w:hAnsi="Times New Roman" w:cs="Times New Roman"/>
          <w:noProof/>
          <w:sz w:val="24"/>
          <w:szCs w:val="20"/>
        </w:rPr>
      </w:pPr>
    </w:p>
    <w:p w14:paraId="366BA927" w14:textId="77777777" w:rsidR="00E62C1C" w:rsidRPr="00E62C1C" w:rsidRDefault="00516F8A" w:rsidP="00516F8A">
      <w:pPr>
        <w:pStyle w:val="BodyText"/>
        <w:widowControl/>
        <w:tabs>
          <w:tab w:val="left" w:pos="651"/>
        </w:tabs>
        <w:ind w:left="0" w:firstLine="0"/>
        <w:jc w:val="both"/>
        <w:rPr>
          <w:rFonts w:cs="Times New Roman"/>
          <w:noProof/>
          <w:sz w:val="24"/>
        </w:rPr>
      </w:pPr>
      <w:r>
        <w:rPr>
          <w:sz w:val="24"/>
        </w:rPr>
        <w:t xml:space="preserve">21. Atzīmējam, ka sprieduma Petruhina lietā 50. punktā Tiesa ir norādījusi, ka “LESD 18. un 21. pants ir jāinterpretē tādējādi, ka gadījumā, ja dalībvalsts, uz kuru ir pārvietojies Savienības pilsonis, kurš ir kādas citas dalībvalsts pilsonis, ir saņēmusi tādas trešās valsts izdošanas lūgumu, ar kuru pirmā dalībvalsts ir noslēgusi izdošanas līgumu, tai ir </w:t>
      </w:r>
      <w:r>
        <w:rPr>
          <w:b/>
          <w:bCs/>
          <w:sz w:val="24"/>
        </w:rPr>
        <w:t>pienākums informēt</w:t>
      </w:r>
      <w:r>
        <w:rPr>
          <w:sz w:val="24"/>
        </w:rPr>
        <w:t xml:space="preserve"> dalībvalsti, kuras pilsonība ir minētajam pilsonim, un </w:t>
      </w:r>
      <w:r>
        <w:rPr>
          <w:b/>
          <w:bCs/>
          <w:sz w:val="24"/>
        </w:rPr>
        <w:t>attiecīgā gadījumā pēc</w:t>
      </w:r>
      <w:r>
        <w:rPr>
          <w:sz w:val="24"/>
        </w:rPr>
        <w:t xml:space="preserve"> šīs pēdējās dalībvalsts </w:t>
      </w:r>
      <w:r>
        <w:rPr>
          <w:b/>
          <w:bCs/>
          <w:sz w:val="24"/>
        </w:rPr>
        <w:t>lūguma</w:t>
      </w:r>
      <w:r>
        <w:rPr>
          <w:sz w:val="24"/>
        </w:rPr>
        <w:t xml:space="preserve"> nodot tai minēto pilsoni atbilstoši Pamatlēmuma 2002/584 noteikumiem, ar nosacījumu, ka šai dalībvalstij atbilstoši tās valsts tiesībām ir kompetence veikt kriminālvajāšanu attiecībā uz šo personu par ārpus tās valsts teritorijas izdarītajiem nodarījumiem.” (izcēlums pievienots)</w:t>
      </w:r>
    </w:p>
    <w:p w14:paraId="5B4500D4" w14:textId="77777777" w:rsidR="00E62C1C" w:rsidRPr="00E62C1C" w:rsidRDefault="00E62C1C" w:rsidP="00516F8A">
      <w:pPr>
        <w:widowControl/>
        <w:jc w:val="both"/>
        <w:rPr>
          <w:rFonts w:ascii="Times New Roman" w:eastAsia="Times New Roman" w:hAnsi="Times New Roman" w:cs="Times New Roman"/>
          <w:noProof/>
          <w:sz w:val="24"/>
          <w:szCs w:val="20"/>
        </w:rPr>
      </w:pPr>
    </w:p>
    <w:p w14:paraId="013DAE12" w14:textId="77777777" w:rsidR="00E62C1C" w:rsidRPr="00E62C1C" w:rsidRDefault="00516F8A" w:rsidP="00516F8A">
      <w:pPr>
        <w:pStyle w:val="BodyText"/>
        <w:widowControl/>
        <w:tabs>
          <w:tab w:val="left" w:pos="651"/>
        </w:tabs>
        <w:ind w:left="0" w:firstLine="0"/>
        <w:jc w:val="both"/>
        <w:rPr>
          <w:rFonts w:cs="Times New Roman"/>
          <w:noProof/>
          <w:sz w:val="24"/>
        </w:rPr>
      </w:pPr>
      <w:r>
        <w:rPr>
          <w:sz w:val="24"/>
        </w:rPr>
        <w:t xml:space="preserve">22. No judikatūras Petruhina lietā izriet, ka lūguma saņēmējai dalībvalstij par izdošanas lūgumu ir jāinformē dalībvalsts, kuras pilsonis ir attiecīgā persona, un vajadzības gadījumā jānodod tai attiecīgā persona, taču nekādā gadījumā nav jāsecina, ka dalībvalstij, kuras pilsonis ir attiecīgā persona, ir jāuzņemas saistības </w:t>
      </w:r>
      <w:r>
        <w:rPr>
          <w:b/>
          <w:bCs/>
          <w:sz w:val="24"/>
          <w:highlight w:val="lightGray"/>
        </w:rPr>
        <w:t xml:space="preserve">[oriģ. 8. lpp.] </w:t>
      </w:r>
      <w:r>
        <w:rPr>
          <w:sz w:val="24"/>
        </w:rPr>
        <w:t>(piemēram, pienākums prasīt nogādāt tai šo personu vai lūgt kādu informāciju valstij, kas ir lūguma iesniedzēja).</w:t>
      </w:r>
    </w:p>
    <w:p w14:paraId="364B8EFA" w14:textId="77777777" w:rsidR="00E62C1C" w:rsidRPr="00E62C1C" w:rsidRDefault="00E62C1C" w:rsidP="00E62C1C">
      <w:pPr>
        <w:widowControl/>
        <w:jc w:val="both"/>
        <w:rPr>
          <w:rFonts w:ascii="Times New Roman" w:eastAsia="Times New Roman" w:hAnsi="Times New Roman" w:cs="Times New Roman"/>
          <w:noProof/>
          <w:sz w:val="24"/>
          <w:szCs w:val="20"/>
        </w:rPr>
      </w:pPr>
    </w:p>
    <w:p w14:paraId="0BB8EDA2" w14:textId="77777777" w:rsidR="00E62C1C" w:rsidRPr="00E62C1C" w:rsidRDefault="00516F8A" w:rsidP="00516F8A">
      <w:pPr>
        <w:pStyle w:val="BodyText"/>
        <w:widowControl/>
        <w:tabs>
          <w:tab w:val="left" w:pos="651"/>
        </w:tabs>
        <w:ind w:left="0" w:firstLine="0"/>
        <w:jc w:val="both"/>
        <w:rPr>
          <w:rFonts w:cs="Times New Roman"/>
          <w:noProof/>
          <w:sz w:val="24"/>
        </w:rPr>
      </w:pPr>
      <w:r>
        <w:rPr>
          <w:sz w:val="24"/>
        </w:rPr>
        <w:t>23. Šādu secinājumu var izdarīt, pamatojoties arī uz apsvērumiem, ko Tiesa sniegusi šā paša sprieduma 48. un 49. punktā, saskaņā ar kuriem būtībā:</w:t>
      </w:r>
    </w:p>
    <w:p w14:paraId="50811281" w14:textId="77777777" w:rsidR="00E62C1C" w:rsidRPr="00E62C1C" w:rsidRDefault="00E62C1C" w:rsidP="00E62C1C">
      <w:pPr>
        <w:widowControl/>
        <w:jc w:val="both"/>
        <w:rPr>
          <w:rFonts w:ascii="Times New Roman" w:eastAsia="Times New Roman" w:hAnsi="Times New Roman" w:cs="Times New Roman"/>
          <w:noProof/>
          <w:sz w:val="24"/>
          <w:szCs w:val="20"/>
        </w:rPr>
      </w:pPr>
    </w:p>
    <w:p w14:paraId="02AFB09D" w14:textId="77777777" w:rsidR="00E62C1C" w:rsidRPr="00E62C1C" w:rsidRDefault="00516F8A" w:rsidP="00516F8A">
      <w:pPr>
        <w:pStyle w:val="BodyText"/>
        <w:widowControl/>
        <w:tabs>
          <w:tab w:val="left" w:pos="936"/>
        </w:tabs>
        <w:ind w:left="0" w:firstLine="0"/>
        <w:jc w:val="both"/>
        <w:rPr>
          <w:rFonts w:cs="Times New Roman"/>
          <w:noProof/>
          <w:sz w:val="24"/>
        </w:rPr>
      </w:pPr>
      <w:r>
        <w:rPr>
          <w:sz w:val="24"/>
        </w:rPr>
        <w:t xml:space="preserve">- ir jādod priekšroka informācijas apmaiņai ar dalībvalsti, kuras pilsonība ir attiecīgajai personai, lai sniegtu šīs dalībvalsts iestādēm, ciktāl tām atbilstoši to valsts tiesībām ir kompetence veikt šīs personas kriminālvajāšanu par ārpus valsts teritorijas izdarītajiem nodarījumiem, </w:t>
      </w:r>
      <w:r>
        <w:rPr>
          <w:sz w:val="24"/>
          <w:u w:val="single"/>
        </w:rPr>
        <w:t>iespēju izdot Eiropas apcietināšanas orderi</w:t>
      </w:r>
      <w:r>
        <w:rPr>
          <w:sz w:val="24"/>
        </w:rPr>
        <w:t xml:space="preserve"> kriminālvajāšanas veikšanai;</w:t>
      </w:r>
    </w:p>
    <w:p w14:paraId="29173108" w14:textId="77777777" w:rsidR="00E62C1C" w:rsidRPr="00E62C1C" w:rsidRDefault="00E62C1C" w:rsidP="00E62C1C">
      <w:pPr>
        <w:widowControl/>
        <w:jc w:val="both"/>
        <w:rPr>
          <w:rFonts w:ascii="Times New Roman" w:eastAsia="Times New Roman" w:hAnsi="Times New Roman" w:cs="Times New Roman"/>
          <w:noProof/>
          <w:sz w:val="24"/>
          <w:szCs w:val="20"/>
        </w:rPr>
      </w:pPr>
    </w:p>
    <w:p w14:paraId="79C0CA02" w14:textId="77777777" w:rsidR="00E62C1C" w:rsidRPr="00E62C1C" w:rsidRDefault="00A217E2" w:rsidP="00A217E2">
      <w:pPr>
        <w:pStyle w:val="BodyText"/>
        <w:widowControl/>
        <w:tabs>
          <w:tab w:val="left" w:pos="936"/>
        </w:tabs>
        <w:ind w:left="0" w:firstLine="0"/>
        <w:jc w:val="both"/>
        <w:rPr>
          <w:rFonts w:cs="Times New Roman"/>
          <w:noProof/>
          <w:sz w:val="24"/>
        </w:rPr>
      </w:pPr>
      <w:r>
        <w:rPr>
          <w:sz w:val="24"/>
        </w:rPr>
        <w:t xml:space="preserve">- Pamatlēmuma [2002/584] 1. panta 1. un 2. punktā nav izslēgta dalībvalsts, kuras pilsonība ir iespējamajam noziedzīga nodarījuma izdarītājam, </w:t>
      </w:r>
      <w:r>
        <w:rPr>
          <w:sz w:val="24"/>
          <w:u w:val="single"/>
        </w:rPr>
        <w:t>iespēja</w:t>
      </w:r>
      <w:r>
        <w:rPr>
          <w:sz w:val="24"/>
        </w:rPr>
        <w:t xml:space="preserve"> izdot Eiropas apcietināšanas orderi šīs personas nodošanai kriminālvajāšanai;</w:t>
      </w:r>
    </w:p>
    <w:p w14:paraId="7412B838" w14:textId="77777777" w:rsidR="00E62C1C" w:rsidRPr="00E62C1C" w:rsidRDefault="00E62C1C" w:rsidP="00E62C1C">
      <w:pPr>
        <w:widowControl/>
        <w:jc w:val="both"/>
        <w:rPr>
          <w:rFonts w:ascii="Times New Roman" w:hAnsi="Times New Roman" w:cs="Times New Roman"/>
          <w:noProof/>
          <w:sz w:val="24"/>
        </w:rPr>
      </w:pPr>
    </w:p>
    <w:p w14:paraId="0D32222D" w14:textId="77777777" w:rsidR="00E62C1C" w:rsidRPr="00E62C1C" w:rsidRDefault="00A217E2" w:rsidP="00A217E2">
      <w:pPr>
        <w:pStyle w:val="BodyText"/>
        <w:widowControl/>
        <w:tabs>
          <w:tab w:val="left" w:pos="936"/>
        </w:tabs>
        <w:ind w:left="0" w:firstLine="0"/>
        <w:jc w:val="both"/>
        <w:rPr>
          <w:rFonts w:cs="Times New Roman"/>
          <w:noProof/>
          <w:sz w:val="24"/>
        </w:rPr>
      </w:pPr>
      <w:r>
        <w:rPr>
          <w:sz w:val="24"/>
        </w:rPr>
        <w:t xml:space="preserve">- šādi sadarbojoties ar dalībvalsti, kuras pilsonība ir attiecīgajai personai, un dodot priekšroku šim </w:t>
      </w:r>
      <w:r>
        <w:rPr>
          <w:sz w:val="24"/>
          <w:u w:val="single"/>
        </w:rPr>
        <w:t>iespējamajam</w:t>
      </w:r>
      <w:r>
        <w:rPr>
          <w:sz w:val="24"/>
        </w:rPr>
        <w:t xml:space="preserve"> apcietināšanas orderim salīdzinājumā ar izdošanas lūgumu, uzņemošā </w:t>
      </w:r>
      <w:r>
        <w:rPr>
          <w:sz w:val="24"/>
        </w:rPr>
        <w:lastRenderedPageBreak/>
        <w:t>dalībvalsts rīkojas veidā, kas mazāk ietekmē tiesību brīvi pārvietoties izmantošanu, vienlaicīgi, cik vien iespējams, izvairoties no riska, ka nodarījums, saistībā ar kuru ir uzsākta kriminālvajāšana, varētu palikt nesodīts.</w:t>
      </w:r>
    </w:p>
    <w:p w14:paraId="5755C621" w14:textId="77777777" w:rsidR="00E62C1C" w:rsidRPr="00E62C1C" w:rsidRDefault="00E62C1C" w:rsidP="00E62C1C">
      <w:pPr>
        <w:widowControl/>
        <w:jc w:val="both"/>
        <w:rPr>
          <w:rFonts w:ascii="Times New Roman" w:eastAsia="Times New Roman" w:hAnsi="Times New Roman" w:cs="Times New Roman"/>
          <w:noProof/>
          <w:sz w:val="24"/>
          <w:szCs w:val="20"/>
        </w:rPr>
      </w:pPr>
    </w:p>
    <w:p w14:paraId="109EB928" w14:textId="77777777" w:rsidR="00E62C1C" w:rsidRPr="00E62C1C" w:rsidRDefault="00A217E2" w:rsidP="00A217E2">
      <w:pPr>
        <w:pStyle w:val="BodyText"/>
        <w:widowControl/>
        <w:tabs>
          <w:tab w:val="left" w:pos="651"/>
        </w:tabs>
        <w:ind w:left="0" w:firstLine="0"/>
        <w:jc w:val="both"/>
        <w:rPr>
          <w:rFonts w:cs="Times New Roman"/>
          <w:noProof/>
          <w:sz w:val="24"/>
        </w:rPr>
      </w:pPr>
      <w:r>
        <w:rPr>
          <w:sz w:val="24"/>
        </w:rPr>
        <w:t>24. Mēs uzskatām, ka, uzliekot lūguma iesniedzējai dalībvalstij pienākumu informēt dalībvalsti, kuras pilsonība ir attiecīgajai personai, tiek atrisinātas bažas saistībā ar Savienības pilsoņa aizsardzību pret pasākumiem, kas var liegt brīvas pārvietošanās un uzturēšanās tiesības, vienlaikus, īstenojot sadarbības mehānismus krimināllietās saskaņā ar Savienības tiesībām, tiek apkarota izvairīšanās no soda par noziedzīgiem nodarījumiem. Tikai tādā veidā dalībvalsts, ņemot vērā elementus, kurus tā uzskata par svarīgiem šajā ziņā, var izvērtēt, vai ir jāizdod Eiropas apcietināšanas orderis. Šie elementi var būt dažādi, piemēram, vai attiecīgajai valstij saskaņā ar valsts tiesību aktiem ir kompetence saukt pie atbildības attiecīgo personu un vai elementi ir pietiekami, lai pamatotu kriminālvajāšanas lietu, ievērojot attiecīgās personas tiesības.</w:t>
      </w:r>
    </w:p>
    <w:p w14:paraId="3431ECDA" w14:textId="77777777" w:rsidR="00E62C1C" w:rsidRPr="00E62C1C" w:rsidRDefault="00E62C1C" w:rsidP="00E62C1C">
      <w:pPr>
        <w:widowControl/>
        <w:jc w:val="both"/>
        <w:rPr>
          <w:rFonts w:ascii="Times New Roman" w:eastAsia="Times New Roman" w:hAnsi="Times New Roman" w:cs="Times New Roman"/>
          <w:noProof/>
          <w:sz w:val="24"/>
          <w:szCs w:val="20"/>
        </w:rPr>
      </w:pPr>
    </w:p>
    <w:p w14:paraId="7A583F4F" w14:textId="77777777" w:rsidR="00E62C1C" w:rsidRPr="00E62C1C" w:rsidRDefault="00A217E2" w:rsidP="00A217E2">
      <w:pPr>
        <w:pStyle w:val="BodyText"/>
        <w:widowControl/>
        <w:tabs>
          <w:tab w:val="left" w:pos="651"/>
        </w:tabs>
        <w:ind w:left="0" w:firstLine="0"/>
        <w:jc w:val="both"/>
        <w:rPr>
          <w:rFonts w:cs="Times New Roman"/>
          <w:noProof/>
          <w:sz w:val="24"/>
        </w:rPr>
      </w:pPr>
      <w:r>
        <w:rPr>
          <w:sz w:val="24"/>
        </w:rPr>
        <w:t>25. Kā to bija secinājusi arī iesniedzējtiesa (lūguma sniegt prejudiciālu nolēmumu 6. punktā), Rumānijas Tieslietu ministrija, sazinoties ar Vācijas iestādēm, jo īpaši norādīja, ka, lai izdotu valsts apcietināšanas orderi (kā priekšnosacījumu Eiropas apcietināšanas ordera izdošanai</w:t>
      </w:r>
      <w:r>
        <w:rPr>
          <w:rStyle w:val="FootnoteReference"/>
          <w:rFonts w:cs="Times New Roman"/>
          <w:noProof/>
          <w:sz w:val="24"/>
        </w:rPr>
        <w:footnoteReference w:id="15"/>
      </w:r>
      <w:r>
        <w:rPr>
          <w:sz w:val="24"/>
        </w:rPr>
        <w:t>), ir nepieciešami pierādījumi.</w:t>
      </w:r>
      <w:r>
        <w:rPr>
          <w:rStyle w:val="FootnoteReference"/>
          <w:rFonts w:cs="Times New Roman"/>
          <w:noProof/>
          <w:sz w:val="24"/>
        </w:rPr>
        <w:footnoteReference w:id="16"/>
      </w:r>
      <w:r>
        <w:rPr>
          <w:sz w:val="24"/>
        </w:rPr>
        <w:t xml:space="preserve"> Tomēr </w:t>
      </w:r>
      <w:r>
        <w:rPr>
          <w:b/>
          <w:bCs/>
          <w:sz w:val="24"/>
          <w:highlight w:val="lightGray"/>
        </w:rPr>
        <w:t xml:space="preserve">[oriģ. 9. lpp.] </w:t>
      </w:r>
      <w:r>
        <w:rPr>
          <w:sz w:val="24"/>
        </w:rPr>
        <w:t>Rumānijas kompetentās iestādes nebija saņēmušas pietiekamus datus, lai pieņemtu lēmumu saistībā ar apcietināšanas ordera izdošanu par lūgumā izdot B. Y. minētajiem nodarījumiem (nodarījumiem, kas izdarīti pirms Rumānijas pilsonības iegūšanas un kas nav saistīti ar Rumāniju).</w:t>
      </w:r>
    </w:p>
    <w:p w14:paraId="2681AAEB" w14:textId="77777777" w:rsidR="00E62C1C" w:rsidRPr="00E62C1C" w:rsidRDefault="00E62C1C" w:rsidP="00A217E2">
      <w:pPr>
        <w:widowControl/>
        <w:jc w:val="both"/>
        <w:rPr>
          <w:rFonts w:ascii="Times New Roman" w:eastAsia="Times New Roman" w:hAnsi="Times New Roman" w:cs="Times New Roman"/>
          <w:noProof/>
          <w:sz w:val="24"/>
          <w:szCs w:val="20"/>
        </w:rPr>
      </w:pPr>
    </w:p>
    <w:p w14:paraId="5786BE87" w14:textId="77777777" w:rsidR="00E62C1C" w:rsidRPr="00E62C1C" w:rsidRDefault="00A217E2" w:rsidP="00A217E2">
      <w:pPr>
        <w:pStyle w:val="BodyText"/>
        <w:widowControl/>
        <w:tabs>
          <w:tab w:val="left" w:pos="651"/>
        </w:tabs>
        <w:ind w:left="0" w:firstLine="0"/>
        <w:jc w:val="both"/>
        <w:rPr>
          <w:rFonts w:cs="Times New Roman"/>
          <w:noProof/>
          <w:sz w:val="24"/>
        </w:rPr>
      </w:pPr>
      <w:r>
        <w:rPr>
          <w:sz w:val="24"/>
        </w:rPr>
        <w:t>26. Turklāt praktisku problēmu esamība šādās situācijās tika uzsvērta arī Komisijas organizētajā sanāksmē, kas ekspertu līmenī notika 2017. gada 17. oktobrī jautājumā par Eiropas apcietināšanas orderi un kurā tika apspriests arī spriedums Petruhina lietā. Šajās diskusijās tika secināts: i) ka daudzās situācijās dalībvalstis nav izdevušas Eiropas apcietināšanas orderi, jo uzskatījušas, ka tām nav pietiekamu pierādījumu, lai uzsāktu vai turpinātu kriminālvajāšanu dalībvalstī, kuras pilsonis ir attiecīgā persona; ii) ka līdz attiecīgajam laikam nav bijis gadījumu, kuros, piemērojot sprieduma Petruhina lietā sniegtos principus, dalībvalsts, kuras pilsonis ir attiecīgā persona, būtu izdevusi Eiropas apcietināšanas orderi.</w:t>
      </w:r>
    </w:p>
    <w:p w14:paraId="674833FB" w14:textId="77777777" w:rsidR="00E62C1C" w:rsidRPr="00E62C1C" w:rsidRDefault="00E62C1C" w:rsidP="00E62C1C">
      <w:pPr>
        <w:widowControl/>
        <w:jc w:val="both"/>
        <w:rPr>
          <w:rFonts w:ascii="Times New Roman" w:eastAsia="Times New Roman" w:hAnsi="Times New Roman" w:cs="Times New Roman"/>
          <w:noProof/>
          <w:sz w:val="24"/>
          <w:szCs w:val="24"/>
        </w:rPr>
      </w:pPr>
    </w:p>
    <w:p w14:paraId="57FF1673" w14:textId="77777777" w:rsidR="00E62C1C" w:rsidRPr="00E62C1C" w:rsidRDefault="00A217E2" w:rsidP="00A217E2">
      <w:pPr>
        <w:pStyle w:val="BodyText"/>
        <w:widowControl/>
        <w:tabs>
          <w:tab w:val="left" w:pos="651"/>
        </w:tabs>
        <w:ind w:left="0" w:firstLine="0"/>
        <w:jc w:val="both"/>
        <w:rPr>
          <w:rFonts w:cs="Times New Roman"/>
          <w:b/>
          <w:bCs/>
          <w:noProof/>
          <w:sz w:val="24"/>
        </w:rPr>
      </w:pPr>
      <w:r>
        <w:rPr>
          <w:sz w:val="24"/>
        </w:rPr>
        <w:t xml:space="preserve">27. Mēs domājam, ka šīs grūtības ne vienmēr var pārvarēt tādos gadījumos, kad dalībvalsts, kuras pilsonis ir attiecīgā persona, sazinās ar trešo valsti, kas ir lūguma iesniedzēja, lai lūgtu tai informāciju procedūras atsākšanas nolūkā. Ja uzskatītu, ka dalībvalstij, kuras pilsonis ir attiecīgā persona, ir pienākums rīkoties attiecībā pret trešo valsti, lai īstenotu kriminālvajāšanu, tas radītu juridiska instrumenta problēmu, kas varētu rasties attiecībās ar trešo valsti tādā ziņā, ka Tiesas judikatūra (spriedums Petruhina lietā) nebūtu izpildāma valstīs, kas nav Savienības dalībvalstis. Protams, vienošanās neesamība nevar liegt uzsākt saraksti ar trešo valsti, jo var atsaukties uz nāciju savstarpējo tiesību atzīšanu un savstarpīgumu, bet nevar garantēt, ka atbilde tiks saņemta saprātīgā termiņā (vai pat ka tiks saņemta vienkārša atbilde) vai ka trešā valsts būs gatava sadarboties ar dalībvalsti, kuras pilsonis ir attiecīgā persona, un jo īpaši, ka tā būs gatava </w:t>
      </w:r>
      <w:r>
        <w:rPr>
          <w:sz w:val="24"/>
          <w:u w:val="single"/>
        </w:rPr>
        <w:t>nodot savas tiesu varas kompetences dalībvalstij, kuras pilsonis ir attiecīgā persona</w:t>
      </w:r>
      <w:r>
        <w:rPr>
          <w:sz w:val="24"/>
        </w:rPr>
        <w:t xml:space="preserve">. Tomēr, ja divu valstu savstarpējās saziņas laikā persona, kuru lūgts izdot, atrodas apcietinājumā, ir arī jānodrošina, lai apcietinājuma termiņš nebūtu pārmērīgi ilgs. Šādā kontekstā mēs uzskatām, ka </w:t>
      </w:r>
      <w:r>
        <w:rPr>
          <w:sz w:val="24"/>
          <w:u w:val="single"/>
        </w:rPr>
        <w:t>pienākums</w:t>
      </w:r>
      <w:r>
        <w:rPr>
          <w:sz w:val="24"/>
        </w:rPr>
        <w:t xml:space="preserve"> dalībvalstij, kuras pilsonis </w:t>
      </w:r>
      <w:r>
        <w:rPr>
          <w:sz w:val="24"/>
        </w:rPr>
        <w:lastRenderedPageBreak/>
        <w:t xml:space="preserve">ir attiecīgā persona, sazināties ar trešo valsti, kas ir lūguma iesniedzēja, lai pārņemtu procedūru, varētu aizkavēt un paildzināt lēmuma pieņemšanu par Eiropas apcietinājuma ordera izdošanu tādos apstākļos, kad dalībvalstij, kuras pilsonis ir attiecīgā persona, ir dots salīdzinoši īss termiņš (dažas nedēļas), lai atbildētu lūguma iesniedzējai dalībvalstij. </w:t>
      </w:r>
      <w:r>
        <w:rPr>
          <w:b/>
          <w:bCs/>
          <w:sz w:val="24"/>
          <w:highlight w:val="lightGray"/>
        </w:rPr>
        <w:t>[oriģ. 10. lpp.]</w:t>
      </w:r>
    </w:p>
    <w:p w14:paraId="700D13B0" w14:textId="77777777" w:rsidR="00E62C1C" w:rsidRPr="00E62C1C" w:rsidRDefault="00E62C1C" w:rsidP="00E62C1C">
      <w:pPr>
        <w:widowControl/>
        <w:jc w:val="both"/>
        <w:rPr>
          <w:rFonts w:cs="Times New Roman"/>
          <w:b/>
          <w:bCs/>
          <w:noProof/>
          <w:sz w:val="24"/>
        </w:rPr>
      </w:pPr>
    </w:p>
    <w:p w14:paraId="40B945F1" w14:textId="77777777" w:rsidR="00E62C1C" w:rsidRPr="00E62C1C" w:rsidRDefault="00A217E2" w:rsidP="00A217E2">
      <w:pPr>
        <w:pStyle w:val="BodyText"/>
        <w:widowControl/>
        <w:tabs>
          <w:tab w:val="left" w:pos="651"/>
        </w:tabs>
        <w:ind w:left="0" w:firstLine="0"/>
        <w:jc w:val="both"/>
        <w:rPr>
          <w:rFonts w:cs="Times New Roman"/>
          <w:noProof/>
          <w:sz w:val="24"/>
        </w:rPr>
      </w:pPr>
      <w:r>
        <w:rPr>
          <w:sz w:val="24"/>
        </w:rPr>
        <w:t xml:space="preserve">28. Tādējādi spriedums Petruhina lietā nozīmē, ka lūguma saņēmēja dalībvalsts informē dalībvalsti, kuras pilsonis ir attiecīgā persona, lai pēdējā minētā valsts varētu </w:t>
      </w:r>
      <w:r>
        <w:rPr>
          <w:sz w:val="24"/>
          <w:u w:val="single"/>
        </w:rPr>
        <w:t>izvēlēties</w:t>
      </w:r>
      <w:r>
        <w:rPr>
          <w:sz w:val="24"/>
        </w:rPr>
        <w:t xml:space="preserve"> izdot vai neizdot Eiropas apcietināšanas orderi (nevis lai tai būtu pienākums sākt dialogu ar trešo valsti, lūdzot informāciju vai dokumentus).</w:t>
      </w:r>
    </w:p>
    <w:p w14:paraId="1EBD03E5" w14:textId="77777777" w:rsidR="00E62C1C" w:rsidRPr="00E62C1C" w:rsidRDefault="00E62C1C" w:rsidP="00A217E2">
      <w:pPr>
        <w:widowControl/>
        <w:jc w:val="both"/>
        <w:rPr>
          <w:rFonts w:ascii="Times New Roman" w:eastAsia="Times New Roman" w:hAnsi="Times New Roman" w:cs="Times New Roman"/>
          <w:noProof/>
          <w:sz w:val="24"/>
          <w:szCs w:val="20"/>
        </w:rPr>
      </w:pPr>
    </w:p>
    <w:p w14:paraId="544B3DC2" w14:textId="77777777" w:rsidR="00E62C1C" w:rsidRPr="00E62C1C" w:rsidRDefault="00A217E2" w:rsidP="00A217E2">
      <w:pPr>
        <w:pStyle w:val="BodyText"/>
        <w:widowControl/>
        <w:tabs>
          <w:tab w:val="left" w:pos="651"/>
        </w:tabs>
        <w:ind w:left="0" w:firstLine="0"/>
        <w:jc w:val="both"/>
        <w:rPr>
          <w:rFonts w:cs="Times New Roman"/>
          <w:noProof/>
          <w:sz w:val="24"/>
        </w:rPr>
      </w:pPr>
      <w:r>
        <w:rPr>
          <w:sz w:val="24"/>
        </w:rPr>
        <w:t>29. Ņemot vērā visu iepriekš minēto, mēs uzskatām, ka, pamatojoties uz judikatūru Petruhina lietā, izcelsmes dalībvalstij, nav pienākuma prasīt, lai trešā valsts, kas ir lūguma iesniedzēja, pārsūta izcelsmes dalībvalstij lietu, lai tā izvērtētu iespēju pašai veikt kriminālvajāšanu.</w:t>
      </w:r>
    </w:p>
    <w:p w14:paraId="658D25F3" w14:textId="1566CEFA" w:rsidR="00D237A6" w:rsidRDefault="00D237A6">
      <w:pPr>
        <w:rPr>
          <w:rFonts w:ascii="Times New Roman" w:eastAsia="Times New Roman" w:hAnsi="Times New Roman" w:cs="Times New Roman"/>
          <w:noProof/>
          <w:sz w:val="24"/>
          <w:szCs w:val="31"/>
        </w:rPr>
      </w:pPr>
      <w:r>
        <w:rPr>
          <w:rFonts w:ascii="Times New Roman" w:eastAsia="Times New Roman" w:hAnsi="Times New Roman" w:cs="Times New Roman"/>
          <w:noProof/>
          <w:sz w:val="24"/>
          <w:szCs w:val="31"/>
        </w:rPr>
        <w:br w:type="page"/>
      </w:r>
    </w:p>
    <w:p w14:paraId="241F0099" w14:textId="77777777" w:rsidR="00E62C1C" w:rsidRPr="00E62C1C" w:rsidRDefault="00E62C1C" w:rsidP="00E62C1C">
      <w:pPr>
        <w:widowControl/>
        <w:jc w:val="both"/>
        <w:rPr>
          <w:rFonts w:ascii="Times New Roman" w:eastAsia="Times New Roman" w:hAnsi="Times New Roman" w:cs="Times New Roman"/>
          <w:noProof/>
          <w:sz w:val="24"/>
          <w:szCs w:val="31"/>
        </w:rPr>
      </w:pPr>
    </w:p>
    <w:p w14:paraId="72F5B962" w14:textId="77777777" w:rsidR="00E62C1C" w:rsidRPr="00E62C1C" w:rsidRDefault="00A217E2" w:rsidP="00A217E2">
      <w:pPr>
        <w:pStyle w:val="Heading1"/>
        <w:widowControl/>
        <w:tabs>
          <w:tab w:val="left" w:pos="1218"/>
        </w:tabs>
        <w:ind w:left="0"/>
        <w:jc w:val="both"/>
        <w:rPr>
          <w:rFonts w:cs="Times New Roman"/>
          <w:noProof/>
          <w:sz w:val="24"/>
        </w:rPr>
      </w:pPr>
      <w:bookmarkStart w:id="23" w:name="_Toc32416598"/>
      <w:r>
        <w:rPr>
          <w:sz w:val="24"/>
        </w:rPr>
        <w:t>C. Par trešo prejudiciālo jautājumu</w:t>
      </w:r>
      <w:bookmarkStart w:id="24" w:name="_bookmark7"/>
      <w:bookmarkEnd w:id="24"/>
      <w:bookmarkEnd w:id="23"/>
    </w:p>
    <w:p w14:paraId="57D5EA33" w14:textId="77777777" w:rsidR="00E62C1C" w:rsidRPr="00E62C1C" w:rsidRDefault="00E62C1C" w:rsidP="00E62C1C">
      <w:pPr>
        <w:widowControl/>
        <w:jc w:val="both"/>
        <w:rPr>
          <w:rFonts w:ascii="Times New Roman" w:eastAsia="Times New Roman" w:hAnsi="Times New Roman" w:cs="Times New Roman"/>
          <w:b/>
          <w:bCs/>
          <w:noProof/>
          <w:sz w:val="24"/>
          <w:szCs w:val="20"/>
        </w:rPr>
      </w:pPr>
    </w:p>
    <w:p w14:paraId="44867B45" w14:textId="77777777" w:rsidR="00E62C1C" w:rsidRPr="00E62C1C" w:rsidRDefault="00A217E2" w:rsidP="00A217E2">
      <w:pPr>
        <w:pStyle w:val="BodyText"/>
        <w:widowControl/>
        <w:tabs>
          <w:tab w:val="left" w:pos="651"/>
        </w:tabs>
        <w:ind w:left="0" w:firstLine="0"/>
        <w:jc w:val="both"/>
        <w:rPr>
          <w:rFonts w:cs="Times New Roman"/>
          <w:noProof/>
          <w:sz w:val="24"/>
        </w:rPr>
      </w:pPr>
      <w:r>
        <w:rPr>
          <w:sz w:val="24"/>
        </w:rPr>
        <w:t>30. Ar trešo prejudiciālo jautājumu iesniedzējtiesa būtībā vēlas noskaidrot, vai dalībvalstij, kurai trešā valsts ir lūgusi izdot Savienības pilsoni, ir pienākums, pamatojoties uz spriedumu Petruhina lietā, atteikt izdošanu un pašai īstenot kriminālvajāšanu, ja saskaņā ar šīs dalībvalsts tiesību aktiem tas ir iespējams.</w:t>
      </w:r>
    </w:p>
    <w:p w14:paraId="7633F09D" w14:textId="77777777" w:rsidR="00E62C1C" w:rsidRPr="00E62C1C" w:rsidRDefault="00E62C1C" w:rsidP="00A217E2">
      <w:pPr>
        <w:widowControl/>
        <w:jc w:val="both"/>
        <w:rPr>
          <w:rFonts w:ascii="Times New Roman" w:eastAsia="Times New Roman" w:hAnsi="Times New Roman" w:cs="Times New Roman"/>
          <w:noProof/>
          <w:sz w:val="24"/>
          <w:szCs w:val="20"/>
        </w:rPr>
      </w:pPr>
    </w:p>
    <w:p w14:paraId="41A29C1D" w14:textId="77777777" w:rsidR="00E62C1C" w:rsidRPr="00E62C1C" w:rsidRDefault="00A217E2" w:rsidP="00A217E2">
      <w:pPr>
        <w:pStyle w:val="BodyText"/>
        <w:widowControl/>
        <w:tabs>
          <w:tab w:val="left" w:pos="651"/>
        </w:tabs>
        <w:ind w:left="0" w:firstLine="0"/>
        <w:jc w:val="both"/>
        <w:rPr>
          <w:rFonts w:cs="Times New Roman"/>
          <w:noProof/>
          <w:sz w:val="24"/>
        </w:rPr>
      </w:pPr>
      <w:r>
        <w:rPr>
          <w:sz w:val="24"/>
        </w:rPr>
        <w:t>31. Šajā kontekstā ir jāatzīmē, kā izriet no sprieduma Petruhina lietā 60. punkta, ka gadījumā, ja dalībvalsts ir saņēmusi trešās valsts lūgumu izdot Savienības pilsoni, šai lūguma saņēmējai dalībvalstij ir jāpārliecinās, ka ar izdošanu netiks pārkāptas Eiropas Savienības Pamattiesību hartas</w:t>
      </w:r>
      <w:r>
        <w:rPr>
          <w:rStyle w:val="FootnoteReference"/>
          <w:rFonts w:cs="Times New Roman"/>
          <w:noProof/>
          <w:sz w:val="24"/>
        </w:rPr>
        <w:footnoteReference w:id="17"/>
      </w:r>
      <w:r>
        <w:rPr>
          <w:sz w:val="24"/>
        </w:rPr>
        <w:t xml:space="preserve"> 19. pantā noteiktās tiesības.</w:t>
      </w:r>
    </w:p>
    <w:p w14:paraId="164BDFBA" w14:textId="77777777" w:rsidR="00E62C1C" w:rsidRPr="00E62C1C" w:rsidRDefault="00E62C1C" w:rsidP="00E62C1C">
      <w:pPr>
        <w:widowControl/>
        <w:jc w:val="both"/>
        <w:rPr>
          <w:rFonts w:ascii="Times New Roman" w:eastAsia="Times New Roman" w:hAnsi="Times New Roman" w:cs="Times New Roman"/>
          <w:noProof/>
          <w:sz w:val="24"/>
          <w:szCs w:val="20"/>
        </w:rPr>
      </w:pPr>
    </w:p>
    <w:p w14:paraId="77D29837" w14:textId="77777777" w:rsidR="00E62C1C" w:rsidRPr="00E62C1C" w:rsidRDefault="00A217E2" w:rsidP="00A217E2">
      <w:pPr>
        <w:pStyle w:val="BodyText"/>
        <w:widowControl/>
        <w:tabs>
          <w:tab w:val="left" w:pos="651"/>
        </w:tabs>
        <w:ind w:left="0" w:firstLine="0"/>
        <w:jc w:val="both"/>
        <w:rPr>
          <w:rFonts w:cs="Times New Roman"/>
          <w:noProof/>
          <w:sz w:val="24"/>
        </w:rPr>
      </w:pPr>
      <w:r>
        <w:rPr>
          <w:sz w:val="24"/>
        </w:rPr>
        <w:t>32. Saskaņā ar minēto 19. pantu nevienu nedrīkst pārvietot, izraidīt vai izdot kādai valstij, ja ir liela iespējamība, ka attiecīgo personu tur sodīs ar nāvi, spīdzinās vai citādi necilvēcīgi vai pazemojoši pret viņu izturēsies vai sodīs. Necilvēcīgas vai pazemojošas izturēšanās vai sodu absolūts aizliegums ir noteikts Hartas 4. pantā. Tādējādi, kā izriet no judikatūras</w:t>
      </w:r>
      <w:r>
        <w:rPr>
          <w:rStyle w:val="FootnoteReference"/>
          <w:rFonts w:cs="Times New Roman"/>
          <w:noProof/>
          <w:sz w:val="24"/>
        </w:rPr>
        <w:footnoteReference w:id="18"/>
      </w:r>
      <w:r>
        <w:rPr>
          <w:sz w:val="24"/>
        </w:rPr>
        <w:t>:</w:t>
      </w:r>
    </w:p>
    <w:p w14:paraId="65267847" w14:textId="77777777" w:rsidR="00E62C1C" w:rsidRPr="00E62C1C" w:rsidRDefault="00E62C1C" w:rsidP="00E62C1C">
      <w:pPr>
        <w:widowControl/>
        <w:jc w:val="both"/>
        <w:rPr>
          <w:rFonts w:ascii="Times New Roman" w:eastAsia="Times New Roman" w:hAnsi="Times New Roman" w:cs="Times New Roman"/>
          <w:noProof/>
          <w:sz w:val="24"/>
          <w:szCs w:val="20"/>
        </w:rPr>
      </w:pPr>
    </w:p>
    <w:p w14:paraId="0FE13734" w14:textId="77777777" w:rsidR="00E62C1C" w:rsidRPr="00E62C1C" w:rsidRDefault="00A217E2" w:rsidP="00A217E2">
      <w:pPr>
        <w:pStyle w:val="BodyText"/>
        <w:widowControl/>
        <w:tabs>
          <w:tab w:val="left" w:pos="936"/>
        </w:tabs>
        <w:ind w:left="0" w:firstLine="0"/>
        <w:jc w:val="both"/>
        <w:rPr>
          <w:rFonts w:cs="Times New Roman"/>
          <w:noProof/>
          <w:sz w:val="24"/>
        </w:rPr>
      </w:pPr>
      <w:r>
        <w:rPr>
          <w:sz w:val="24"/>
        </w:rPr>
        <w:t>- ja lūguma saņēmējas dalībvalsts kompetentās iestādes rīcībā ir ziņas, kas liecina, ka pastāv reāls necilvēcīgas vai pazemojošas izturēšanās risks pret personām lūguma iesniedzējā dalībvalstī, tai ir jāizvērtē šo risku esamība, ja ir jālemj par personas izdošanu šai valstij;</w:t>
      </w:r>
    </w:p>
    <w:p w14:paraId="4E0F7F96" w14:textId="77777777" w:rsidR="00E62C1C" w:rsidRPr="00E62C1C" w:rsidRDefault="00E62C1C" w:rsidP="00E62C1C">
      <w:pPr>
        <w:widowControl/>
        <w:jc w:val="both"/>
        <w:rPr>
          <w:rFonts w:ascii="Times New Roman" w:eastAsia="Times New Roman" w:hAnsi="Times New Roman" w:cs="Times New Roman"/>
          <w:noProof/>
          <w:sz w:val="24"/>
          <w:szCs w:val="20"/>
        </w:rPr>
      </w:pPr>
    </w:p>
    <w:p w14:paraId="439E7216" w14:textId="77777777" w:rsidR="00E62C1C" w:rsidRPr="00E62C1C" w:rsidRDefault="00A217E2" w:rsidP="00A217E2">
      <w:pPr>
        <w:pStyle w:val="BodyText"/>
        <w:widowControl/>
        <w:tabs>
          <w:tab w:val="left" w:pos="936"/>
        </w:tabs>
        <w:ind w:left="0" w:firstLine="0"/>
        <w:jc w:val="both"/>
        <w:rPr>
          <w:rFonts w:cs="Times New Roman"/>
          <w:noProof/>
          <w:sz w:val="24"/>
        </w:rPr>
      </w:pPr>
      <w:r>
        <w:rPr>
          <w:sz w:val="24"/>
        </w:rPr>
        <w:t xml:space="preserve">- šai nolūkā lūguma saņēmējas dalībvalsts kompetentajai iestādei ir jābalstās uz objektīvu, ticamu, konkrētu un pienācīgi atjauninātu informāciju. Šī informācija var jo īpaši izrietēt no starptautisko tiesu lēmumiem, piemēram, no Eiropas Cilvēktiesību tiesas spriedumiem, lūguma iesniedzēju trešo valstu tiesu lēmumiem, ziņojumiem </w:t>
      </w:r>
      <w:r>
        <w:rPr>
          <w:b/>
          <w:bCs/>
          <w:sz w:val="24"/>
          <w:highlight w:val="lightGray"/>
        </w:rPr>
        <w:t xml:space="preserve">[oriģ. 11. lpp.] </w:t>
      </w:r>
      <w:r>
        <w:rPr>
          <w:sz w:val="24"/>
        </w:rPr>
        <w:t>un citiem dokumentiem, ko izstrādājušas Eiropas Padomes vai Apvienoto Nāciju sistēmas organizācijas.</w:t>
      </w:r>
    </w:p>
    <w:p w14:paraId="308B929B" w14:textId="77777777" w:rsidR="00E62C1C" w:rsidRPr="00E62C1C" w:rsidRDefault="00E62C1C" w:rsidP="00E62C1C">
      <w:pPr>
        <w:widowControl/>
        <w:jc w:val="both"/>
        <w:rPr>
          <w:rFonts w:ascii="Times New Roman" w:eastAsia="Times New Roman" w:hAnsi="Times New Roman" w:cs="Times New Roman"/>
          <w:noProof/>
          <w:sz w:val="24"/>
          <w:szCs w:val="20"/>
        </w:rPr>
      </w:pPr>
    </w:p>
    <w:p w14:paraId="75840B43" w14:textId="77777777" w:rsidR="00E62C1C" w:rsidRPr="00E62C1C" w:rsidRDefault="00A217E2" w:rsidP="00A217E2">
      <w:pPr>
        <w:pStyle w:val="BodyText"/>
        <w:widowControl/>
        <w:tabs>
          <w:tab w:val="left" w:pos="651"/>
        </w:tabs>
        <w:ind w:left="0" w:firstLine="0"/>
        <w:jc w:val="both"/>
        <w:rPr>
          <w:rFonts w:cs="Times New Roman"/>
          <w:noProof/>
          <w:sz w:val="24"/>
        </w:rPr>
      </w:pPr>
      <w:r>
        <w:rPr>
          <w:sz w:val="24"/>
        </w:rPr>
        <w:t xml:space="preserve">33. Šajā ziņā uzskatām, ka no Rumānijas un Vācijas iestāžu savstarpējās saziņas par B. Y. situāciju izriet, ka Vācijas iestādes ir saņēmušas informāciju no trešās valsts, kas ir lūguma iesniedzēja, par ieslodzījuma apstākļiem, kas būs piemērojami attiecīgajai personai gadījumā, ja tā tiks izdota, un ka saņemtās garantijas tiek uzskatītas par apmierinošām. Turklāt pati </w:t>
      </w:r>
      <w:r>
        <w:rPr>
          <w:sz w:val="24"/>
        </w:rPr>
        <w:lastRenderedPageBreak/>
        <w:t>iesniedzējtiesa lūgumā sniegt prejudiciālu nolēmumu 8. punktā ir precizējusi, ka tā uzskata, ka personas, kuru lūgts izdot, izdošana ir likumīga.</w:t>
      </w:r>
    </w:p>
    <w:p w14:paraId="65B10A11" w14:textId="77777777" w:rsidR="00E62C1C" w:rsidRPr="00E62C1C" w:rsidRDefault="00E62C1C" w:rsidP="00A217E2">
      <w:pPr>
        <w:widowControl/>
        <w:jc w:val="both"/>
        <w:rPr>
          <w:rFonts w:ascii="Times New Roman" w:eastAsia="Times New Roman" w:hAnsi="Times New Roman" w:cs="Times New Roman"/>
          <w:noProof/>
          <w:sz w:val="24"/>
          <w:szCs w:val="20"/>
        </w:rPr>
      </w:pPr>
    </w:p>
    <w:p w14:paraId="53DC0A69" w14:textId="77777777" w:rsidR="00E62C1C" w:rsidRPr="00E62C1C" w:rsidRDefault="00A217E2" w:rsidP="00A217E2">
      <w:pPr>
        <w:pStyle w:val="BodyText"/>
        <w:widowControl/>
        <w:tabs>
          <w:tab w:val="left" w:pos="651"/>
        </w:tabs>
        <w:ind w:left="0" w:firstLine="0"/>
        <w:jc w:val="both"/>
        <w:rPr>
          <w:rFonts w:cs="Times New Roman"/>
          <w:noProof/>
          <w:sz w:val="24"/>
        </w:rPr>
      </w:pPr>
      <w:r>
        <w:rPr>
          <w:sz w:val="24"/>
        </w:rPr>
        <w:t>34. Judikatūrā Petruhina lietā (papildus tam, kas uzsvērts šo apsvērumu 29. punktā) nekas neliek secināt, ka lūguma saņēmējai dalībvalstij ir kāds papildu pienākums, piemēram, pienākums atteikt izdošanu un pašai īstenot kriminālvajāšanu, ja saskaņā ar šīs dalībvalsts tiesību aktiem tas ir iespējams.</w:t>
      </w:r>
    </w:p>
    <w:p w14:paraId="3B884EFD" w14:textId="77777777" w:rsidR="00E62C1C" w:rsidRPr="00E62C1C" w:rsidRDefault="00E62C1C" w:rsidP="00A217E2">
      <w:pPr>
        <w:widowControl/>
        <w:jc w:val="both"/>
        <w:rPr>
          <w:rFonts w:ascii="Times New Roman" w:eastAsia="Times New Roman" w:hAnsi="Times New Roman" w:cs="Times New Roman"/>
          <w:noProof/>
          <w:sz w:val="24"/>
          <w:szCs w:val="20"/>
        </w:rPr>
      </w:pPr>
    </w:p>
    <w:p w14:paraId="774B0883" w14:textId="77777777" w:rsidR="00E62C1C" w:rsidRPr="00A217E2" w:rsidRDefault="00A217E2" w:rsidP="00A217E2">
      <w:pPr>
        <w:pStyle w:val="BodyText"/>
        <w:widowControl/>
        <w:tabs>
          <w:tab w:val="left" w:pos="651"/>
        </w:tabs>
        <w:ind w:left="0" w:firstLine="0"/>
        <w:jc w:val="both"/>
        <w:rPr>
          <w:rFonts w:cs="Times New Roman"/>
          <w:noProof/>
          <w:sz w:val="24"/>
        </w:rPr>
      </w:pPr>
      <w:r>
        <w:rPr>
          <w:sz w:val="24"/>
        </w:rPr>
        <w:t xml:space="preserve">35. Ņemot vērā visu iepriekš minēto, mēs piedāvājam Tiesai atbildēt uz trešo prejudiciālo jautājumu tādējādi, ka dalībvalstij, kurai trešā valsts ir lūgusi izdot Savienības pilsoni, pamatojoties uz judikatūru Petruhina lietā, nav pienākuma atteikt izdošanu un pašai īstenot kriminālvajāšanu, ja saskaņā ar šīs dalībvalsts tiesību aktiem tas ir iespējams. </w:t>
      </w:r>
      <w:r>
        <w:rPr>
          <w:b/>
          <w:bCs/>
          <w:sz w:val="24"/>
          <w:highlight w:val="lightGray"/>
        </w:rPr>
        <w:t>[oriģ. 12. lpp.]</w:t>
      </w:r>
    </w:p>
    <w:p w14:paraId="14928A2B" w14:textId="1ED8DDE6" w:rsidR="00D237A6" w:rsidRDefault="00D237A6">
      <w:pPr>
        <w:rPr>
          <w:rFonts w:cs="Times New Roman"/>
          <w:b/>
          <w:bCs/>
          <w:noProof/>
          <w:sz w:val="24"/>
        </w:rPr>
      </w:pPr>
      <w:r>
        <w:rPr>
          <w:rFonts w:cs="Times New Roman"/>
          <w:b/>
          <w:bCs/>
          <w:noProof/>
          <w:sz w:val="24"/>
        </w:rPr>
        <w:br w:type="page"/>
      </w:r>
    </w:p>
    <w:p w14:paraId="00C57E3A" w14:textId="77777777" w:rsidR="00E62C1C" w:rsidRPr="00D237A6" w:rsidRDefault="00E62C1C" w:rsidP="00E62C1C">
      <w:pPr>
        <w:widowControl/>
        <w:jc w:val="both"/>
        <w:rPr>
          <w:rFonts w:ascii="Times New Roman" w:hAnsi="Times New Roman" w:cs="Times New Roman"/>
          <w:b/>
          <w:bCs/>
          <w:noProof/>
          <w:sz w:val="24"/>
        </w:rPr>
      </w:pPr>
    </w:p>
    <w:p w14:paraId="54CB61C5" w14:textId="77777777" w:rsidR="00E62C1C" w:rsidRPr="00E62C1C" w:rsidRDefault="00A217E2" w:rsidP="00A217E2">
      <w:pPr>
        <w:pStyle w:val="Heading1"/>
        <w:widowControl/>
        <w:tabs>
          <w:tab w:val="left" w:pos="1218"/>
        </w:tabs>
        <w:ind w:left="0"/>
        <w:jc w:val="both"/>
        <w:rPr>
          <w:rFonts w:cs="Times New Roman"/>
          <w:noProof/>
          <w:sz w:val="24"/>
        </w:rPr>
      </w:pPr>
      <w:bookmarkStart w:id="25" w:name="_Toc32416599"/>
      <w:r>
        <w:rPr>
          <w:sz w:val="24"/>
        </w:rPr>
        <w:t>IV. Secinājumi</w:t>
      </w:r>
      <w:bookmarkStart w:id="26" w:name="_bookmark8"/>
      <w:bookmarkEnd w:id="26"/>
      <w:bookmarkEnd w:id="25"/>
    </w:p>
    <w:p w14:paraId="1972ADB7" w14:textId="77777777" w:rsidR="00E62C1C" w:rsidRPr="00E62C1C" w:rsidRDefault="00E62C1C" w:rsidP="00E62C1C">
      <w:pPr>
        <w:widowControl/>
        <w:jc w:val="both"/>
        <w:rPr>
          <w:rFonts w:ascii="Times New Roman" w:eastAsia="Times New Roman" w:hAnsi="Times New Roman" w:cs="Times New Roman"/>
          <w:b/>
          <w:bCs/>
          <w:noProof/>
          <w:sz w:val="24"/>
          <w:szCs w:val="20"/>
        </w:rPr>
      </w:pPr>
    </w:p>
    <w:p w14:paraId="5F7F1594" w14:textId="77777777" w:rsidR="00E62C1C" w:rsidRPr="00E62C1C" w:rsidRDefault="00A217E2" w:rsidP="00A217E2">
      <w:pPr>
        <w:pStyle w:val="BodyText"/>
        <w:widowControl/>
        <w:tabs>
          <w:tab w:val="left" w:pos="651"/>
        </w:tabs>
        <w:ind w:left="0" w:firstLine="0"/>
        <w:jc w:val="both"/>
        <w:rPr>
          <w:rFonts w:cs="Times New Roman"/>
          <w:noProof/>
          <w:sz w:val="24"/>
        </w:rPr>
      </w:pPr>
      <w:r>
        <w:rPr>
          <w:sz w:val="24"/>
        </w:rPr>
        <w:t>36. Rumānijas valdība uz prejudiciālajiem jautājumiem piedāvā atbildēt šādi.</w:t>
      </w:r>
    </w:p>
    <w:p w14:paraId="296BAF46" w14:textId="77777777" w:rsidR="00E62C1C" w:rsidRPr="00E62C1C" w:rsidRDefault="00E62C1C" w:rsidP="00E62C1C">
      <w:pPr>
        <w:widowControl/>
        <w:jc w:val="both"/>
        <w:rPr>
          <w:rFonts w:ascii="Times New Roman" w:eastAsia="Times New Roman" w:hAnsi="Times New Roman" w:cs="Times New Roman"/>
          <w:noProof/>
          <w:sz w:val="24"/>
          <w:szCs w:val="20"/>
        </w:rPr>
      </w:pPr>
    </w:p>
    <w:p w14:paraId="232FE879" w14:textId="77777777" w:rsidR="00E62C1C" w:rsidRPr="00E62C1C" w:rsidRDefault="00E62C1C" w:rsidP="00E62C1C">
      <w:pPr>
        <w:widowControl/>
        <w:jc w:val="both"/>
        <w:rPr>
          <w:rFonts w:ascii="Times New Roman" w:eastAsia="Times New Roman" w:hAnsi="Times New Roman" w:cs="Times New Roman"/>
          <w:i/>
          <w:noProof/>
          <w:sz w:val="24"/>
          <w:szCs w:val="25"/>
        </w:rPr>
      </w:pPr>
      <w:r>
        <w:rPr>
          <w:rFonts w:ascii="Times New Roman" w:hAnsi="Times New Roman"/>
          <w:sz w:val="24"/>
          <w:szCs w:val="25"/>
        </w:rPr>
        <w:t>“1.</w:t>
      </w:r>
      <w:r>
        <w:rPr>
          <w:rFonts w:ascii="Times New Roman" w:hAnsi="Times New Roman"/>
          <w:i/>
          <w:sz w:val="24"/>
          <w:szCs w:val="25"/>
        </w:rPr>
        <w:t xml:space="preserve"> Principi, ko Tiesa konstatējusi spriedumā Petruhina lietā, attiecībā uz LESD 18. un 21. panta piemērošanu lietā saistībā ar Savienības pilsoņa izdošanas lūgumu, ko iesniegusi trešā valsts, ir piemērojami arī tad, ja attiecīgā persona ir ieguvusi Savienības pilsonību pēc pārcelšanās uz lūguma saņēmēju dalībvalsti un ja laikā, kad tika iesniegts izdošanas lūgums, šai personai bija Savienības pilsonība.</w:t>
      </w:r>
    </w:p>
    <w:p w14:paraId="7FF62DD7" w14:textId="77777777" w:rsidR="00E62C1C" w:rsidRPr="00E62C1C" w:rsidRDefault="00E62C1C" w:rsidP="00E62C1C">
      <w:pPr>
        <w:widowControl/>
        <w:jc w:val="both"/>
        <w:rPr>
          <w:rFonts w:ascii="Times New Roman" w:eastAsia="Times New Roman" w:hAnsi="Times New Roman" w:cs="Times New Roman"/>
          <w:i/>
          <w:noProof/>
          <w:sz w:val="24"/>
          <w:szCs w:val="25"/>
        </w:rPr>
      </w:pPr>
    </w:p>
    <w:p w14:paraId="224980AD" w14:textId="77777777" w:rsidR="00E62C1C" w:rsidRPr="00E62C1C" w:rsidRDefault="00A217E2" w:rsidP="00A217E2">
      <w:pPr>
        <w:widowControl/>
        <w:tabs>
          <w:tab w:val="left" w:pos="908"/>
        </w:tabs>
        <w:jc w:val="both"/>
        <w:rPr>
          <w:rFonts w:ascii="Times New Roman" w:eastAsia="Times New Roman" w:hAnsi="Times New Roman" w:cs="Times New Roman"/>
          <w:i/>
          <w:noProof/>
          <w:sz w:val="24"/>
          <w:szCs w:val="25"/>
        </w:rPr>
      </w:pPr>
      <w:r>
        <w:rPr>
          <w:rFonts w:ascii="Times New Roman" w:hAnsi="Times New Roman"/>
          <w:i/>
          <w:sz w:val="24"/>
          <w:szCs w:val="25"/>
        </w:rPr>
        <w:t>2. Pamatojoties uz judikatūru Petruhina lietā, izcelsmes dalībvalstij, nav pienākuma prasīt, lai trešā valsts, kas ir lūguma iesniedzēja, pārsūta izcelsmes dalībvalstij lietu, lai izvērtētu iespēju pašai veikt kriminālvajāšanu.</w:t>
      </w:r>
    </w:p>
    <w:p w14:paraId="78DA3227" w14:textId="77777777" w:rsidR="00E62C1C" w:rsidRPr="00E62C1C" w:rsidRDefault="00E62C1C" w:rsidP="00A217E2">
      <w:pPr>
        <w:widowControl/>
        <w:jc w:val="both"/>
        <w:rPr>
          <w:rFonts w:ascii="Times New Roman" w:eastAsia="Times New Roman" w:hAnsi="Times New Roman" w:cs="Times New Roman"/>
          <w:i/>
          <w:noProof/>
          <w:sz w:val="24"/>
          <w:szCs w:val="20"/>
        </w:rPr>
      </w:pPr>
    </w:p>
    <w:p w14:paraId="65C3030B" w14:textId="77777777" w:rsidR="00E62C1C" w:rsidRPr="00E62C1C" w:rsidRDefault="00A217E2" w:rsidP="00A217E2">
      <w:pPr>
        <w:widowControl/>
        <w:tabs>
          <w:tab w:val="left" w:pos="918"/>
        </w:tabs>
        <w:jc w:val="both"/>
        <w:rPr>
          <w:rFonts w:ascii="Times New Roman" w:eastAsia="Times New Roman" w:hAnsi="Times New Roman" w:cs="Times New Roman"/>
          <w:noProof/>
          <w:sz w:val="24"/>
          <w:szCs w:val="25"/>
        </w:rPr>
      </w:pPr>
      <w:r>
        <w:rPr>
          <w:rFonts w:ascii="Times New Roman" w:hAnsi="Times New Roman"/>
          <w:i/>
          <w:sz w:val="24"/>
          <w:szCs w:val="25"/>
        </w:rPr>
        <w:t>3. Dalībvalstij, kurai trešā valsts ir lūgusi izdot Savienības pilsoni, ņemot vērā judikatūru Petruhina lietā, nav pienākuma atteikt izdošanu un pašai īstenot kriminālvajāšanu, ja saskaņā ar šīs dalībvalsts tiesību aktiem tas ir iespējams.</w:t>
      </w:r>
      <w:r>
        <w:rPr>
          <w:rFonts w:ascii="Times New Roman" w:hAnsi="Times New Roman"/>
          <w:sz w:val="24"/>
          <w:szCs w:val="25"/>
        </w:rPr>
        <w:t>”</w:t>
      </w:r>
    </w:p>
    <w:p w14:paraId="0558A706" w14:textId="77777777" w:rsidR="00E62C1C" w:rsidRPr="00E62C1C" w:rsidRDefault="00E62C1C" w:rsidP="00E62C1C">
      <w:pPr>
        <w:widowControl/>
        <w:jc w:val="both"/>
        <w:rPr>
          <w:rFonts w:ascii="Times New Roman" w:eastAsia="Times New Roman" w:hAnsi="Times New Roman" w:cs="Times New Roman"/>
          <w:noProof/>
          <w:sz w:val="24"/>
          <w:szCs w:val="25"/>
        </w:rPr>
      </w:pPr>
    </w:p>
    <w:p w14:paraId="350C457B" w14:textId="77777777" w:rsidR="00E62C1C" w:rsidRDefault="00E62C1C" w:rsidP="00E62C1C">
      <w:pPr>
        <w:pStyle w:val="BodyText"/>
        <w:widowControl/>
        <w:ind w:left="0" w:firstLine="0"/>
        <w:jc w:val="both"/>
        <w:rPr>
          <w:rFonts w:cs="Times New Roman"/>
          <w:noProof/>
          <w:sz w:val="24"/>
        </w:rPr>
      </w:pPr>
      <w:r>
        <w:rPr>
          <w:sz w:val="24"/>
        </w:rPr>
        <w:t>(..) [paraksti]</w:t>
      </w:r>
    </w:p>
    <w:p w14:paraId="32D25148" w14:textId="77777777" w:rsidR="00A217E2" w:rsidRDefault="00A217E2" w:rsidP="00E62C1C">
      <w:pPr>
        <w:pStyle w:val="BodyText"/>
        <w:widowControl/>
        <w:ind w:left="0" w:firstLine="0"/>
        <w:jc w:val="both"/>
        <w:rPr>
          <w:rFonts w:cs="Times New Roman"/>
          <w:noProof/>
          <w:sz w:val="24"/>
        </w:rPr>
      </w:pPr>
    </w:p>
    <w:p w14:paraId="49850994" w14:textId="77777777" w:rsidR="00A217E2" w:rsidRPr="00E62C1C" w:rsidRDefault="00A217E2" w:rsidP="00E62C1C">
      <w:pPr>
        <w:pStyle w:val="BodyText"/>
        <w:widowControl/>
        <w:ind w:left="0" w:firstLine="0"/>
        <w:jc w:val="both"/>
        <w:rPr>
          <w:rFonts w:cs="Times New Roman"/>
          <w:noProof/>
          <w:sz w:val="24"/>
        </w:rPr>
      </w:pPr>
    </w:p>
    <w:sectPr w:rsidR="00A217E2" w:rsidRPr="00E62C1C" w:rsidSect="00E62C1C">
      <w:headerReference w:type="even" r:id="rId9"/>
      <w:headerReference w:type="default" r:id="rId10"/>
      <w:footerReference w:type="even"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96416" w14:textId="77777777" w:rsidR="00472805" w:rsidRPr="00E62C1C" w:rsidRDefault="00A217E2">
      <w:pPr>
        <w:rPr>
          <w:noProof/>
        </w:rPr>
      </w:pPr>
      <w:r w:rsidRPr="00E62C1C">
        <w:rPr>
          <w:noProof/>
        </w:rPr>
        <w:separator/>
      </w:r>
    </w:p>
  </w:endnote>
  <w:endnote w:type="continuationSeparator" w:id="0">
    <w:p w14:paraId="55F0C9E7" w14:textId="77777777" w:rsidR="00472805" w:rsidRPr="00E62C1C" w:rsidRDefault="00A217E2">
      <w:pPr>
        <w:rPr>
          <w:noProof/>
        </w:rPr>
      </w:pPr>
      <w:r w:rsidRPr="00E62C1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2A24D" w14:textId="77777777" w:rsidR="00C7028C" w:rsidRDefault="00C7028C">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89767" w14:textId="77777777" w:rsidR="00832E2F" w:rsidRPr="00832E2F" w:rsidRDefault="00832E2F" w:rsidP="00832E2F">
    <w:pPr>
      <w:pStyle w:val="Header"/>
      <w:tabs>
        <w:tab w:val="clear" w:pos="4153"/>
        <w:tab w:val="clear" w:pos="8306"/>
        <w:tab w:val="left" w:pos="9072"/>
      </w:tabs>
      <w:rPr>
        <w:rStyle w:val="PageNumber"/>
        <w:rFonts w:ascii="Times New Roman" w:hAnsi="Times New Roman" w:cs="Times New Roman"/>
        <w:sz w:val="20"/>
        <w:szCs w:val="18"/>
      </w:rPr>
    </w:pPr>
  </w:p>
  <w:p w14:paraId="2BF525E8" w14:textId="77777777" w:rsidR="00832E2F" w:rsidRPr="00832E2F" w:rsidRDefault="00832E2F" w:rsidP="00832E2F">
    <w:pPr>
      <w:pStyle w:val="Header"/>
      <w:tabs>
        <w:tab w:val="clear" w:pos="4153"/>
        <w:tab w:val="clear" w:pos="8306"/>
        <w:tab w:val="right" w:leader="underscore" w:pos="9072"/>
      </w:tabs>
      <w:rPr>
        <w:rStyle w:val="PageNumber"/>
        <w:rFonts w:ascii="Times New Roman" w:hAnsi="Times New Roman" w:cs="Times New Roman"/>
        <w:sz w:val="20"/>
        <w:szCs w:val="18"/>
      </w:rPr>
    </w:pPr>
    <w:r w:rsidRPr="00832E2F">
      <w:rPr>
        <w:rStyle w:val="PageNumber"/>
        <w:rFonts w:ascii="Times New Roman" w:hAnsi="Times New Roman" w:cs="Times New Roman"/>
        <w:sz w:val="20"/>
        <w:szCs w:val="18"/>
      </w:rPr>
      <w:tab/>
    </w:r>
  </w:p>
  <w:p w14:paraId="76BC06CD" w14:textId="77777777" w:rsidR="00832E2F" w:rsidRPr="00832E2F" w:rsidRDefault="00832E2F" w:rsidP="00832E2F">
    <w:pPr>
      <w:pStyle w:val="Header"/>
      <w:tabs>
        <w:tab w:val="clear" w:pos="4153"/>
        <w:tab w:val="clear" w:pos="8306"/>
        <w:tab w:val="right" w:pos="9072"/>
      </w:tabs>
      <w:rPr>
        <w:rStyle w:val="PageNumber"/>
        <w:rFonts w:ascii="Times New Roman" w:hAnsi="Times New Roman" w:cs="Times New Roman"/>
        <w:sz w:val="20"/>
        <w:szCs w:val="18"/>
      </w:rPr>
    </w:pPr>
  </w:p>
  <w:p w14:paraId="265DD84A" w14:textId="77777777" w:rsidR="00832E2F" w:rsidRPr="00832E2F" w:rsidRDefault="00832E2F" w:rsidP="00832E2F">
    <w:pPr>
      <w:pStyle w:val="Footer"/>
      <w:tabs>
        <w:tab w:val="clear" w:pos="4153"/>
        <w:tab w:val="clear" w:pos="8306"/>
        <w:tab w:val="right" w:pos="9072"/>
      </w:tabs>
      <w:rPr>
        <w:rFonts w:ascii="Times New Roman" w:hAnsi="Times New Roman" w:cs="Times New Roman"/>
        <w:sz w:val="20"/>
        <w:szCs w:val="18"/>
      </w:rPr>
    </w:pPr>
    <w:r w:rsidRPr="00832E2F">
      <w:rPr>
        <w:rFonts w:ascii="Times New Roman" w:hAnsi="Times New Roman" w:cs="Times New Roman"/>
        <w:noProof/>
        <w:sz w:val="20"/>
        <w:szCs w:val="18"/>
      </w:rPr>
      <w:t xml:space="preserve">Tulkojums </w:t>
    </w:r>
    <w:r w:rsidRPr="00832E2F">
      <w:rPr>
        <w:rFonts w:ascii="Times New Roman" w:hAnsi="Times New Roman" w:cs="Times New Roman"/>
        <w:noProof/>
        <w:sz w:val="20"/>
        <w:szCs w:val="18"/>
      </w:rPr>
      <w:fldChar w:fldCharType="begin"/>
    </w:r>
    <w:r w:rsidRPr="00832E2F">
      <w:rPr>
        <w:rFonts w:ascii="Times New Roman" w:hAnsi="Times New Roman" w:cs="Times New Roman"/>
        <w:noProof/>
        <w:sz w:val="20"/>
        <w:szCs w:val="18"/>
      </w:rPr>
      <w:instrText>symbol 211 \f "Symbol" \s 9</w:instrText>
    </w:r>
    <w:r w:rsidRPr="00832E2F">
      <w:rPr>
        <w:rFonts w:ascii="Times New Roman" w:hAnsi="Times New Roman" w:cs="Times New Roman"/>
        <w:noProof/>
        <w:sz w:val="20"/>
        <w:szCs w:val="18"/>
      </w:rPr>
      <w:fldChar w:fldCharType="separate"/>
    </w:r>
    <w:r w:rsidRPr="00832E2F">
      <w:rPr>
        <w:rFonts w:ascii="Times New Roman" w:hAnsi="Times New Roman" w:cs="Times New Roman"/>
        <w:noProof/>
        <w:sz w:val="20"/>
        <w:szCs w:val="18"/>
      </w:rPr>
      <w:t>Ó</w:t>
    </w:r>
    <w:r w:rsidRPr="00832E2F">
      <w:rPr>
        <w:rFonts w:ascii="Times New Roman" w:hAnsi="Times New Roman" w:cs="Times New Roman"/>
        <w:noProof/>
        <w:sz w:val="20"/>
        <w:szCs w:val="18"/>
      </w:rPr>
      <w:fldChar w:fldCharType="end"/>
    </w:r>
    <w:r w:rsidRPr="00832E2F">
      <w:rPr>
        <w:rFonts w:ascii="Times New Roman" w:hAnsi="Times New Roman" w:cs="Times New Roman"/>
        <w:noProof/>
        <w:sz w:val="20"/>
        <w:szCs w:val="18"/>
      </w:rPr>
      <w:t xml:space="preserve"> Valsts valodas centrs, 2020</w:t>
    </w:r>
    <w:r w:rsidRPr="00832E2F">
      <w:rPr>
        <w:rFonts w:ascii="Times New Roman" w:hAnsi="Times New Roman" w:cs="Times New Roman"/>
        <w:sz w:val="20"/>
        <w:szCs w:val="18"/>
      </w:rPr>
      <w:tab/>
    </w:r>
    <w:r w:rsidRPr="00832E2F">
      <w:rPr>
        <w:rStyle w:val="PageNumber"/>
        <w:rFonts w:ascii="Times New Roman" w:hAnsi="Times New Roman" w:cs="Times New Roman"/>
        <w:sz w:val="20"/>
        <w:szCs w:val="18"/>
      </w:rPr>
      <w:fldChar w:fldCharType="begin"/>
    </w:r>
    <w:r w:rsidRPr="00832E2F">
      <w:rPr>
        <w:rStyle w:val="PageNumber"/>
        <w:rFonts w:ascii="Times New Roman" w:hAnsi="Times New Roman" w:cs="Times New Roman"/>
        <w:sz w:val="20"/>
        <w:szCs w:val="18"/>
      </w:rPr>
      <w:instrText xml:space="preserve">page </w:instrText>
    </w:r>
    <w:r w:rsidRPr="00832E2F">
      <w:rPr>
        <w:rStyle w:val="PageNumber"/>
        <w:rFonts w:ascii="Times New Roman" w:hAnsi="Times New Roman" w:cs="Times New Roman"/>
        <w:sz w:val="20"/>
        <w:szCs w:val="18"/>
      </w:rPr>
      <w:fldChar w:fldCharType="separate"/>
    </w:r>
    <w:r w:rsidRPr="00832E2F">
      <w:rPr>
        <w:rStyle w:val="PageNumber"/>
        <w:rFonts w:ascii="Times New Roman" w:hAnsi="Times New Roman" w:cs="Times New Roman"/>
        <w:sz w:val="20"/>
        <w:szCs w:val="18"/>
      </w:rPr>
      <w:t>2</w:t>
    </w:r>
    <w:r w:rsidRPr="00832E2F">
      <w:rPr>
        <w:rStyle w:val="PageNumber"/>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8062E" w14:textId="77777777" w:rsidR="00832E2F" w:rsidRPr="00832E2F" w:rsidRDefault="00832E2F" w:rsidP="00832E2F">
    <w:pPr>
      <w:pStyle w:val="Header"/>
      <w:tabs>
        <w:tab w:val="clear" w:pos="4153"/>
        <w:tab w:val="clear" w:pos="8306"/>
        <w:tab w:val="left" w:pos="9072"/>
      </w:tabs>
      <w:rPr>
        <w:rStyle w:val="PageNumber"/>
        <w:rFonts w:ascii="Times New Roman" w:hAnsi="Times New Roman" w:cs="Times New Roman"/>
        <w:sz w:val="20"/>
        <w:szCs w:val="18"/>
      </w:rPr>
    </w:pPr>
    <w:bookmarkStart w:id="41" w:name="_Hlk496261764"/>
    <w:bookmarkStart w:id="42" w:name="_Hlk496261765"/>
    <w:bookmarkStart w:id="43" w:name="_Hlk496261766"/>
    <w:bookmarkStart w:id="44" w:name="_Hlk30491075"/>
    <w:bookmarkStart w:id="45" w:name="_Hlk30491076"/>
  </w:p>
  <w:p w14:paraId="7CD1EBB9" w14:textId="77777777" w:rsidR="00832E2F" w:rsidRPr="00832E2F" w:rsidRDefault="00832E2F" w:rsidP="00832E2F">
    <w:pPr>
      <w:pStyle w:val="Header"/>
      <w:tabs>
        <w:tab w:val="clear" w:pos="4153"/>
        <w:tab w:val="clear" w:pos="8306"/>
        <w:tab w:val="left" w:leader="underscore" w:pos="9072"/>
      </w:tabs>
      <w:rPr>
        <w:rStyle w:val="PageNumber"/>
        <w:rFonts w:ascii="Times New Roman" w:hAnsi="Times New Roman" w:cs="Times New Roman"/>
        <w:sz w:val="20"/>
        <w:szCs w:val="18"/>
      </w:rPr>
    </w:pPr>
    <w:r w:rsidRPr="00832E2F">
      <w:rPr>
        <w:rStyle w:val="PageNumber"/>
        <w:rFonts w:ascii="Times New Roman" w:hAnsi="Times New Roman" w:cs="Times New Roman"/>
        <w:sz w:val="20"/>
        <w:szCs w:val="18"/>
      </w:rPr>
      <w:tab/>
    </w:r>
  </w:p>
  <w:p w14:paraId="1C4D1052" w14:textId="77777777" w:rsidR="00832E2F" w:rsidRPr="00832E2F" w:rsidRDefault="00832E2F" w:rsidP="00832E2F">
    <w:pPr>
      <w:pStyle w:val="Header"/>
      <w:tabs>
        <w:tab w:val="clear" w:pos="4153"/>
        <w:tab w:val="clear" w:pos="8306"/>
        <w:tab w:val="left" w:pos="9072"/>
      </w:tabs>
      <w:rPr>
        <w:rStyle w:val="PageNumber"/>
        <w:rFonts w:ascii="Times New Roman" w:hAnsi="Times New Roman" w:cs="Times New Roman"/>
        <w:sz w:val="20"/>
        <w:szCs w:val="18"/>
      </w:rPr>
    </w:pPr>
  </w:p>
  <w:p w14:paraId="5377D3DC" w14:textId="77777777" w:rsidR="00832E2F" w:rsidRPr="00832E2F" w:rsidRDefault="00832E2F" w:rsidP="00832E2F">
    <w:pPr>
      <w:pStyle w:val="Footer"/>
      <w:rPr>
        <w:rFonts w:ascii="Times New Roman" w:hAnsi="Times New Roman" w:cs="Times New Roman"/>
        <w:sz w:val="20"/>
        <w:szCs w:val="18"/>
      </w:rPr>
    </w:pPr>
    <w:r w:rsidRPr="00832E2F">
      <w:rPr>
        <w:rFonts w:ascii="Times New Roman" w:hAnsi="Times New Roman" w:cs="Times New Roman"/>
        <w:noProof/>
        <w:sz w:val="20"/>
        <w:szCs w:val="18"/>
      </w:rPr>
      <w:t xml:space="preserve">Tulkojums </w:t>
    </w:r>
    <w:r w:rsidRPr="00832E2F">
      <w:rPr>
        <w:rFonts w:ascii="Times New Roman" w:hAnsi="Times New Roman" w:cs="Times New Roman"/>
        <w:noProof/>
        <w:sz w:val="20"/>
        <w:szCs w:val="18"/>
      </w:rPr>
      <w:fldChar w:fldCharType="begin"/>
    </w:r>
    <w:r w:rsidRPr="00832E2F">
      <w:rPr>
        <w:rFonts w:ascii="Times New Roman" w:hAnsi="Times New Roman" w:cs="Times New Roman"/>
        <w:noProof/>
        <w:sz w:val="20"/>
        <w:szCs w:val="18"/>
      </w:rPr>
      <w:instrText>symbol 211 \f "Symbol" \s 9</w:instrText>
    </w:r>
    <w:r w:rsidRPr="00832E2F">
      <w:rPr>
        <w:rFonts w:ascii="Times New Roman" w:hAnsi="Times New Roman" w:cs="Times New Roman"/>
        <w:noProof/>
        <w:sz w:val="20"/>
        <w:szCs w:val="18"/>
      </w:rPr>
      <w:fldChar w:fldCharType="separate"/>
    </w:r>
    <w:r w:rsidRPr="00832E2F">
      <w:rPr>
        <w:rFonts w:ascii="Times New Roman" w:hAnsi="Times New Roman" w:cs="Times New Roman"/>
        <w:noProof/>
        <w:sz w:val="20"/>
        <w:szCs w:val="18"/>
      </w:rPr>
      <w:t>Ó</w:t>
    </w:r>
    <w:r w:rsidRPr="00832E2F">
      <w:rPr>
        <w:rFonts w:ascii="Times New Roman" w:hAnsi="Times New Roman" w:cs="Times New Roman"/>
        <w:noProof/>
        <w:sz w:val="20"/>
        <w:szCs w:val="18"/>
      </w:rPr>
      <w:fldChar w:fldCharType="end"/>
    </w:r>
    <w:r w:rsidRPr="00832E2F">
      <w:rPr>
        <w:rFonts w:ascii="Times New Roman" w:hAnsi="Times New Roman" w:cs="Times New Roman"/>
        <w:noProof/>
        <w:sz w:val="20"/>
        <w:szCs w:val="18"/>
      </w:rPr>
      <w:t xml:space="preserve"> Valsts valodas centrs, 20</w:t>
    </w:r>
    <w:bookmarkEnd w:id="41"/>
    <w:bookmarkEnd w:id="42"/>
    <w:bookmarkEnd w:id="43"/>
    <w:r w:rsidRPr="00832E2F">
      <w:rPr>
        <w:rFonts w:ascii="Times New Roman" w:hAnsi="Times New Roman" w:cs="Times New Roman"/>
        <w:noProof/>
        <w:sz w:val="20"/>
        <w:szCs w:val="18"/>
      </w:rPr>
      <w:t>20</w:t>
    </w:r>
    <w:bookmarkEnd w:id="44"/>
    <w:bookmarkEnd w:id="4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7C481" w14:textId="77777777" w:rsidR="00472805" w:rsidRPr="00E62C1C" w:rsidRDefault="00A217E2">
      <w:pPr>
        <w:rPr>
          <w:noProof/>
        </w:rPr>
      </w:pPr>
      <w:r w:rsidRPr="00E62C1C">
        <w:rPr>
          <w:noProof/>
        </w:rPr>
        <w:separator/>
      </w:r>
    </w:p>
  </w:footnote>
  <w:footnote w:type="continuationSeparator" w:id="0">
    <w:p w14:paraId="72CE1557" w14:textId="77777777" w:rsidR="00472805" w:rsidRPr="00E62C1C" w:rsidRDefault="00A217E2">
      <w:pPr>
        <w:rPr>
          <w:noProof/>
        </w:rPr>
      </w:pPr>
      <w:r w:rsidRPr="00E62C1C">
        <w:rPr>
          <w:noProof/>
        </w:rPr>
        <w:continuationSeparator/>
      </w:r>
    </w:p>
  </w:footnote>
  <w:footnote w:id="1">
    <w:p w14:paraId="44CAB9FA" w14:textId="228CAB3D" w:rsidR="00832E2F" w:rsidRPr="00832E2F" w:rsidRDefault="00832E2F">
      <w:pPr>
        <w:pStyle w:val="FootnoteText"/>
        <w:rPr>
          <w:rFonts w:ascii="Times New Roman" w:hAnsi="Times New Roman" w:cs="Times New Roman"/>
        </w:rPr>
      </w:pPr>
      <w:r w:rsidRPr="00832E2F">
        <w:rPr>
          <w:rStyle w:val="FootnoteReference"/>
          <w:rFonts w:ascii="Times New Roman" w:hAnsi="Times New Roman" w:cs="Times New Roman"/>
        </w:rPr>
        <w:sym w:font="Symbol" w:char="F02A"/>
      </w:r>
      <w:r w:rsidRPr="00832E2F">
        <w:rPr>
          <w:rFonts w:ascii="Times New Roman" w:hAnsi="Times New Roman" w:cs="Times New Roman"/>
        </w:rPr>
        <w:t xml:space="preserve"> </w:t>
      </w:r>
      <w:r w:rsidRPr="00832E2F">
        <w:rPr>
          <w:rFonts w:ascii="Times New Roman" w:hAnsi="Times New Roman" w:cs="Times New Roman"/>
        </w:rPr>
        <w:t>Tiesvedības valoda – vācu.</w:t>
      </w:r>
    </w:p>
  </w:footnote>
  <w:footnote w:id="2">
    <w:p w14:paraId="6588D11B" w14:textId="77777777" w:rsidR="00611F84" w:rsidRPr="00CE6732" w:rsidRDefault="00611F84" w:rsidP="00CE673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Turpmāk tekstā – “lūgums sniegt prejudiciālu nolēmumu”.</w:t>
      </w:r>
    </w:p>
  </w:footnote>
  <w:footnote w:id="3">
    <w:p w14:paraId="4CCAE3BB" w14:textId="77777777" w:rsidR="00611F84" w:rsidRPr="00CE6732" w:rsidRDefault="00611F84" w:rsidP="00CE673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Turpmāk tekstā – “LESD”.</w:t>
      </w:r>
    </w:p>
  </w:footnote>
  <w:footnote w:id="4">
    <w:p w14:paraId="1E8F5E7E" w14:textId="77777777" w:rsidR="00611F84" w:rsidRPr="00CE6732" w:rsidRDefault="00611F84" w:rsidP="00CE673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Turpmāk tekstā – “iesniedzējtiesa”.</w:t>
      </w:r>
    </w:p>
  </w:footnote>
  <w:footnote w:id="5">
    <w:p w14:paraId="7D28CE47" w14:textId="77777777" w:rsidR="00611F84" w:rsidRPr="00CE6732" w:rsidRDefault="00611F84" w:rsidP="00CE673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Turpmāk tekstā – “Tiesa”.</w:t>
      </w:r>
    </w:p>
  </w:footnote>
  <w:footnote w:id="6">
    <w:p w14:paraId="217E7713" w14:textId="77777777" w:rsidR="00F53780" w:rsidRPr="00CE6732" w:rsidRDefault="00F53780" w:rsidP="00CE673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OV 2002, L 190, 1. lpp. (ar grozījumiem un papildinājumiem), turpmāk tekstā – “Pamatlēmums par Eiropas apcietināšanas orderi” vai “Pamatlēmums 2002/584”.</w:t>
      </w:r>
    </w:p>
  </w:footnote>
  <w:footnote w:id="7">
    <w:p w14:paraId="0BAAE25B" w14:textId="77777777" w:rsidR="007738C4" w:rsidRPr="00CE6732" w:rsidRDefault="007738C4" w:rsidP="00CE673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Publicēts 2009. gada 24. jūlija “Monitorul Oficial al României” Nr. 510 (ar grozījumiem un papildinājumiem).</w:t>
      </w:r>
    </w:p>
  </w:footnote>
  <w:footnote w:id="8">
    <w:p w14:paraId="35BA775B" w14:textId="77777777" w:rsidR="007738C4" w:rsidRPr="00CE6732" w:rsidRDefault="007738C4" w:rsidP="00CE673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Publicēts 2010 gada 15. jūlija “Monitorul Oficial al României” Nr. 486 (ar grozījumiem un papildinājumiem).</w:t>
      </w:r>
    </w:p>
  </w:footnote>
  <w:footnote w:id="9">
    <w:p w14:paraId="4D819DAC" w14:textId="77777777" w:rsidR="007738C4" w:rsidRPr="00CE6732" w:rsidRDefault="007738C4" w:rsidP="00CE673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Ņemot vērā pastāvīgo judikatūru, saskaņā ar kuru, ievērojot LESD 267. pantā noteikto valsts tiesas un Tiesas sadarbības procedūru, Tiesai ir jādod valsts tiesai noderīga atbilde, kas ļautu valsts tiesai atrisināt strīdu, kas tai ir jāskata. Paturot to prātā, Tiesai vajadzības gadījumā ir jāpārformulē tai iesniegtie jautājumi (skat. šajā ziņā 2018. gada 27. jūnija sprieduma lietā C</w:t>
      </w:r>
      <w:r>
        <w:rPr>
          <w:rFonts w:ascii="Times New Roman" w:hAnsi="Times New Roman"/>
        </w:rPr>
        <w:noBreakHyphen/>
        <w:t>90/17 ““Turbogás””, EU:C:2018:498, 24. punktu).</w:t>
      </w:r>
    </w:p>
  </w:footnote>
  <w:footnote w:id="10">
    <w:p w14:paraId="008AB17F" w14:textId="77777777" w:rsidR="007738C4" w:rsidRPr="00CE6732" w:rsidRDefault="007738C4" w:rsidP="00CE6732">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2016. gada 6. septembra spriedums lietā “Petruhins” (C</w:t>
      </w:r>
      <w:r>
        <w:rPr>
          <w:rFonts w:ascii="Times New Roman" w:hAnsi="Times New Roman"/>
        </w:rPr>
        <w:noBreakHyphen/>
        <w:t>182/15, ECLI:EU:C:2016:630, turpmāk tekstā – “spriedums Petruhina lietā”).</w:t>
      </w:r>
    </w:p>
  </w:footnote>
  <w:footnote w:id="11">
    <w:p w14:paraId="63C7F8BA" w14:textId="77777777" w:rsidR="007738C4" w:rsidRPr="00CE6732" w:rsidRDefault="007738C4" w:rsidP="00CE673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Sprieduma Petruhina lietā 31., 33. un 50. punkts, kā arī rezolutīvās daļas 1. punkts.</w:t>
      </w:r>
    </w:p>
  </w:footnote>
  <w:footnote w:id="12">
    <w:p w14:paraId="099DDC21" w14:textId="77777777" w:rsidR="007738C4" w:rsidRPr="00CE6732" w:rsidRDefault="007738C4" w:rsidP="00CE673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īpaši 2015. gada 26. februāra sprieduma lietā C</w:t>
      </w:r>
      <w:r>
        <w:rPr>
          <w:rFonts w:ascii="Times New Roman" w:hAnsi="Times New Roman"/>
        </w:rPr>
        <w:noBreakHyphen/>
        <w:t>359/13 “Martensa [</w:t>
      </w:r>
      <w:r>
        <w:rPr>
          <w:rFonts w:ascii="Times New Roman" w:hAnsi="Times New Roman"/>
          <w:i/>
          <w:iCs/>
        </w:rPr>
        <w:t>Martens</w:t>
      </w:r>
      <w:r>
        <w:rPr>
          <w:rFonts w:ascii="Times New Roman" w:hAnsi="Times New Roman"/>
        </w:rPr>
        <w:t>]”, EU:C:2015:118, 21. punktu un tajā minēto judikatūru, kā arī 2011. gada 8. marta sprieduma lietā C</w:t>
      </w:r>
      <w:r>
        <w:rPr>
          <w:rFonts w:ascii="Times New Roman" w:hAnsi="Times New Roman"/>
        </w:rPr>
        <w:noBreakHyphen/>
        <w:t>34/09 “Ruiss Sambrano [</w:t>
      </w:r>
      <w:r>
        <w:rPr>
          <w:rFonts w:ascii="Times New Roman" w:hAnsi="Times New Roman"/>
          <w:i/>
          <w:iCs/>
        </w:rPr>
        <w:t>Ruiz Zambrano</w:t>
      </w:r>
      <w:r>
        <w:rPr>
          <w:rFonts w:ascii="Times New Roman" w:hAnsi="Times New Roman"/>
        </w:rPr>
        <w:t>]”, EU:C:2011:124, 41. punktu un tajā minēto judikatūru.</w:t>
      </w:r>
    </w:p>
  </w:footnote>
  <w:footnote w:id="13">
    <w:p w14:paraId="081293CA" w14:textId="77777777" w:rsidR="007738C4" w:rsidRPr="00CE6732" w:rsidRDefault="007738C4" w:rsidP="00CE673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Attiecībā uz Savienības pilsonības lietderīgo iedarbību skat. konkrēti 2017. gada 10. maija sprieduma lietā C</w:t>
      </w:r>
      <w:r>
        <w:rPr>
          <w:rFonts w:ascii="Times New Roman" w:hAnsi="Times New Roman"/>
        </w:rPr>
        <w:noBreakHyphen/>
        <w:t>133/15 “Čavesa-Vilčesa [</w:t>
      </w:r>
      <w:r>
        <w:rPr>
          <w:rFonts w:ascii="Times New Roman" w:hAnsi="Times New Roman"/>
          <w:i/>
          <w:iCs/>
        </w:rPr>
        <w:t>Chavez-Vilchez</w:t>
      </w:r>
      <w:r>
        <w:rPr>
          <w:rFonts w:ascii="Times New Roman" w:hAnsi="Times New Roman"/>
        </w:rPr>
        <w:t>] u. c.”, EU:C:2017:354, 63. punktu un tajā minēto judikatūru.</w:t>
      </w:r>
    </w:p>
  </w:footnote>
  <w:footnote w:id="14">
    <w:p w14:paraId="4BBC6FE5" w14:textId="77777777" w:rsidR="00887CF5" w:rsidRPr="00CE6732" w:rsidRDefault="00887CF5" w:rsidP="00CE6732">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2014. gada 19. jūnija rīkojums lietā C</w:t>
      </w:r>
      <w:r>
        <w:rPr>
          <w:rFonts w:ascii="Times New Roman" w:hAnsi="Times New Roman"/>
        </w:rPr>
        <w:noBreakHyphen/>
        <w:t>370/13 “Tesērs” [</w:t>
      </w:r>
      <w:r>
        <w:rPr>
          <w:rFonts w:ascii="Times New Roman" w:hAnsi="Times New Roman"/>
          <w:i/>
          <w:iCs/>
        </w:rPr>
        <w:t>Teisseyre</w:t>
      </w:r>
      <w:r>
        <w:rPr>
          <w:rFonts w:ascii="Times New Roman" w:hAnsi="Times New Roman"/>
        </w:rPr>
        <w:t>], nav publicēts, EU:C:2014:2033.</w:t>
      </w:r>
    </w:p>
  </w:footnote>
  <w:footnote w:id="15">
    <w:p w14:paraId="171D70EC" w14:textId="77777777" w:rsidR="00A217E2" w:rsidRPr="00CE6732" w:rsidRDefault="00A217E2" w:rsidP="00CE673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Kā tas izriet no 2016. gada 1. jūnija sprieduma lietā C</w:t>
      </w:r>
      <w:r>
        <w:rPr>
          <w:rFonts w:ascii="Times New Roman" w:hAnsi="Times New Roman"/>
        </w:rPr>
        <w:noBreakHyphen/>
        <w:t>241/15 “Bobs-Dogi [</w:t>
      </w:r>
      <w:r>
        <w:rPr>
          <w:rFonts w:ascii="Times New Roman" w:hAnsi="Times New Roman"/>
          <w:i/>
          <w:iCs/>
        </w:rPr>
        <w:t>Bob-Dogi</w:t>
      </w:r>
      <w:r>
        <w:rPr>
          <w:rFonts w:ascii="Times New Roman" w:hAnsi="Times New Roman"/>
        </w:rPr>
        <w:t>]”, EU:C:2016:385, 58. punkta.</w:t>
      </w:r>
    </w:p>
  </w:footnote>
  <w:footnote w:id="16">
    <w:p w14:paraId="5F81C135" w14:textId="77777777" w:rsidR="00A217E2" w:rsidRPr="00CE6732" w:rsidRDefault="00A217E2" w:rsidP="00CE673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Kā tas izriet arī konkrēti no Rumānijas Kriminālprocesa kodeksa 223. panta, kas citēts šo apsvērumu II sadaļā.</w:t>
      </w:r>
    </w:p>
  </w:footnote>
  <w:footnote w:id="17">
    <w:p w14:paraId="0FDE064B" w14:textId="77777777" w:rsidR="00A217E2" w:rsidRPr="00CE6732" w:rsidRDefault="00A217E2" w:rsidP="00CE673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Turpmāk tekstā – “Harta”.</w:t>
      </w:r>
    </w:p>
  </w:footnote>
  <w:footnote w:id="18">
    <w:p w14:paraId="53A41E45" w14:textId="77777777" w:rsidR="00A217E2" w:rsidRPr="00CE6732" w:rsidRDefault="00A217E2" w:rsidP="00CE6732">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2016. gada 5. aprīļa sprieduma lietā C</w:t>
      </w:r>
      <w:r>
        <w:rPr>
          <w:rFonts w:ascii="Times New Roman" w:hAnsi="Times New Roman"/>
        </w:rPr>
        <w:noBreakHyphen/>
        <w:t>404/15 un C</w:t>
      </w:r>
      <w:r>
        <w:rPr>
          <w:rFonts w:ascii="Times New Roman" w:hAnsi="Times New Roman"/>
        </w:rPr>
        <w:noBreakHyphen/>
        <w:t>659/15 PPU “Araņoši [</w:t>
      </w:r>
      <w:r>
        <w:rPr>
          <w:rFonts w:ascii="Times New Roman" w:hAnsi="Times New Roman"/>
          <w:i/>
          <w:iCs/>
        </w:rPr>
        <w:t>Aranyosi</w:t>
      </w:r>
      <w:r>
        <w:rPr>
          <w:rFonts w:ascii="Times New Roman" w:hAnsi="Times New Roman"/>
        </w:rPr>
        <w:t>] un Kelderaru [</w:t>
      </w:r>
      <w:r>
        <w:rPr>
          <w:rFonts w:ascii="Times New Roman" w:hAnsi="Times New Roman"/>
          <w:i/>
          <w:iCs/>
        </w:rPr>
        <w:t>Căldăraru</w:t>
      </w:r>
      <w:r>
        <w:rPr>
          <w:rFonts w:ascii="Times New Roman" w:hAnsi="Times New Roman"/>
        </w:rPr>
        <w:t>]”, EU:C:2016:198, 85.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9C189" w14:textId="77777777" w:rsidR="00C7028C" w:rsidRDefault="00C7028C">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3617A" w14:textId="77777777" w:rsidR="00832E2F" w:rsidRPr="00832E2F" w:rsidRDefault="00832E2F" w:rsidP="00832E2F">
    <w:pPr>
      <w:pStyle w:val="Header"/>
      <w:tabs>
        <w:tab w:val="clear" w:pos="4153"/>
        <w:tab w:val="clear" w:pos="8306"/>
      </w:tabs>
      <w:rPr>
        <w:rStyle w:val="PageNumber"/>
        <w:rFonts w:ascii="Times New Roman" w:hAnsi="Times New Roman" w:cs="Times New Roman"/>
        <w:sz w:val="20"/>
        <w:szCs w:val="20"/>
      </w:rPr>
    </w:pPr>
    <w:bookmarkStart w:id="27" w:name="_Hlk496261784"/>
    <w:bookmarkStart w:id="28" w:name="_Hlk496261785"/>
    <w:bookmarkStart w:id="29" w:name="_Hlk496261786"/>
    <w:bookmarkStart w:id="30" w:name="_Hlk502757728"/>
    <w:bookmarkStart w:id="31" w:name="_Hlk502757729"/>
    <w:bookmarkStart w:id="32" w:name="_Hlk502757738"/>
    <w:bookmarkStart w:id="33" w:name="_Hlk502757739"/>
    <w:bookmarkStart w:id="34" w:name="_Hlk30491084"/>
    <w:bookmarkStart w:id="35" w:name="_Hlk30491085"/>
  </w:p>
  <w:p w14:paraId="7E7F7137" w14:textId="77777777" w:rsidR="00832E2F" w:rsidRPr="00832E2F" w:rsidRDefault="00832E2F" w:rsidP="00832E2F">
    <w:pPr>
      <w:pStyle w:val="Header"/>
      <w:tabs>
        <w:tab w:val="clear" w:pos="4153"/>
        <w:tab w:val="clear" w:pos="8306"/>
        <w:tab w:val="right" w:leader="underscore" w:pos="9072"/>
      </w:tabs>
      <w:rPr>
        <w:rStyle w:val="PageNumber"/>
        <w:rFonts w:ascii="Times New Roman" w:hAnsi="Times New Roman" w:cs="Times New Roman"/>
        <w:sz w:val="20"/>
        <w:szCs w:val="20"/>
      </w:rPr>
    </w:pPr>
    <w:r w:rsidRPr="00832E2F">
      <w:rPr>
        <w:rStyle w:val="PageNumber"/>
        <w:rFonts w:ascii="Times New Roman" w:hAnsi="Times New Roman" w:cs="Times New Roman"/>
        <w:sz w:val="20"/>
        <w:szCs w:val="20"/>
      </w:rPr>
      <w:tab/>
    </w:r>
  </w:p>
  <w:bookmarkEnd w:id="27"/>
  <w:bookmarkEnd w:id="28"/>
  <w:bookmarkEnd w:id="29"/>
  <w:bookmarkEnd w:id="30"/>
  <w:bookmarkEnd w:id="31"/>
  <w:bookmarkEnd w:id="32"/>
  <w:bookmarkEnd w:id="33"/>
  <w:bookmarkEnd w:id="34"/>
  <w:bookmarkEnd w:id="35"/>
  <w:p w14:paraId="7A273A65" w14:textId="77777777" w:rsidR="00832E2F" w:rsidRPr="00832E2F" w:rsidRDefault="00832E2F" w:rsidP="00832E2F">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11412" w14:textId="77777777" w:rsidR="00832E2F" w:rsidRPr="00832E2F" w:rsidRDefault="00832E2F" w:rsidP="00832E2F">
    <w:pPr>
      <w:pBdr>
        <w:bottom w:val="single" w:sz="12" w:space="5" w:color="auto"/>
      </w:pBdr>
      <w:rPr>
        <w:rFonts w:ascii="Times New Roman" w:hAnsi="Times New Roman" w:cs="Times New Roman"/>
        <w:spacing w:val="-2"/>
        <w:sz w:val="20"/>
        <w:szCs w:val="20"/>
      </w:rPr>
    </w:pPr>
    <w:bookmarkStart w:id="36" w:name="_Hlk496261745"/>
    <w:bookmarkStart w:id="37" w:name="_Hlk496261746"/>
    <w:bookmarkStart w:id="38" w:name="_Hlk496261747"/>
    <w:bookmarkStart w:id="39" w:name="_Hlk30491063"/>
    <w:bookmarkStart w:id="40" w:name="_Hlk30491064"/>
  </w:p>
  <w:bookmarkEnd w:id="36"/>
  <w:bookmarkEnd w:id="37"/>
  <w:bookmarkEnd w:id="38"/>
  <w:bookmarkEnd w:id="39"/>
  <w:bookmarkEnd w:id="40"/>
  <w:p w14:paraId="35DBD33A" w14:textId="77777777" w:rsidR="00832E2F" w:rsidRPr="00832E2F" w:rsidRDefault="00832E2F" w:rsidP="00832E2F">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5B38"/>
    <w:multiLevelType w:val="hybridMultilevel"/>
    <w:tmpl w:val="5D643CAC"/>
    <w:lvl w:ilvl="0" w:tplc="F384B6FC">
      <w:start w:val="2"/>
      <w:numFmt w:val="upperLetter"/>
      <w:lvlText w:val="%1."/>
      <w:lvlJc w:val="left"/>
      <w:pPr>
        <w:ind w:left="1218" w:hanging="568"/>
      </w:pPr>
      <w:rPr>
        <w:rFonts w:ascii="Times New Roman" w:eastAsia="Times New Roman" w:hAnsi="Times New Roman" w:hint="default"/>
        <w:b/>
        <w:bCs/>
        <w:sz w:val="25"/>
        <w:szCs w:val="25"/>
      </w:rPr>
    </w:lvl>
    <w:lvl w:ilvl="1" w:tplc="8750A0D4">
      <w:start w:val="1"/>
      <w:numFmt w:val="bullet"/>
      <w:lvlText w:val="•"/>
      <w:lvlJc w:val="left"/>
      <w:pPr>
        <w:ind w:left="2000" w:hanging="568"/>
      </w:pPr>
      <w:rPr>
        <w:rFonts w:hint="default"/>
      </w:rPr>
    </w:lvl>
    <w:lvl w:ilvl="2" w:tplc="7A6AB742">
      <w:start w:val="1"/>
      <w:numFmt w:val="bullet"/>
      <w:lvlText w:val="•"/>
      <w:lvlJc w:val="left"/>
      <w:pPr>
        <w:ind w:left="2783" w:hanging="568"/>
      </w:pPr>
      <w:rPr>
        <w:rFonts w:hint="default"/>
      </w:rPr>
    </w:lvl>
    <w:lvl w:ilvl="3" w:tplc="04242250">
      <w:start w:val="1"/>
      <w:numFmt w:val="bullet"/>
      <w:lvlText w:val="•"/>
      <w:lvlJc w:val="left"/>
      <w:pPr>
        <w:ind w:left="3566" w:hanging="568"/>
      </w:pPr>
      <w:rPr>
        <w:rFonts w:hint="default"/>
      </w:rPr>
    </w:lvl>
    <w:lvl w:ilvl="4" w:tplc="AE604436">
      <w:start w:val="1"/>
      <w:numFmt w:val="bullet"/>
      <w:lvlText w:val="•"/>
      <w:lvlJc w:val="left"/>
      <w:pPr>
        <w:ind w:left="4348" w:hanging="568"/>
      </w:pPr>
      <w:rPr>
        <w:rFonts w:hint="default"/>
      </w:rPr>
    </w:lvl>
    <w:lvl w:ilvl="5" w:tplc="3078B6D2">
      <w:start w:val="1"/>
      <w:numFmt w:val="bullet"/>
      <w:lvlText w:val="•"/>
      <w:lvlJc w:val="left"/>
      <w:pPr>
        <w:ind w:left="5131" w:hanging="568"/>
      </w:pPr>
      <w:rPr>
        <w:rFonts w:hint="default"/>
      </w:rPr>
    </w:lvl>
    <w:lvl w:ilvl="6" w:tplc="384C3276">
      <w:start w:val="1"/>
      <w:numFmt w:val="bullet"/>
      <w:lvlText w:val="•"/>
      <w:lvlJc w:val="left"/>
      <w:pPr>
        <w:ind w:left="5914" w:hanging="568"/>
      </w:pPr>
      <w:rPr>
        <w:rFonts w:hint="default"/>
      </w:rPr>
    </w:lvl>
    <w:lvl w:ilvl="7" w:tplc="621EAA88">
      <w:start w:val="1"/>
      <w:numFmt w:val="bullet"/>
      <w:lvlText w:val="•"/>
      <w:lvlJc w:val="left"/>
      <w:pPr>
        <w:ind w:left="6696" w:hanging="568"/>
      </w:pPr>
      <w:rPr>
        <w:rFonts w:hint="default"/>
      </w:rPr>
    </w:lvl>
    <w:lvl w:ilvl="8" w:tplc="9F5C37EC">
      <w:start w:val="1"/>
      <w:numFmt w:val="bullet"/>
      <w:lvlText w:val="•"/>
      <w:lvlJc w:val="left"/>
      <w:pPr>
        <w:ind w:left="7479" w:hanging="568"/>
      </w:pPr>
      <w:rPr>
        <w:rFonts w:hint="default"/>
      </w:rPr>
    </w:lvl>
  </w:abstractNum>
  <w:abstractNum w:abstractNumId="1" w15:restartNumberingAfterBreak="0">
    <w:nsid w:val="31CD4176"/>
    <w:multiLevelType w:val="hybridMultilevel"/>
    <w:tmpl w:val="F6AA7590"/>
    <w:lvl w:ilvl="0" w:tplc="A010FCE4">
      <w:start w:val="1"/>
      <w:numFmt w:val="bullet"/>
      <w:lvlText w:val="–"/>
      <w:lvlJc w:val="left"/>
      <w:pPr>
        <w:ind w:left="935" w:hanging="285"/>
      </w:pPr>
      <w:rPr>
        <w:rFonts w:ascii="Times New Roman" w:eastAsia="Times New Roman" w:hAnsi="Times New Roman" w:hint="default"/>
        <w:sz w:val="25"/>
        <w:szCs w:val="25"/>
      </w:rPr>
    </w:lvl>
    <w:lvl w:ilvl="1" w:tplc="5F606D50">
      <w:start w:val="1"/>
      <w:numFmt w:val="bullet"/>
      <w:lvlText w:val="•"/>
      <w:lvlJc w:val="left"/>
      <w:pPr>
        <w:ind w:left="1746" w:hanging="285"/>
      </w:pPr>
      <w:rPr>
        <w:rFonts w:hint="default"/>
      </w:rPr>
    </w:lvl>
    <w:lvl w:ilvl="2" w:tplc="135C070E">
      <w:start w:val="1"/>
      <w:numFmt w:val="bullet"/>
      <w:lvlText w:val="•"/>
      <w:lvlJc w:val="left"/>
      <w:pPr>
        <w:ind w:left="2557" w:hanging="285"/>
      </w:pPr>
      <w:rPr>
        <w:rFonts w:hint="default"/>
      </w:rPr>
    </w:lvl>
    <w:lvl w:ilvl="3" w:tplc="EE2E0CFC">
      <w:start w:val="1"/>
      <w:numFmt w:val="bullet"/>
      <w:lvlText w:val="•"/>
      <w:lvlJc w:val="left"/>
      <w:pPr>
        <w:ind w:left="3368" w:hanging="285"/>
      </w:pPr>
      <w:rPr>
        <w:rFonts w:hint="default"/>
      </w:rPr>
    </w:lvl>
    <w:lvl w:ilvl="4" w:tplc="5F0CB9CA">
      <w:start w:val="1"/>
      <w:numFmt w:val="bullet"/>
      <w:lvlText w:val="•"/>
      <w:lvlJc w:val="left"/>
      <w:pPr>
        <w:ind w:left="4179" w:hanging="285"/>
      </w:pPr>
      <w:rPr>
        <w:rFonts w:hint="default"/>
      </w:rPr>
    </w:lvl>
    <w:lvl w:ilvl="5" w:tplc="EEDE800A">
      <w:start w:val="1"/>
      <w:numFmt w:val="bullet"/>
      <w:lvlText w:val="•"/>
      <w:lvlJc w:val="left"/>
      <w:pPr>
        <w:ind w:left="4990" w:hanging="285"/>
      </w:pPr>
      <w:rPr>
        <w:rFonts w:hint="default"/>
      </w:rPr>
    </w:lvl>
    <w:lvl w:ilvl="6" w:tplc="7466E442">
      <w:start w:val="1"/>
      <w:numFmt w:val="bullet"/>
      <w:lvlText w:val="•"/>
      <w:lvlJc w:val="left"/>
      <w:pPr>
        <w:ind w:left="5801" w:hanging="285"/>
      </w:pPr>
      <w:rPr>
        <w:rFonts w:hint="default"/>
      </w:rPr>
    </w:lvl>
    <w:lvl w:ilvl="7" w:tplc="362EFD9C">
      <w:start w:val="1"/>
      <w:numFmt w:val="bullet"/>
      <w:lvlText w:val="•"/>
      <w:lvlJc w:val="left"/>
      <w:pPr>
        <w:ind w:left="6612" w:hanging="285"/>
      </w:pPr>
      <w:rPr>
        <w:rFonts w:hint="default"/>
      </w:rPr>
    </w:lvl>
    <w:lvl w:ilvl="8" w:tplc="FADEE490">
      <w:start w:val="1"/>
      <w:numFmt w:val="bullet"/>
      <w:lvlText w:val="•"/>
      <w:lvlJc w:val="left"/>
      <w:pPr>
        <w:ind w:left="7423" w:hanging="285"/>
      </w:pPr>
      <w:rPr>
        <w:rFonts w:hint="default"/>
      </w:rPr>
    </w:lvl>
  </w:abstractNum>
  <w:abstractNum w:abstractNumId="2" w15:restartNumberingAfterBreak="0">
    <w:nsid w:val="335D2780"/>
    <w:multiLevelType w:val="hybridMultilevel"/>
    <w:tmpl w:val="21448894"/>
    <w:lvl w:ilvl="0" w:tplc="03E49236">
      <w:start w:val="1"/>
      <w:numFmt w:val="upperLetter"/>
      <w:lvlText w:val="%1."/>
      <w:lvlJc w:val="left"/>
      <w:pPr>
        <w:ind w:left="1218" w:hanging="568"/>
      </w:pPr>
      <w:rPr>
        <w:rFonts w:ascii="Times New Roman" w:eastAsia="Times New Roman" w:hAnsi="Times New Roman" w:hint="default"/>
        <w:b/>
        <w:bCs/>
        <w:spacing w:val="-1"/>
        <w:sz w:val="25"/>
        <w:szCs w:val="25"/>
      </w:rPr>
    </w:lvl>
    <w:lvl w:ilvl="1" w:tplc="93E07C0E">
      <w:start w:val="1"/>
      <w:numFmt w:val="bullet"/>
      <w:lvlText w:val="•"/>
      <w:lvlJc w:val="left"/>
      <w:pPr>
        <w:ind w:left="2000" w:hanging="568"/>
      </w:pPr>
      <w:rPr>
        <w:rFonts w:hint="default"/>
      </w:rPr>
    </w:lvl>
    <w:lvl w:ilvl="2" w:tplc="C80296B6">
      <w:start w:val="1"/>
      <w:numFmt w:val="bullet"/>
      <w:lvlText w:val="•"/>
      <w:lvlJc w:val="left"/>
      <w:pPr>
        <w:ind w:left="2783" w:hanging="568"/>
      </w:pPr>
      <w:rPr>
        <w:rFonts w:hint="default"/>
      </w:rPr>
    </w:lvl>
    <w:lvl w:ilvl="3" w:tplc="5DBA3D08">
      <w:start w:val="1"/>
      <w:numFmt w:val="bullet"/>
      <w:lvlText w:val="•"/>
      <w:lvlJc w:val="left"/>
      <w:pPr>
        <w:ind w:left="3566" w:hanging="568"/>
      </w:pPr>
      <w:rPr>
        <w:rFonts w:hint="default"/>
      </w:rPr>
    </w:lvl>
    <w:lvl w:ilvl="4" w:tplc="CA9A2A1C">
      <w:start w:val="1"/>
      <w:numFmt w:val="bullet"/>
      <w:lvlText w:val="•"/>
      <w:lvlJc w:val="left"/>
      <w:pPr>
        <w:ind w:left="4348" w:hanging="568"/>
      </w:pPr>
      <w:rPr>
        <w:rFonts w:hint="default"/>
      </w:rPr>
    </w:lvl>
    <w:lvl w:ilvl="5" w:tplc="DD6E6880">
      <w:start w:val="1"/>
      <w:numFmt w:val="bullet"/>
      <w:lvlText w:val="•"/>
      <w:lvlJc w:val="left"/>
      <w:pPr>
        <w:ind w:left="5131" w:hanging="568"/>
      </w:pPr>
      <w:rPr>
        <w:rFonts w:hint="default"/>
      </w:rPr>
    </w:lvl>
    <w:lvl w:ilvl="6" w:tplc="7FBAA230">
      <w:start w:val="1"/>
      <w:numFmt w:val="bullet"/>
      <w:lvlText w:val="•"/>
      <w:lvlJc w:val="left"/>
      <w:pPr>
        <w:ind w:left="5914" w:hanging="568"/>
      </w:pPr>
      <w:rPr>
        <w:rFonts w:hint="default"/>
      </w:rPr>
    </w:lvl>
    <w:lvl w:ilvl="7" w:tplc="99AE4E7E">
      <w:start w:val="1"/>
      <w:numFmt w:val="bullet"/>
      <w:lvlText w:val="•"/>
      <w:lvlJc w:val="left"/>
      <w:pPr>
        <w:ind w:left="6696" w:hanging="568"/>
      </w:pPr>
      <w:rPr>
        <w:rFonts w:hint="default"/>
      </w:rPr>
    </w:lvl>
    <w:lvl w:ilvl="8" w:tplc="A0845A0A">
      <w:start w:val="1"/>
      <w:numFmt w:val="bullet"/>
      <w:lvlText w:val="•"/>
      <w:lvlJc w:val="left"/>
      <w:pPr>
        <w:ind w:left="7479" w:hanging="568"/>
      </w:pPr>
      <w:rPr>
        <w:rFonts w:hint="default"/>
      </w:rPr>
    </w:lvl>
  </w:abstractNum>
  <w:abstractNum w:abstractNumId="3" w15:restartNumberingAfterBreak="0">
    <w:nsid w:val="41BE6799"/>
    <w:multiLevelType w:val="hybridMultilevel"/>
    <w:tmpl w:val="415CC44C"/>
    <w:lvl w:ilvl="0" w:tplc="1D8032B4">
      <w:start w:val="1"/>
      <w:numFmt w:val="decimal"/>
      <w:lvlText w:val="%1"/>
      <w:lvlJc w:val="left"/>
      <w:pPr>
        <w:ind w:left="650" w:hanging="540"/>
      </w:pPr>
      <w:rPr>
        <w:rFonts w:ascii="Times New Roman" w:eastAsia="Times New Roman" w:hAnsi="Times New Roman" w:hint="default"/>
        <w:sz w:val="25"/>
        <w:szCs w:val="25"/>
      </w:rPr>
    </w:lvl>
    <w:lvl w:ilvl="1" w:tplc="90963F7E">
      <w:start w:val="1"/>
      <w:numFmt w:val="decimal"/>
      <w:lvlText w:val="%2."/>
      <w:lvlJc w:val="left"/>
      <w:pPr>
        <w:ind w:left="650" w:hanging="318"/>
      </w:pPr>
      <w:rPr>
        <w:rFonts w:ascii="Times New Roman" w:eastAsia="Times New Roman" w:hAnsi="Times New Roman" w:hint="default"/>
        <w:sz w:val="25"/>
        <w:szCs w:val="25"/>
      </w:rPr>
    </w:lvl>
    <w:lvl w:ilvl="2" w:tplc="1F9E46F2">
      <w:start w:val="1"/>
      <w:numFmt w:val="bullet"/>
      <w:lvlText w:val="•"/>
      <w:lvlJc w:val="left"/>
      <w:pPr>
        <w:ind w:left="2329" w:hanging="318"/>
      </w:pPr>
      <w:rPr>
        <w:rFonts w:hint="default"/>
      </w:rPr>
    </w:lvl>
    <w:lvl w:ilvl="3" w:tplc="49FA6996">
      <w:start w:val="1"/>
      <w:numFmt w:val="bullet"/>
      <w:lvlText w:val="•"/>
      <w:lvlJc w:val="left"/>
      <w:pPr>
        <w:ind w:left="3168" w:hanging="318"/>
      </w:pPr>
      <w:rPr>
        <w:rFonts w:hint="default"/>
      </w:rPr>
    </w:lvl>
    <w:lvl w:ilvl="4" w:tplc="040827EC">
      <w:start w:val="1"/>
      <w:numFmt w:val="bullet"/>
      <w:lvlText w:val="•"/>
      <w:lvlJc w:val="left"/>
      <w:pPr>
        <w:ind w:left="4008" w:hanging="318"/>
      </w:pPr>
      <w:rPr>
        <w:rFonts w:hint="default"/>
      </w:rPr>
    </w:lvl>
    <w:lvl w:ilvl="5" w:tplc="00ECB4FC">
      <w:start w:val="1"/>
      <w:numFmt w:val="bullet"/>
      <w:lvlText w:val="•"/>
      <w:lvlJc w:val="left"/>
      <w:pPr>
        <w:ind w:left="4847" w:hanging="318"/>
      </w:pPr>
      <w:rPr>
        <w:rFonts w:hint="default"/>
      </w:rPr>
    </w:lvl>
    <w:lvl w:ilvl="6" w:tplc="98267806">
      <w:start w:val="1"/>
      <w:numFmt w:val="bullet"/>
      <w:lvlText w:val="•"/>
      <w:lvlJc w:val="left"/>
      <w:pPr>
        <w:ind w:left="5687" w:hanging="318"/>
      </w:pPr>
      <w:rPr>
        <w:rFonts w:hint="default"/>
      </w:rPr>
    </w:lvl>
    <w:lvl w:ilvl="7" w:tplc="17D0F604">
      <w:start w:val="1"/>
      <w:numFmt w:val="bullet"/>
      <w:lvlText w:val="•"/>
      <w:lvlJc w:val="left"/>
      <w:pPr>
        <w:ind w:left="6526" w:hanging="318"/>
      </w:pPr>
      <w:rPr>
        <w:rFonts w:hint="default"/>
      </w:rPr>
    </w:lvl>
    <w:lvl w:ilvl="8" w:tplc="8530F0E8">
      <w:start w:val="1"/>
      <w:numFmt w:val="bullet"/>
      <w:lvlText w:val="•"/>
      <w:lvlJc w:val="left"/>
      <w:pPr>
        <w:ind w:left="7366" w:hanging="318"/>
      </w:pPr>
      <w:rPr>
        <w:rFonts w:hint="default"/>
      </w:rPr>
    </w:lvl>
  </w:abstractNum>
  <w:abstractNum w:abstractNumId="4" w15:restartNumberingAfterBreak="0">
    <w:nsid w:val="52C75F12"/>
    <w:multiLevelType w:val="hybridMultilevel"/>
    <w:tmpl w:val="20663C34"/>
    <w:lvl w:ilvl="0" w:tplc="F18E6DA0">
      <w:start w:val="1"/>
      <w:numFmt w:val="upperRoman"/>
      <w:lvlText w:val="%1."/>
      <w:lvlJc w:val="left"/>
      <w:pPr>
        <w:ind w:left="1218" w:hanging="568"/>
      </w:pPr>
      <w:rPr>
        <w:rFonts w:ascii="Times New Roman" w:eastAsia="Times New Roman" w:hAnsi="Times New Roman" w:hint="default"/>
        <w:b/>
        <w:bCs/>
        <w:spacing w:val="-1"/>
        <w:sz w:val="24"/>
        <w:szCs w:val="24"/>
      </w:rPr>
    </w:lvl>
    <w:lvl w:ilvl="1" w:tplc="1DEE7922">
      <w:start w:val="1"/>
      <w:numFmt w:val="bullet"/>
      <w:lvlText w:val="•"/>
      <w:lvlJc w:val="left"/>
      <w:pPr>
        <w:ind w:left="2000" w:hanging="568"/>
      </w:pPr>
      <w:rPr>
        <w:rFonts w:hint="default"/>
      </w:rPr>
    </w:lvl>
    <w:lvl w:ilvl="2" w:tplc="91CCED66">
      <w:start w:val="1"/>
      <w:numFmt w:val="bullet"/>
      <w:lvlText w:val="•"/>
      <w:lvlJc w:val="left"/>
      <w:pPr>
        <w:ind w:left="2783" w:hanging="568"/>
      </w:pPr>
      <w:rPr>
        <w:rFonts w:hint="default"/>
      </w:rPr>
    </w:lvl>
    <w:lvl w:ilvl="3" w:tplc="01E06956">
      <w:start w:val="1"/>
      <w:numFmt w:val="bullet"/>
      <w:lvlText w:val="•"/>
      <w:lvlJc w:val="left"/>
      <w:pPr>
        <w:ind w:left="3566" w:hanging="568"/>
      </w:pPr>
      <w:rPr>
        <w:rFonts w:hint="default"/>
      </w:rPr>
    </w:lvl>
    <w:lvl w:ilvl="4" w:tplc="A964F9C6">
      <w:start w:val="1"/>
      <w:numFmt w:val="bullet"/>
      <w:lvlText w:val="•"/>
      <w:lvlJc w:val="left"/>
      <w:pPr>
        <w:ind w:left="4348" w:hanging="568"/>
      </w:pPr>
      <w:rPr>
        <w:rFonts w:hint="default"/>
      </w:rPr>
    </w:lvl>
    <w:lvl w:ilvl="5" w:tplc="C8C4A01A">
      <w:start w:val="1"/>
      <w:numFmt w:val="bullet"/>
      <w:lvlText w:val="•"/>
      <w:lvlJc w:val="left"/>
      <w:pPr>
        <w:ind w:left="5131" w:hanging="568"/>
      </w:pPr>
      <w:rPr>
        <w:rFonts w:hint="default"/>
      </w:rPr>
    </w:lvl>
    <w:lvl w:ilvl="6" w:tplc="998E8A76">
      <w:start w:val="1"/>
      <w:numFmt w:val="bullet"/>
      <w:lvlText w:val="•"/>
      <w:lvlJc w:val="left"/>
      <w:pPr>
        <w:ind w:left="5914" w:hanging="568"/>
      </w:pPr>
      <w:rPr>
        <w:rFonts w:hint="default"/>
      </w:rPr>
    </w:lvl>
    <w:lvl w:ilvl="7" w:tplc="3834A752">
      <w:start w:val="1"/>
      <w:numFmt w:val="bullet"/>
      <w:lvlText w:val="•"/>
      <w:lvlJc w:val="left"/>
      <w:pPr>
        <w:ind w:left="6696" w:hanging="568"/>
      </w:pPr>
      <w:rPr>
        <w:rFonts w:hint="default"/>
      </w:rPr>
    </w:lvl>
    <w:lvl w:ilvl="8" w:tplc="77DC9364">
      <w:start w:val="1"/>
      <w:numFmt w:val="bullet"/>
      <w:lvlText w:val="•"/>
      <w:lvlJc w:val="left"/>
      <w:pPr>
        <w:ind w:left="7479" w:hanging="568"/>
      </w:pPr>
      <w:rPr>
        <w:rFonts w:hint="default"/>
      </w:rPr>
    </w:lvl>
  </w:abstractNum>
  <w:abstractNum w:abstractNumId="5" w15:restartNumberingAfterBreak="0">
    <w:nsid w:val="6324171E"/>
    <w:multiLevelType w:val="hybridMultilevel"/>
    <w:tmpl w:val="0958CFE0"/>
    <w:lvl w:ilvl="0" w:tplc="49641178">
      <w:start w:val="1"/>
      <w:numFmt w:val="lowerLetter"/>
      <w:lvlText w:val="%1)"/>
      <w:lvlJc w:val="left"/>
      <w:pPr>
        <w:ind w:left="650" w:hanging="258"/>
      </w:pPr>
      <w:rPr>
        <w:rFonts w:ascii="Times New Roman" w:eastAsia="Times New Roman" w:hAnsi="Times New Roman" w:hint="default"/>
        <w:spacing w:val="-1"/>
        <w:sz w:val="25"/>
        <w:szCs w:val="25"/>
      </w:rPr>
    </w:lvl>
    <w:lvl w:ilvl="1" w:tplc="7FF68498">
      <w:start w:val="1"/>
      <w:numFmt w:val="bullet"/>
      <w:lvlText w:val="•"/>
      <w:lvlJc w:val="left"/>
      <w:pPr>
        <w:ind w:left="1489" w:hanging="258"/>
      </w:pPr>
      <w:rPr>
        <w:rFonts w:hint="default"/>
      </w:rPr>
    </w:lvl>
    <w:lvl w:ilvl="2" w:tplc="5FF6F046">
      <w:start w:val="1"/>
      <w:numFmt w:val="bullet"/>
      <w:lvlText w:val="•"/>
      <w:lvlJc w:val="left"/>
      <w:pPr>
        <w:ind w:left="2329" w:hanging="258"/>
      </w:pPr>
      <w:rPr>
        <w:rFonts w:hint="default"/>
      </w:rPr>
    </w:lvl>
    <w:lvl w:ilvl="3" w:tplc="63CACB94">
      <w:start w:val="1"/>
      <w:numFmt w:val="bullet"/>
      <w:lvlText w:val="•"/>
      <w:lvlJc w:val="left"/>
      <w:pPr>
        <w:ind w:left="3168" w:hanging="258"/>
      </w:pPr>
      <w:rPr>
        <w:rFonts w:hint="default"/>
      </w:rPr>
    </w:lvl>
    <w:lvl w:ilvl="4" w:tplc="88046492">
      <w:start w:val="1"/>
      <w:numFmt w:val="bullet"/>
      <w:lvlText w:val="•"/>
      <w:lvlJc w:val="left"/>
      <w:pPr>
        <w:ind w:left="4008" w:hanging="258"/>
      </w:pPr>
      <w:rPr>
        <w:rFonts w:hint="default"/>
      </w:rPr>
    </w:lvl>
    <w:lvl w:ilvl="5" w:tplc="CC1610EE">
      <w:start w:val="1"/>
      <w:numFmt w:val="bullet"/>
      <w:lvlText w:val="•"/>
      <w:lvlJc w:val="left"/>
      <w:pPr>
        <w:ind w:left="4847" w:hanging="258"/>
      </w:pPr>
      <w:rPr>
        <w:rFonts w:hint="default"/>
      </w:rPr>
    </w:lvl>
    <w:lvl w:ilvl="6" w:tplc="FF784298">
      <w:start w:val="1"/>
      <w:numFmt w:val="bullet"/>
      <w:lvlText w:val="•"/>
      <w:lvlJc w:val="left"/>
      <w:pPr>
        <w:ind w:left="5687" w:hanging="258"/>
      </w:pPr>
      <w:rPr>
        <w:rFonts w:hint="default"/>
      </w:rPr>
    </w:lvl>
    <w:lvl w:ilvl="7" w:tplc="545E057C">
      <w:start w:val="1"/>
      <w:numFmt w:val="bullet"/>
      <w:lvlText w:val="•"/>
      <w:lvlJc w:val="left"/>
      <w:pPr>
        <w:ind w:left="6526" w:hanging="258"/>
      </w:pPr>
      <w:rPr>
        <w:rFonts w:hint="default"/>
      </w:rPr>
    </w:lvl>
    <w:lvl w:ilvl="8" w:tplc="A0D48A62">
      <w:start w:val="1"/>
      <w:numFmt w:val="bullet"/>
      <w:lvlText w:val="•"/>
      <w:lvlJc w:val="left"/>
      <w:pPr>
        <w:ind w:left="7366" w:hanging="258"/>
      </w:pPr>
      <w:rPr>
        <w:rFonts w:hint="default"/>
      </w:rPr>
    </w:lvl>
  </w:abstractNum>
  <w:abstractNum w:abstractNumId="6" w15:restartNumberingAfterBreak="0">
    <w:nsid w:val="6DB17BAD"/>
    <w:multiLevelType w:val="hybridMultilevel"/>
    <w:tmpl w:val="0100B814"/>
    <w:lvl w:ilvl="0" w:tplc="6008785E">
      <w:start w:val="1"/>
      <w:numFmt w:val="bullet"/>
      <w:lvlText w:val="–"/>
      <w:lvlJc w:val="left"/>
      <w:pPr>
        <w:ind w:left="935" w:hanging="285"/>
      </w:pPr>
      <w:rPr>
        <w:rFonts w:ascii="Times New Roman" w:eastAsia="Times New Roman" w:hAnsi="Times New Roman" w:hint="default"/>
        <w:sz w:val="25"/>
        <w:szCs w:val="25"/>
      </w:rPr>
    </w:lvl>
    <w:lvl w:ilvl="1" w:tplc="5450EF6A">
      <w:start w:val="1"/>
      <w:numFmt w:val="bullet"/>
      <w:lvlText w:val="•"/>
      <w:lvlJc w:val="left"/>
      <w:pPr>
        <w:ind w:left="1746" w:hanging="285"/>
      </w:pPr>
      <w:rPr>
        <w:rFonts w:hint="default"/>
      </w:rPr>
    </w:lvl>
    <w:lvl w:ilvl="2" w:tplc="589811B2">
      <w:start w:val="1"/>
      <w:numFmt w:val="bullet"/>
      <w:lvlText w:val="•"/>
      <w:lvlJc w:val="left"/>
      <w:pPr>
        <w:ind w:left="2557" w:hanging="285"/>
      </w:pPr>
      <w:rPr>
        <w:rFonts w:hint="default"/>
      </w:rPr>
    </w:lvl>
    <w:lvl w:ilvl="3" w:tplc="5038C522">
      <w:start w:val="1"/>
      <w:numFmt w:val="bullet"/>
      <w:lvlText w:val="•"/>
      <w:lvlJc w:val="left"/>
      <w:pPr>
        <w:ind w:left="3368" w:hanging="285"/>
      </w:pPr>
      <w:rPr>
        <w:rFonts w:hint="default"/>
      </w:rPr>
    </w:lvl>
    <w:lvl w:ilvl="4" w:tplc="39AE17DE">
      <w:start w:val="1"/>
      <w:numFmt w:val="bullet"/>
      <w:lvlText w:val="•"/>
      <w:lvlJc w:val="left"/>
      <w:pPr>
        <w:ind w:left="4179" w:hanging="285"/>
      </w:pPr>
      <w:rPr>
        <w:rFonts w:hint="default"/>
      </w:rPr>
    </w:lvl>
    <w:lvl w:ilvl="5" w:tplc="1A42CC98">
      <w:start w:val="1"/>
      <w:numFmt w:val="bullet"/>
      <w:lvlText w:val="•"/>
      <w:lvlJc w:val="left"/>
      <w:pPr>
        <w:ind w:left="4990" w:hanging="285"/>
      </w:pPr>
      <w:rPr>
        <w:rFonts w:hint="default"/>
      </w:rPr>
    </w:lvl>
    <w:lvl w:ilvl="6" w:tplc="689C9CE6">
      <w:start w:val="1"/>
      <w:numFmt w:val="bullet"/>
      <w:lvlText w:val="•"/>
      <w:lvlJc w:val="left"/>
      <w:pPr>
        <w:ind w:left="5801" w:hanging="285"/>
      </w:pPr>
      <w:rPr>
        <w:rFonts w:hint="default"/>
      </w:rPr>
    </w:lvl>
    <w:lvl w:ilvl="7" w:tplc="A398745C">
      <w:start w:val="1"/>
      <w:numFmt w:val="bullet"/>
      <w:lvlText w:val="•"/>
      <w:lvlJc w:val="left"/>
      <w:pPr>
        <w:ind w:left="6612" w:hanging="285"/>
      </w:pPr>
      <w:rPr>
        <w:rFonts w:hint="default"/>
      </w:rPr>
    </w:lvl>
    <w:lvl w:ilvl="8" w:tplc="6E842928">
      <w:start w:val="1"/>
      <w:numFmt w:val="bullet"/>
      <w:lvlText w:val="•"/>
      <w:lvlJc w:val="left"/>
      <w:pPr>
        <w:ind w:left="7423" w:hanging="285"/>
      </w:pPr>
      <w:rPr>
        <w:rFonts w:hint="default"/>
      </w:rPr>
    </w:lvl>
  </w:abstractNum>
  <w:abstractNum w:abstractNumId="7" w15:restartNumberingAfterBreak="0">
    <w:nsid w:val="79A202A5"/>
    <w:multiLevelType w:val="hybridMultilevel"/>
    <w:tmpl w:val="6610FA2A"/>
    <w:lvl w:ilvl="0" w:tplc="A1F8477A">
      <w:start w:val="2"/>
      <w:numFmt w:val="decimal"/>
      <w:lvlText w:val="%1."/>
      <w:lvlJc w:val="left"/>
      <w:pPr>
        <w:ind w:left="650" w:hanging="258"/>
      </w:pPr>
      <w:rPr>
        <w:rFonts w:ascii="Times New Roman" w:eastAsia="Times New Roman" w:hAnsi="Times New Roman" w:hint="default"/>
        <w:i/>
        <w:sz w:val="25"/>
        <w:szCs w:val="25"/>
      </w:rPr>
    </w:lvl>
    <w:lvl w:ilvl="1" w:tplc="8D22DF9E">
      <w:start w:val="1"/>
      <w:numFmt w:val="bullet"/>
      <w:lvlText w:val="•"/>
      <w:lvlJc w:val="left"/>
      <w:pPr>
        <w:ind w:left="1489" w:hanging="258"/>
      </w:pPr>
      <w:rPr>
        <w:rFonts w:hint="default"/>
      </w:rPr>
    </w:lvl>
    <w:lvl w:ilvl="2" w:tplc="5DA4F85C">
      <w:start w:val="1"/>
      <w:numFmt w:val="bullet"/>
      <w:lvlText w:val="•"/>
      <w:lvlJc w:val="left"/>
      <w:pPr>
        <w:ind w:left="2329" w:hanging="258"/>
      </w:pPr>
      <w:rPr>
        <w:rFonts w:hint="default"/>
      </w:rPr>
    </w:lvl>
    <w:lvl w:ilvl="3" w:tplc="9F7492EE">
      <w:start w:val="1"/>
      <w:numFmt w:val="bullet"/>
      <w:lvlText w:val="•"/>
      <w:lvlJc w:val="left"/>
      <w:pPr>
        <w:ind w:left="3168" w:hanging="258"/>
      </w:pPr>
      <w:rPr>
        <w:rFonts w:hint="default"/>
      </w:rPr>
    </w:lvl>
    <w:lvl w:ilvl="4" w:tplc="55701E3C">
      <w:start w:val="1"/>
      <w:numFmt w:val="bullet"/>
      <w:lvlText w:val="•"/>
      <w:lvlJc w:val="left"/>
      <w:pPr>
        <w:ind w:left="4008" w:hanging="258"/>
      </w:pPr>
      <w:rPr>
        <w:rFonts w:hint="default"/>
      </w:rPr>
    </w:lvl>
    <w:lvl w:ilvl="5" w:tplc="50EA903C">
      <w:start w:val="1"/>
      <w:numFmt w:val="bullet"/>
      <w:lvlText w:val="•"/>
      <w:lvlJc w:val="left"/>
      <w:pPr>
        <w:ind w:left="4847" w:hanging="258"/>
      </w:pPr>
      <w:rPr>
        <w:rFonts w:hint="default"/>
      </w:rPr>
    </w:lvl>
    <w:lvl w:ilvl="6" w:tplc="BCF45412">
      <w:start w:val="1"/>
      <w:numFmt w:val="bullet"/>
      <w:lvlText w:val="•"/>
      <w:lvlJc w:val="left"/>
      <w:pPr>
        <w:ind w:left="5687" w:hanging="258"/>
      </w:pPr>
      <w:rPr>
        <w:rFonts w:hint="default"/>
      </w:rPr>
    </w:lvl>
    <w:lvl w:ilvl="7" w:tplc="ABE28CC0">
      <w:start w:val="1"/>
      <w:numFmt w:val="bullet"/>
      <w:lvlText w:val="•"/>
      <w:lvlJc w:val="left"/>
      <w:pPr>
        <w:ind w:left="6526" w:hanging="258"/>
      </w:pPr>
      <w:rPr>
        <w:rFonts w:hint="default"/>
      </w:rPr>
    </w:lvl>
    <w:lvl w:ilvl="8" w:tplc="27BCD6D8">
      <w:start w:val="1"/>
      <w:numFmt w:val="bullet"/>
      <w:lvlText w:val="•"/>
      <w:lvlJc w:val="left"/>
      <w:pPr>
        <w:ind w:left="7366" w:hanging="258"/>
      </w:pPr>
      <w:rPr>
        <w:rFonts w:hint="default"/>
      </w:rPr>
    </w:lvl>
  </w:abstractNum>
  <w:abstractNum w:abstractNumId="8" w15:restartNumberingAfterBreak="0">
    <w:nsid w:val="7DC41FFD"/>
    <w:multiLevelType w:val="hybridMultilevel"/>
    <w:tmpl w:val="B112896E"/>
    <w:lvl w:ilvl="0" w:tplc="B6B83420">
      <w:start w:val="1"/>
      <w:numFmt w:val="upperRoman"/>
      <w:lvlText w:val="%1."/>
      <w:lvlJc w:val="left"/>
      <w:pPr>
        <w:ind w:left="1090" w:hanging="440"/>
      </w:pPr>
      <w:rPr>
        <w:rFonts w:ascii="Times New Roman" w:eastAsia="Times New Roman" w:hAnsi="Times New Roman" w:hint="default"/>
        <w:spacing w:val="-4"/>
        <w:sz w:val="25"/>
        <w:szCs w:val="25"/>
      </w:rPr>
    </w:lvl>
    <w:lvl w:ilvl="1" w:tplc="1CB8FFEA">
      <w:start w:val="1"/>
      <w:numFmt w:val="upperLetter"/>
      <w:lvlText w:val="%2."/>
      <w:lvlJc w:val="left"/>
      <w:pPr>
        <w:ind w:left="1530" w:hanging="630"/>
      </w:pPr>
      <w:rPr>
        <w:rFonts w:ascii="Times New Roman" w:eastAsia="Times New Roman" w:hAnsi="Times New Roman" w:hint="default"/>
        <w:spacing w:val="-1"/>
        <w:sz w:val="25"/>
        <w:szCs w:val="25"/>
      </w:rPr>
    </w:lvl>
    <w:lvl w:ilvl="2" w:tplc="3D58E0FE">
      <w:start w:val="1"/>
      <w:numFmt w:val="bullet"/>
      <w:lvlText w:val="•"/>
      <w:lvlJc w:val="left"/>
      <w:pPr>
        <w:ind w:left="2365" w:hanging="630"/>
      </w:pPr>
      <w:rPr>
        <w:rFonts w:hint="default"/>
      </w:rPr>
    </w:lvl>
    <w:lvl w:ilvl="3" w:tplc="2DDCD5E4">
      <w:start w:val="1"/>
      <w:numFmt w:val="bullet"/>
      <w:lvlText w:val="•"/>
      <w:lvlJc w:val="left"/>
      <w:pPr>
        <w:ind w:left="3200" w:hanging="630"/>
      </w:pPr>
      <w:rPr>
        <w:rFonts w:hint="default"/>
      </w:rPr>
    </w:lvl>
    <w:lvl w:ilvl="4" w:tplc="35382F92">
      <w:start w:val="1"/>
      <w:numFmt w:val="bullet"/>
      <w:lvlText w:val="•"/>
      <w:lvlJc w:val="left"/>
      <w:pPr>
        <w:ind w:left="4035" w:hanging="630"/>
      </w:pPr>
      <w:rPr>
        <w:rFonts w:hint="default"/>
      </w:rPr>
    </w:lvl>
    <w:lvl w:ilvl="5" w:tplc="6A0CDD44">
      <w:start w:val="1"/>
      <w:numFmt w:val="bullet"/>
      <w:lvlText w:val="•"/>
      <w:lvlJc w:val="left"/>
      <w:pPr>
        <w:ind w:left="4870" w:hanging="630"/>
      </w:pPr>
      <w:rPr>
        <w:rFonts w:hint="default"/>
      </w:rPr>
    </w:lvl>
    <w:lvl w:ilvl="6" w:tplc="04128904">
      <w:start w:val="1"/>
      <w:numFmt w:val="bullet"/>
      <w:lvlText w:val="•"/>
      <w:lvlJc w:val="left"/>
      <w:pPr>
        <w:ind w:left="5705" w:hanging="630"/>
      </w:pPr>
      <w:rPr>
        <w:rFonts w:hint="default"/>
      </w:rPr>
    </w:lvl>
    <w:lvl w:ilvl="7" w:tplc="D9E83ABC">
      <w:start w:val="1"/>
      <w:numFmt w:val="bullet"/>
      <w:lvlText w:val="•"/>
      <w:lvlJc w:val="left"/>
      <w:pPr>
        <w:ind w:left="6540" w:hanging="630"/>
      </w:pPr>
      <w:rPr>
        <w:rFonts w:hint="default"/>
      </w:rPr>
    </w:lvl>
    <w:lvl w:ilvl="8" w:tplc="87C2857E">
      <w:start w:val="1"/>
      <w:numFmt w:val="bullet"/>
      <w:lvlText w:val="•"/>
      <w:lvlJc w:val="left"/>
      <w:pPr>
        <w:ind w:left="7375" w:hanging="630"/>
      </w:pPr>
      <w:rPr>
        <w:rFonts w:hint="default"/>
      </w:rPr>
    </w:lvl>
  </w:abstractNum>
  <w:num w:numId="1">
    <w:abstractNumId w:val="7"/>
  </w:num>
  <w:num w:numId="2">
    <w:abstractNumId w:val="6"/>
  </w:num>
  <w:num w:numId="3">
    <w:abstractNumId w:val="1"/>
  </w:num>
  <w:num w:numId="4">
    <w:abstractNumId w:val="0"/>
  </w:num>
  <w:num w:numId="5">
    <w:abstractNumId w:val="5"/>
  </w:num>
  <w:num w:numId="6">
    <w:abstractNumId w:val="2"/>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7028C"/>
    <w:rsid w:val="00472805"/>
    <w:rsid w:val="00516F8A"/>
    <w:rsid w:val="00611F84"/>
    <w:rsid w:val="007738C4"/>
    <w:rsid w:val="00832E2F"/>
    <w:rsid w:val="00887CF5"/>
    <w:rsid w:val="00A05C6C"/>
    <w:rsid w:val="00A217E2"/>
    <w:rsid w:val="00C7028C"/>
    <w:rsid w:val="00CE6732"/>
    <w:rsid w:val="00D237A6"/>
    <w:rsid w:val="00E62C1C"/>
    <w:rsid w:val="00F537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13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218"/>
      <w:outlineLvl w:val="0"/>
    </w:pPr>
    <w:rPr>
      <w:rFonts w:ascii="Times New Roman" w:eastAsia="Times New Roman" w:hAnsi="Times New Roman"/>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1310" w:hanging="660"/>
    </w:pPr>
    <w:rPr>
      <w:rFonts w:ascii="Times New Roman" w:eastAsia="Times New Roman" w:hAnsi="Times New Roman"/>
      <w:sz w:val="25"/>
      <w:szCs w:val="25"/>
    </w:rPr>
  </w:style>
  <w:style w:type="paragraph" w:styleId="TOC2">
    <w:name w:val="toc 2"/>
    <w:basedOn w:val="Normal"/>
    <w:uiPriority w:val="1"/>
    <w:qFormat/>
    <w:pPr>
      <w:spacing w:before="100"/>
      <w:ind w:left="1530" w:hanging="630"/>
    </w:pPr>
    <w:rPr>
      <w:rFonts w:ascii="Times New Roman" w:eastAsia="Times New Roman" w:hAnsi="Times New Roman"/>
      <w:sz w:val="25"/>
      <w:szCs w:val="25"/>
    </w:rPr>
  </w:style>
  <w:style w:type="paragraph" w:styleId="BodyText">
    <w:name w:val="Body Text"/>
    <w:basedOn w:val="Normal"/>
    <w:link w:val="BodyTextChar"/>
    <w:uiPriority w:val="1"/>
    <w:qFormat/>
    <w:pPr>
      <w:ind w:left="650" w:hanging="540"/>
    </w:pPr>
    <w:rPr>
      <w:rFonts w:ascii="Times New Roman" w:eastAsia="Times New Roman" w:hAnsi="Times New Roman"/>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E62C1C"/>
    <w:pPr>
      <w:tabs>
        <w:tab w:val="center" w:pos="4153"/>
        <w:tab w:val="right" w:pos="8306"/>
      </w:tabs>
    </w:pPr>
  </w:style>
  <w:style w:type="character" w:customStyle="1" w:styleId="HeaderChar">
    <w:name w:val="Header Char"/>
    <w:basedOn w:val="DefaultParagraphFont"/>
    <w:link w:val="Header"/>
    <w:uiPriority w:val="99"/>
    <w:rsid w:val="00E62C1C"/>
  </w:style>
  <w:style w:type="paragraph" w:styleId="Footer">
    <w:name w:val="footer"/>
    <w:basedOn w:val="Normal"/>
    <w:link w:val="FooterChar"/>
    <w:unhideWhenUsed/>
    <w:rsid w:val="00E62C1C"/>
    <w:pPr>
      <w:tabs>
        <w:tab w:val="center" w:pos="4153"/>
        <w:tab w:val="right" w:pos="8306"/>
      </w:tabs>
    </w:pPr>
  </w:style>
  <w:style w:type="character" w:customStyle="1" w:styleId="FooterChar">
    <w:name w:val="Footer Char"/>
    <w:basedOn w:val="DefaultParagraphFont"/>
    <w:link w:val="Footer"/>
    <w:uiPriority w:val="99"/>
    <w:rsid w:val="00E62C1C"/>
  </w:style>
  <w:style w:type="character" w:customStyle="1" w:styleId="BodyTextChar">
    <w:name w:val="Body Text Char"/>
    <w:basedOn w:val="DefaultParagraphFont"/>
    <w:link w:val="BodyText"/>
    <w:uiPriority w:val="1"/>
    <w:rsid w:val="00E62C1C"/>
    <w:rPr>
      <w:rFonts w:ascii="Times New Roman" w:eastAsia="Times New Roman" w:hAnsi="Times New Roman"/>
      <w:sz w:val="25"/>
      <w:szCs w:val="25"/>
    </w:rPr>
  </w:style>
  <w:style w:type="table" w:styleId="TableGrid">
    <w:name w:val="Table Grid"/>
    <w:basedOn w:val="TableNormal"/>
    <w:uiPriority w:val="39"/>
    <w:rsid w:val="00E62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11F84"/>
    <w:rPr>
      <w:sz w:val="20"/>
      <w:szCs w:val="20"/>
    </w:rPr>
  </w:style>
  <w:style w:type="character" w:customStyle="1" w:styleId="FootnoteTextChar">
    <w:name w:val="Footnote Text Char"/>
    <w:basedOn w:val="DefaultParagraphFont"/>
    <w:link w:val="FootnoteText"/>
    <w:uiPriority w:val="99"/>
    <w:semiHidden/>
    <w:rsid w:val="00611F84"/>
    <w:rPr>
      <w:sz w:val="20"/>
      <w:szCs w:val="20"/>
    </w:rPr>
  </w:style>
  <w:style w:type="character" w:styleId="FootnoteReference">
    <w:name w:val="footnote reference"/>
    <w:basedOn w:val="DefaultParagraphFont"/>
    <w:uiPriority w:val="99"/>
    <w:semiHidden/>
    <w:unhideWhenUsed/>
    <w:rsid w:val="00611F84"/>
    <w:rPr>
      <w:vertAlign w:val="superscript"/>
    </w:rPr>
  </w:style>
  <w:style w:type="character" w:styleId="PageNumber">
    <w:name w:val="page number"/>
    <w:basedOn w:val="DefaultParagraphFont"/>
    <w:semiHidden/>
    <w:rsid w:val="00832E2F"/>
  </w:style>
  <w:style w:type="paragraph" w:styleId="TOCHeading">
    <w:name w:val="TOC Heading"/>
    <w:basedOn w:val="Heading1"/>
    <w:next w:val="Normal"/>
    <w:uiPriority w:val="39"/>
    <w:unhideWhenUsed/>
    <w:qFormat/>
    <w:rsid w:val="00832E2F"/>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832E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64DE6-BBC7-4212-911B-58C364945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14171</Words>
  <Characters>8078</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2020-01-14T13:55:00Z</dcterms:created>
  <dcterms:modified xsi:type="dcterms:W3CDTF">2020-02-12T14:19:00Z</dcterms:modified>
</cp:coreProperties>
</file>