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2610E" w14:textId="151CAF18" w:rsidR="00DC0A63" w:rsidRPr="00D84C62" w:rsidRDefault="00D84C62" w:rsidP="00D84C62">
      <w:pPr>
        <w:jc w:val="center"/>
        <w:rPr>
          <w:rFonts w:ascii="Times New Roman" w:eastAsia="Times New Roman" w:hAnsi="Times New Roman" w:cs="Times New Roman"/>
          <w:noProof/>
          <w:sz w:val="24"/>
          <w:szCs w:val="11"/>
        </w:rPr>
      </w:pPr>
      <w:r>
        <w:rPr>
          <w:rFonts w:ascii="Times New Roman" w:hAnsi="Times New Roman"/>
          <w:i/>
          <w:iCs/>
          <w:sz w:val="24"/>
        </w:rPr>
        <w:t>WADA</w:t>
      </w:r>
      <w:r>
        <w:rPr>
          <w:rFonts w:ascii="Times New Roman" w:hAnsi="Times New Roman"/>
          <w:sz w:val="24"/>
        </w:rPr>
        <w:t xml:space="preserve"> tehniskais dokuments – </w:t>
      </w:r>
      <w:r>
        <w:rPr>
          <w:rFonts w:ascii="Times New Roman" w:hAnsi="Times New Roman"/>
          <w:i/>
          <w:iCs/>
          <w:sz w:val="24"/>
        </w:rPr>
        <w:t>TD2019IRMS</w:t>
      </w:r>
    </w:p>
    <w:p w14:paraId="3480DD39" w14:textId="77777777" w:rsidR="00D84C62" w:rsidRPr="006071FA" w:rsidRDefault="00D84C62" w:rsidP="006071FA">
      <w:pPr>
        <w:jc w:val="both"/>
        <w:rPr>
          <w:rFonts w:ascii="Times New Roman" w:eastAsia="Times New Roman" w:hAnsi="Times New Roman" w:cs="Times New Roman"/>
          <w:noProof/>
          <w:sz w:val="24"/>
          <w:szCs w:val="11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5"/>
        <w:gridCol w:w="2726"/>
        <w:gridCol w:w="1703"/>
        <w:gridCol w:w="2724"/>
      </w:tblGrid>
      <w:tr w:rsidR="00DC0A63" w:rsidRPr="00D84C62" w14:paraId="22587830" w14:textId="77777777" w:rsidTr="00D84C62">
        <w:tc>
          <w:tcPr>
            <w:tcW w:w="1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221EB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Dokumenta numurs:</w:t>
            </w:r>
          </w:p>
        </w:tc>
        <w:tc>
          <w:tcPr>
            <w:tcW w:w="14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BE0F4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TD2019IRMS</w:t>
            </w:r>
          </w:p>
        </w:tc>
        <w:tc>
          <w:tcPr>
            <w:tcW w:w="9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1CD67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Versijas numurs:</w:t>
            </w:r>
          </w:p>
        </w:tc>
        <w:tc>
          <w:tcPr>
            <w:tcW w:w="1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BD4F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</w:t>
            </w:r>
          </w:p>
        </w:tc>
      </w:tr>
      <w:tr w:rsidR="00DC0A63" w:rsidRPr="00D84C62" w14:paraId="1C151680" w14:textId="77777777" w:rsidTr="00D84C62">
        <w:tc>
          <w:tcPr>
            <w:tcW w:w="1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77FE9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Sarakstījusi:</w:t>
            </w:r>
          </w:p>
        </w:tc>
        <w:tc>
          <w:tcPr>
            <w:tcW w:w="14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2E982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eastAsia="Verdana" w:hAnsi="Times New Roman" w:cs="Verdana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laboratoriju</w:t>
            </w:r>
            <w:r>
              <w:rPr>
                <w:rFonts w:ascii="Times New Roman" w:hAnsi="Times New Roman"/>
                <w:sz w:val="20"/>
              </w:rPr>
              <w:t xml:space="preserve"> ekspertu grupa</w:t>
            </w:r>
          </w:p>
        </w:tc>
        <w:tc>
          <w:tcPr>
            <w:tcW w:w="9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4EE3B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Apstiprinājusi:</w:t>
            </w:r>
          </w:p>
        </w:tc>
        <w:tc>
          <w:tcPr>
            <w:tcW w:w="1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40448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eastAsia="Verdana" w:hAnsi="Times New Roman" w:cs="Verdana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 xml:space="preserve"> izpildkomiteja</w:t>
            </w:r>
          </w:p>
        </w:tc>
      </w:tr>
      <w:tr w:rsidR="00DC0A63" w:rsidRPr="00D84C62" w14:paraId="2F1D9FD8" w14:textId="77777777" w:rsidTr="00D84C62">
        <w:tc>
          <w:tcPr>
            <w:tcW w:w="1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CE5E4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Datums:</w:t>
            </w:r>
          </w:p>
        </w:tc>
        <w:tc>
          <w:tcPr>
            <w:tcW w:w="14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C6147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2018. gada 14. novembris</w:t>
            </w:r>
          </w:p>
        </w:tc>
        <w:tc>
          <w:tcPr>
            <w:tcW w:w="9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CA799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Spēkā stāšanās diena:</w:t>
            </w:r>
          </w:p>
        </w:tc>
        <w:tc>
          <w:tcPr>
            <w:tcW w:w="1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68B5F" w14:textId="77777777" w:rsidR="00DC0A63" w:rsidRPr="00D84C62" w:rsidRDefault="00DC0A63" w:rsidP="006071FA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2019. gada 1. marts</w:t>
            </w:r>
          </w:p>
        </w:tc>
      </w:tr>
    </w:tbl>
    <w:p w14:paraId="1E89DD57" w14:textId="77777777" w:rsidR="00DC0A63" w:rsidRPr="006071FA" w:rsidRDefault="00DC0A63" w:rsidP="006071FA">
      <w:pPr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14:paraId="29FD0B1A" w14:textId="77777777" w:rsidR="00DC0A63" w:rsidRPr="006071FA" w:rsidRDefault="00DC0A63" w:rsidP="00D84C62">
      <w:pPr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 xml:space="preserve">Endogēno anabolisko androgēno steroīdu sintētisko formu noteikšana, veicot </w:t>
      </w:r>
      <w:r>
        <w:rPr>
          <w:rFonts w:ascii="Times New Roman" w:hAnsi="Times New Roman"/>
          <w:b/>
          <w:i/>
          <w:iCs/>
          <w:sz w:val="24"/>
        </w:rPr>
        <w:t>GC/C/IRMS</w:t>
      </w:r>
      <w:r>
        <w:rPr>
          <w:rFonts w:ascii="Times New Roman" w:hAnsi="Times New Roman"/>
          <w:b/>
          <w:sz w:val="24"/>
        </w:rPr>
        <w:t xml:space="preserve"> analīzi</w:t>
      </w:r>
    </w:p>
    <w:p w14:paraId="6B9FBCA2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b/>
          <w:bCs/>
          <w:noProof/>
          <w:sz w:val="24"/>
          <w:szCs w:val="32"/>
        </w:rPr>
      </w:pPr>
    </w:p>
    <w:p w14:paraId="6A148B09" w14:textId="4564BCE4" w:rsidR="00DC0A63" w:rsidRPr="006071FA" w:rsidRDefault="00DC0A63" w:rsidP="006071FA">
      <w:pPr>
        <w:pStyle w:val="Heading1"/>
        <w:spacing w:before="0"/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1.0. Ievads</w:t>
      </w:r>
    </w:p>
    <w:p w14:paraId="178B581F" w14:textId="77777777" w:rsidR="00D84C62" w:rsidRDefault="00D84C62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126BF99" w14:textId="57C04D97" w:rsidR="00DC0A63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Šajā </w:t>
      </w:r>
      <w:r>
        <w:rPr>
          <w:rFonts w:ascii="Times New Roman" w:hAnsi="Times New Roman"/>
          <w:sz w:val="24"/>
          <w:u w:val="single" w:color="000000"/>
        </w:rPr>
        <w:t>tehniskajā dokumentā</w:t>
      </w:r>
      <w:r>
        <w:rPr>
          <w:rFonts w:ascii="Times New Roman" w:hAnsi="Times New Roman"/>
          <w:sz w:val="24"/>
        </w:rPr>
        <w:t xml:space="preserve"> ir aprakstīta </w:t>
      </w:r>
      <w:r>
        <w:rPr>
          <w:rFonts w:ascii="Times New Roman" w:hAnsi="Times New Roman"/>
          <w:sz w:val="24"/>
          <w:u w:val="single" w:color="000000"/>
        </w:rPr>
        <w:t>analītiskā metode</w:t>
      </w:r>
      <w:r>
        <w:rPr>
          <w:rFonts w:ascii="Times New Roman" w:hAnsi="Times New Roman"/>
          <w:sz w:val="24"/>
        </w:rPr>
        <w:t>, ko piemēro, lai ar gāzu hromatogrāfiju / degšanu / izotopu attiecības masspektrometriju (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) urīna </w:t>
      </w:r>
      <w:r>
        <w:rPr>
          <w:rFonts w:ascii="Times New Roman" w:hAnsi="Times New Roman"/>
          <w:i/>
          <w:sz w:val="24"/>
        </w:rPr>
        <w:t>paraugos</w:t>
      </w:r>
      <w:r>
        <w:rPr>
          <w:rFonts w:ascii="Times New Roman" w:hAnsi="Times New Roman"/>
          <w:sz w:val="24"/>
        </w:rPr>
        <w:t xml:space="preserve"> noteiktu endogēno anabolisko androgēno steroīdu (</w:t>
      </w:r>
      <w:r>
        <w:rPr>
          <w:rFonts w:ascii="Times New Roman" w:hAnsi="Times New Roman"/>
          <w:i/>
          <w:iCs/>
          <w:sz w:val="24"/>
        </w:rPr>
        <w:t>EAAS</w:t>
      </w:r>
      <w:r>
        <w:rPr>
          <w:rFonts w:ascii="Times New Roman" w:hAnsi="Times New Roman"/>
          <w:sz w:val="24"/>
        </w:rPr>
        <w:t>) sintētisko formu klātbūtni.</w:t>
      </w:r>
    </w:p>
    <w:p w14:paraId="076D79C4" w14:textId="77777777" w:rsidR="00D84C62" w:rsidRPr="006071FA" w:rsidRDefault="00D84C62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6911691" w14:textId="2448DE6B" w:rsidR="00DC0A63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Ir aplūkoti arī boldenons, boldenona </w:t>
      </w:r>
      <w:r>
        <w:rPr>
          <w:rFonts w:ascii="Times New Roman" w:hAnsi="Times New Roman"/>
          <w:i/>
          <w:sz w:val="24"/>
        </w:rPr>
        <w:t>metabolīts(-i)</w:t>
      </w:r>
      <w:r>
        <w:rPr>
          <w:rFonts w:ascii="Times New Roman" w:hAnsi="Times New Roman"/>
          <w:sz w:val="24"/>
        </w:rPr>
        <w:t xml:space="preserve"> un formestāns</w:t>
      </w:r>
      <w:r w:rsidR="00D84C62"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, ko parasti dabiskā veidā zemā koncentrācijā var atrast urīna </w:t>
      </w:r>
      <w:r>
        <w:rPr>
          <w:rFonts w:ascii="Times New Roman" w:hAnsi="Times New Roman"/>
          <w:i/>
          <w:sz w:val="24"/>
        </w:rPr>
        <w:t>paraugos</w:t>
      </w:r>
      <w:r>
        <w:rPr>
          <w:rFonts w:ascii="Times New Roman" w:hAnsi="Times New Roman"/>
          <w:sz w:val="24"/>
        </w:rPr>
        <w:t>.</w:t>
      </w:r>
    </w:p>
    <w:p w14:paraId="1A897CA6" w14:textId="77777777" w:rsidR="00D84C62" w:rsidRPr="006071FA" w:rsidRDefault="00D84C62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771B852D" w14:textId="77777777" w:rsidR="00DC0A63" w:rsidRPr="006071FA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19-norandrosterons (</w:t>
      </w:r>
      <w:r>
        <w:rPr>
          <w:rFonts w:ascii="Times New Roman" w:hAnsi="Times New Roman"/>
          <w:i/>
          <w:iCs/>
          <w:sz w:val="24"/>
        </w:rPr>
        <w:t>19-NA</w:t>
      </w:r>
      <w:r>
        <w:rPr>
          <w:rFonts w:ascii="Times New Roman" w:hAnsi="Times New Roman"/>
          <w:sz w:val="24"/>
        </w:rPr>
        <w:t>) un 19-noretioholanolons (</w:t>
      </w:r>
      <w:r>
        <w:rPr>
          <w:rFonts w:ascii="Times New Roman" w:hAnsi="Times New Roman"/>
          <w:i/>
          <w:iCs/>
          <w:sz w:val="24"/>
        </w:rPr>
        <w:t>19-NE</w:t>
      </w:r>
      <w:r>
        <w:rPr>
          <w:rFonts w:ascii="Times New Roman" w:hAnsi="Times New Roman"/>
          <w:sz w:val="24"/>
        </w:rPr>
        <w:t xml:space="preserve">) ir aplūkoti atsevišķā </w:t>
      </w:r>
      <w:r>
        <w:rPr>
          <w:rFonts w:ascii="Times New Roman" w:hAnsi="Times New Roman"/>
          <w:sz w:val="24"/>
          <w:u w:val="single" w:color="000000"/>
        </w:rPr>
        <w:t>tehniskajā dokumentā</w:t>
      </w:r>
      <w:r>
        <w:rPr>
          <w:rFonts w:ascii="Times New Roman" w:hAnsi="Times New Roman"/>
          <w:sz w:val="24"/>
        </w:rPr>
        <w:t xml:space="preserve">, proti, </w:t>
      </w:r>
      <w:r>
        <w:rPr>
          <w:rFonts w:ascii="Times New Roman" w:hAnsi="Times New Roman"/>
          <w:i/>
          <w:iCs/>
          <w:sz w:val="24"/>
        </w:rPr>
        <w:t>TD 19NA</w:t>
      </w:r>
      <w:r>
        <w:rPr>
          <w:rFonts w:ascii="Times New Roman" w:hAnsi="Times New Roman"/>
          <w:sz w:val="24"/>
        </w:rPr>
        <w:t xml:space="preserve"> [1], un to analīzei nepiemēro šajā dokumentā izklāstītos ieteikumus un prasības.</w:t>
      </w:r>
    </w:p>
    <w:p w14:paraId="75D0FAA4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6D2C69F9" w14:textId="4D22CE42" w:rsidR="00DC0A63" w:rsidRPr="006071FA" w:rsidRDefault="00D84C62" w:rsidP="00D84C62">
      <w:pPr>
        <w:pStyle w:val="Heading2"/>
        <w:tabs>
          <w:tab w:val="left" w:pos="599"/>
        </w:tabs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1.1.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piemērošana</w:t>
      </w:r>
    </w:p>
    <w:p w14:paraId="1717E661" w14:textId="77777777" w:rsidR="00D84C62" w:rsidRDefault="00D84C62" w:rsidP="00D84C62">
      <w:pPr>
        <w:tabs>
          <w:tab w:val="left" w:pos="841"/>
        </w:tabs>
        <w:jc w:val="both"/>
        <w:rPr>
          <w:rFonts w:ascii="Times New Roman" w:hAnsi="Times New Roman"/>
          <w:noProof/>
          <w:sz w:val="24"/>
        </w:rPr>
      </w:pPr>
    </w:p>
    <w:p w14:paraId="5BEA7429" w14:textId="18C96B4E" w:rsidR="00DC0A63" w:rsidRDefault="00D84C62" w:rsidP="00D84C62">
      <w:pPr>
        <w:tabs>
          <w:tab w:val="left" w:pos="841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1.1.1.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 kā </w:t>
      </w:r>
      <w:r>
        <w:rPr>
          <w:rFonts w:ascii="Times New Roman" w:hAnsi="Times New Roman"/>
          <w:sz w:val="24"/>
          <w:u w:val="single" w:color="000000"/>
        </w:rPr>
        <w:t>apstiprināšanas procedūra</w:t>
      </w:r>
      <w:r>
        <w:rPr>
          <w:rFonts w:ascii="Times New Roman" w:hAnsi="Times New Roman"/>
          <w:sz w:val="24"/>
        </w:rPr>
        <w:t xml:space="preserve">, ko piemēro, lai noteiktu </w:t>
      </w:r>
      <w:r>
        <w:rPr>
          <w:rFonts w:ascii="Times New Roman" w:hAnsi="Times New Roman"/>
          <w:i/>
          <w:iCs/>
          <w:sz w:val="24"/>
        </w:rPr>
        <w:t>EAAS</w:t>
      </w:r>
      <w:r>
        <w:rPr>
          <w:rFonts w:ascii="Times New Roman" w:hAnsi="Times New Roman"/>
          <w:sz w:val="24"/>
        </w:rPr>
        <w:t xml:space="preserve"> eksogēnu ievadīšanu</w:t>
      </w:r>
    </w:p>
    <w:p w14:paraId="0226565F" w14:textId="77777777" w:rsidR="00D84C62" w:rsidRPr="006071FA" w:rsidRDefault="00D84C62" w:rsidP="00D84C62">
      <w:pPr>
        <w:tabs>
          <w:tab w:val="left" w:pos="841"/>
        </w:tabs>
        <w:jc w:val="both"/>
        <w:rPr>
          <w:rFonts w:ascii="Times New Roman" w:eastAsia="Verdana" w:hAnsi="Times New Roman" w:cs="Verdana"/>
          <w:noProof/>
          <w:sz w:val="24"/>
          <w:szCs w:val="24"/>
        </w:rPr>
      </w:pPr>
    </w:p>
    <w:p w14:paraId="4C7728BA" w14:textId="1D3E949F" w:rsidR="00DC0A63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 kā </w:t>
      </w:r>
      <w:r>
        <w:rPr>
          <w:rFonts w:ascii="Times New Roman" w:hAnsi="Times New Roman"/>
          <w:sz w:val="24"/>
          <w:u w:val="single" w:color="000000"/>
        </w:rPr>
        <w:t>apstiprināšanas procedūru</w:t>
      </w:r>
      <w:r>
        <w:rPr>
          <w:rFonts w:ascii="Times New Roman" w:hAnsi="Times New Roman"/>
          <w:sz w:val="24"/>
        </w:rPr>
        <w:t xml:space="preserve"> veic, kad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saņem paziņojumu “</w:t>
      </w:r>
      <w:r>
        <w:rPr>
          <w:rFonts w:ascii="Times New Roman" w:hAnsi="Times New Roman"/>
          <w:i/>
          <w:sz w:val="24"/>
        </w:rPr>
        <w:t>Netipisku [bioloģiskās] pases parametru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 pieprasījums (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iCs/>
          <w:sz w:val="24"/>
        </w:rPr>
        <w:t>CPR</w:t>
      </w:r>
      <w:r>
        <w:rPr>
          <w:rFonts w:ascii="Times New Roman" w:hAnsi="Times New Roman"/>
          <w:sz w:val="24"/>
        </w:rPr>
        <w:t>)” vai “Aizdomīga steroīdu profila (</w:t>
      </w:r>
      <w:r>
        <w:rPr>
          <w:rFonts w:ascii="Times New Roman" w:hAnsi="Times New Roman"/>
          <w:i/>
          <w:iCs/>
          <w:sz w:val="24"/>
        </w:rPr>
        <w:t>SSP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 pieprasījums (</w:t>
      </w:r>
      <w:r>
        <w:rPr>
          <w:rFonts w:ascii="Times New Roman" w:hAnsi="Times New Roman"/>
          <w:i/>
          <w:iCs/>
          <w:sz w:val="24"/>
        </w:rPr>
        <w:t>SSP-CPR</w:t>
      </w:r>
      <w:r>
        <w:rPr>
          <w:rFonts w:ascii="Times New Roman" w:hAnsi="Times New Roman"/>
          <w:sz w:val="24"/>
        </w:rPr>
        <w:t xml:space="preserve">)”, kā aprakstīts </w:t>
      </w:r>
      <w:r>
        <w:rPr>
          <w:rFonts w:ascii="Times New Roman" w:hAnsi="Times New Roman"/>
          <w:sz w:val="24"/>
          <w:u w:val="single" w:color="000000"/>
        </w:rPr>
        <w:t>tehniskajā dokumentā</w:t>
      </w:r>
      <w:r>
        <w:rPr>
          <w:rFonts w:ascii="Times New Roman" w:hAnsi="Times New Roman"/>
          <w:sz w:val="24"/>
        </w:rPr>
        <w:t xml:space="preserve"> par </w:t>
      </w:r>
      <w:r>
        <w:rPr>
          <w:rFonts w:ascii="Times New Roman" w:hAnsi="Times New Roman"/>
          <w:i/>
          <w:iCs/>
          <w:sz w:val="24"/>
        </w:rPr>
        <w:t>EAAS</w:t>
      </w:r>
      <w:r>
        <w:rPr>
          <w:rFonts w:ascii="Times New Roman" w:hAnsi="Times New Roman"/>
          <w:sz w:val="24"/>
        </w:rPr>
        <w:t xml:space="preserve"> mērījumiem un ziņošanu par tiem (</w:t>
      </w:r>
      <w:r>
        <w:rPr>
          <w:rFonts w:ascii="Times New Roman" w:hAnsi="Times New Roman"/>
          <w:i/>
          <w:iCs/>
          <w:sz w:val="24"/>
        </w:rPr>
        <w:t>TDEAAS</w:t>
      </w:r>
      <w:r>
        <w:rPr>
          <w:rFonts w:ascii="Times New Roman" w:hAnsi="Times New Roman"/>
          <w:sz w:val="24"/>
        </w:rPr>
        <w:t>) [2].</w:t>
      </w:r>
    </w:p>
    <w:p w14:paraId="04D84C84" w14:textId="77777777" w:rsidR="00D84C62" w:rsidRPr="006071FA" w:rsidRDefault="00D84C62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12624DA0" w14:textId="77777777" w:rsidR="00DC0A63" w:rsidRPr="006071FA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Turklāt pat tad, ja steroīdu profila </w:t>
      </w:r>
      <w:r>
        <w:rPr>
          <w:rFonts w:ascii="Times New Roman" w:hAnsi="Times New Roman"/>
          <w:i/>
          <w:sz w:val="24"/>
        </w:rPr>
        <w:t>marķieri</w:t>
      </w:r>
      <w:r>
        <w:rPr>
          <w:rFonts w:ascii="Times New Roman" w:hAnsi="Times New Roman"/>
          <w:sz w:val="24"/>
        </w:rPr>
        <w:t xml:space="preserve"> ir normālajā diapazonā, </w:t>
      </w:r>
      <w:r>
        <w:rPr>
          <w:rFonts w:ascii="Times New Roman" w:hAnsi="Times New Roman"/>
          <w:sz w:val="24"/>
          <w:u w:val="single" w:color="000000"/>
        </w:rPr>
        <w:t>pārbaudes iestāde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 w:color="000000"/>
        </w:rPr>
        <w:t>sportista [bioloģiskās] pases pārvaldības struktūrvienība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) vai </w:t>
      </w:r>
      <w:r>
        <w:rPr>
          <w:rFonts w:ascii="Times New Roman" w:hAnsi="Times New Roman"/>
          <w:i/>
          <w:sz w:val="24"/>
        </w:rPr>
        <w:t>WADA</w:t>
      </w:r>
      <w:r>
        <w:rPr>
          <w:rFonts w:ascii="Times New Roman" w:hAnsi="Times New Roman"/>
          <w:sz w:val="24"/>
        </w:rPr>
        <w:t xml:space="preserve"> var pieprasīt visu urīna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analīzi.</w:t>
      </w:r>
    </w:p>
    <w:p w14:paraId="6048B5BC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4C42A351" w14:textId="5854219B" w:rsidR="00DC0A63" w:rsidRPr="006071FA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Turklāt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>, pamatojoties uz savu pieredzi, jebkurā brīdī var ieteikt</w:t>
      </w:r>
      <w:r w:rsidR="00827637"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pārbaudes iestādei</w:t>
      </w:r>
      <w:r>
        <w:rPr>
          <w:rFonts w:ascii="Times New Roman" w:hAnsi="Times New Roman"/>
          <w:sz w:val="24"/>
        </w:rPr>
        <w:t xml:space="preserve"> veikt (vai neveikt)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 gadījumos, kad, piemēram, ir konstatēta jebkura(-u) cita(-u) </w:t>
      </w:r>
      <w:r>
        <w:rPr>
          <w:rFonts w:ascii="Times New Roman" w:hAnsi="Times New Roman"/>
          <w:i/>
          <w:sz w:val="24"/>
        </w:rPr>
        <w:t>marķiera(-u)</w:t>
      </w:r>
      <w:r>
        <w:rPr>
          <w:rFonts w:ascii="Times New Roman" w:hAnsi="Times New Roman"/>
          <w:sz w:val="24"/>
        </w:rPr>
        <w:t xml:space="preserve"> klātbūtne, kas norāda uz </w:t>
      </w:r>
      <w:r>
        <w:rPr>
          <w:rFonts w:ascii="Times New Roman" w:hAnsi="Times New Roman"/>
          <w:i/>
          <w:iCs/>
          <w:sz w:val="24"/>
        </w:rPr>
        <w:t>EAAS</w:t>
      </w:r>
      <w:r>
        <w:rPr>
          <w:rFonts w:ascii="Times New Roman" w:hAnsi="Times New Roman"/>
          <w:sz w:val="24"/>
        </w:rPr>
        <w:t xml:space="preserve"> ievadīšanu, piemēram, 6α-hidroksi-androstendions, 3α,5-ciklo-5α-androstān-6β-ol-17-ons, 6β-hidroksi-androsterons vai 6β-hidroksi-epiandrosterons (sulfāti), vai izmainīta 7β-hidroksi-dehidroepiandrosterona un 16α-hidroksi-androsterona (sulfāti) attiecība.</w:t>
      </w:r>
    </w:p>
    <w:p w14:paraId="338047E6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1AE0299F" w14:textId="09195E96" w:rsidR="00DC0A63" w:rsidRPr="006071FA" w:rsidRDefault="00827637" w:rsidP="00827637">
      <w:pPr>
        <w:pStyle w:val="Heading2"/>
        <w:tabs>
          <w:tab w:val="left" w:pos="841"/>
        </w:tabs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1.1.2.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analīze formestāna, boldenona vai boldenona </w:t>
      </w:r>
      <w:r>
        <w:rPr>
          <w:rFonts w:ascii="Times New Roman" w:hAnsi="Times New Roman"/>
          <w:i/>
        </w:rPr>
        <w:t>metabolīta(-u)</w:t>
      </w:r>
      <w:r>
        <w:rPr>
          <w:rFonts w:ascii="Times New Roman" w:hAnsi="Times New Roman"/>
        </w:rPr>
        <w:t xml:space="preserve"> noteikšanai</w:t>
      </w:r>
    </w:p>
    <w:p w14:paraId="1FFBED3C" w14:textId="77777777" w:rsidR="00827637" w:rsidRDefault="00827637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4A9760E" w14:textId="2342E519" w:rsidR="00DC0A63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sz w:val="24"/>
        </w:rPr>
        <w:t>Paraugos</w:t>
      </w:r>
      <w:r>
        <w:rPr>
          <w:rFonts w:ascii="Times New Roman" w:hAnsi="Times New Roman"/>
          <w:sz w:val="24"/>
        </w:rPr>
        <w:t xml:space="preserve">, kuros ir formestāns, boldenons vai boldenona </w:t>
      </w:r>
      <w:r>
        <w:rPr>
          <w:rFonts w:ascii="Times New Roman" w:hAnsi="Times New Roman"/>
          <w:i/>
          <w:sz w:val="24"/>
        </w:rPr>
        <w:t>metabolīts(-i)</w:t>
      </w:r>
      <w:r>
        <w:rPr>
          <w:rFonts w:ascii="Times New Roman" w:hAnsi="Times New Roman"/>
          <w:sz w:val="24"/>
        </w:rPr>
        <w:t xml:space="preserve">, esošo savienojumu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 veic pirms ziņošanas par </w:t>
      </w:r>
      <w:r>
        <w:rPr>
          <w:rFonts w:ascii="Times New Roman" w:hAnsi="Times New Roman"/>
          <w:i/>
          <w:sz w:val="24"/>
        </w:rPr>
        <w:t>nelabvēlīgu analīžu rezultātu</w:t>
      </w:r>
      <w:r>
        <w:rPr>
          <w:rFonts w:ascii="Times New Roman" w:hAnsi="Times New Roman"/>
          <w:sz w:val="24"/>
        </w:rPr>
        <w:t>, ja atbilstīgi to aprēķinātajam īpatnējajam svaram (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</w:rPr>
        <w:t>) pielīdzināto</w:t>
      </w:r>
      <w:r w:rsidR="00827637"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sz w:val="24"/>
        </w:rPr>
        <w:t xml:space="preserve"> koncentrāciju nosaka šādi:</w:t>
      </w:r>
    </w:p>
    <w:p w14:paraId="1A43973D" w14:textId="77777777" w:rsidR="00827637" w:rsidRPr="006071FA" w:rsidRDefault="00827637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1422C0E5" w14:textId="77777777" w:rsidR="00DC0A63" w:rsidRPr="006071FA" w:rsidRDefault="00DC0A63" w:rsidP="004F0D9B">
      <w:pPr>
        <w:pStyle w:val="BodyText"/>
        <w:numPr>
          <w:ilvl w:val="3"/>
          <w:numId w:val="11"/>
        </w:numPr>
        <w:tabs>
          <w:tab w:val="left" w:pos="426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Formestāna koncentrācija diapazonā no 50 ng/ml līdz 150 ng/ml</w:t>
      </w:r>
    </w:p>
    <w:p w14:paraId="589FF68F" w14:textId="77777777" w:rsidR="004F0D9B" w:rsidRDefault="004F0D9B" w:rsidP="006071FA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144EC173" w14:textId="0BC2C1E4" w:rsidR="00DC0A63" w:rsidRDefault="00DC0A63" w:rsidP="004F0D9B">
      <w:pPr>
        <w:ind w:left="426"/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[Par formestāna atradēm, kas nepārsniedz 50 ng/ml (nepieciešamības gadījumā pielīdzināta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b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), jāziņo kā par </w:t>
      </w:r>
      <w:r>
        <w:rPr>
          <w:rFonts w:ascii="Times New Roman" w:hAnsi="Times New Roman"/>
          <w:sz w:val="24"/>
          <w:u w:val="single" w:color="000000"/>
        </w:rPr>
        <w:t>negatīvu rezultātu</w:t>
      </w:r>
      <w:r>
        <w:rPr>
          <w:rFonts w:ascii="Times New Roman" w:hAnsi="Times New Roman"/>
          <w:sz w:val="24"/>
        </w:rPr>
        <w:t xml:space="preserve">, izņemot gadījumus, kad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rezultāts, ja tā ir veikta (atkarībā no </w:t>
      </w:r>
      <w:r>
        <w:rPr>
          <w:rFonts w:ascii="Times New Roman" w:hAnsi="Times New Roman"/>
          <w:sz w:val="24"/>
          <w:u w:val="single" w:color="000000"/>
        </w:rPr>
        <w:t>laboratorijas</w:t>
      </w:r>
      <w:r>
        <w:rPr>
          <w:rFonts w:ascii="Times New Roman" w:hAnsi="Times New Roman"/>
          <w:sz w:val="24"/>
        </w:rPr>
        <w:t xml:space="preserve"> analītiskajām spējām un pēc apspriešanās ar </w:t>
      </w:r>
      <w:r>
        <w:rPr>
          <w:rFonts w:ascii="Times New Roman" w:hAnsi="Times New Roman"/>
          <w:sz w:val="24"/>
          <w:u w:val="single" w:color="000000"/>
        </w:rPr>
        <w:t>pārbaudes iestādi</w:t>
      </w:r>
      <w:r>
        <w:rPr>
          <w:rFonts w:ascii="Times New Roman" w:hAnsi="Times New Roman"/>
          <w:sz w:val="24"/>
        </w:rPr>
        <w:t>), pārliecinoši pierāda vielas eksogēno izcelsmi (</w:t>
      </w:r>
      <w:r>
        <w:rPr>
          <w:rFonts w:ascii="Times New Roman" w:hAnsi="Times New Roman"/>
          <w:i/>
          <w:sz w:val="24"/>
        </w:rPr>
        <w:t>nelabvēlīgs analīžu rezultāts</w:t>
      </w:r>
      <w:r>
        <w:rPr>
          <w:rFonts w:ascii="Times New Roman" w:hAnsi="Times New Roman"/>
          <w:sz w:val="24"/>
        </w:rPr>
        <w:t>).</w:t>
      </w:r>
    </w:p>
    <w:p w14:paraId="4994F78F" w14:textId="77777777" w:rsidR="004F0D9B" w:rsidRPr="006071FA" w:rsidRDefault="004F0D9B" w:rsidP="004F0D9B">
      <w:pPr>
        <w:ind w:left="426"/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2C600B5B" w14:textId="77777777" w:rsidR="00DC0A63" w:rsidRPr="006071FA" w:rsidRDefault="00DC0A63" w:rsidP="004F0D9B">
      <w:pPr>
        <w:ind w:left="426"/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Par formestāna atradēm, kas pārsniedz 150 ng/ml (nepieciešamības gadījumā pielīdzināta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b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) ziņo kā par </w:t>
      </w:r>
      <w:r>
        <w:rPr>
          <w:rFonts w:ascii="Times New Roman" w:hAnsi="Times New Roman"/>
          <w:i/>
          <w:sz w:val="24"/>
        </w:rPr>
        <w:t>nelabvēlīgiem analīžu rezultātiem</w:t>
      </w:r>
      <w:r>
        <w:rPr>
          <w:rFonts w:ascii="Times New Roman" w:hAnsi="Times New Roman"/>
          <w:sz w:val="24"/>
        </w:rPr>
        <w:t>.]</w:t>
      </w:r>
    </w:p>
    <w:p w14:paraId="3B9F7E83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478C1D28" w14:textId="5ED22E7D" w:rsidR="00DC0A63" w:rsidRPr="006071FA" w:rsidRDefault="00DC0A63" w:rsidP="004F0D9B">
      <w:pPr>
        <w:pStyle w:val="BodyText"/>
        <w:numPr>
          <w:ilvl w:val="3"/>
          <w:numId w:val="11"/>
        </w:numPr>
        <w:tabs>
          <w:tab w:val="left" w:pos="426"/>
        </w:tabs>
        <w:spacing w:before="0"/>
        <w:ind w:left="0" w:firstLine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Boldenona un/vai tā </w:t>
      </w:r>
      <w:r>
        <w:rPr>
          <w:rFonts w:ascii="Times New Roman" w:hAnsi="Times New Roman"/>
          <w:i/>
          <w:sz w:val="24"/>
        </w:rPr>
        <w:t>metabolīta(-u)</w:t>
      </w:r>
      <w:r>
        <w:rPr>
          <w:rFonts w:ascii="Times New Roman" w:hAnsi="Times New Roman"/>
          <w:sz w:val="24"/>
        </w:rPr>
        <w:t xml:space="preserve"> koncentrācija diapazonā no 5 ng/</w:t>
      </w:r>
      <w:r w:rsidR="003D5C65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l līdz 30 ng/ml</w:t>
      </w:r>
    </w:p>
    <w:p w14:paraId="75F1C3DA" w14:textId="77777777" w:rsidR="004F0D9B" w:rsidRDefault="004F0D9B" w:rsidP="006071FA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654770E1" w14:textId="34BE81AE" w:rsidR="00DC0A63" w:rsidRDefault="00DC0A63" w:rsidP="004F0D9B">
      <w:pPr>
        <w:ind w:left="426"/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[Par boldenona un/vai tā </w:t>
      </w:r>
      <w:r>
        <w:rPr>
          <w:rFonts w:ascii="Times New Roman" w:hAnsi="Times New Roman"/>
          <w:i/>
          <w:sz w:val="24"/>
        </w:rPr>
        <w:t>metabolīta(-u)</w:t>
      </w:r>
      <w:r>
        <w:rPr>
          <w:rFonts w:ascii="Times New Roman" w:hAnsi="Times New Roman"/>
          <w:sz w:val="24"/>
        </w:rPr>
        <w:t xml:space="preserve"> atradēm koncentrācijā, kas aprēķināta zemāk par 5 ng/ml (nepieciešamības gadījumā pielīdzināta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b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), jāziņo kā par </w:t>
      </w:r>
      <w:r>
        <w:rPr>
          <w:rFonts w:ascii="Times New Roman" w:hAnsi="Times New Roman"/>
          <w:i/>
          <w:sz w:val="24"/>
        </w:rPr>
        <w:t>netipiskām atradēm</w:t>
      </w:r>
      <w:r>
        <w:rPr>
          <w:rFonts w:ascii="Times New Roman" w:hAnsi="Times New Roman"/>
          <w:sz w:val="24"/>
        </w:rPr>
        <w:t xml:space="preserve">, izņemot gadījumus, kad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rezultāti, ja tā ir veikta (atkarībā no </w:t>
      </w:r>
      <w:r>
        <w:rPr>
          <w:rFonts w:ascii="Times New Roman" w:hAnsi="Times New Roman"/>
          <w:sz w:val="24"/>
          <w:u w:val="single" w:color="000000"/>
        </w:rPr>
        <w:t>laboratorijas</w:t>
      </w:r>
      <w:r>
        <w:rPr>
          <w:rFonts w:ascii="Times New Roman" w:hAnsi="Times New Roman"/>
          <w:sz w:val="24"/>
        </w:rPr>
        <w:t xml:space="preserve"> analītiskajām spējām un pēc apspriešanās ar </w:t>
      </w:r>
      <w:r>
        <w:rPr>
          <w:rFonts w:ascii="Times New Roman" w:hAnsi="Times New Roman"/>
          <w:sz w:val="24"/>
          <w:u w:val="single" w:color="000000"/>
        </w:rPr>
        <w:t>pārbaudes iestādi</w:t>
      </w:r>
      <w:r>
        <w:rPr>
          <w:rFonts w:ascii="Times New Roman" w:hAnsi="Times New Roman"/>
          <w:sz w:val="24"/>
        </w:rPr>
        <w:t>), pārliecinoši pierāda vielas eksogēno izcelsmi (</w:t>
      </w:r>
      <w:r>
        <w:rPr>
          <w:rFonts w:ascii="Times New Roman" w:hAnsi="Times New Roman"/>
          <w:i/>
          <w:sz w:val="24"/>
        </w:rPr>
        <w:t>nelabvēlīgs analīžu rezultāts</w:t>
      </w:r>
      <w:r>
        <w:rPr>
          <w:rFonts w:ascii="Times New Roman" w:hAnsi="Times New Roman"/>
          <w:sz w:val="24"/>
        </w:rPr>
        <w:t>).</w:t>
      </w:r>
    </w:p>
    <w:p w14:paraId="0B81D2BF" w14:textId="77777777" w:rsidR="004F0D9B" w:rsidRPr="006071FA" w:rsidRDefault="004F0D9B" w:rsidP="004F0D9B">
      <w:pPr>
        <w:ind w:left="426"/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00C2506B" w14:textId="77777777" w:rsidR="00DC0A63" w:rsidRPr="006071FA" w:rsidRDefault="00DC0A63" w:rsidP="004F0D9B">
      <w:pPr>
        <w:ind w:left="426"/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Par boldenona un/vai tā </w:t>
      </w:r>
      <w:r>
        <w:rPr>
          <w:rFonts w:ascii="Times New Roman" w:hAnsi="Times New Roman"/>
          <w:i/>
          <w:sz w:val="24"/>
        </w:rPr>
        <w:t>metabolīta(-u)</w:t>
      </w:r>
      <w:r>
        <w:rPr>
          <w:rFonts w:ascii="Times New Roman" w:hAnsi="Times New Roman"/>
          <w:sz w:val="24"/>
        </w:rPr>
        <w:t xml:space="preserve"> atradēm, kas pārsniedz 30 ng/ml, jāziņo kā par </w:t>
      </w:r>
      <w:r>
        <w:rPr>
          <w:rFonts w:ascii="Times New Roman" w:hAnsi="Times New Roman"/>
          <w:i/>
          <w:sz w:val="24"/>
        </w:rPr>
        <w:t>nelabvēlīgiem analīžu rezultātiem</w:t>
      </w:r>
      <w:r>
        <w:rPr>
          <w:rFonts w:ascii="Times New Roman" w:hAnsi="Times New Roman"/>
          <w:sz w:val="24"/>
        </w:rPr>
        <w:t xml:space="preserve">, neveicot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analīzi, ja vien ir noteikts, ka augsta mikrobioloģiskā piesārņojuma dēļ </w:t>
      </w:r>
      <w:r>
        <w:rPr>
          <w:rFonts w:ascii="Times New Roman" w:hAnsi="Times New Roman"/>
          <w:i/>
          <w:sz w:val="24"/>
        </w:rPr>
        <w:t>paraugs</w:t>
      </w:r>
      <w:r>
        <w:rPr>
          <w:rFonts w:ascii="Times New Roman" w:hAnsi="Times New Roman"/>
          <w:sz w:val="24"/>
        </w:rPr>
        <w:t xml:space="preserve"> ir ievērojami bojāts (tādā gadījumā par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 ziņo kā par </w:t>
      </w:r>
      <w:r>
        <w:rPr>
          <w:rFonts w:ascii="Times New Roman" w:hAnsi="Times New Roman"/>
          <w:i/>
          <w:sz w:val="24"/>
        </w:rPr>
        <w:t>netipisku atradi</w:t>
      </w:r>
      <w:r>
        <w:rPr>
          <w:rFonts w:ascii="Times New Roman" w:hAnsi="Times New Roman"/>
          <w:sz w:val="24"/>
        </w:rPr>
        <w:t>)].</w:t>
      </w:r>
    </w:p>
    <w:p w14:paraId="72940CDD" w14:textId="77777777" w:rsidR="004F0D9B" w:rsidRDefault="004F0D9B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993C2D5" w14:textId="7BD9EE33" w:rsidR="00DC0A63" w:rsidRPr="006071FA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Laboratorijas, kurām nav vajadzīgo analītisko spēju, lai veiktu formestāna, boldenona vai tā </w:t>
      </w:r>
      <w:r>
        <w:rPr>
          <w:rFonts w:ascii="Times New Roman" w:hAnsi="Times New Roman"/>
          <w:i/>
          <w:sz w:val="24"/>
        </w:rPr>
        <w:t>metabolīta(-u)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analīzi, uzdod veikt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analīzi citai </w:t>
      </w:r>
      <w:r>
        <w:rPr>
          <w:rFonts w:ascii="Times New Roman" w:hAnsi="Times New Roman"/>
          <w:sz w:val="24"/>
          <w:u w:val="single" w:color="000000"/>
        </w:rPr>
        <w:t>laboratorijai</w:t>
      </w:r>
      <w:r>
        <w:rPr>
          <w:rFonts w:ascii="Times New Roman" w:hAnsi="Times New Roman"/>
          <w:sz w:val="24"/>
        </w:rPr>
        <w:t>, kurai ir šādas analītiskās spējas.</w:t>
      </w:r>
    </w:p>
    <w:p w14:paraId="74A6346D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15"/>
        </w:rPr>
      </w:pPr>
    </w:p>
    <w:p w14:paraId="2736371B" w14:textId="6F44F407" w:rsidR="00DC0A63" w:rsidRPr="006071FA" w:rsidRDefault="004F0D9B" w:rsidP="004F0D9B">
      <w:pPr>
        <w:tabs>
          <w:tab w:val="left" w:pos="821"/>
        </w:tabs>
        <w:jc w:val="both"/>
        <w:rPr>
          <w:rFonts w:ascii="Times New Roman" w:eastAsia="Verdana" w:hAnsi="Times New Roman" w:cs="Verdana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1.1.3. “B”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apstiprināšanas procedūra</w:t>
      </w:r>
    </w:p>
    <w:p w14:paraId="3C0551D0" w14:textId="77777777" w:rsidR="004F0D9B" w:rsidRDefault="004F0D9B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65ECC3E0" w14:textId="3FA1C4BD" w:rsidR="00DC0A63" w:rsidRPr="006071FA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par nelabvēlīgu analīžu rezultātu ir ziņots, pamatojoties uz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analīzi, kas veikta “A” </w:t>
      </w:r>
      <w:r>
        <w:rPr>
          <w:rFonts w:ascii="Times New Roman" w:hAnsi="Times New Roman"/>
          <w:i/>
          <w:sz w:val="24"/>
        </w:rPr>
        <w:t>paraugam</w:t>
      </w:r>
      <w:r>
        <w:rPr>
          <w:rFonts w:ascii="Times New Roman" w:hAnsi="Times New Roman"/>
          <w:sz w:val="24"/>
        </w:rPr>
        <w:t xml:space="preserve">, attiecīgā gadījumā “B”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apstiprināšanas procedūrā</w:t>
      </w:r>
      <w:r>
        <w:rPr>
          <w:rFonts w:ascii="Times New Roman" w:hAnsi="Times New Roman"/>
          <w:sz w:val="24"/>
        </w:rPr>
        <w:t xml:space="preserve"> atkārto tikai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analīzi.</w:t>
      </w:r>
    </w:p>
    <w:p w14:paraId="38075F78" w14:textId="33207985" w:rsidR="004F0D9B" w:rsidRDefault="004F0D9B">
      <w:pPr>
        <w:rPr>
          <w:rFonts w:ascii="Times New Roman" w:hAnsi="Times New Roman"/>
          <w:noProof/>
          <w:sz w:val="24"/>
        </w:rPr>
      </w:pPr>
      <w:r>
        <w:br w:type="page"/>
      </w:r>
    </w:p>
    <w:p w14:paraId="7FE2BECD" w14:textId="77777777" w:rsidR="006071FA" w:rsidRPr="006071FA" w:rsidRDefault="006071FA" w:rsidP="006071FA">
      <w:pPr>
        <w:jc w:val="both"/>
        <w:rPr>
          <w:rFonts w:ascii="Times New Roman" w:hAnsi="Times New Roman"/>
          <w:noProof/>
          <w:sz w:val="24"/>
        </w:rPr>
      </w:pPr>
    </w:p>
    <w:p w14:paraId="11F8BF17" w14:textId="372832FA" w:rsidR="00DC0A63" w:rsidRPr="006071FA" w:rsidRDefault="004F0D9B" w:rsidP="004F0D9B">
      <w:pPr>
        <w:pStyle w:val="Heading1"/>
        <w:tabs>
          <w:tab w:val="left" w:pos="841"/>
        </w:tabs>
        <w:spacing w:before="0"/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2.0.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analīze</w:t>
      </w:r>
    </w:p>
    <w:p w14:paraId="0EC783F7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b/>
          <w:bCs/>
          <w:noProof/>
          <w:sz w:val="24"/>
          <w:szCs w:val="23"/>
        </w:rPr>
      </w:pPr>
    </w:p>
    <w:p w14:paraId="171E4D76" w14:textId="7C256029" w:rsidR="00DC0A63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analīzē veic šādas darbības:</w:t>
      </w:r>
    </w:p>
    <w:p w14:paraId="40E6F73C" w14:textId="77777777" w:rsidR="004F0D9B" w:rsidRPr="006071FA" w:rsidRDefault="004F0D9B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008E5A39" w14:textId="5FAEEAD0" w:rsidR="00DC0A63" w:rsidRPr="006071FA" w:rsidRDefault="00DC0A63" w:rsidP="004F0D9B">
      <w:pPr>
        <w:pStyle w:val="BodyText"/>
        <w:numPr>
          <w:ilvl w:val="2"/>
          <w:numId w:val="10"/>
        </w:numPr>
        <w:tabs>
          <w:tab w:val="left" w:pos="426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nosaka mērķa savienojuma(-u) (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sym w:font="Symbol" w:char="F064"/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vērtību, 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urīna steroīdu profila </w:t>
      </w:r>
      <w:r>
        <w:rPr>
          <w:rFonts w:ascii="Times New Roman" w:hAnsi="Times New Roman"/>
          <w:i/>
          <w:sz w:val="24"/>
        </w:rPr>
        <w:t>marķieri(-us)</w:t>
      </w:r>
      <w:r>
        <w:rPr>
          <w:rFonts w:ascii="Times New Roman" w:hAnsi="Times New Roman"/>
          <w:sz w:val="24"/>
        </w:rPr>
        <w:t xml:space="preserve"> [tie ir, 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>, androsterons (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>), etioholanolons (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>), 5α-androstān-3α,17β-diols (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>), 5β- androstān-3α,17β-diols (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>), testosterons (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), epitestosterons (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)], kā arī citas </w:t>
      </w:r>
      <w:r>
        <w:rPr>
          <w:rFonts w:ascii="Times New Roman" w:hAnsi="Times New Roman"/>
          <w:sz w:val="24"/>
          <w:u w:val="single" w:color="000000"/>
        </w:rPr>
        <w:t>analizējamās</w:t>
      </w:r>
      <w:r>
        <w:rPr>
          <w:rFonts w:ascii="Times New Roman" w:hAnsi="Times New Roman"/>
          <w:sz w:val="24"/>
        </w:rPr>
        <w:t xml:space="preserve"> mērķa </w:t>
      </w:r>
      <w:r>
        <w:rPr>
          <w:rFonts w:ascii="Times New Roman" w:hAnsi="Times New Roman"/>
          <w:sz w:val="24"/>
          <w:u w:val="single"/>
        </w:rPr>
        <w:t>vielas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boldenons, boldenona </w:t>
      </w:r>
      <w:r>
        <w:rPr>
          <w:rFonts w:ascii="Times New Roman" w:hAnsi="Times New Roman"/>
          <w:i/>
          <w:sz w:val="24"/>
        </w:rPr>
        <w:t>metabolīts(-i)</w:t>
      </w:r>
      <w:r>
        <w:rPr>
          <w:rFonts w:ascii="Times New Roman" w:hAnsi="Times New Roman"/>
          <w:sz w:val="24"/>
        </w:rPr>
        <w:t>, formestāns);</w:t>
      </w:r>
    </w:p>
    <w:p w14:paraId="7027F294" w14:textId="50434EFA" w:rsidR="00DC0A63" w:rsidRPr="006071FA" w:rsidRDefault="00DC0A63" w:rsidP="004F0D9B">
      <w:pPr>
        <w:pStyle w:val="BodyText"/>
        <w:numPr>
          <w:ilvl w:val="2"/>
          <w:numId w:val="10"/>
        </w:numPr>
        <w:tabs>
          <w:tab w:val="left" w:pos="426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nosaka </w:t>
      </w:r>
      <w:r>
        <w:rPr>
          <w:rFonts w:ascii="Times New Roman" w:hAnsi="Times New Roman"/>
          <w:sz w:val="24"/>
        </w:rPr>
        <w:sym w:font="Symbol" w:char="F064"/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vērtību endogēnajam(-ajiem) atsauces savienojumam(-iem) (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>, pregnanediolam (</w:t>
      </w:r>
      <w:r>
        <w:rPr>
          <w:rFonts w:ascii="Times New Roman" w:hAnsi="Times New Roman"/>
          <w:i/>
          <w:iCs/>
          <w:sz w:val="24"/>
        </w:rPr>
        <w:t>PD</w:t>
      </w:r>
      <w:r>
        <w:rPr>
          <w:rFonts w:ascii="Times New Roman" w:hAnsi="Times New Roman"/>
          <w:sz w:val="24"/>
        </w:rPr>
        <w:t>), 5α-androst-16-ēn-3-α-olam (</w:t>
      </w:r>
      <w:r>
        <w:rPr>
          <w:rFonts w:ascii="Times New Roman" w:hAnsi="Times New Roman"/>
          <w:i/>
          <w:iCs/>
          <w:sz w:val="24"/>
        </w:rPr>
        <w:t>16-en</w:t>
      </w:r>
      <w:r>
        <w:rPr>
          <w:rFonts w:ascii="Times New Roman" w:hAnsi="Times New Roman"/>
          <w:sz w:val="24"/>
        </w:rPr>
        <w:t>), 11β-hidroksiandrosteronam (</w:t>
      </w:r>
      <w:r>
        <w:rPr>
          <w:rFonts w:ascii="Times New Roman" w:hAnsi="Times New Roman"/>
          <w:i/>
          <w:iCs/>
          <w:sz w:val="24"/>
        </w:rPr>
        <w:t>11-OH-A</w:t>
      </w:r>
      <w:r>
        <w:rPr>
          <w:rFonts w:ascii="Times New Roman" w:hAnsi="Times New Roman"/>
          <w:sz w:val="24"/>
        </w:rPr>
        <w:t>), 11-keto-etioholanolonam (</w:t>
      </w:r>
      <w:r>
        <w:rPr>
          <w:rFonts w:ascii="Times New Roman" w:hAnsi="Times New Roman"/>
          <w:i/>
          <w:iCs/>
          <w:sz w:val="24"/>
        </w:rPr>
        <w:t>11-okso-Etio</w:t>
      </w:r>
      <w:r>
        <w:rPr>
          <w:rFonts w:ascii="Times New Roman" w:hAnsi="Times New Roman"/>
          <w:sz w:val="24"/>
        </w:rPr>
        <w:t>), un</w:t>
      </w:r>
    </w:p>
    <w:p w14:paraId="4792089C" w14:textId="1ABE9D58" w:rsidR="00DC0A63" w:rsidRDefault="00DC0A63" w:rsidP="004F0D9B">
      <w:pPr>
        <w:pStyle w:val="BodyText"/>
        <w:numPr>
          <w:ilvl w:val="2"/>
          <w:numId w:val="10"/>
        </w:numPr>
        <w:tabs>
          <w:tab w:val="left" w:pos="426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aprēķina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64"/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vērtību starpību, 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>, ∆</w:t>
      </w:r>
      <w:r>
        <w:rPr>
          <w:rFonts w:ascii="Times New Roman" w:hAnsi="Times New Roman"/>
          <w:sz w:val="24"/>
        </w:rPr>
        <w:sym w:font="Symbol" w:char="F064"/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vērtību:</w:t>
      </w:r>
    </w:p>
    <w:p w14:paraId="73C53C78" w14:textId="77777777" w:rsidR="004F0D9B" w:rsidRPr="006071FA" w:rsidRDefault="004F0D9B" w:rsidP="004F0D9B">
      <w:pPr>
        <w:pStyle w:val="BodyText"/>
        <w:tabs>
          <w:tab w:val="left" w:pos="582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8611CD1" w14:textId="420E0559" w:rsidR="00DC0A63" w:rsidRPr="006071FA" w:rsidRDefault="004F0D9B" w:rsidP="00035157">
      <w:pPr>
        <w:tabs>
          <w:tab w:val="left" w:pos="1560"/>
        </w:tabs>
        <w:ind w:left="709"/>
        <w:jc w:val="both"/>
        <w:rPr>
          <w:rFonts w:ascii="Times New Roman" w:eastAsia="Cambria" w:hAnsi="Times New Roman" w:cs="Cambria"/>
          <w:noProof/>
          <w:sz w:val="24"/>
          <w:szCs w:val="16"/>
        </w:rPr>
      </w:pPr>
      <w:r>
        <w:rPr>
          <w:rFonts w:ascii="Times New Roman" w:hAnsi="Times New Roman"/>
          <w:sz w:val="24"/>
        </w:rPr>
        <w:t xml:space="preserve">(1) </w:t>
      </w:r>
      <w:r>
        <w:rPr>
          <w:noProof/>
        </w:rPr>
        <w:drawing>
          <wp:inline distT="0" distB="0" distL="0" distR="0" wp14:anchorId="2D411C73" wp14:editId="1820EC18">
            <wp:extent cx="1435100" cy="233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B5717" w14:textId="77777777" w:rsidR="00DC0A63" w:rsidRPr="006071FA" w:rsidRDefault="00DC0A63" w:rsidP="006071FA">
      <w:pPr>
        <w:jc w:val="both"/>
        <w:rPr>
          <w:rFonts w:ascii="Times New Roman" w:eastAsia="Cambria" w:hAnsi="Times New Roman" w:cs="Cambria"/>
          <w:b/>
          <w:bCs/>
          <w:noProof/>
          <w:sz w:val="24"/>
          <w:szCs w:val="23"/>
        </w:rPr>
      </w:pPr>
    </w:p>
    <w:p w14:paraId="7268ED09" w14:textId="77777777" w:rsidR="00DC0A63" w:rsidRPr="006071FA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 veic vienai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alikvotai</w:t>
      </w:r>
      <w:r>
        <w:rPr>
          <w:rFonts w:ascii="Times New Roman" w:hAnsi="Times New Roman"/>
          <w:sz w:val="24"/>
        </w:rPr>
        <w:t>.</w:t>
      </w:r>
    </w:p>
    <w:p w14:paraId="3E5A70C0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28"/>
        </w:rPr>
      </w:pPr>
    </w:p>
    <w:p w14:paraId="2EA4409B" w14:textId="3DB809A4" w:rsidR="00DC0A63" w:rsidRPr="006071FA" w:rsidRDefault="00035157" w:rsidP="00035157">
      <w:pPr>
        <w:pStyle w:val="Heading2"/>
        <w:tabs>
          <w:tab w:val="left" w:pos="598"/>
        </w:tabs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2.1.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metodes raksturlielumi</w:t>
      </w:r>
    </w:p>
    <w:p w14:paraId="354378FE" w14:textId="77777777" w:rsidR="00035157" w:rsidRDefault="00035157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  <w:u w:val="single" w:color="000000"/>
        </w:rPr>
      </w:pPr>
    </w:p>
    <w:p w14:paraId="6E4F3F64" w14:textId="78858269" w:rsidR="00DC0A63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Laboratorijas</w:t>
      </w:r>
      <w:r>
        <w:rPr>
          <w:rFonts w:ascii="Times New Roman" w:hAnsi="Times New Roman"/>
          <w:sz w:val="24"/>
        </w:rPr>
        <w:t xml:space="preserve">, piemērojot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metodoloģiju, izpilda turpmāk uzskaitītos nosacījumus.</w:t>
      </w:r>
    </w:p>
    <w:p w14:paraId="34E8E3B1" w14:textId="77777777" w:rsidR="00035157" w:rsidRPr="006071FA" w:rsidRDefault="00035157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713FCB4C" w14:textId="0CA1557C" w:rsidR="00DC0A63" w:rsidRPr="006071FA" w:rsidRDefault="00DC0A63" w:rsidP="00EF232E">
      <w:pPr>
        <w:pStyle w:val="BodyText"/>
        <w:numPr>
          <w:ilvl w:val="2"/>
          <w:numId w:val="10"/>
        </w:numPr>
        <w:tabs>
          <w:tab w:val="left" w:pos="426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Sistēmu periodiski kalibrē, salīdzinot ar </w:t>
      </w:r>
      <w:r>
        <w:rPr>
          <w:rFonts w:ascii="Times New Roman" w:hAnsi="Times New Roman"/>
          <w:sz w:val="24"/>
          <w:u w:val="single" w:color="000000"/>
        </w:rPr>
        <w:t>sertificētu</w:t>
      </w:r>
      <w:r>
        <w:rPr>
          <w:rFonts w:ascii="Times New Roman" w:hAnsi="Times New Roman"/>
          <w:sz w:val="24"/>
        </w:rPr>
        <w:t xml:space="preserve"> steroīdu </w:t>
      </w:r>
      <w:r>
        <w:rPr>
          <w:rFonts w:ascii="Times New Roman" w:hAnsi="Times New Roman"/>
          <w:sz w:val="24"/>
          <w:u w:val="single"/>
        </w:rPr>
        <w:t>atsauces materiālu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  <w:u w:val="single" w:color="000000"/>
        </w:rPr>
        <w:t>CRM</w:t>
      </w:r>
      <w:r>
        <w:rPr>
          <w:rFonts w:ascii="Times New Roman" w:hAnsi="Times New Roman"/>
          <w:sz w:val="24"/>
        </w:rPr>
        <w:t>) [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CU/USADA-33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CU/USADA-34</w:t>
      </w:r>
      <w:r>
        <w:rPr>
          <w:rFonts w:ascii="Times New Roman" w:hAnsi="Times New Roman"/>
          <w:sz w:val="24"/>
        </w:rPr>
        <w:t xml:space="preserve"> vai citu sertificētu steroīda(-u) maisījumu</w:t>
      </w:r>
      <w:r w:rsidR="00EF232E"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sz w:val="24"/>
        </w:rPr>
        <w:t xml:space="preserve">], kas ir izsekojams līdz starptautiski atzīta </w:t>
      </w:r>
      <w:r>
        <w:rPr>
          <w:rFonts w:ascii="Times New Roman" w:hAnsi="Times New Roman"/>
          <w:sz w:val="24"/>
          <w:u w:val="single" w:color="000000"/>
        </w:rPr>
        <w:t>atsauces materiāla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  <w:u w:val="single" w:color="000000"/>
        </w:rPr>
        <w:t>RM</w:t>
      </w:r>
      <w:r>
        <w:rPr>
          <w:rFonts w:ascii="Times New Roman" w:hAnsi="Times New Roman"/>
          <w:sz w:val="24"/>
        </w:rPr>
        <w:t>) piešķirtajām vērtībām. Lielu sistēmas izmaiņu gadījumā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>, atsauces gāzes maiņa, jonu avota tīrīšana) ir jāveic sistēmas kalibrēšana.</w:t>
      </w:r>
    </w:p>
    <w:p w14:paraId="37671912" w14:textId="6573C65B" w:rsidR="00DC0A63" w:rsidRDefault="00DC0A63" w:rsidP="00EF232E">
      <w:pPr>
        <w:pStyle w:val="BodyText"/>
        <w:numPr>
          <w:ilvl w:val="2"/>
          <w:numId w:val="10"/>
        </w:numPr>
        <w:tabs>
          <w:tab w:val="left" w:pos="426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Veicot metodes validēšanu,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nosaka:</w:t>
      </w:r>
    </w:p>
    <w:p w14:paraId="258D6EB9" w14:textId="77777777" w:rsidR="00035157" w:rsidRPr="006071FA" w:rsidRDefault="00035157" w:rsidP="00035157">
      <w:pPr>
        <w:pStyle w:val="BodyText"/>
        <w:tabs>
          <w:tab w:val="left" w:pos="582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03F38C46" w14:textId="0F007013" w:rsidR="00DC0A63" w:rsidRPr="00EF232E" w:rsidRDefault="00DC0A63" w:rsidP="00EF232E">
      <w:pPr>
        <w:pStyle w:val="BodyText"/>
        <w:numPr>
          <w:ilvl w:val="3"/>
          <w:numId w:val="10"/>
        </w:numPr>
        <w:spacing w:before="0"/>
        <w:ind w:left="1134" w:hanging="425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jonu avota linearitāti, izmantojot CO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impulsus ar atšķirīgu smailes augstumu /intensitāti;</w:t>
      </w:r>
    </w:p>
    <w:p w14:paraId="0BFCA855" w14:textId="77777777" w:rsidR="00DC0A63" w:rsidRPr="006071FA" w:rsidRDefault="00DC0A63" w:rsidP="00EF232E">
      <w:pPr>
        <w:pStyle w:val="BodyText"/>
        <w:numPr>
          <w:ilvl w:val="3"/>
          <w:numId w:val="10"/>
        </w:numPr>
        <w:spacing w:before="0"/>
        <w:ind w:left="1134" w:hanging="425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instrumenta linearitāti, attiecīgā gadījumā injicējot atšķirīgu daudzumu neatvasinātu vai acetilētu steroīdu standartu </w:t>
      </w:r>
      <w:r>
        <w:rPr>
          <w:rFonts w:ascii="Times New Roman" w:hAnsi="Times New Roman"/>
          <w:i/>
          <w:iCs/>
          <w:sz w:val="24"/>
          <w:u w:val="single"/>
        </w:rPr>
        <w:t>RM</w:t>
      </w:r>
      <w:r>
        <w:rPr>
          <w:rFonts w:ascii="Times New Roman" w:hAnsi="Times New Roman"/>
          <w:sz w:val="24"/>
        </w:rPr>
        <w:t xml:space="preserve"> [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]. Instrumenta linearitāti nosaka kā intensitātes diapazonu (kas attiecīgā gadījumā izteikts kā </w:t>
      </w:r>
      <w:r>
        <w:rPr>
          <w:rFonts w:ascii="Times New Roman" w:hAnsi="Times New Roman"/>
          <w:i/>
          <w:iCs/>
          <w:sz w:val="24"/>
        </w:rPr>
        <w:t>mV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nA</w:t>
      </w:r>
      <w:r>
        <w:rPr>
          <w:rFonts w:ascii="Times New Roman" w:hAnsi="Times New Roman"/>
          <w:sz w:val="24"/>
        </w:rPr>
        <w:t>) un/vai kā injicēto steroīdu daudzumus (ng), kas uzrāda nemainīgu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vērtību (0,5 ‰ diapazonā no vidējās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vērtības, kas noteikta 6 līdz 10 dažādos smailes augstumos /intensitātēs;</w:t>
      </w:r>
    </w:p>
    <w:p w14:paraId="76D28A42" w14:textId="77777777" w:rsidR="00DC0A63" w:rsidRPr="006071FA" w:rsidRDefault="00DC0A63" w:rsidP="00EF232E">
      <w:pPr>
        <w:pStyle w:val="BodyText"/>
        <w:numPr>
          <w:ilvl w:val="3"/>
          <w:numId w:val="10"/>
        </w:numPr>
        <w:spacing w:before="0"/>
        <w:ind w:left="1134" w:hanging="425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analītiskās metodes</w:t>
      </w:r>
      <w:r>
        <w:rPr>
          <w:rFonts w:ascii="Times New Roman" w:hAnsi="Times New Roman"/>
          <w:sz w:val="24"/>
        </w:rPr>
        <w:t xml:space="preserve"> linearitāti, 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koncentrācijas diapazonu urīnā (ng/ml), kas instrumenta signāla linearitātes diapazonā uzrāda nemainīgas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vērtības;</w:t>
      </w:r>
    </w:p>
    <w:p w14:paraId="0A921745" w14:textId="575EC7E2" w:rsidR="00DC0A63" w:rsidRPr="00EF232E" w:rsidRDefault="00DC0A63" w:rsidP="00EF232E">
      <w:pPr>
        <w:pStyle w:val="BodyText"/>
        <w:numPr>
          <w:ilvl w:val="3"/>
          <w:numId w:val="10"/>
        </w:numPr>
        <w:spacing w:before="0"/>
        <w:ind w:left="1134" w:hanging="425"/>
        <w:jc w:val="both"/>
        <w:rPr>
          <w:rFonts w:ascii="Times New Roman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katra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kvantifikācijas robežu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  <w:u w:val="single" w:color="000000"/>
        </w:rPr>
        <w:t>LOQ</w:t>
      </w:r>
      <w:r>
        <w:rPr>
          <w:rFonts w:ascii="Times New Roman" w:hAnsi="Times New Roman"/>
          <w:sz w:val="24"/>
        </w:rPr>
        <w:t>) kā zemāko koncentrāciju urīnā (ng/ml), kas instrumenta linearitātes diapazonā uzrāda izmērāmu signālu ar standartnovirzi (</w:t>
      </w:r>
      <w:r>
        <w:rPr>
          <w:rFonts w:ascii="Times New Roman" w:hAnsi="Times New Roman"/>
          <w:i/>
          <w:iCs/>
          <w:sz w:val="24"/>
        </w:rPr>
        <w:t>SD</w:t>
      </w:r>
      <w:r>
        <w:rPr>
          <w:rFonts w:ascii="Times New Roman" w:hAnsi="Times New Roman"/>
          <w:sz w:val="24"/>
        </w:rPr>
        <w:t xml:space="preserve">) &lt; 1,0 ‰, 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≥ 3;</w:t>
      </w:r>
    </w:p>
    <w:p w14:paraId="21936DB6" w14:textId="77777777" w:rsidR="00DC0A63" w:rsidRPr="006071FA" w:rsidRDefault="00DC0A63" w:rsidP="00EF232E">
      <w:pPr>
        <w:pStyle w:val="BodyText"/>
        <w:numPr>
          <w:ilvl w:val="3"/>
          <w:numId w:val="10"/>
        </w:numPr>
        <w:spacing w:before="0"/>
        <w:ind w:left="1134" w:hanging="425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aprēķināto apvienoto standarta </w:t>
      </w:r>
      <w:r>
        <w:rPr>
          <w:rFonts w:ascii="Times New Roman" w:hAnsi="Times New Roman"/>
          <w:sz w:val="24"/>
          <w:u w:val="single" w:color="000000"/>
        </w:rPr>
        <w:t>mērījuma nenoteiktību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sz w:val="24"/>
        </w:rPr>
        <w:t xml:space="preserve">) katra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vērtību noteikšanai. Katrā gadījumā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sz w:val="24"/>
        </w:rPr>
        <w:t xml:space="preserve"> nevar būt lielāka par 1,0 0/00 (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c_Max</w:t>
      </w:r>
      <w:r>
        <w:rPr>
          <w:rFonts w:ascii="Times New Roman" w:hAnsi="Times New Roman"/>
          <w:sz w:val="24"/>
        </w:rPr>
        <w:t>);</w:t>
      </w:r>
    </w:p>
    <w:p w14:paraId="2FE4A913" w14:textId="65840181" w:rsidR="00DC0A63" w:rsidRDefault="00DC0A63" w:rsidP="00EF232E">
      <w:pPr>
        <w:pStyle w:val="BodyText"/>
        <w:numPr>
          <w:ilvl w:val="3"/>
          <w:numId w:val="10"/>
        </w:numPr>
        <w:spacing w:before="0"/>
        <w:ind w:left="1134" w:hanging="425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vērtības (kā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iekļaujot vismaz 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sz w:val="24"/>
        </w:rPr>
        <w:lastRenderedPageBreak/>
        <w:t xml:space="preserve">izmantojot vismaz divus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, no kuriem vienam ir jābūt </w:t>
      </w:r>
      <w:r>
        <w:rPr>
          <w:rFonts w:ascii="Times New Roman" w:hAnsi="Times New Roman"/>
          <w:i/>
          <w:iCs/>
          <w:sz w:val="24"/>
        </w:rPr>
        <w:t>PD</w:t>
      </w:r>
      <w:r>
        <w:rPr>
          <w:rFonts w:ascii="Times New Roman" w:hAnsi="Times New Roman"/>
          <w:sz w:val="24"/>
        </w:rPr>
        <w:t xml:space="preserve">) katram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pārim, kas analizēts brīvprātīgo urīna paraugos un/vai </w:t>
      </w:r>
      <w:r>
        <w:rPr>
          <w:rFonts w:ascii="Times New Roman" w:hAnsi="Times New Roman"/>
          <w:i/>
          <w:sz w:val="24"/>
        </w:rPr>
        <w:t>sportista</w:t>
      </w:r>
      <w:r>
        <w:rPr>
          <w:rFonts w:ascii="Times New Roman" w:hAnsi="Times New Roman"/>
          <w:sz w:val="24"/>
        </w:rPr>
        <w:t xml:space="preserve"> negatīvajos </w:t>
      </w:r>
      <w:r>
        <w:rPr>
          <w:rFonts w:ascii="Times New Roman" w:hAnsi="Times New Roman"/>
          <w:i/>
          <w:sz w:val="24"/>
        </w:rPr>
        <w:t>paraugos</w:t>
      </w:r>
      <w:r>
        <w:rPr>
          <w:rFonts w:ascii="Times New Roman" w:hAnsi="Times New Roman"/>
          <w:sz w:val="24"/>
        </w:rPr>
        <w:t xml:space="preserve"> (vismaz 20 vīriešu un 20 sieviešu urīna paraugos), aptverot </w:t>
      </w:r>
      <w:r>
        <w:rPr>
          <w:rFonts w:ascii="Times New Roman" w:hAnsi="Times New Roman"/>
          <w:i/>
          <w:sz w:val="24"/>
        </w:rPr>
        <w:t>dopinga kontroles paraugos</w:t>
      </w:r>
      <w:r w:rsidR="009805DF">
        <w:rPr>
          <w:rStyle w:val="FootnoteReference"/>
          <w:rFonts w:ascii="Times New Roman" w:hAnsi="Times New Roman" w:cs="Verdana"/>
          <w:i/>
          <w:noProof/>
          <w:sz w:val="24"/>
        </w:rPr>
        <w:footnoteReference w:id="5"/>
      </w:r>
      <w:r>
        <w:rPr>
          <w:rFonts w:ascii="Times New Roman" w:hAnsi="Times New Roman"/>
          <w:sz w:val="24"/>
        </w:rPr>
        <w:t xml:space="preserve"> parasti atrodamo steroīdu koncentrācijas diapazonu. Šo negatīvo urīna paraugu analīzi izmanto, lai novērtētu laboratorijas </w:t>
      </w:r>
      <w:r>
        <w:rPr>
          <w:rFonts w:ascii="Times New Roman" w:hAnsi="Times New Roman"/>
          <w:sz w:val="24"/>
          <w:u w:val="single" w:color="000000"/>
        </w:rPr>
        <w:t>analītiskās metodes</w:t>
      </w:r>
      <w:r>
        <w:rPr>
          <w:rFonts w:ascii="Times New Roman" w:hAnsi="Times New Roman"/>
          <w:sz w:val="24"/>
        </w:rPr>
        <w:t xml:space="preserve"> veiktspēju, un </w:t>
      </w:r>
      <w:r w:rsidR="003D5C65">
        <w:rPr>
          <w:rFonts w:ascii="Times New Roman" w:hAnsi="Times New Roman"/>
          <w:sz w:val="24"/>
        </w:rPr>
        <w:t>šī analīze</w:t>
      </w:r>
      <w:r>
        <w:rPr>
          <w:rFonts w:ascii="Times New Roman" w:hAnsi="Times New Roman"/>
          <w:sz w:val="24"/>
        </w:rPr>
        <w:t xml:space="preserve"> atbilst šādiem kritērijiem:</w:t>
      </w:r>
    </w:p>
    <w:p w14:paraId="6C2EBD44" w14:textId="77777777" w:rsidR="00EF232E" w:rsidRPr="006071FA" w:rsidRDefault="00EF232E" w:rsidP="00EF232E">
      <w:pPr>
        <w:pStyle w:val="BodyText"/>
        <w:tabs>
          <w:tab w:val="left" w:pos="1021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7236FC17" w14:textId="584BF628" w:rsidR="00DC0A63" w:rsidRPr="006071FA" w:rsidRDefault="00DC0A63" w:rsidP="0066619E">
      <w:pPr>
        <w:pStyle w:val="BodyText"/>
        <w:numPr>
          <w:ilvl w:val="4"/>
          <w:numId w:val="10"/>
        </w:numPr>
        <w:spacing w:before="0"/>
        <w:ind w:left="1418" w:hanging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vidējā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+ 2</w:t>
      </w:r>
      <w:r>
        <w:rPr>
          <w:rFonts w:ascii="Times New Roman" w:hAnsi="Times New Roman"/>
          <w:i/>
          <w:iCs/>
          <w:sz w:val="24"/>
        </w:rPr>
        <w:t>SD</w:t>
      </w:r>
      <w:r>
        <w:rPr>
          <w:rFonts w:ascii="Times New Roman" w:hAnsi="Times New Roman"/>
          <w:sz w:val="24"/>
        </w:rPr>
        <w:t xml:space="preserve"> vērtība </w:t>
      </w:r>
      <w:r>
        <w:rPr>
          <w:rFonts w:ascii="Times New Roman" w:hAnsi="Times New Roman"/>
          <w:i/>
          <w:iCs/>
          <w:sz w:val="24"/>
        </w:rPr>
        <w:t>ERC-TC</w:t>
      </w:r>
      <w:r>
        <w:rPr>
          <w:rFonts w:ascii="Times New Roman" w:hAnsi="Times New Roman"/>
          <w:sz w:val="24"/>
        </w:rPr>
        <w:t xml:space="preserve"> kombinācijām, kas kā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satur 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Adiol</w:t>
      </w:r>
      <w:r>
        <w:rPr>
          <w:rFonts w:ascii="Times New Roman" w:hAnsi="Times New Roman"/>
          <w:sz w:val="24"/>
        </w:rPr>
        <w:t>, ir ≤ 3 ‰;</w:t>
      </w:r>
    </w:p>
    <w:p w14:paraId="546A675C" w14:textId="6DB39630" w:rsidR="00DC0A63" w:rsidRPr="0066619E" w:rsidRDefault="00DC0A63" w:rsidP="0066619E">
      <w:pPr>
        <w:pStyle w:val="BodyText"/>
        <w:numPr>
          <w:ilvl w:val="4"/>
          <w:numId w:val="10"/>
        </w:numPr>
        <w:spacing w:before="0"/>
        <w:ind w:left="1418" w:hanging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vidējā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+ 2</w:t>
      </w:r>
      <w:r>
        <w:rPr>
          <w:rFonts w:ascii="Times New Roman" w:hAnsi="Times New Roman"/>
          <w:i/>
          <w:iCs/>
          <w:sz w:val="24"/>
        </w:rPr>
        <w:t>SD</w:t>
      </w:r>
      <w:r>
        <w:rPr>
          <w:rFonts w:ascii="Times New Roman" w:hAnsi="Times New Roman"/>
          <w:sz w:val="24"/>
        </w:rPr>
        <w:t xml:space="preserve"> vērtība </w:t>
      </w:r>
      <w:r>
        <w:rPr>
          <w:rFonts w:ascii="Times New Roman" w:hAnsi="Times New Roman"/>
          <w:i/>
          <w:iCs/>
          <w:sz w:val="24"/>
        </w:rPr>
        <w:t>ERC-TC</w:t>
      </w:r>
      <w:r>
        <w:rPr>
          <w:rFonts w:ascii="Times New Roman" w:hAnsi="Times New Roman"/>
          <w:sz w:val="24"/>
        </w:rPr>
        <w:t xml:space="preserve"> kombinācijām, kas kā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satur 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>, ir ≤ 4 0/00, un</w:t>
      </w:r>
    </w:p>
    <w:p w14:paraId="261F5679" w14:textId="3C7EC1B1" w:rsidR="00DC0A63" w:rsidRPr="0066619E" w:rsidRDefault="00DC0A63" w:rsidP="0066619E">
      <w:pPr>
        <w:pStyle w:val="BodyText"/>
        <w:numPr>
          <w:ilvl w:val="4"/>
          <w:numId w:val="10"/>
        </w:numPr>
        <w:spacing w:before="0"/>
        <w:ind w:left="1418" w:hanging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attiecībā uz katru </w:t>
      </w:r>
      <w:r>
        <w:rPr>
          <w:rFonts w:ascii="Times New Roman" w:hAnsi="Times New Roman"/>
          <w:i/>
          <w:iCs/>
          <w:sz w:val="24"/>
        </w:rPr>
        <w:t>ERC-TC</w:t>
      </w:r>
      <w:r>
        <w:rPr>
          <w:rFonts w:ascii="Times New Roman" w:hAnsi="Times New Roman"/>
          <w:sz w:val="24"/>
        </w:rPr>
        <w:t xml:space="preserve"> kombināciju visu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vērtību </w:t>
      </w:r>
      <w:r>
        <w:rPr>
          <w:rFonts w:ascii="Times New Roman" w:hAnsi="Times New Roman"/>
          <w:i/>
          <w:iCs/>
          <w:sz w:val="24"/>
        </w:rPr>
        <w:t>SD</w:t>
      </w:r>
      <w:r>
        <w:rPr>
          <w:rFonts w:ascii="Times New Roman" w:hAnsi="Times New Roman"/>
          <w:sz w:val="24"/>
        </w:rPr>
        <w:t xml:space="preserve"> ir ≤ 1,2 ‰.</w:t>
      </w:r>
    </w:p>
    <w:p w14:paraId="16C1B9AC" w14:textId="77777777" w:rsidR="0066619E" w:rsidRPr="006071FA" w:rsidRDefault="0066619E" w:rsidP="006071FA">
      <w:pPr>
        <w:jc w:val="both"/>
        <w:rPr>
          <w:rFonts w:ascii="Times New Roman" w:eastAsia="Verdana" w:hAnsi="Times New Roman" w:cs="Verdana"/>
          <w:noProof/>
          <w:sz w:val="24"/>
        </w:rPr>
      </w:pPr>
    </w:p>
    <w:p w14:paraId="1B4515D5" w14:textId="77777777" w:rsidR="00DC0A63" w:rsidRPr="006071FA" w:rsidRDefault="00DC0A63" w:rsidP="0066619E">
      <w:pPr>
        <w:pStyle w:val="BodyText"/>
        <w:numPr>
          <w:ilvl w:val="2"/>
          <w:numId w:val="10"/>
        </w:numPr>
        <w:tabs>
          <w:tab w:val="left" w:pos="426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impulsu stabilitāti pārbauda pirms katras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 partijas analīzes. Signāla linearitāti pārbauda regulāri, 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>, reizi mēnesī.</w:t>
      </w:r>
    </w:p>
    <w:p w14:paraId="446356DC" w14:textId="77777777" w:rsidR="00DC0A63" w:rsidRPr="006071FA" w:rsidRDefault="00DC0A63" w:rsidP="0066619E">
      <w:pPr>
        <w:pStyle w:val="BodyText"/>
        <w:numPr>
          <w:ilvl w:val="2"/>
          <w:numId w:val="10"/>
        </w:numPr>
        <w:tabs>
          <w:tab w:val="left" w:pos="426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Pēc hidrolizācijas urīna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turpina attīrīt, pirms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veicot augstas izšķirtspējas šķidruma hromatogrāfiju (</w:t>
      </w:r>
      <w:r>
        <w:rPr>
          <w:rFonts w:ascii="Times New Roman" w:hAnsi="Times New Roman"/>
          <w:i/>
          <w:iCs/>
          <w:sz w:val="24"/>
        </w:rPr>
        <w:t>HPLC</w:t>
      </w:r>
      <w:r>
        <w:rPr>
          <w:rFonts w:ascii="Times New Roman" w:hAnsi="Times New Roman"/>
          <w:sz w:val="24"/>
        </w:rPr>
        <w:t>) (ieteicams), cietās fāzes ekstrakciju (</w:t>
      </w:r>
      <w:r>
        <w:rPr>
          <w:rFonts w:ascii="Times New Roman" w:hAnsi="Times New Roman"/>
          <w:i/>
          <w:iCs/>
          <w:sz w:val="24"/>
        </w:rPr>
        <w:t>SPE</w:t>
      </w:r>
      <w:r>
        <w:rPr>
          <w:rFonts w:ascii="Times New Roman" w:hAnsi="Times New Roman"/>
          <w:sz w:val="24"/>
        </w:rPr>
        <w:t>) vai izmantojot citu līdzvērtīgu attīrīšanas paņēmienu.</w:t>
      </w:r>
    </w:p>
    <w:p w14:paraId="3207FE87" w14:textId="25931A8E" w:rsidR="00DC0A63" w:rsidRPr="006071FA" w:rsidRDefault="00DC0A63" w:rsidP="0066619E">
      <w:pPr>
        <w:pStyle w:val="BodyText"/>
        <w:numPr>
          <w:ilvl w:val="2"/>
          <w:numId w:val="10"/>
        </w:numPr>
        <w:tabs>
          <w:tab w:val="left" w:pos="426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Negatīvo (</w:t>
      </w:r>
      <w:r>
        <w:rPr>
          <w:rFonts w:ascii="Times New Roman" w:hAnsi="Times New Roman"/>
          <w:i/>
          <w:iCs/>
          <w:sz w:val="24"/>
        </w:rPr>
        <w:t>NQC</w:t>
      </w:r>
      <w:r>
        <w:rPr>
          <w:rFonts w:ascii="Times New Roman" w:hAnsi="Times New Roman"/>
          <w:sz w:val="24"/>
        </w:rPr>
        <w:t>)</w:t>
      </w:r>
      <w:r w:rsidR="000A797F">
        <w:rPr>
          <w:rStyle w:val="FootnoteReference"/>
          <w:rFonts w:ascii="Times New Roman" w:hAnsi="Times New Roman"/>
          <w:noProof/>
          <w:sz w:val="24"/>
        </w:rPr>
        <w:footnoteReference w:id="6"/>
      </w:r>
      <w:r>
        <w:rPr>
          <w:rFonts w:ascii="Times New Roman" w:hAnsi="Times New Roman"/>
          <w:sz w:val="24"/>
        </w:rPr>
        <w:t xml:space="preserve"> un pozitīvo (</w:t>
      </w:r>
      <w:r>
        <w:rPr>
          <w:rFonts w:ascii="Times New Roman" w:hAnsi="Times New Roman"/>
          <w:i/>
          <w:iCs/>
          <w:sz w:val="24"/>
        </w:rPr>
        <w:t>PQC</w:t>
      </w:r>
      <w:r>
        <w:rPr>
          <w:rFonts w:ascii="Times New Roman" w:hAnsi="Times New Roman"/>
          <w:sz w:val="24"/>
        </w:rPr>
        <w:t xml:space="preserve">) urīna kvalitātes kontroles paraugu, kurā ir visi attiecīgie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, iekļauj katrā analizējamo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 partijā, un tiem veic to pašu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sagatavošanas procedūru (attiecīgā gadījumā veicot arī glikuronīdu konjugātu hidrolīzi un </w:t>
      </w:r>
      <w:r>
        <w:rPr>
          <w:rFonts w:ascii="Times New Roman" w:hAnsi="Times New Roman"/>
          <w:sz w:val="24"/>
          <w:u w:val="single" w:color="000000"/>
        </w:rPr>
        <w:t>analizējamās vielas</w:t>
      </w:r>
      <w:r>
        <w:rPr>
          <w:rFonts w:ascii="Times New Roman" w:hAnsi="Times New Roman"/>
          <w:sz w:val="24"/>
        </w:rPr>
        <w:t xml:space="preserve"> atvasināšanu). Attiecīgajiem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ir jāatbilst </w:t>
      </w:r>
      <w:r>
        <w:rPr>
          <w:rFonts w:ascii="Times New Roman" w:hAnsi="Times New Roman"/>
          <w:i/>
          <w:iCs/>
          <w:sz w:val="24"/>
        </w:rPr>
        <w:t>PQC</w:t>
      </w:r>
      <w:r>
        <w:rPr>
          <w:rFonts w:ascii="Times New Roman" w:hAnsi="Times New Roman"/>
          <w:sz w:val="24"/>
        </w:rPr>
        <w:t xml:space="preserve"> pozitivitātes kritērijiem. Iegūto </w:t>
      </w:r>
      <w:r>
        <w:rPr>
          <w:rFonts w:ascii="Times New Roman" w:hAnsi="Times New Roman"/>
          <w:i/>
          <w:iCs/>
          <w:sz w:val="24"/>
        </w:rPr>
        <w:t>NQC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PQC</w:t>
      </w:r>
      <w:r>
        <w:rPr>
          <w:rFonts w:ascii="Times New Roman" w:hAnsi="Times New Roman"/>
          <w:sz w:val="24"/>
        </w:rPr>
        <w:t xml:space="preserve">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rezultātu nemainību uzrauga, izmantojot </w:t>
      </w:r>
      <w:r>
        <w:rPr>
          <w:rFonts w:ascii="Times New Roman" w:hAnsi="Times New Roman"/>
          <w:i/>
          <w:iCs/>
          <w:sz w:val="24"/>
        </w:rPr>
        <w:t>QC</w:t>
      </w:r>
      <w:r>
        <w:rPr>
          <w:rFonts w:ascii="Times New Roman" w:hAnsi="Times New Roman"/>
          <w:sz w:val="24"/>
        </w:rPr>
        <w:t xml:space="preserve"> diagrammas.</w:t>
      </w:r>
    </w:p>
    <w:p w14:paraId="77BC5B41" w14:textId="77777777" w:rsidR="00DC0A63" w:rsidRPr="006071FA" w:rsidRDefault="00DC0A63" w:rsidP="0066619E">
      <w:pPr>
        <w:pStyle w:val="BodyText"/>
        <w:numPr>
          <w:ilvl w:val="0"/>
          <w:numId w:val="8"/>
        </w:numPr>
        <w:tabs>
          <w:tab w:val="left" w:pos="426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Pirms katras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 partijas analīzes attiecīgā gadījumā injicē atbilstīgu attiecīgo brīvo (nekonjugēto) steroīdu, neatvasinātu vai acetilētu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u w:val="single" w:color="000000"/>
        </w:rPr>
        <w:t>RM</w:t>
      </w:r>
      <w:r>
        <w:rPr>
          <w:rFonts w:ascii="Times New Roman" w:hAnsi="Times New Roman"/>
          <w:sz w:val="24"/>
        </w:rPr>
        <w:t>, kam ir izsekojama(-as)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 vērtība(-as). Šo </w:t>
      </w:r>
      <w:r>
        <w:rPr>
          <w:rFonts w:ascii="Times New Roman" w:hAnsi="Times New Roman"/>
          <w:i/>
          <w:iCs/>
          <w:sz w:val="24"/>
          <w:u w:val="single" w:color="000000"/>
        </w:rPr>
        <w:t>RM</w:t>
      </w:r>
      <w:r>
        <w:rPr>
          <w:rFonts w:ascii="Times New Roman" w:hAnsi="Times New Roman"/>
          <w:sz w:val="24"/>
        </w:rPr>
        <w:t xml:space="preserve"> ir ieteicams injicēt arī katras virknes beigās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>, pēc 25–30 injicēšanas reizēm).</w:t>
      </w:r>
    </w:p>
    <w:p w14:paraId="1005C121" w14:textId="5E912DA8" w:rsidR="00DC0A63" w:rsidRDefault="00DC0A63" w:rsidP="0066619E">
      <w:pPr>
        <w:pStyle w:val="BodyText"/>
        <w:numPr>
          <w:ilvl w:val="0"/>
          <w:numId w:val="7"/>
        </w:numPr>
        <w:tabs>
          <w:tab w:val="left" w:pos="426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Laboratorijām</w:t>
      </w:r>
      <w:r>
        <w:rPr>
          <w:rFonts w:ascii="Times New Roman" w:hAnsi="Times New Roman"/>
          <w:sz w:val="24"/>
        </w:rPr>
        <w:t xml:space="preserve"> ir jāspēj veikt 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analīzes. Ja koncentrācija ir pietiekama,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ir jāatlasa/ jānosaka tam prioritāte atkarībā no steroīdu profila </w:t>
      </w:r>
      <w:r>
        <w:rPr>
          <w:rFonts w:ascii="Times New Roman" w:hAnsi="Times New Roman"/>
          <w:i/>
          <w:iCs/>
          <w:sz w:val="24"/>
        </w:rPr>
        <w:t>marķiera(-iem)</w:t>
      </w:r>
      <w:r>
        <w:rPr>
          <w:rFonts w:ascii="Times New Roman" w:hAnsi="Times New Roman"/>
          <w:sz w:val="24"/>
        </w:rPr>
        <w:t xml:space="preserve">, kuru dēļ tika ierosināta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analīze:</w:t>
      </w:r>
    </w:p>
    <w:p w14:paraId="77659108" w14:textId="77777777" w:rsidR="0066619E" w:rsidRPr="006071FA" w:rsidRDefault="0066619E" w:rsidP="0066619E">
      <w:pPr>
        <w:pStyle w:val="BodyText"/>
        <w:tabs>
          <w:tab w:val="left" w:pos="582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7CED3D9" w14:textId="70671C5C" w:rsidR="00DC0A63" w:rsidRPr="006071FA" w:rsidRDefault="00DC0A63" w:rsidP="000A797F">
      <w:pPr>
        <w:pStyle w:val="BodyText"/>
        <w:numPr>
          <w:ilvl w:val="1"/>
          <w:numId w:val="7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lai noteiktu T ievadīšanu, vēlamie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ir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 xml:space="preserve"> un/vai 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>;</w:t>
      </w:r>
    </w:p>
    <w:p w14:paraId="64A202E6" w14:textId="77777777" w:rsidR="00DC0A63" w:rsidRPr="006071FA" w:rsidRDefault="00DC0A63" w:rsidP="000A797F">
      <w:pPr>
        <w:pStyle w:val="BodyText"/>
        <w:numPr>
          <w:ilvl w:val="1"/>
          <w:numId w:val="7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laboratorijas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 attiecībā uz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veic tiem </w:t>
      </w:r>
      <w:r>
        <w:rPr>
          <w:rFonts w:ascii="Times New Roman" w:hAnsi="Times New Roman"/>
          <w:i/>
          <w:sz w:val="24"/>
        </w:rPr>
        <w:t>paraugiem</w:t>
      </w:r>
      <w:r>
        <w:rPr>
          <w:rFonts w:ascii="Times New Roman" w:hAnsi="Times New Roman"/>
          <w:sz w:val="24"/>
        </w:rPr>
        <w:t xml:space="preserve">, kuros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ir pārmērīgi augsta, 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ja vīriešiem tā ir &gt; 200 ng/ml vai sievietēm – &gt; 50 ng/ml (nepieciešamības gadījumā pielīdzināta atbilstīgi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b/>
          <w:bCs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).</w:t>
      </w:r>
    </w:p>
    <w:p w14:paraId="1E61AEF8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093E16C6" w14:textId="0F747213" w:rsidR="00DC0A63" w:rsidRPr="000A797F" w:rsidRDefault="00DC0A63" w:rsidP="000A797F">
      <w:pPr>
        <w:pStyle w:val="BodyText"/>
        <w:numPr>
          <w:ilvl w:val="0"/>
          <w:numId w:val="7"/>
        </w:numPr>
        <w:spacing w:before="0"/>
        <w:ind w:left="426" w:hanging="426"/>
        <w:jc w:val="both"/>
        <w:rPr>
          <w:rFonts w:ascii="Times New Roman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Analīzi veic, izmantojot </w:t>
      </w:r>
      <w:r>
        <w:rPr>
          <w:rFonts w:ascii="Times New Roman" w:hAnsi="Times New Roman"/>
          <w:i/>
          <w:iCs/>
          <w:sz w:val="24"/>
        </w:rPr>
        <w:t>PD</w:t>
      </w:r>
      <w:r>
        <w:rPr>
          <w:rFonts w:ascii="Times New Roman" w:hAnsi="Times New Roman"/>
          <w:sz w:val="24"/>
        </w:rPr>
        <w:t xml:space="preserve"> kā galveno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(ja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 xml:space="preserve"> to var izmērīt, 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ja signāls nav pavājināts, ja to neietekmē slikta hromatogrāfija vai ievadīts prekursors, 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pregnenolons). Tomēr, ja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 xml:space="preserve"> nav iespējams izmērīt </w:t>
      </w:r>
      <w:r>
        <w:rPr>
          <w:rFonts w:ascii="Times New Roman" w:hAnsi="Times New Roman"/>
          <w:i/>
          <w:iCs/>
          <w:sz w:val="24"/>
        </w:rPr>
        <w:t>PD</w:t>
      </w:r>
      <w:r>
        <w:rPr>
          <w:rFonts w:ascii="Times New Roman" w:hAnsi="Times New Roman"/>
          <w:sz w:val="24"/>
        </w:rPr>
        <w:t xml:space="preserve">, parasti tas ir jāaizstāj ar citu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 – vai nu </w:t>
      </w:r>
      <w:r>
        <w:rPr>
          <w:rFonts w:ascii="Times New Roman" w:hAnsi="Times New Roman"/>
          <w:i/>
          <w:iCs/>
          <w:sz w:val="24"/>
        </w:rPr>
        <w:t>16-en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11-OH-A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11-okso-Etio</w:t>
      </w:r>
      <w:r>
        <w:rPr>
          <w:rFonts w:ascii="Times New Roman" w:hAnsi="Times New Roman"/>
          <w:sz w:val="24"/>
        </w:rPr>
        <w:t xml:space="preserve">. To pašu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izmanto visu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vērtību noteikšanai.</w:t>
      </w:r>
    </w:p>
    <w:p w14:paraId="2DFC5B4F" w14:textId="77777777" w:rsidR="00DC0A63" w:rsidRPr="006071FA" w:rsidRDefault="00DC0A63" w:rsidP="000A797F">
      <w:pPr>
        <w:pStyle w:val="BodyText"/>
        <w:numPr>
          <w:ilvl w:val="0"/>
          <w:numId w:val="7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Vērtības, kas iegūtas no smailēm, kuru intensitāte ir zemāka vai augstāka par linearitātes diapazonu, vai tad, ja ir būtiskas līdzskalotās smailes, neņem vērā un par tām neziņo.</w:t>
      </w:r>
    </w:p>
    <w:p w14:paraId="4547B413" w14:textId="77777777" w:rsidR="00DC0A63" w:rsidRPr="006071FA" w:rsidRDefault="00DC0A63" w:rsidP="000A797F">
      <w:pPr>
        <w:pStyle w:val="BodyText"/>
        <w:numPr>
          <w:ilvl w:val="0"/>
          <w:numId w:val="7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Steroīdus drīkst analizēt neatvasinātus vai pēc acetilēšanas, taču </w:t>
      </w:r>
      <w:r>
        <w:rPr>
          <w:rFonts w:ascii="Times New Roman" w:hAnsi="Times New Roman"/>
          <w:i/>
          <w:iCs/>
          <w:sz w:val="24"/>
        </w:rPr>
        <w:t>ERC-TC</w:t>
      </w:r>
      <w:r>
        <w:rPr>
          <w:rFonts w:ascii="Times New Roman" w:hAnsi="Times New Roman"/>
          <w:sz w:val="24"/>
        </w:rPr>
        <w:t xml:space="preserve"> pāra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vērtības noteikšanai izmanto tikai tās vērtības, kas ir ekvivalentas neatvasinātajiem </w:t>
      </w:r>
      <w:r>
        <w:rPr>
          <w:rFonts w:ascii="Times New Roman" w:hAnsi="Times New Roman"/>
          <w:sz w:val="24"/>
        </w:rPr>
        <w:lastRenderedPageBreak/>
        <w:t>savienojumiem. Lai izmērītās acetātu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vērtības pielīdzinātu atbilstīgi to brīvajai formai, izmanto šādu darbīgo masu vienādojumu:</w:t>
      </w:r>
    </w:p>
    <w:p w14:paraId="6AD41697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29"/>
        </w:rPr>
      </w:pPr>
    </w:p>
    <w:p w14:paraId="657388F4" w14:textId="3FD276EC" w:rsidR="00DC0A63" w:rsidRPr="006071FA" w:rsidRDefault="00DC0A63" w:rsidP="000A797F">
      <w:pPr>
        <w:tabs>
          <w:tab w:val="left" w:pos="2323"/>
        </w:tabs>
        <w:ind w:left="709"/>
        <w:jc w:val="both"/>
        <w:rPr>
          <w:rFonts w:ascii="Times New Roman" w:eastAsia="Cambria" w:hAnsi="Times New Roman" w:cs="Cambria"/>
          <w:noProof/>
          <w:sz w:val="24"/>
          <w:szCs w:val="18"/>
        </w:rPr>
      </w:pPr>
      <w:r>
        <w:rPr>
          <w:rFonts w:ascii="Times New Roman" w:hAnsi="Times New Roman"/>
          <w:sz w:val="24"/>
        </w:rPr>
        <w:t xml:space="preserve">(2) </w:t>
      </w:r>
      <w:r>
        <w:rPr>
          <w:noProof/>
        </w:rPr>
        <w:drawing>
          <wp:inline distT="0" distB="0" distL="0" distR="0" wp14:anchorId="6F70A6F3" wp14:editId="6097EFAC">
            <wp:extent cx="2349500" cy="223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9DA46" w14:textId="77777777" w:rsidR="00DC0A63" w:rsidRPr="006071FA" w:rsidRDefault="00DC0A63" w:rsidP="006071FA">
      <w:pPr>
        <w:jc w:val="both"/>
        <w:rPr>
          <w:rFonts w:ascii="Times New Roman" w:eastAsia="Cambria" w:hAnsi="Times New Roman" w:cs="Cambria"/>
          <w:b/>
          <w:bCs/>
          <w:noProof/>
          <w:sz w:val="24"/>
          <w:szCs w:val="20"/>
        </w:rPr>
      </w:pPr>
    </w:p>
    <w:p w14:paraId="3E177CE8" w14:textId="77777777" w:rsidR="00DC0A63" w:rsidRPr="006071FA" w:rsidRDefault="00DC0A63" w:rsidP="000A797F">
      <w:pPr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kur n – oglekļa atomu skaits; s – dabiskais steroīds (neatvasināta forma); d – atvasinājumu grupa 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>, acetils); cd – atvasināts savienojums.</w:t>
      </w:r>
    </w:p>
    <w:p w14:paraId="261FA314" w14:textId="48DE51DF" w:rsidR="00DC0A63" w:rsidRPr="006071FA" w:rsidRDefault="00DC0A63" w:rsidP="000A797F">
      <w:pPr>
        <w:ind w:left="426"/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>Tā kā δC</w:t>
      </w:r>
      <w:r>
        <w:rPr>
          <w:rFonts w:ascii="Times New Roman" w:hAnsi="Times New Roman"/>
          <w:sz w:val="24"/>
          <w:vertAlign w:val="subscript"/>
        </w:rPr>
        <w:t>d</w:t>
      </w:r>
      <w:r>
        <w:rPr>
          <w:rFonts w:ascii="Times New Roman" w:hAnsi="Times New Roman"/>
          <w:sz w:val="24"/>
        </w:rPr>
        <w:t xml:space="preserve"> nav zināms, δC</w:t>
      </w:r>
      <w:r>
        <w:rPr>
          <w:rFonts w:ascii="Times New Roman" w:hAnsi="Times New Roman"/>
          <w:sz w:val="24"/>
          <w:vertAlign w:val="subscript"/>
        </w:rPr>
        <w:t>d_</w:t>
      </w:r>
      <w:r>
        <w:rPr>
          <w:rFonts w:ascii="Times New Roman" w:hAnsi="Times New Roman"/>
          <w:i/>
          <w:iCs/>
          <w:sz w:val="24"/>
          <w:vertAlign w:val="subscript"/>
        </w:rPr>
        <w:t>corr</w:t>
      </w:r>
      <w:r>
        <w:rPr>
          <w:rFonts w:ascii="Times New Roman" w:hAnsi="Times New Roman"/>
          <w:sz w:val="24"/>
        </w:rPr>
        <w:t xml:space="preserve"> aprēķina empīriski, veicot secīgus neacetilēta un acetilēta steroīda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16-en</w:t>
      </w:r>
      <w:r>
        <w:rPr>
          <w:rFonts w:ascii="Times New Roman" w:hAnsi="Times New Roman"/>
          <w:sz w:val="24"/>
        </w:rPr>
        <w:t xml:space="preserve"> vai 5α-androstanola) mērījumus.</w:t>
      </w:r>
    </w:p>
    <w:p w14:paraId="26C00518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29"/>
        </w:rPr>
      </w:pPr>
    </w:p>
    <w:p w14:paraId="2F90207E" w14:textId="10E63F69" w:rsidR="00DC0A63" w:rsidRPr="006071FA" w:rsidRDefault="000A797F" w:rsidP="000A797F">
      <w:pPr>
        <w:tabs>
          <w:tab w:val="left" w:pos="607"/>
        </w:tabs>
        <w:jc w:val="both"/>
        <w:rPr>
          <w:rFonts w:ascii="Times New Roman" w:eastAsia="Verdana" w:hAnsi="Times New Roman" w:cs="Verdana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2.2. </w:t>
      </w:r>
      <w:r>
        <w:rPr>
          <w:rFonts w:ascii="Times New Roman" w:hAnsi="Times New Roman"/>
          <w:i/>
          <w:iCs/>
          <w:sz w:val="24"/>
        </w:rPr>
        <w:t>Metabolīta(-u)</w:t>
      </w:r>
      <w:r>
        <w:rPr>
          <w:rFonts w:ascii="Times New Roman" w:hAnsi="Times New Roman"/>
          <w:sz w:val="24"/>
        </w:rPr>
        <w:t xml:space="preserve"> identificēšana urīnā pirms ziņošanas par </w:t>
      </w:r>
      <w:r>
        <w:rPr>
          <w:rFonts w:ascii="Times New Roman" w:hAnsi="Times New Roman"/>
          <w:i/>
          <w:iCs/>
          <w:sz w:val="24"/>
        </w:rPr>
        <w:t>nelabvēlīgu analīžu rezultātu</w:t>
      </w:r>
    </w:p>
    <w:p w14:paraId="43DBB659" w14:textId="77777777" w:rsidR="000A797F" w:rsidRDefault="000A797F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73B5325" w14:textId="74DFAC23" w:rsidR="00DC0A63" w:rsidRPr="006071FA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Lai pirms ziņošanas par </w:t>
      </w:r>
      <w:r>
        <w:rPr>
          <w:rFonts w:ascii="Times New Roman" w:hAnsi="Times New Roman"/>
          <w:i/>
          <w:sz w:val="24"/>
        </w:rPr>
        <w:t>nelabvēlīgu analīžu rezultātu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netipisku atradi</w:t>
      </w:r>
      <w:r>
        <w:rPr>
          <w:rFonts w:ascii="Times New Roman" w:hAnsi="Times New Roman"/>
          <w:sz w:val="24"/>
        </w:rPr>
        <w:t xml:space="preserve">, pamatojoties uz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rezultātiem, nodrošinātu attiecīgo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smaiļu identitāti un būtisku traucējumu neesību, ir jāveic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sz w:val="24"/>
        </w:rPr>
        <w:t xml:space="preserve"> analīze. Tas nav jādara, ja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rezultāti ir negatīvi.</w:t>
      </w:r>
    </w:p>
    <w:p w14:paraId="1BED52CD" w14:textId="77777777" w:rsidR="000A797F" w:rsidRDefault="000A797F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9F19652" w14:textId="5EEF4315" w:rsidR="00DC0A63" w:rsidRPr="006071FA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Tos pašus maisījumus, izmantojot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sz w:val="24"/>
          <w:vertAlign w:val="superscript"/>
        </w:rPr>
        <w:t>n</w:t>
      </w:r>
      <w:r>
        <w:rPr>
          <w:rFonts w:ascii="Times New Roman" w:hAnsi="Times New Roman"/>
          <w:sz w:val="24"/>
        </w:rPr>
        <w:t>, analizē līdzīgos hromatogrāfijas apstākļos. Sagaidāms, ka abām metodēm būs niecīgas izdalīšanas laika (</w:t>
      </w:r>
      <w:r>
        <w:rPr>
          <w:rFonts w:ascii="Times New Roman" w:hAnsi="Times New Roman"/>
          <w:i/>
          <w:iCs/>
          <w:sz w:val="24"/>
        </w:rPr>
        <w:t>RT</w:t>
      </w:r>
      <w:r>
        <w:rPr>
          <w:rFonts w:ascii="Times New Roman" w:hAnsi="Times New Roman"/>
          <w:sz w:val="24"/>
        </w:rPr>
        <w:t>) atšķirības.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Ievēro noteikumus, kas izklāstīti tehniskajā dokumentā par identifikācijas kritērijiem (</w:t>
      </w:r>
      <w:r>
        <w:rPr>
          <w:rFonts w:ascii="Times New Roman" w:hAnsi="Times New Roman"/>
          <w:i/>
          <w:iCs/>
          <w:sz w:val="24"/>
        </w:rPr>
        <w:t>TD IDCR</w:t>
      </w:r>
      <w:r>
        <w:rPr>
          <w:rFonts w:ascii="Times New Roman" w:hAnsi="Times New Roman"/>
          <w:sz w:val="24"/>
        </w:rPr>
        <w:t>) [3]. Turklāt, lai dokumentētu traucējumu neesību, visā attiecīgā steroīda hromatogrāfiskās(-o) smailes(-ļu) platumā ir jāiegūst pilns skenējuma spektrs.</w:t>
      </w:r>
    </w:p>
    <w:p w14:paraId="1722E4D9" w14:textId="77777777" w:rsidR="006071FA" w:rsidRPr="006071FA" w:rsidRDefault="006071FA" w:rsidP="006071FA">
      <w:pPr>
        <w:jc w:val="both"/>
        <w:rPr>
          <w:rFonts w:ascii="Times New Roman" w:hAnsi="Times New Roman"/>
          <w:noProof/>
          <w:sz w:val="24"/>
        </w:rPr>
      </w:pPr>
    </w:p>
    <w:p w14:paraId="348E2BF9" w14:textId="2BBAFA41" w:rsidR="00DC0A63" w:rsidRPr="006071FA" w:rsidRDefault="000A797F" w:rsidP="000A797F">
      <w:pPr>
        <w:pStyle w:val="Heading2"/>
        <w:tabs>
          <w:tab w:val="left" w:pos="599"/>
        </w:tabs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2.3.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rezultātu interpretācija</w:t>
      </w:r>
    </w:p>
    <w:p w14:paraId="359F6ED6" w14:textId="77777777" w:rsidR="000A797F" w:rsidRDefault="000A797F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D39C673" w14:textId="1F3454A1" w:rsidR="00DC0A63" w:rsidRPr="006071FA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rezultātus interpretē, kā izklāstīts turpmāk.</w:t>
      </w:r>
    </w:p>
    <w:p w14:paraId="3C7F1633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23"/>
        </w:rPr>
      </w:pPr>
    </w:p>
    <w:p w14:paraId="728375FF" w14:textId="38535E68" w:rsidR="00DC0A63" w:rsidRPr="006071FA" w:rsidRDefault="000A797F" w:rsidP="000A797F">
      <w:pPr>
        <w:pStyle w:val="Heading2"/>
        <w:tabs>
          <w:tab w:val="left" w:pos="841"/>
        </w:tabs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2.3.1. Pozitīvi rezultāti</w:t>
      </w:r>
    </w:p>
    <w:p w14:paraId="732CE774" w14:textId="77777777" w:rsidR="000A797F" w:rsidRDefault="000A797F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4A3700C" w14:textId="0795EEA1" w:rsidR="00DC0A63" w:rsidRDefault="00DC0A63" w:rsidP="00EC259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Ja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vērtība(-as) atbilst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eksogēnajai izcelsmei, 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>, ja ir izpildīts viens no turpmāk uzskaitīto kritēriju kopumiem</w:t>
      </w:r>
      <w:r w:rsidR="001061D5"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rFonts w:ascii="Times New Roman" w:hAnsi="Times New Roman"/>
          <w:b/>
          <w:sz w:val="24"/>
          <w:vertAlign w:val="superscript"/>
        </w:rPr>
        <w:t>,</w:t>
      </w:r>
      <w:r>
        <w:rPr>
          <w:rFonts w:ascii="Times New Roman" w:hAnsi="Times New Roman"/>
          <w:b/>
          <w:sz w:val="24"/>
        </w:rPr>
        <w:t xml:space="preserve"> </w:t>
      </w:r>
      <w:r w:rsidR="001061D5">
        <w:rPr>
          <w:rStyle w:val="FootnoteReference"/>
          <w:rFonts w:ascii="Times New Roman" w:hAnsi="Times New Roman"/>
          <w:b/>
          <w:noProof/>
          <w:sz w:val="24"/>
        </w:rPr>
        <w:footnoteReference w:id="8"/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>1. papildinājums</w:t>
      </w:r>
      <w:r>
        <w:rPr>
          <w:rFonts w:ascii="Times New Roman" w:hAnsi="Times New Roman"/>
          <w:sz w:val="24"/>
        </w:rPr>
        <w:t>):</w:t>
      </w:r>
    </w:p>
    <w:p w14:paraId="67AD52A5" w14:textId="77777777" w:rsidR="001061D5" w:rsidRPr="006071FA" w:rsidRDefault="001061D5" w:rsidP="00EC259A">
      <w:pPr>
        <w:pStyle w:val="BodyText"/>
        <w:spacing w:before="0"/>
        <w:ind w:left="0"/>
        <w:jc w:val="both"/>
        <w:rPr>
          <w:rFonts w:ascii="Times New Roman" w:hAnsi="Times New Roman" w:cs="Verdana"/>
          <w:noProof/>
          <w:sz w:val="24"/>
        </w:rPr>
      </w:pPr>
    </w:p>
    <w:p w14:paraId="1D0E5813" w14:textId="60E9B9AE" w:rsidR="00DC0A63" w:rsidRPr="006071FA" w:rsidRDefault="001061D5" w:rsidP="001061D5">
      <w:pPr>
        <w:pStyle w:val="BodyText"/>
        <w:tabs>
          <w:tab w:val="left" w:pos="654"/>
        </w:tabs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i)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 </w:t>
      </w:r>
      <w:r>
        <w:rPr>
          <w:rFonts w:ascii="Times New Roman" w:hAnsi="Times New Roman"/>
          <w:i/>
          <w:iCs/>
          <w:sz w:val="24"/>
        </w:rPr>
        <w:t>ERC-T</w:t>
      </w:r>
      <w:r>
        <w:rPr>
          <w:rFonts w:ascii="Times New Roman" w:hAnsi="Times New Roman"/>
          <w:sz w:val="24"/>
        </w:rPr>
        <w:t xml:space="preserve"> pārim un vienam no </w:t>
      </w:r>
      <w:r>
        <w:rPr>
          <w:rFonts w:ascii="Times New Roman" w:hAnsi="Times New Roman"/>
          <w:i/>
          <w:iCs/>
          <w:sz w:val="24"/>
        </w:rPr>
        <w:t>ERC-5</w:t>
      </w:r>
      <w:r w:rsidR="003D5C65">
        <w:rPr>
          <w:rFonts w:ascii="Times New Roman" w:hAnsi="Times New Roman"/>
          <w:i/>
          <w:iCs/>
          <w:sz w:val="24"/>
        </w:rPr>
        <w:t>α</w:t>
      </w:r>
      <w:r>
        <w:rPr>
          <w:rFonts w:ascii="Times New Roman" w:hAnsi="Times New Roman"/>
          <w:i/>
          <w:iCs/>
          <w:sz w:val="24"/>
        </w:rPr>
        <w:t>Adio</w:t>
      </w:r>
      <w:r>
        <w:rPr>
          <w:rFonts w:ascii="Times New Roman" w:hAnsi="Times New Roman"/>
          <w:sz w:val="24"/>
        </w:rPr>
        <w:t xml:space="preserve">l vai </w:t>
      </w:r>
      <w:r>
        <w:rPr>
          <w:rFonts w:ascii="Times New Roman" w:hAnsi="Times New Roman"/>
          <w:i/>
          <w:iCs/>
          <w:sz w:val="24"/>
        </w:rPr>
        <w:t>ERC-5βAdiol</w:t>
      </w:r>
      <w:r>
        <w:rPr>
          <w:rFonts w:ascii="Times New Roman" w:hAnsi="Times New Roman"/>
          <w:sz w:val="24"/>
        </w:rPr>
        <w:t xml:space="preserve"> pāriem katram ir &gt; 3 ‰;</w:t>
      </w:r>
    </w:p>
    <w:p w14:paraId="4FA7392F" w14:textId="70B2B270" w:rsidR="00DC0A63" w:rsidRPr="001061D5" w:rsidRDefault="001061D5" w:rsidP="001061D5">
      <w:pPr>
        <w:pStyle w:val="BodyText"/>
        <w:tabs>
          <w:tab w:val="left" w:pos="654"/>
        </w:tabs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ii)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vērtības katram </w:t>
      </w:r>
      <w:r>
        <w:rPr>
          <w:rFonts w:ascii="Times New Roman" w:hAnsi="Times New Roman"/>
          <w:i/>
          <w:iCs/>
          <w:sz w:val="24"/>
        </w:rPr>
        <w:t>ERC-5αAdiol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ERC-5βAdiol</w:t>
      </w:r>
      <w:r>
        <w:rPr>
          <w:rFonts w:ascii="Times New Roman" w:hAnsi="Times New Roman"/>
          <w:sz w:val="24"/>
        </w:rPr>
        <w:t xml:space="preserve"> pārim ir &gt; 3 ‰;</w:t>
      </w:r>
    </w:p>
    <w:p w14:paraId="6B4C3B8F" w14:textId="4DEA26CD" w:rsidR="00DC0A63" w:rsidRPr="001061D5" w:rsidRDefault="001061D5" w:rsidP="001061D5">
      <w:pPr>
        <w:pStyle w:val="BodyText"/>
        <w:tabs>
          <w:tab w:val="left" w:pos="654"/>
        </w:tabs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iii)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sievietēm ir &gt; 50 ng/ml vai vīriešiem – &gt; 200 ng/ml (nepieciešamības gadījumā pielīdzināta atbilstīgi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b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) un </w:t>
      </w:r>
      <w:r>
        <w:rPr>
          <w:rFonts w:ascii="Times New Roman" w:hAnsi="Times New Roman"/>
          <w:i/>
          <w:iCs/>
          <w:sz w:val="24"/>
        </w:rPr>
        <w:t>ERC-E</w:t>
      </w:r>
      <w:r>
        <w:rPr>
          <w:rFonts w:ascii="Times New Roman" w:hAnsi="Times New Roman"/>
          <w:sz w:val="24"/>
        </w:rPr>
        <w:t xml:space="preserve"> pāra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vērtība ir &gt; 4 ‰;</w:t>
      </w:r>
    </w:p>
    <w:p w14:paraId="6695BEE1" w14:textId="1DB1E738" w:rsidR="00DC0A63" w:rsidRPr="006071FA" w:rsidRDefault="001061D5" w:rsidP="001061D5">
      <w:pPr>
        <w:pStyle w:val="BodyText"/>
        <w:tabs>
          <w:tab w:val="left" w:pos="654"/>
        </w:tabs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iv) </w:t>
      </w:r>
      <w:r>
        <w:rPr>
          <w:rFonts w:ascii="Times New Roman" w:hAnsi="Times New Roman"/>
          <w:i/>
          <w:iCs/>
          <w:sz w:val="24"/>
        </w:rPr>
        <w:t>ERC-A</w:t>
      </w:r>
      <w:r>
        <w:rPr>
          <w:rFonts w:ascii="Times New Roman" w:hAnsi="Times New Roman"/>
          <w:sz w:val="24"/>
        </w:rPr>
        <w:t xml:space="preserve"> pāra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 ir &gt; 3 ‰ vai </w:t>
      </w:r>
      <w:r>
        <w:rPr>
          <w:rFonts w:ascii="Times New Roman" w:hAnsi="Times New Roman"/>
          <w:i/>
          <w:iCs/>
          <w:sz w:val="24"/>
        </w:rPr>
        <w:t>ERC-Etio</w:t>
      </w:r>
      <w:r>
        <w:rPr>
          <w:rFonts w:ascii="Times New Roman" w:hAnsi="Times New Roman"/>
          <w:sz w:val="24"/>
        </w:rPr>
        <w:t xml:space="preserve"> pāra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vērtība ir &gt; 4 ‰;</w:t>
      </w:r>
    </w:p>
    <w:p w14:paraId="19C8A72A" w14:textId="215ED0D4" w:rsidR="00DC0A63" w:rsidRPr="006071FA" w:rsidRDefault="001061D5" w:rsidP="001061D5">
      <w:pPr>
        <w:pStyle w:val="BodyText"/>
        <w:tabs>
          <w:tab w:val="left" w:pos="654"/>
        </w:tabs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v) </w:t>
      </w:r>
      <w:r>
        <w:rPr>
          <w:rFonts w:ascii="Times New Roman" w:hAnsi="Times New Roman"/>
          <w:i/>
          <w:iCs/>
          <w:sz w:val="24"/>
        </w:rPr>
        <w:t>ERC-A</w:t>
      </w:r>
      <w:r>
        <w:rPr>
          <w:rFonts w:ascii="Times New Roman" w:hAnsi="Times New Roman"/>
          <w:sz w:val="24"/>
        </w:rPr>
        <w:t xml:space="preserve"> pāra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 ir 2 ‰–3 ‰ diapazonā vai </w:t>
      </w:r>
      <w:r>
        <w:rPr>
          <w:rFonts w:ascii="Times New Roman" w:hAnsi="Times New Roman"/>
          <w:i/>
          <w:iCs/>
          <w:sz w:val="24"/>
        </w:rPr>
        <w:t>ERC-Etio</w:t>
      </w:r>
      <w:r>
        <w:rPr>
          <w:rFonts w:ascii="Times New Roman" w:hAnsi="Times New Roman"/>
          <w:sz w:val="24"/>
        </w:rPr>
        <w:t xml:space="preserve"> pāra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vērtība ir 3 ‰–4 ‰ diapazonā, bet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 vienam no </w:t>
      </w:r>
      <w:r>
        <w:rPr>
          <w:rFonts w:ascii="Times New Roman" w:hAnsi="Times New Roman"/>
          <w:i/>
          <w:iCs/>
          <w:sz w:val="24"/>
        </w:rPr>
        <w:t>ERC-5αAdiol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ERC-5βAdiol</w:t>
      </w:r>
      <w:r>
        <w:rPr>
          <w:rFonts w:ascii="Times New Roman" w:hAnsi="Times New Roman"/>
          <w:sz w:val="24"/>
        </w:rPr>
        <w:t xml:space="preserve"> pāriem ir &gt; 3 ‰;</w:t>
      </w:r>
    </w:p>
    <w:p w14:paraId="41C1BF8A" w14:textId="69C3AF53" w:rsidR="00DC0A63" w:rsidRPr="006071FA" w:rsidRDefault="001061D5" w:rsidP="001061D5">
      <w:pPr>
        <w:pStyle w:val="BodyText"/>
        <w:tabs>
          <w:tab w:val="left" w:pos="654"/>
        </w:tabs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vi) </w:t>
      </w:r>
      <w:r>
        <w:rPr>
          <w:rFonts w:ascii="Times New Roman" w:hAnsi="Times New Roman"/>
          <w:i/>
          <w:iCs/>
          <w:sz w:val="24"/>
        </w:rPr>
        <w:t>ERC-5αAdiol</w:t>
      </w:r>
      <w:r>
        <w:rPr>
          <w:rFonts w:ascii="Times New Roman" w:hAnsi="Times New Roman"/>
          <w:sz w:val="24"/>
        </w:rPr>
        <w:t xml:space="preserve"> pāra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 ir &gt; 4 ‰ un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 xml:space="preserve">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vērtība ir ≤ -27 ‰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DHT</w:t>
      </w:r>
      <w:r>
        <w:rPr>
          <w:rFonts w:ascii="Times New Roman" w:hAnsi="Times New Roman"/>
          <w:sz w:val="24"/>
        </w:rPr>
        <w:t xml:space="preserve"> ievadīšana);</w:t>
      </w:r>
    </w:p>
    <w:p w14:paraId="40DDDD56" w14:textId="13857241" w:rsidR="00DC0A63" w:rsidRPr="006071FA" w:rsidRDefault="001061D5" w:rsidP="001061D5">
      <w:pPr>
        <w:pStyle w:val="BodyText"/>
        <w:tabs>
          <w:tab w:val="left" w:pos="654"/>
        </w:tabs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lastRenderedPageBreak/>
        <w:t>vii)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 vai nu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-formestāna,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-boldenona, vai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-boldenona </w:t>
      </w:r>
      <w:r>
        <w:rPr>
          <w:rFonts w:ascii="Times New Roman" w:hAnsi="Times New Roman"/>
          <w:i/>
          <w:sz w:val="24"/>
        </w:rPr>
        <w:t>metabolīta(-u)</w:t>
      </w:r>
      <w:r>
        <w:rPr>
          <w:rFonts w:ascii="Times New Roman" w:hAnsi="Times New Roman"/>
          <w:sz w:val="24"/>
        </w:rPr>
        <w:t xml:space="preserve"> pāriem ir lielāka par 4 ‰.</w:t>
      </w:r>
    </w:p>
    <w:p w14:paraId="790F558F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134A6BDD" w14:textId="50CE10D2" w:rsidR="00DC0A63" w:rsidRPr="006071FA" w:rsidRDefault="00817EF6" w:rsidP="00817EF6">
      <w:pPr>
        <w:tabs>
          <w:tab w:val="left" w:pos="841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2.3.2. Negatīvi rezultāti</w:t>
      </w:r>
    </w:p>
    <w:p w14:paraId="4338F026" w14:textId="77777777" w:rsidR="00817EF6" w:rsidRDefault="00817EF6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918ABF8" w14:textId="23755031" w:rsidR="00DC0A63" w:rsidRPr="006071FA" w:rsidRDefault="00DC0A63" w:rsidP="006071FA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Gadījumi, kad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vērtības neapstiprina eksogēnu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izcelsmi, 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ja </w:t>
      </w:r>
      <w:r>
        <w:rPr>
          <w:rFonts w:ascii="Times New Roman" w:hAnsi="Times New Roman"/>
          <w:i/>
          <w:iCs/>
          <w:sz w:val="24"/>
        </w:rPr>
        <w:t>ERC-TC</w:t>
      </w:r>
      <w:r>
        <w:rPr>
          <w:rFonts w:ascii="Times New Roman" w:hAnsi="Times New Roman"/>
          <w:sz w:val="24"/>
        </w:rPr>
        <w:t xml:space="preserve"> pāru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 vērtības neatbilst nevienam no kritērijiem, kas noteikti iepriekš 2.3.1. punktā.</w:t>
      </w:r>
    </w:p>
    <w:p w14:paraId="328A02CA" w14:textId="77777777" w:rsidR="00DC0A63" w:rsidRPr="006071FA" w:rsidRDefault="00DC0A63" w:rsidP="006071FA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7399D3F9" w14:textId="17CCAFF1" w:rsidR="00DC0A63" w:rsidRPr="006071FA" w:rsidRDefault="00817EF6" w:rsidP="00817EF6">
      <w:pPr>
        <w:pStyle w:val="Heading2"/>
        <w:tabs>
          <w:tab w:val="left" w:pos="841"/>
        </w:tabs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2.3.3. Nepārliecinošs rezultāts:</w:t>
      </w:r>
    </w:p>
    <w:p w14:paraId="59886F34" w14:textId="77777777" w:rsidR="00817EF6" w:rsidRDefault="00817EF6" w:rsidP="00817EF6">
      <w:pPr>
        <w:pStyle w:val="BodyText"/>
        <w:tabs>
          <w:tab w:val="left" w:pos="654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6453B48" w14:textId="6D1E6E74" w:rsidR="00DC0A63" w:rsidRPr="006071FA" w:rsidRDefault="00817EF6" w:rsidP="00817EF6">
      <w:pPr>
        <w:pStyle w:val="BodyText"/>
        <w:tabs>
          <w:tab w:val="left" w:pos="654"/>
        </w:tabs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viii) ja ir izpildīts tikai viens no kombinētajiem kritērijiem, kas noteikti iepriekš i), ii), v) vai vi) apakšpunktā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ERC-T</w:t>
      </w:r>
      <w:r>
        <w:rPr>
          <w:rFonts w:ascii="Times New Roman" w:hAnsi="Times New Roman"/>
          <w:sz w:val="24"/>
        </w:rPr>
        <w:t xml:space="preserve"> pāra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 ir &gt; 3 ‰, bet abu </w:t>
      </w:r>
      <w:r>
        <w:rPr>
          <w:rFonts w:ascii="Times New Roman" w:hAnsi="Times New Roman"/>
          <w:i/>
          <w:iCs/>
          <w:sz w:val="24"/>
        </w:rPr>
        <w:t>ERC-Adiol</w:t>
      </w:r>
      <w:r>
        <w:rPr>
          <w:rFonts w:ascii="Times New Roman" w:hAnsi="Times New Roman"/>
          <w:sz w:val="24"/>
        </w:rPr>
        <w:t xml:space="preserve"> pāru ∆δ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vērtības ir &lt; 3 ‰) </w:t>
      </w:r>
      <w:r>
        <w:rPr>
          <w:rFonts w:ascii="Times New Roman" w:hAnsi="Times New Roman"/>
          <w:b/>
          <w:sz w:val="24"/>
          <w:vertAlign w:val="superscript"/>
        </w:rPr>
        <w:t>8</w:t>
      </w:r>
      <w:r>
        <w:rPr>
          <w:rFonts w:ascii="Times New Roman" w:hAnsi="Times New Roman"/>
          <w:sz w:val="24"/>
        </w:rPr>
        <w:t>;</w:t>
      </w:r>
    </w:p>
    <w:p w14:paraId="19001399" w14:textId="31ED67B8" w:rsidR="00DC0A63" w:rsidRPr="006071FA" w:rsidRDefault="00817EF6" w:rsidP="00817EF6">
      <w:pPr>
        <w:pStyle w:val="BodyText"/>
        <w:tabs>
          <w:tab w:val="left" w:pos="654"/>
        </w:tabs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ix) tehnisku ierobežojumu dēļ, 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ja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tilpums nav pietiekams vai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koncentrācija ir ļoti zema, vai ir traucējošu savienojumu klātbūtne, vai ir jebkādi citi faktori, kas neļauj ticami izmērīt attiecīgo diagnosticējošo </w:t>
      </w:r>
      <w:r>
        <w:rPr>
          <w:rFonts w:ascii="Times New Roman" w:hAnsi="Times New Roman"/>
          <w:i/>
          <w:sz w:val="24"/>
        </w:rPr>
        <w:t>metabolītu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ERC-TC</w:t>
      </w:r>
      <w:r>
        <w:rPr>
          <w:rFonts w:ascii="Times New Roman" w:hAnsi="Times New Roman"/>
          <w:sz w:val="24"/>
        </w:rPr>
        <w:t xml:space="preserve"> pāri</w:t>
      </w:r>
      <w:r>
        <w:rPr>
          <w:rStyle w:val="FootnoteReference"/>
          <w:rFonts w:ascii="Times New Roman" w:hAnsi="Times New Roman"/>
          <w:noProof/>
          <w:sz w:val="24"/>
        </w:rPr>
        <w:footnoteReference w:id="9"/>
      </w:r>
      <w:r>
        <w:rPr>
          <w:rFonts w:ascii="Times New Roman" w:hAnsi="Times New Roman"/>
          <w:sz w:val="24"/>
        </w:rPr>
        <w:t>;</w:t>
      </w:r>
    </w:p>
    <w:p w14:paraId="32FC9146" w14:textId="05FA39EF" w:rsidR="00DC0A63" w:rsidRPr="006071FA" w:rsidRDefault="00817EF6" w:rsidP="00817EF6">
      <w:pPr>
        <w:pStyle w:val="BodyText"/>
        <w:tabs>
          <w:tab w:val="left" w:pos="654"/>
        </w:tabs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x)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var interpretēt rezultātus kā nepārliecinošus, ja nav izpildīti kritēriji attiecībā uz ziņošanu par </w:t>
      </w:r>
      <w:r>
        <w:rPr>
          <w:rFonts w:ascii="Times New Roman" w:hAnsi="Times New Roman"/>
          <w:i/>
          <w:sz w:val="24"/>
        </w:rPr>
        <w:t>nelabvēlīgu analīžu rezultātu</w:t>
      </w:r>
      <w:r>
        <w:rPr>
          <w:rFonts w:ascii="Times New Roman" w:hAnsi="Times New Roman"/>
          <w:sz w:val="24"/>
        </w:rPr>
        <w:t xml:space="preserve">, bet tā tomēr uzskata, ka tie nesaskan ar urīna </w:t>
      </w:r>
      <w:r>
        <w:rPr>
          <w:rFonts w:ascii="Times New Roman" w:hAnsi="Times New Roman"/>
          <w:i/>
          <w:sz w:val="24"/>
        </w:rPr>
        <w:t>metabolītu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vērtību -24,5 ‰ un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-27,0 ‰) endogēno izcelsmi.</w:t>
      </w:r>
    </w:p>
    <w:p w14:paraId="1E5E0937" w14:textId="2E0D7786" w:rsidR="00A1114A" w:rsidRDefault="00A1114A">
      <w:pPr>
        <w:rPr>
          <w:rFonts w:ascii="Times New Roman" w:eastAsia="Verdana" w:hAnsi="Times New Roman" w:cs="Verdana"/>
          <w:noProof/>
          <w:sz w:val="24"/>
          <w:szCs w:val="20"/>
        </w:rPr>
      </w:pPr>
      <w:r>
        <w:br w:type="page"/>
      </w:r>
    </w:p>
    <w:p w14:paraId="56D91685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70866D90" w14:textId="4AA560D5" w:rsidR="00DC0A63" w:rsidRPr="006071FA" w:rsidRDefault="00A1114A" w:rsidP="00A1114A">
      <w:pPr>
        <w:tabs>
          <w:tab w:val="left" w:pos="841"/>
        </w:tabs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 xml:space="preserve">3.0. Ziņošana par </w:t>
      </w:r>
      <w:r>
        <w:rPr>
          <w:rFonts w:ascii="Times New Roman" w:hAnsi="Times New Roman"/>
          <w:b/>
          <w:i/>
          <w:iCs/>
          <w:sz w:val="24"/>
        </w:rPr>
        <w:t>GC/C/IRMS</w:t>
      </w:r>
      <w:r>
        <w:rPr>
          <w:rFonts w:ascii="Times New Roman" w:hAnsi="Times New Roman"/>
          <w:b/>
          <w:sz w:val="24"/>
        </w:rPr>
        <w:t xml:space="preserve"> rezultātiem</w:t>
      </w:r>
    </w:p>
    <w:p w14:paraId="70262B1D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b/>
          <w:bCs/>
          <w:noProof/>
          <w:sz w:val="24"/>
          <w:szCs w:val="23"/>
        </w:rPr>
      </w:pPr>
    </w:p>
    <w:p w14:paraId="541A60F5" w14:textId="59B70ABE" w:rsidR="00DC0A63" w:rsidRPr="006071FA" w:rsidRDefault="00DC0A63" w:rsidP="00817EF6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par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rezultātiem ziņo </w:t>
      </w:r>
      <w:r>
        <w:rPr>
          <w:rFonts w:ascii="Times New Roman" w:hAnsi="Times New Roman"/>
          <w:i/>
          <w:iCs/>
          <w:sz w:val="24"/>
        </w:rPr>
        <w:t>ADAMS</w:t>
      </w:r>
      <w:r>
        <w:rPr>
          <w:rFonts w:ascii="Times New Roman" w:hAnsi="Times New Roman"/>
          <w:sz w:val="24"/>
        </w:rPr>
        <w:t>, kā izklāstīts turpmāk.</w:t>
      </w:r>
    </w:p>
    <w:p w14:paraId="13068275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noProof/>
          <w:sz w:val="24"/>
        </w:rPr>
      </w:pPr>
    </w:p>
    <w:p w14:paraId="7BC778C0" w14:textId="2381A002" w:rsidR="00DC0A63" w:rsidRPr="006071FA" w:rsidRDefault="00A1114A" w:rsidP="00A1114A">
      <w:pPr>
        <w:pStyle w:val="Heading3"/>
        <w:tabs>
          <w:tab w:val="left" w:pos="598"/>
        </w:tabs>
        <w:ind w:left="0" w:firstLine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i w:val="0"/>
        </w:rPr>
        <w:t xml:space="preserve">3.1. </w:t>
      </w:r>
      <w:r>
        <w:rPr>
          <w:rFonts w:ascii="Times New Roman" w:hAnsi="Times New Roman"/>
        </w:rPr>
        <w:t>Nelabvēlīgs analīžu rezultāts</w:t>
      </w:r>
    </w:p>
    <w:p w14:paraId="6ACEA995" w14:textId="77777777" w:rsidR="00A1114A" w:rsidRDefault="00A1114A" w:rsidP="00817EF6">
      <w:pPr>
        <w:pStyle w:val="BodyText"/>
        <w:spacing w:before="0"/>
        <w:ind w:left="0"/>
        <w:jc w:val="both"/>
        <w:rPr>
          <w:rFonts w:ascii="Times New Roman" w:hAnsi="Times New Roman"/>
          <w:i/>
          <w:noProof/>
          <w:sz w:val="24"/>
        </w:rPr>
      </w:pPr>
    </w:p>
    <w:p w14:paraId="2E704B12" w14:textId="154CAD32" w:rsidR="00DC0A63" w:rsidRDefault="00DC0A63" w:rsidP="00817EF6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Tādu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gadījumā, kuru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rezultāti bija pozitīvi:</w:t>
      </w:r>
    </w:p>
    <w:p w14:paraId="399D1894" w14:textId="77777777" w:rsidR="00A1114A" w:rsidRPr="006071FA" w:rsidRDefault="00A1114A" w:rsidP="00817EF6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4FCCBFB" w14:textId="77777777" w:rsidR="00DC0A63" w:rsidRPr="006071FA" w:rsidRDefault="00DC0A63" w:rsidP="00A1114A">
      <w:pPr>
        <w:numPr>
          <w:ilvl w:val="2"/>
          <w:numId w:val="5"/>
        </w:numPr>
        <w:ind w:left="426" w:hanging="426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par katru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, par kuru ir ziņots </w:t>
      </w:r>
      <w:r>
        <w:rPr>
          <w:rFonts w:ascii="Times New Roman" w:hAnsi="Times New Roman"/>
          <w:i/>
          <w:iCs/>
          <w:sz w:val="24"/>
        </w:rPr>
        <w:t>nelabvēlīgs analīžu rezultāts</w:t>
      </w:r>
      <w:r>
        <w:rPr>
          <w:rFonts w:ascii="Times New Roman" w:hAnsi="Times New Roman"/>
          <w:sz w:val="24"/>
        </w:rPr>
        <w:t>, ziņo atsevišķi;</w:t>
      </w:r>
    </w:p>
    <w:p w14:paraId="112A18E1" w14:textId="5AC4AF32" w:rsidR="00DC0A63" w:rsidRDefault="00DC0A63" w:rsidP="00A1114A">
      <w:pPr>
        <w:pStyle w:val="BodyText"/>
        <w:numPr>
          <w:ilvl w:val="2"/>
          <w:numId w:val="5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pārbaudes ziņojumā iekļauj:</w:t>
      </w:r>
    </w:p>
    <w:p w14:paraId="4681EB4D" w14:textId="77777777" w:rsidR="00A1114A" w:rsidRPr="006071FA" w:rsidRDefault="00A1114A" w:rsidP="00A1114A">
      <w:pPr>
        <w:pStyle w:val="BodyText"/>
        <w:tabs>
          <w:tab w:val="left" w:pos="582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5567E1E" w14:textId="6EF2A6B0" w:rsidR="00DC0A63" w:rsidRPr="00A1114A" w:rsidRDefault="00DC0A63" w:rsidP="00A1114A">
      <w:pPr>
        <w:pStyle w:val="BodyText"/>
        <w:numPr>
          <w:ilvl w:val="3"/>
          <w:numId w:val="5"/>
        </w:numPr>
        <w:spacing w:before="0"/>
        <w:ind w:left="709" w:hanging="283"/>
        <w:jc w:val="both"/>
        <w:rPr>
          <w:rFonts w:ascii="Times New Roman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visu izmērīto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vērtību un katru saistīto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(kas izteikta ‰)</w:t>
      </w:r>
      <w:r w:rsidR="00A1114A">
        <w:rPr>
          <w:rStyle w:val="FootnoteReference"/>
          <w:rFonts w:ascii="Times New Roman" w:hAnsi="Times New Roman" w:cs="Verdana"/>
          <w:noProof/>
          <w:sz w:val="24"/>
        </w:rPr>
        <w:footnoteReference w:id="10"/>
      </w:r>
      <w:r>
        <w:rPr>
          <w:rFonts w:ascii="Times New Roman" w:hAnsi="Times New Roman"/>
          <w:sz w:val="24"/>
        </w:rPr>
        <w:t>;</w:t>
      </w:r>
    </w:p>
    <w:p w14:paraId="72311AD7" w14:textId="77777777" w:rsidR="00DC0A63" w:rsidRPr="006071FA" w:rsidRDefault="00DC0A63" w:rsidP="00A1114A">
      <w:pPr>
        <w:pStyle w:val="BodyText"/>
        <w:numPr>
          <w:ilvl w:val="3"/>
          <w:numId w:val="5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piezīmi, ar ko norāda, ka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rezultāts atbilst steroīdu eksogēnai ievadīšanai, izklāstot attiecīgo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identitāti, kuri ir izraisījuši pozitīvu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rezultātu.</w:t>
      </w:r>
    </w:p>
    <w:p w14:paraId="60DF910E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00FFB837" w14:textId="77777777" w:rsidR="00A1114A" w:rsidRDefault="00DC0A63" w:rsidP="00817EF6">
      <w:pPr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[Piemērs piezīmei par </w:t>
      </w:r>
      <w:r>
        <w:rPr>
          <w:rFonts w:ascii="Times New Roman" w:hAnsi="Times New Roman"/>
          <w:i/>
          <w:iCs/>
          <w:sz w:val="24"/>
        </w:rPr>
        <w:t>nelabvēlīgu analīžu rezultātu</w:t>
      </w:r>
      <w:r>
        <w:rPr>
          <w:rFonts w:ascii="Times New Roman" w:hAnsi="Times New Roman"/>
          <w:sz w:val="24"/>
        </w:rPr>
        <w:t xml:space="preserve"> pārbaudes ziņojumā:</w:t>
      </w:r>
    </w:p>
    <w:p w14:paraId="7BCCB61A" w14:textId="2701895F" w:rsidR="00DC0A63" w:rsidRPr="006071FA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rezultāti atbilst eksogēnai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 izcelsmei.”]</w:t>
      </w:r>
    </w:p>
    <w:p w14:paraId="7772F27C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0FCD86BF" w14:textId="551A58FD" w:rsidR="00DC0A63" w:rsidRPr="006071FA" w:rsidRDefault="00A1114A" w:rsidP="00A1114A">
      <w:pPr>
        <w:pStyle w:val="Heading2"/>
        <w:tabs>
          <w:tab w:val="left" w:pos="841"/>
        </w:tabs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3.1.1. Otrā atzinuma sniegšana par </w:t>
      </w:r>
      <w:r>
        <w:rPr>
          <w:rFonts w:ascii="Times New Roman" w:hAnsi="Times New Roman"/>
          <w:i/>
          <w:iCs/>
        </w:rPr>
        <w:t>GC/C/IRMS</w:t>
      </w:r>
    </w:p>
    <w:p w14:paraId="7748763A" w14:textId="77777777" w:rsidR="00A1114A" w:rsidRDefault="00A1114A" w:rsidP="00817EF6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AB6FF10" w14:textId="0F77857B" w:rsidR="00DC0A63" w:rsidRPr="006071FA" w:rsidRDefault="00DC0A63" w:rsidP="00817EF6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rezultāti norāda uz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nelabvēlīgu analīžu rezultātu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laboratorijai</w:t>
      </w:r>
      <w:r>
        <w:rPr>
          <w:rFonts w:ascii="Times New Roman" w:hAnsi="Times New Roman"/>
          <w:sz w:val="24"/>
        </w:rPr>
        <w:t xml:space="preserve"> pirms ziņošanas par </w:t>
      </w:r>
      <w:r>
        <w:rPr>
          <w:rFonts w:ascii="Times New Roman" w:hAnsi="Times New Roman"/>
          <w:i/>
          <w:iCs/>
          <w:sz w:val="24"/>
        </w:rPr>
        <w:t>nelabvēlīgu analīžu rezultātu</w:t>
      </w:r>
      <w:r>
        <w:rPr>
          <w:rFonts w:ascii="Times New Roman" w:hAnsi="Times New Roman"/>
          <w:sz w:val="24"/>
        </w:rPr>
        <w:t xml:space="preserve"> rakstveidā ir jālūdz otras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eksperta atzinums. Pēc otrā atzinuma saņemšanas to iekļauj </w:t>
      </w:r>
      <w:r>
        <w:rPr>
          <w:rFonts w:ascii="Times New Roman" w:hAnsi="Times New Roman"/>
          <w:sz w:val="24"/>
          <w:u w:val="single"/>
        </w:rPr>
        <w:t>laboratoriskās dokumentācijas paketē</w:t>
      </w:r>
      <w:r>
        <w:rPr>
          <w:rFonts w:ascii="Times New Roman" w:hAnsi="Times New Roman"/>
          <w:sz w:val="24"/>
        </w:rPr>
        <w:t>.</w:t>
      </w:r>
    </w:p>
    <w:p w14:paraId="0E44FC20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123FA3E3" w14:textId="71D43B85" w:rsidR="00DC0A63" w:rsidRPr="006071FA" w:rsidRDefault="00A1114A" w:rsidP="00A1114A">
      <w:pPr>
        <w:pStyle w:val="Heading3"/>
        <w:tabs>
          <w:tab w:val="left" w:pos="578"/>
        </w:tabs>
        <w:ind w:left="0" w:firstLine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i w:val="0"/>
        </w:rPr>
        <w:t xml:space="preserve">3.2. </w:t>
      </w:r>
      <w:r>
        <w:rPr>
          <w:rFonts w:ascii="Times New Roman" w:hAnsi="Times New Roman"/>
        </w:rPr>
        <w:t>Netipiska atrade</w:t>
      </w:r>
    </w:p>
    <w:p w14:paraId="2ACCCBFF" w14:textId="77777777" w:rsidR="00A1114A" w:rsidRDefault="00A1114A" w:rsidP="00817EF6">
      <w:pPr>
        <w:pStyle w:val="BodyText"/>
        <w:spacing w:before="0"/>
        <w:ind w:left="0"/>
        <w:jc w:val="both"/>
        <w:rPr>
          <w:rFonts w:ascii="Times New Roman" w:hAnsi="Times New Roman"/>
          <w:i/>
          <w:noProof/>
          <w:sz w:val="24"/>
        </w:rPr>
      </w:pPr>
    </w:p>
    <w:p w14:paraId="2E7EF682" w14:textId="0DBAC60A" w:rsidR="00DC0A63" w:rsidRDefault="00DC0A63" w:rsidP="00817EF6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Tādu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gadījumā, kuru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rezultāti bija nepārliecinoši:</w:t>
      </w:r>
    </w:p>
    <w:p w14:paraId="514C1D49" w14:textId="77777777" w:rsidR="00A1114A" w:rsidRPr="006071FA" w:rsidRDefault="00A1114A" w:rsidP="00817EF6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7C3B829" w14:textId="77777777" w:rsidR="00DC0A63" w:rsidRPr="006071FA" w:rsidRDefault="00DC0A63" w:rsidP="00A1114A">
      <w:pPr>
        <w:numPr>
          <w:ilvl w:val="3"/>
          <w:numId w:val="4"/>
        </w:numPr>
        <w:ind w:left="426" w:hanging="426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par katru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, par kuru ir ziņota </w:t>
      </w:r>
      <w:r>
        <w:rPr>
          <w:rFonts w:ascii="Times New Roman" w:hAnsi="Times New Roman"/>
          <w:i/>
          <w:iCs/>
          <w:sz w:val="24"/>
        </w:rPr>
        <w:t>netipiska atrade</w:t>
      </w:r>
      <w:r>
        <w:rPr>
          <w:rFonts w:ascii="Times New Roman" w:hAnsi="Times New Roman"/>
          <w:sz w:val="24"/>
        </w:rPr>
        <w:t>, ziņo atsevišķi;</w:t>
      </w:r>
    </w:p>
    <w:p w14:paraId="0A7CDC0F" w14:textId="700C6770" w:rsidR="00DC0A63" w:rsidRDefault="00DC0A63" w:rsidP="00A1114A">
      <w:pPr>
        <w:pStyle w:val="BodyText"/>
        <w:numPr>
          <w:ilvl w:val="3"/>
          <w:numId w:val="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pārbaudes ziņojumā iekļauj:</w:t>
      </w:r>
    </w:p>
    <w:p w14:paraId="26E91F70" w14:textId="77777777" w:rsidR="00A1114A" w:rsidRPr="006071FA" w:rsidRDefault="00A1114A" w:rsidP="00A1114A">
      <w:pPr>
        <w:pStyle w:val="BodyText"/>
        <w:tabs>
          <w:tab w:val="left" w:pos="562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42D50B9" w14:textId="5F984096" w:rsidR="00DC0A63" w:rsidRPr="00A1114A" w:rsidRDefault="00DC0A63" w:rsidP="00A1114A">
      <w:pPr>
        <w:pStyle w:val="BodyText"/>
        <w:numPr>
          <w:ilvl w:val="4"/>
          <w:numId w:val="4"/>
        </w:numPr>
        <w:spacing w:before="0"/>
        <w:ind w:left="709" w:hanging="283"/>
        <w:jc w:val="both"/>
        <w:rPr>
          <w:rFonts w:ascii="Times New Roman" w:hAnsi="Times New Roman" w:cs="Verdana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visu izmērīto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vērtību un katru saistīto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(kas izteikta ‰)</w:t>
      </w:r>
      <w:r>
        <w:rPr>
          <w:rFonts w:ascii="Times New Roman" w:hAnsi="Times New Roman"/>
          <w:b/>
          <w:sz w:val="24"/>
          <w:vertAlign w:val="superscript"/>
        </w:rPr>
        <w:t>10</w:t>
      </w:r>
      <w:r>
        <w:rPr>
          <w:rFonts w:ascii="Times New Roman" w:hAnsi="Times New Roman"/>
          <w:sz w:val="24"/>
        </w:rPr>
        <w:t>;</w:t>
      </w:r>
    </w:p>
    <w:p w14:paraId="497E8BAB" w14:textId="77777777" w:rsidR="00DC0A63" w:rsidRPr="006071FA" w:rsidRDefault="00DC0A63" w:rsidP="00A1114A">
      <w:pPr>
        <w:pStyle w:val="BodyText"/>
        <w:numPr>
          <w:ilvl w:val="4"/>
          <w:numId w:val="4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piezīmi, ar ko norāda, ka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rezultāts ir nepārliecinošs, izklāstot katra attiecīgā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identitāti, kas izraisījis nepārliecinošu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rezultātu.</w:t>
      </w:r>
    </w:p>
    <w:p w14:paraId="16C0FD62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04C55F6A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[Piemērs piezīmei par </w:t>
      </w:r>
      <w:r>
        <w:rPr>
          <w:rFonts w:ascii="Times New Roman" w:hAnsi="Times New Roman"/>
          <w:i/>
          <w:iCs/>
          <w:sz w:val="24"/>
        </w:rPr>
        <w:t>netipisku atradi</w:t>
      </w:r>
      <w:r>
        <w:rPr>
          <w:rFonts w:ascii="Times New Roman" w:hAnsi="Times New Roman"/>
          <w:sz w:val="24"/>
        </w:rPr>
        <w:t xml:space="preserve"> pārbaudes ziņojumā:</w:t>
      </w:r>
    </w:p>
    <w:p w14:paraId="22EA0B93" w14:textId="77777777" w:rsidR="00DC0A63" w:rsidRPr="006071FA" w:rsidRDefault="00DC0A63" w:rsidP="00817EF6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Adiol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analīžu rezultāti ir nepārliecinoši.”]</w:t>
      </w:r>
    </w:p>
    <w:p w14:paraId="07CAC45F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08DC2C4F" w14:textId="5581B032" w:rsidR="00DC0A63" w:rsidRPr="006071FA" w:rsidRDefault="00CA11F8" w:rsidP="00CA11F8">
      <w:pPr>
        <w:pStyle w:val="Heading2"/>
        <w:tabs>
          <w:tab w:val="left" w:pos="578"/>
        </w:tabs>
        <w:ind w:left="0"/>
        <w:jc w:val="both"/>
        <w:rPr>
          <w:rFonts w:ascii="Times New Roman" w:hAnsi="Times New Roman"/>
          <w:noProof/>
          <w:u w:val="single" w:color="000000"/>
        </w:rPr>
      </w:pPr>
      <w:r>
        <w:rPr>
          <w:rFonts w:ascii="Times New Roman" w:hAnsi="Times New Roman"/>
          <w:u w:color="000000"/>
        </w:rPr>
        <w:t xml:space="preserve">3.3. </w:t>
      </w:r>
      <w:r>
        <w:rPr>
          <w:rFonts w:ascii="Times New Roman" w:hAnsi="Times New Roman"/>
          <w:u w:val="single" w:color="000000"/>
        </w:rPr>
        <w:t>Negatīvs rezultāts</w:t>
      </w:r>
    </w:p>
    <w:p w14:paraId="76274B66" w14:textId="77777777" w:rsidR="00CA11F8" w:rsidRDefault="00CA11F8" w:rsidP="00817EF6">
      <w:pPr>
        <w:pStyle w:val="BodyText"/>
        <w:spacing w:before="0"/>
        <w:ind w:left="0"/>
        <w:jc w:val="both"/>
        <w:rPr>
          <w:rFonts w:ascii="Times New Roman" w:hAnsi="Times New Roman"/>
          <w:i/>
          <w:noProof/>
          <w:sz w:val="24"/>
        </w:rPr>
      </w:pPr>
    </w:p>
    <w:p w14:paraId="019C843B" w14:textId="5C848662" w:rsidR="00DC0A63" w:rsidRDefault="00DC0A63" w:rsidP="00817EF6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Tādu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gadījumā, kuru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rezultāti bija negatīvi:</w:t>
      </w:r>
    </w:p>
    <w:p w14:paraId="63244108" w14:textId="77777777" w:rsidR="00CA11F8" w:rsidRPr="006071FA" w:rsidRDefault="00CA11F8" w:rsidP="00817EF6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6C898161" w14:textId="77777777" w:rsidR="00DC0A63" w:rsidRPr="006071FA" w:rsidRDefault="00DC0A63" w:rsidP="00CA11F8">
      <w:pPr>
        <w:pStyle w:val="BodyText"/>
        <w:numPr>
          <w:ilvl w:val="3"/>
          <w:numId w:val="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par katru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ziņo atsevišķi;</w:t>
      </w:r>
    </w:p>
    <w:p w14:paraId="72355E0C" w14:textId="00DFAB2C" w:rsidR="00DC0A63" w:rsidRDefault="00DC0A63" w:rsidP="00CA11F8">
      <w:pPr>
        <w:pStyle w:val="BodyText"/>
        <w:numPr>
          <w:ilvl w:val="3"/>
          <w:numId w:val="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pārbaudes ziņojumā iekļauj:</w:t>
      </w:r>
    </w:p>
    <w:p w14:paraId="1FB6739B" w14:textId="77777777" w:rsidR="00CA11F8" w:rsidRPr="006071FA" w:rsidRDefault="00CA11F8" w:rsidP="00CA11F8">
      <w:pPr>
        <w:pStyle w:val="BodyText"/>
        <w:tabs>
          <w:tab w:val="left" w:pos="562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4A1A0DF" w14:textId="1D3FF247" w:rsidR="00DC0A63" w:rsidRPr="00CA11F8" w:rsidRDefault="00DC0A63" w:rsidP="00CA11F8">
      <w:pPr>
        <w:pStyle w:val="BodyText"/>
        <w:numPr>
          <w:ilvl w:val="4"/>
          <w:numId w:val="4"/>
        </w:numPr>
        <w:spacing w:before="0"/>
        <w:ind w:left="709" w:hanging="283"/>
        <w:jc w:val="both"/>
        <w:rPr>
          <w:rFonts w:ascii="Times New Roman" w:hAnsi="Times New Roman" w:cs="Verdana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visu izmērīto </w:t>
      </w:r>
      <w:r>
        <w:rPr>
          <w:rFonts w:ascii="Times New Roman" w:hAnsi="Times New Roman"/>
          <w:i/>
          <w:iCs/>
          <w:sz w:val="24"/>
        </w:rPr>
        <w:t>TC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ERC</w:t>
      </w:r>
      <w:r>
        <w:rPr>
          <w:rFonts w:ascii="Times New Roman" w:hAnsi="Times New Roman"/>
          <w:sz w:val="24"/>
        </w:rPr>
        <w:t xml:space="preserve">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vērtību un katru saistīto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(kas izteikta ‰)</w:t>
      </w:r>
      <w:r>
        <w:rPr>
          <w:rFonts w:ascii="Times New Roman" w:hAnsi="Times New Roman"/>
          <w:b/>
          <w:sz w:val="24"/>
          <w:vertAlign w:val="superscript"/>
        </w:rPr>
        <w:t>10</w:t>
      </w:r>
      <w:r>
        <w:rPr>
          <w:rFonts w:ascii="Times New Roman" w:hAnsi="Times New Roman"/>
          <w:sz w:val="24"/>
        </w:rPr>
        <w:t>;</w:t>
      </w:r>
    </w:p>
    <w:p w14:paraId="57A56A05" w14:textId="77777777" w:rsidR="00DC0A63" w:rsidRPr="006071FA" w:rsidRDefault="00DC0A63" w:rsidP="00CA11F8">
      <w:pPr>
        <w:pStyle w:val="BodyText"/>
        <w:numPr>
          <w:ilvl w:val="4"/>
          <w:numId w:val="4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piezīmi, ar ko norāda, ka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rezultāti nenorāda uz steroīdu eksogēnu ievadīšanu.</w:t>
      </w:r>
    </w:p>
    <w:p w14:paraId="7FE127F1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643F7028" w14:textId="77777777" w:rsidR="00CA11F8" w:rsidRDefault="00DC0A63" w:rsidP="00817EF6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[Piemērs piezīmei par </w:t>
      </w:r>
      <w:r>
        <w:rPr>
          <w:rFonts w:ascii="Times New Roman" w:hAnsi="Times New Roman"/>
          <w:i/>
          <w:iCs/>
          <w:sz w:val="24"/>
        </w:rPr>
        <w:t>negatīvu rezultātu</w:t>
      </w:r>
      <w:r>
        <w:rPr>
          <w:rFonts w:ascii="Times New Roman" w:hAnsi="Times New Roman"/>
          <w:sz w:val="24"/>
        </w:rPr>
        <w:t xml:space="preserve"> pārbaudes ziņojumā:</w:t>
      </w:r>
    </w:p>
    <w:p w14:paraId="7BC6387E" w14:textId="288DD55F" w:rsidR="00DC0A63" w:rsidRPr="006071FA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rezultāti neapstiprina steroīdu eksogēno izcelsmi.”]</w:t>
      </w:r>
    </w:p>
    <w:p w14:paraId="4A267526" w14:textId="08DCDE33" w:rsidR="00CA11F8" w:rsidRDefault="00CA11F8">
      <w:pPr>
        <w:rPr>
          <w:rFonts w:ascii="Times New Roman" w:eastAsia="Verdana" w:hAnsi="Times New Roman" w:cs="Verdana"/>
          <w:noProof/>
          <w:sz w:val="24"/>
          <w:szCs w:val="20"/>
        </w:rPr>
      </w:pPr>
      <w:r>
        <w:br w:type="page"/>
      </w:r>
    </w:p>
    <w:p w14:paraId="0D1C11A0" w14:textId="77777777" w:rsidR="00CA11F8" w:rsidRPr="006071FA" w:rsidRDefault="00CA11F8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299916F1" w14:textId="58E788B3" w:rsidR="00DC0A63" w:rsidRPr="006071FA" w:rsidRDefault="00CA11F8" w:rsidP="00CA11F8">
      <w:pPr>
        <w:pStyle w:val="Heading1"/>
        <w:tabs>
          <w:tab w:val="left" w:pos="841"/>
        </w:tabs>
        <w:spacing w:before="0"/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4.0. Interpretācija</w:t>
      </w:r>
    </w:p>
    <w:p w14:paraId="67E88ED0" w14:textId="77777777" w:rsidR="00CA11F8" w:rsidRDefault="00CA11F8" w:rsidP="00CA11F8">
      <w:pPr>
        <w:pStyle w:val="BodyText"/>
        <w:tabs>
          <w:tab w:val="left" w:pos="582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7111E102" w14:textId="302DCB9A" w:rsidR="00DC0A63" w:rsidRPr="006071FA" w:rsidRDefault="00DC0A63" w:rsidP="00CA11F8">
      <w:pPr>
        <w:pStyle w:val="BodyText"/>
        <w:numPr>
          <w:ilvl w:val="2"/>
          <w:numId w:val="3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sz w:val="24"/>
          <w:vertAlign w:val="superscript"/>
        </w:rPr>
        <w:t>n</w:t>
      </w:r>
      <w:r>
        <w:rPr>
          <w:rFonts w:ascii="Times New Roman" w:hAnsi="Times New Roman"/>
          <w:sz w:val="24"/>
        </w:rPr>
        <w:t xml:space="preserve"> apstiprināšanas metodes sniedz neatkarīgu un papildinošu informāciju, taču to rezultāti ir jāvērtē kopā, lai varētu izdarīt secinājumu, kas ir pamatots ar zinātnisko literatūru un zināšanām.</w:t>
      </w:r>
    </w:p>
    <w:p w14:paraId="55F1F22D" w14:textId="77777777" w:rsidR="00DC0A63" w:rsidRPr="006071FA" w:rsidRDefault="00DC0A63" w:rsidP="00CA11F8">
      <w:pPr>
        <w:pStyle w:val="BodyText"/>
        <w:numPr>
          <w:ilvl w:val="0"/>
          <w:numId w:val="2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Urīna steroīdu profils var neuzrādīt lielu anomāliju pat tad, ja ir ekskretēts pēc </w:t>
      </w:r>
      <w:r>
        <w:rPr>
          <w:rFonts w:ascii="Times New Roman" w:hAnsi="Times New Roman"/>
          <w:i/>
          <w:iCs/>
          <w:sz w:val="24"/>
        </w:rPr>
        <w:t>EEAS</w:t>
      </w:r>
      <w:r>
        <w:rPr>
          <w:rFonts w:ascii="Times New Roman" w:hAnsi="Times New Roman"/>
          <w:sz w:val="24"/>
        </w:rPr>
        <w:t xml:space="preserve"> ievadīšanas. Tādā gadījumā noteicošie ir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rezultāti, kas norāda uz steroīda </w:t>
      </w:r>
      <w:r>
        <w:rPr>
          <w:rFonts w:ascii="Times New Roman" w:hAnsi="Times New Roman"/>
          <w:i/>
          <w:iCs/>
          <w:sz w:val="24"/>
        </w:rPr>
        <w:t>marķiera(-u)</w:t>
      </w:r>
      <w:r>
        <w:rPr>
          <w:rFonts w:ascii="Times New Roman" w:hAnsi="Times New Roman"/>
          <w:sz w:val="24"/>
        </w:rPr>
        <w:t xml:space="preserve"> sintētisku izcelsmi.</w:t>
      </w:r>
    </w:p>
    <w:p w14:paraId="3DE48A48" w14:textId="77777777" w:rsidR="00DC0A63" w:rsidRPr="006071FA" w:rsidRDefault="00DC0A63" w:rsidP="00CA11F8">
      <w:pPr>
        <w:pStyle w:val="BodyText"/>
        <w:numPr>
          <w:ilvl w:val="0"/>
          <w:numId w:val="2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Savukārt steroīdu profila </w:t>
      </w:r>
      <w:r>
        <w:rPr>
          <w:rFonts w:ascii="Times New Roman" w:hAnsi="Times New Roman"/>
          <w:i/>
          <w:iCs/>
          <w:sz w:val="24"/>
        </w:rPr>
        <w:t>marķiera(-u)</w:t>
      </w:r>
      <w:r>
        <w:rPr>
          <w:rFonts w:ascii="Times New Roman" w:hAnsi="Times New Roman"/>
          <w:sz w:val="24"/>
        </w:rPr>
        <w:t xml:space="preserve"> vērtības var būt ārpus attiecīgā subjekta garengriezuma atsauces diapazona, lai gan tam(-iem) joprojām ir endogēna izcelsme 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 xml:space="preserve">, pārmērīga etanola dzeršana izraisa palielinātu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 ekskrēciju urīnā, brīvā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mikroorganismu veidošanos vai intensīvi, ilgstoši, nepārtraukti treniņi palielina 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 ekskrēciju).</w:t>
      </w:r>
    </w:p>
    <w:p w14:paraId="0399AF25" w14:textId="77777777" w:rsidR="00DC0A63" w:rsidRPr="006071FA" w:rsidRDefault="00DC0A63" w:rsidP="00CA11F8">
      <w:pPr>
        <w:pStyle w:val="BodyText"/>
        <w:numPr>
          <w:ilvl w:val="0"/>
          <w:numId w:val="2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Steroīdu profils var būt pārveidots, ievadot tāda steroīda sintētisku preparātu, kas ir saistīts ar testosteronu, kuram ir salīdzinoši bagātināta δ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 xml:space="preserve">C vērtība, un tāpēc to nevar noteikt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analīzē. Šādos gadījumos ievēro noteikumus, kas izklāstīti </w:t>
      </w:r>
      <w:r>
        <w:rPr>
          <w:rFonts w:ascii="Times New Roman" w:hAnsi="Times New Roman"/>
          <w:sz w:val="24"/>
          <w:u w:val="single"/>
        </w:rPr>
        <w:t>Tehniskajā dokumentā</w:t>
      </w:r>
      <w:r>
        <w:rPr>
          <w:rFonts w:ascii="Times New Roman" w:hAnsi="Times New Roman"/>
          <w:sz w:val="24"/>
        </w:rPr>
        <w:t xml:space="preserve"> par rezultātu pārvaldības prasībām </w:t>
      </w:r>
      <w:r>
        <w:rPr>
          <w:rFonts w:ascii="Times New Roman" w:hAnsi="Times New Roman"/>
          <w:i/>
          <w:iCs/>
          <w:sz w:val="24"/>
        </w:rPr>
        <w:t>sportista bioloģiskās pases</w:t>
      </w:r>
      <w:r>
        <w:rPr>
          <w:rFonts w:ascii="Times New Roman" w:hAnsi="Times New Roman"/>
          <w:sz w:val="24"/>
        </w:rPr>
        <w:t xml:space="preserve"> vajadzībām (</w:t>
      </w:r>
      <w:r>
        <w:rPr>
          <w:rFonts w:ascii="Times New Roman" w:hAnsi="Times New Roman"/>
          <w:i/>
          <w:iCs/>
          <w:sz w:val="24"/>
        </w:rPr>
        <w:t>TD RMR</w:t>
      </w:r>
      <w:r>
        <w:rPr>
          <w:rFonts w:ascii="Times New Roman" w:hAnsi="Times New Roman"/>
          <w:sz w:val="24"/>
        </w:rPr>
        <w:t>) [4].</w:t>
      </w:r>
    </w:p>
    <w:p w14:paraId="40691257" w14:textId="6DF192DD" w:rsidR="00CA11F8" w:rsidRDefault="00CA11F8">
      <w:pPr>
        <w:rPr>
          <w:rFonts w:ascii="Times New Roman" w:hAnsi="Times New Roman"/>
          <w:noProof/>
          <w:sz w:val="24"/>
        </w:rPr>
      </w:pPr>
      <w:r>
        <w:br w:type="page"/>
      </w:r>
    </w:p>
    <w:p w14:paraId="7DEFFA17" w14:textId="77777777" w:rsidR="00CA11F8" w:rsidRPr="006071FA" w:rsidRDefault="00CA11F8" w:rsidP="00817EF6">
      <w:pPr>
        <w:jc w:val="both"/>
        <w:rPr>
          <w:rFonts w:ascii="Times New Roman" w:hAnsi="Times New Roman"/>
          <w:noProof/>
          <w:sz w:val="24"/>
        </w:rPr>
      </w:pPr>
    </w:p>
    <w:p w14:paraId="78D1CE16" w14:textId="08617897" w:rsidR="00DC0A63" w:rsidRPr="006071FA" w:rsidRDefault="00DC0A63" w:rsidP="00817EF6">
      <w:pPr>
        <w:pStyle w:val="Heading1"/>
        <w:spacing w:before="0"/>
        <w:ind w:left="0"/>
        <w:jc w:val="both"/>
        <w:rPr>
          <w:rFonts w:ascii="Times New Roman" w:hAnsi="Times New Roman"/>
          <w:b w:val="0"/>
          <w:bCs w:val="0"/>
          <w:noProof/>
        </w:rPr>
      </w:pPr>
      <w:r>
        <w:rPr>
          <w:rFonts w:ascii="Times New Roman" w:hAnsi="Times New Roman"/>
        </w:rPr>
        <w:t xml:space="preserve">5.0. </w:t>
      </w:r>
      <w:r>
        <w:rPr>
          <w:rFonts w:ascii="Times New Roman" w:hAnsi="Times New Roman"/>
          <w:u w:val="thick" w:color="000000"/>
        </w:rPr>
        <w:t>Atsauces</w:t>
      </w:r>
    </w:p>
    <w:p w14:paraId="23DC1FF3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b/>
          <w:bCs/>
          <w:noProof/>
          <w:sz w:val="24"/>
          <w:szCs w:val="14"/>
        </w:rPr>
      </w:pPr>
    </w:p>
    <w:p w14:paraId="4EC26DCA" w14:textId="434AE2F2" w:rsidR="00DC0A63" w:rsidRPr="00CA11F8" w:rsidRDefault="00CA11F8" w:rsidP="00CA11F8">
      <w:pPr>
        <w:tabs>
          <w:tab w:val="left" w:pos="394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i/>
          <w:sz w:val="24"/>
        </w:rPr>
        <w:t xml:space="preserve">WADA </w:t>
      </w:r>
      <w:r>
        <w:rPr>
          <w:rFonts w:ascii="Times New Roman" w:hAnsi="Times New Roman"/>
          <w:sz w:val="24"/>
        </w:rPr>
        <w:t>Technical Document TD19NA (current version): Harmonization of Analysis and Reporting of 19-Norsteroids related to Nandrolone.</w:t>
      </w:r>
    </w:p>
    <w:p w14:paraId="13FAC749" w14:textId="1E5BEC1C" w:rsidR="00DC0A63" w:rsidRPr="00CA11F8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  <w:u w:val="single"/>
        </w:rPr>
      </w:pPr>
      <w:r>
        <w:rPr>
          <w:rFonts w:ascii="Times New Roman" w:hAnsi="Times New Roman"/>
          <w:sz w:val="24"/>
          <w:u w:val="single"/>
        </w:rPr>
        <w:t>https://www.wada-ama.org/en/resources/search?f[0]=field_resource_collections%3A30</w:t>
      </w:r>
    </w:p>
    <w:p w14:paraId="16BBFA63" w14:textId="77777777" w:rsidR="00DC0A63" w:rsidRPr="00CA11F8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14"/>
        </w:rPr>
      </w:pPr>
    </w:p>
    <w:p w14:paraId="44816AA7" w14:textId="2B3BD160" w:rsidR="00DC0A63" w:rsidRPr="00CA11F8" w:rsidRDefault="00CA11F8" w:rsidP="00CA11F8">
      <w:pPr>
        <w:tabs>
          <w:tab w:val="left" w:pos="456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i/>
          <w:sz w:val="24"/>
        </w:rPr>
        <w:t xml:space="preserve">WADA </w:t>
      </w:r>
      <w:r>
        <w:rPr>
          <w:rFonts w:ascii="Times New Roman" w:hAnsi="Times New Roman"/>
          <w:sz w:val="24"/>
        </w:rPr>
        <w:t>Technical Document TDEAAS (current version): Endogenous Anabolic Androgenous Steroids: Measurement and Reporting.</w:t>
      </w:r>
    </w:p>
    <w:p w14:paraId="33E55578" w14:textId="477DAAF0" w:rsidR="00DC0A63" w:rsidRPr="00CA11F8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  <w:u w:val="single"/>
        </w:rPr>
      </w:pPr>
      <w:r>
        <w:rPr>
          <w:rFonts w:ascii="Times New Roman" w:hAnsi="Times New Roman"/>
          <w:sz w:val="24"/>
          <w:u w:val="single"/>
        </w:rPr>
        <w:t>https://www.wada-ama.org/en/resources/search?f[0]=field_resource_collections%3A30</w:t>
      </w:r>
    </w:p>
    <w:p w14:paraId="000CBD68" w14:textId="77777777" w:rsidR="00DC0A63" w:rsidRPr="00CA11F8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14"/>
        </w:rPr>
      </w:pPr>
    </w:p>
    <w:p w14:paraId="03CAE5F9" w14:textId="26BC266E" w:rsidR="00DC0A63" w:rsidRPr="00CA11F8" w:rsidRDefault="00CA11F8" w:rsidP="00CA11F8">
      <w:pPr>
        <w:tabs>
          <w:tab w:val="left" w:pos="456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i/>
          <w:sz w:val="24"/>
        </w:rPr>
        <w:t xml:space="preserve">WADA </w:t>
      </w:r>
      <w:r>
        <w:rPr>
          <w:rFonts w:ascii="Times New Roman" w:hAnsi="Times New Roman"/>
          <w:sz w:val="24"/>
        </w:rPr>
        <w:t>Technical Document TDIDCR (current version): Minimum Criteria for Chromatographic-Mass Spectrometric Confirmation of the Identity of Analytes for Doping Control Purposes.</w:t>
      </w:r>
    </w:p>
    <w:p w14:paraId="19E534DD" w14:textId="3B139EF1" w:rsidR="00DC0A63" w:rsidRPr="00CA11F8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  <w:u w:val="single"/>
        </w:rPr>
      </w:pPr>
      <w:r>
        <w:rPr>
          <w:rFonts w:ascii="Times New Roman" w:hAnsi="Times New Roman"/>
          <w:sz w:val="24"/>
          <w:u w:val="single"/>
        </w:rPr>
        <w:t>https://www.wada-ama.org/en/resources/search?f[0]=field_resource_collections%3A30</w:t>
      </w:r>
    </w:p>
    <w:p w14:paraId="0929B449" w14:textId="77777777" w:rsidR="00DC0A63" w:rsidRPr="00CA11F8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14"/>
        </w:rPr>
      </w:pPr>
    </w:p>
    <w:p w14:paraId="1FF60611" w14:textId="576AC1D6" w:rsidR="00DC0A63" w:rsidRPr="00CA11F8" w:rsidRDefault="00CA11F8" w:rsidP="00CA11F8">
      <w:pPr>
        <w:tabs>
          <w:tab w:val="left" w:pos="473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i/>
          <w:sz w:val="24"/>
        </w:rPr>
        <w:t xml:space="preserve">WADA </w:t>
      </w:r>
      <w:r>
        <w:rPr>
          <w:rFonts w:ascii="Times New Roman" w:hAnsi="Times New Roman"/>
          <w:sz w:val="24"/>
        </w:rPr>
        <w:t xml:space="preserve">Technical Document TDRMR (current version): Results Management Requirements for the </w:t>
      </w:r>
      <w:r>
        <w:rPr>
          <w:rFonts w:ascii="Times New Roman" w:hAnsi="Times New Roman"/>
          <w:i/>
          <w:sz w:val="24"/>
        </w:rPr>
        <w:t>Athlete Biological Passport</w:t>
      </w:r>
      <w:r>
        <w:rPr>
          <w:rFonts w:ascii="Times New Roman" w:hAnsi="Times New Roman"/>
          <w:sz w:val="24"/>
        </w:rPr>
        <w:t>. Annex L to the International Standard for Testing and Investigations (ISTI).</w:t>
      </w:r>
    </w:p>
    <w:p w14:paraId="3C538EA4" w14:textId="7EB3ECFB" w:rsidR="00DC0A63" w:rsidRPr="00CA11F8" w:rsidRDefault="00DC0A63" w:rsidP="00817EF6">
      <w:pPr>
        <w:jc w:val="both"/>
        <w:rPr>
          <w:rFonts w:ascii="Times New Roman" w:eastAsia="Verdana" w:hAnsi="Times New Roman" w:cs="Verdana"/>
          <w:noProof/>
          <w:sz w:val="24"/>
          <w:szCs w:val="20"/>
          <w:u w:val="single"/>
        </w:rPr>
      </w:pPr>
      <w:r>
        <w:rPr>
          <w:rFonts w:ascii="Times New Roman" w:hAnsi="Times New Roman"/>
          <w:sz w:val="24"/>
          <w:u w:val="single"/>
        </w:rPr>
        <w:t>https://www.wada-ama.org/en/resources/world-anti-doping-program/international-standard-for-testing-and-investigations-isti-0</w:t>
      </w:r>
    </w:p>
    <w:p w14:paraId="19F15DCA" w14:textId="4B32FD60" w:rsidR="00CA11F8" w:rsidRDefault="00CA11F8">
      <w:pPr>
        <w:rPr>
          <w:rFonts w:ascii="Times New Roman" w:eastAsia="Verdana" w:hAnsi="Times New Roman" w:cs="Verdana"/>
          <w:noProof/>
          <w:sz w:val="24"/>
          <w:szCs w:val="20"/>
        </w:rPr>
      </w:pPr>
      <w:r>
        <w:br w:type="page"/>
      </w:r>
    </w:p>
    <w:p w14:paraId="382AB50D" w14:textId="77777777" w:rsidR="00CA11F8" w:rsidRPr="006071FA" w:rsidRDefault="00CA11F8" w:rsidP="00817EF6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31D596FE" w14:textId="77777777" w:rsidR="00DC0A63" w:rsidRPr="006071FA" w:rsidRDefault="00DC0A63" w:rsidP="00817EF6">
      <w:pPr>
        <w:pStyle w:val="Heading1"/>
        <w:spacing w:before="0"/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1. papildinājums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pārbaudes pozitīvā rezultāta interpretācijas kritēriji</w:t>
      </w:r>
    </w:p>
    <w:p w14:paraId="6A0E4F16" w14:textId="77777777" w:rsidR="00DC0A63" w:rsidRPr="006071FA" w:rsidRDefault="00DC0A63" w:rsidP="00817EF6">
      <w:pPr>
        <w:jc w:val="both"/>
        <w:rPr>
          <w:rFonts w:ascii="Times New Roman" w:hAnsi="Times New Roman"/>
          <w:noProof/>
          <w:sz w:val="24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19"/>
        <w:gridCol w:w="933"/>
        <w:gridCol w:w="922"/>
        <w:gridCol w:w="1010"/>
        <w:gridCol w:w="1019"/>
        <w:gridCol w:w="2291"/>
        <w:gridCol w:w="1634"/>
      </w:tblGrid>
      <w:tr w:rsidR="00DC0A63" w:rsidRPr="006071FA" w14:paraId="4C72591A" w14:textId="77777777" w:rsidTr="00CF1148">
        <w:tc>
          <w:tcPr>
            <w:tcW w:w="7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224872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Calibri" w:hAnsi="Times New Roman" w:cs="Calibri"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Pozitīvie kritēriji</w:t>
            </w:r>
            <w:r>
              <w:rPr>
                <w:rFonts w:ascii="Times New Roman" w:hAnsi="Times New Roman"/>
                <w:sz w:val="24"/>
              </w:rPr>
              <w:t xml:space="preserve"> 2.3.1. punkts</w:t>
            </w:r>
          </w:p>
        </w:tc>
        <w:tc>
          <w:tcPr>
            <w:tcW w:w="4277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1FC22" w14:textId="5DE7BCF0" w:rsidR="00DC0A63" w:rsidRPr="006071FA" w:rsidRDefault="00CF1148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t>∆δ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13</w:t>
            </w:r>
            <w:r>
              <w:rPr>
                <w:rFonts w:ascii="Times New Roman" w:hAnsi="Times New Roman"/>
                <w:b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ERC-TC</w:t>
            </w:r>
          </w:p>
        </w:tc>
      </w:tr>
      <w:tr w:rsidR="00DC0A63" w:rsidRPr="006071FA" w14:paraId="5CD7DAD5" w14:textId="77777777" w:rsidTr="00CF1148">
        <w:tc>
          <w:tcPr>
            <w:tcW w:w="72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10F7D" w14:textId="77777777" w:rsidR="00DC0A63" w:rsidRPr="006071FA" w:rsidRDefault="00DC0A63" w:rsidP="00817EF6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  <w:vAlign w:val="center"/>
          </w:tcPr>
          <w:p w14:paraId="40329C0D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T</w:t>
            </w:r>
          </w:p>
        </w:tc>
        <w:tc>
          <w:tcPr>
            <w:tcW w:w="5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  <w:vAlign w:val="center"/>
          </w:tcPr>
          <w:p w14:paraId="427649A4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E</w:t>
            </w:r>
            <w:r>
              <w:rPr>
                <w:rFonts w:ascii="Times New Roman" w:hAnsi="Times New Roman"/>
                <w:sz w:val="24"/>
                <w:vertAlign w:val="superscript"/>
              </w:rPr>
              <w:t>#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  <w:vAlign w:val="center"/>
          </w:tcPr>
          <w:p w14:paraId="13C9164D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A</w:t>
            </w:r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  <w:vAlign w:val="center"/>
          </w:tcPr>
          <w:p w14:paraId="1110623F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Etio</w:t>
            </w:r>
          </w:p>
        </w:tc>
        <w:tc>
          <w:tcPr>
            <w:tcW w:w="1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  <w:vAlign w:val="center"/>
          </w:tcPr>
          <w:p w14:paraId="1215E70E" w14:textId="6773B1AC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Calibri" w:hAnsi="Times New Roman" w:cs="Calibri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5αAdiol</w:t>
            </w:r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5βAdiol</w:t>
            </w: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  <w:vAlign w:val="center"/>
          </w:tcPr>
          <w:p w14:paraId="6D4DCDAA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Calibri" w:hAnsi="Times New Roman" w:cs="Calibri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Formestāns, boldenons, boldenona </w:t>
            </w:r>
            <w:r>
              <w:rPr>
                <w:rFonts w:ascii="Times New Roman" w:hAnsi="Times New Roman"/>
                <w:b/>
                <w:i/>
                <w:sz w:val="24"/>
              </w:rPr>
              <w:t>metabolīti</w:t>
            </w:r>
          </w:p>
        </w:tc>
      </w:tr>
      <w:tr w:rsidR="00DC0A63" w:rsidRPr="006071FA" w14:paraId="44D5A2BE" w14:textId="77777777" w:rsidTr="00CF1148">
        <w:tc>
          <w:tcPr>
            <w:tcW w:w="7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D9D1A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i)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00EEB" w14:textId="3A10DC8B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&gt; 3 ‰</w:t>
            </w:r>
          </w:p>
        </w:tc>
        <w:tc>
          <w:tcPr>
            <w:tcW w:w="5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6E93A64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C71F32E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A8B186E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52360" w14:textId="708181A8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&gt; 3 ‰</w:t>
            </w:r>
          </w:p>
          <w:p w14:paraId="129B1DE7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(katrs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Adiol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3D6DC7D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C0A63" w:rsidRPr="006071FA" w14:paraId="20D3E1BA" w14:textId="77777777" w:rsidTr="00CF1148">
        <w:tc>
          <w:tcPr>
            <w:tcW w:w="7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62D40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ii)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4552CC7D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147BA1E4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5FE706F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D2C2C89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57848" w14:textId="536DD2E4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&gt; 3 ‰</w:t>
            </w:r>
          </w:p>
          <w:p w14:paraId="16D44D62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(abi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Adiol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9A9594E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C0A63" w:rsidRPr="006071FA" w14:paraId="6D388CD2" w14:textId="77777777" w:rsidTr="00CF1148">
        <w:tc>
          <w:tcPr>
            <w:tcW w:w="7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0107E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iii)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EE56672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7EA87" w14:textId="21C49E95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&gt; 4 ‰</w:t>
            </w:r>
          </w:p>
        </w:tc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304CF8D6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13F301A3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C92972A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4EBE1500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C0A63" w:rsidRPr="006071FA" w14:paraId="381DC092" w14:textId="77777777" w:rsidTr="00CF1148">
        <w:tc>
          <w:tcPr>
            <w:tcW w:w="7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93D592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iv)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074EC00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08EA20B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2386B" w14:textId="3BA51A2D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&gt; 3 ‰</w:t>
            </w:r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E9B13E5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E572CC7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15DD769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C0A63" w:rsidRPr="006071FA" w14:paraId="647A6867" w14:textId="77777777" w:rsidTr="00CF1148">
        <w:tc>
          <w:tcPr>
            <w:tcW w:w="72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16A64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20B77DC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D022496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06427D64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473E3" w14:textId="75512ABE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&gt; 4 ‰</w:t>
            </w:r>
          </w:p>
        </w:tc>
        <w:tc>
          <w:tcPr>
            <w:tcW w:w="1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FCEB63C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83215C7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C0A63" w:rsidRPr="006071FA" w14:paraId="0F2FA7CA" w14:textId="77777777" w:rsidTr="00CF1148">
        <w:tc>
          <w:tcPr>
            <w:tcW w:w="7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F282FC5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v.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33BD776D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069B68CB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2B537" w14:textId="7400B7AD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2–3 ‰</w:t>
            </w:r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141EEB54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6C206" w14:textId="60D29182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&gt; 3 ‰</w:t>
            </w:r>
          </w:p>
          <w:p w14:paraId="2CBDFEC0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(katrs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Adiol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0FE2E9CA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C0A63" w:rsidRPr="006071FA" w14:paraId="6E834DEE" w14:textId="77777777" w:rsidTr="00CF1148">
        <w:tc>
          <w:tcPr>
            <w:tcW w:w="72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4B176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1058B920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36C2B3C4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6772BB2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43742" w14:textId="61ED3266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3–4 ‰</w:t>
            </w:r>
          </w:p>
        </w:tc>
        <w:tc>
          <w:tcPr>
            <w:tcW w:w="1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8CFD1" w14:textId="65419E36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&gt; 3 ‰</w:t>
            </w:r>
          </w:p>
          <w:p w14:paraId="081973E6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(katrs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Adiol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37FF267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C0A63" w:rsidRPr="006071FA" w14:paraId="0F861CBE" w14:textId="77777777" w:rsidTr="00CF1148">
        <w:tc>
          <w:tcPr>
            <w:tcW w:w="7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8C6EB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vi)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C5413D0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08908B9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4208C47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FB26F5C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70804" w14:textId="1EA5C2D1" w:rsidR="00DC0A63" w:rsidRPr="006071FA" w:rsidRDefault="00CF1148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∆δ(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ERC</w:t>
            </w:r>
            <w:r>
              <w:rPr>
                <w:rFonts w:ascii="Times New Roman" w:hAnsi="Times New Roman"/>
                <w:b/>
                <w:sz w:val="24"/>
              </w:rPr>
              <w:t>-5α) &gt; 4 ‰</w:t>
            </w:r>
          </w:p>
          <w:p w14:paraId="3AAB7B5D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</w:t>
            </w:r>
          </w:p>
          <w:p w14:paraId="5FA866A4" w14:textId="5C057E2E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δ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13</w:t>
            </w:r>
            <w:r>
              <w:rPr>
                <w:rFonts w:ascii="Times New Roman" w:hAnsi="Times New Roman"/>
                <w:b/>
                <w:sz w:val="24"/>
              </w:rPr>
              <w:t>C(5α) ≤ -27 ‰</w:t>
            </w: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A7682D5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DC0A63" w:rsidRPr="006071FA" w14:paraId="52221D39" w14:textId="77777777" w:rsidTr="00CF1148">
        <w:tc>
          <w:tcPr>
            <w:tcW w:w="7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D40C4" w14:textId="77777777" w:rsidR="00DC0A63" w:rsidRPr="006071FA" w:rsidRDefault="00DC0A63" w:rsidP="00CF1148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vii)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1CA6795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2CF4AACD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414954FC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354E3192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1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13D088B5" w14:textId="77777777" w:rsidR="00DC0A63" w:rsidRPr="006071FA" w:rsidRDefault="00DC0A63" w:rsidP="00CF114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5E654" w14:textId="50456FC0" w:rsidR="00DC0A63" w:rsidRPr="006071FA" w:rsidRDefault="00DC0A63" w:rsidP="00CF11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14"/>
              </w:rPr>
            </w:pPr>
            <w:r>
              <w:rPr>
                <w:rFonts w:ascii="Times New Roman" w:hAnsi="Times New Roman"/>
                <w:b/>
                <w:sz w:val="24"/>
              </w:rPr>
              <w:t>&gt; 4 ‰</w:t>
            </w:r>
          </w:p>
        </w:tc>
      </w:tr>
    </w:tbl>
    <w:p w14:paraId="01C80574" w14:textId="77777777" w:rsidR="00DC0A63" w:rsidRPr="006071FA" w:rsidRDefault="00DC0A63" w:rsidP="00817EF6">
      <w:pPr>
        <w:jc w:val="both"/>
        <w:rPr>
          <w:rFonts w:ascii="Times New Roman" w:eastAsia="Verdana" w:hAnsi="Times New Roman" w:cs="Verdana"/>
          <w:b/>
          <w:bCs/>
          <w:noProof/>
          <w:sz w:val="24"/>
          <w:szCs w:val="5"/>
        </w:rPr>
      </w:pPr>
    </w:p>
    <w:p w14:paraId="7185DC46" w14:textId="77777777" w:rsidR="00DC0A63" w:rsidRPr="006071FA" w:rsidRDefault="00DC0A63" w:rsidP="00817EF6">
      <w:pPr>
        <w:pStyle w:val="Heading2"/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vertAlign w:val="superscript"/>
        </w:rPr>
        <w:t xml:space="preserve"># </w:t>
      </w:r>
      <w:r>
        <w:rPr>
          <w:rFonts w:ascii="Times New Roman" w:hAnsi="Times New Roman"/>
        </w:rPr>
        <w:t xml:space="preserve">Koncentrācija (nepieciešamības gadījumā pielīdzināta atbilstīgi </w:t>
      </w:r>
      <w:r>
        <w:rPr>
          <w:rFonts w:ascii="Times New Roman" w:hAnsi="Times New Roman"/>
          <w:i/>
          <w:iCs/>
        </w:rPr>
        <w:t>SG</w:t>
      </w:r>
      <w:r>
        <w:rPr>
          <w:rFonts w:ascii="Times New Roman" w:hAnsi="Times New Roman"/>
          <w:b/>
          <w:vertAlign w:val="superscript"/>
        </w:rPr>
        <w:t>3</w:t>
      </w:r>
      <w:r>
        <w:rPr>
          <w:rFonts w:ascii="Times New Roman" w:hAnsi="Times New Roman"/>
        </w:rPr>
        <w:t>) &gt; 50 ng/ml sievietēm vai &gt; 200 ng/ml vīriešiem.</w:t>
      </w:r>
    </w:p>
    <w:sectPr w:rsidR="00DC0A63" w:rsidRPr="006071FA" w:rsidSect="006071F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CBBC" w14:textId="77777777" w:rsidR="006071FA" w:rsidRPr="00DC0A63" w:rsidRDefault="006071FA">
      <w:pPr>
        <w:rPr>
          <w:noProof/>
        </w:rPr>
      </w:pPr>
      <w:r w:rsidRPr="00DC0A63">
        <w:rPr>
          <w:noProof/>
        </w:rPr>
        <w:separator/>
      </w:r>
    </w:p>
  </w:endnote>
  <w:endnote w:type="continuationSeparator" w:id="0">
    <w:p w14:paraId="7370461D" w14:textId="77777777" w:rsidR="006071FA" w:rsidRPr="00DC0A63" w:rsidRDefault="006071FA">
      <w:pPr>
        <w:rPr>
          <w:noProof/>
        </w:rPr>
      </w:pPr>
      <w:r w:rsidRPr="00DC0A63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8F563" w14:textId="77777777" w:rsidR="00AE19B4" w:rsidRPr="00AE19B4" w:rsidRDefault="00AE19B4" w:rsidP="00AE19B4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092AA9FD" w14:textId="6A516E41" w:rsidR="00AE19B4" w:rsidRPr="00AE19B4" w:rsidRDefault="00AE19B4" w:rsidP="00AE19B4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AE19B4">
      <w:rPr>
        <w:rStyle w:val="PageNumber"/>
        <w:rFonts w:ascii="Times New Roman" w:hAnsi="Times New Roman" w:cs="Times New Roman"/>
        <w:sz w:val="20"/>
        <w:szCs w:val="18"/>
      </w:rPr>
      <w:tab/>
    </w:r>
  </w:p>
  <w:p w14:paraId="44C80C47" w14:textId="77777777" w:rsidR="00AE19B4" w:rsidRPr="00AE19B4" w:rsidRDefault="00AE19B4" w:rsidP="00AE19B4">
    <w:pPr>
      <w:pStyle w:val="Header"/>
      <w:tabs>
        <w:tab w:val="righ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498BD091" w14:textId="77777777" w:rsidR="00AE19B4" w:rsidRPr="00AE19B4" w:rsidRDefault="00AE19B4" w:rsidP="00AE19B4">
    <w:pPr>
      <w:pStyle w:val="Footer"/>
      <w:tabs>
        <w:tab w:val="clear" w:pos="4513"/>
        <w:tab w:val="clear" w:pos="9026"/>
        <w:tab w:val="center" w:pos="9072"/>
      </w:tabs>
      <w:rPr>
        <w:rFonts w:ascii="Times New Roman" w:hAnsi="Times New Roman" w:cs="Times New Roman"/>
        <w:sz w:val="20"/>
        <w:szCs w:val="18"/>
      </w:rPr>
    </w:pPr>
    <w:r w:rsidRPr="00AE19B4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AE19B4">
      <w:rPr>
        <w:rFonts w:ascii="Times New Roman" w:hAnsi="Times New Roman" w:cs="Times New Roman"/>
        <w:noProof/>
        <w:sz w:val="20"/>
        <w:szCs w:val="18"/>
      </w:rPr>
      <w:fldChar w:fldCharType="begin"/>
    </w:r>
    <w:r w:rsidRPr="00AE19B4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AE19B4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AE19B4">
      <w:rPr>
        <w:rFonts w:ascii="Times New Roman" w:hAnsi="Times New Roman" w:cs="Times New Roman"/>
        <w:noProof/>
        <w:sz w:val="20"/>
        <w:szCs w:val="18"/>
      </w:rPr>
      <w:t>Ó</w:t>
    </w:r>
    <w:r w:rsidRPr="00AE19B4">
      <w:rPr>
        <w:rFonts w:ascii="Times New Roman" w:hAnsi="Times New Roman" w:cs="Times New Roman"/>
        <w:noProof/>
        <w:sz w:val="20"/>
        <w:szCs w:val="18"/>
      </w:rPr>
      <w:fldChar w:fldCharType="end"/>
    </w:r>
    <w:r w:rsidRPr="00AE19B4">
      <w:rPr>
        <w:rFonts w:ascii="Times New Roman" w:hAnsi="Times New Roman" w:cs="Times New Roman"/>
        <w:noProof/>
        <w:sz w:val="20"/>
        <w:szCs w:val="18"/>
      </w:rPr>
      <w:t xml:space="preserve"> Valsts valodas centrs, 2020</w:t>
    </w:r>
    <w:r w:rsidRPr="00AE19B4">
      <w:rPr>
        <w:rFonts w:ascii="Times New Roman" w:hAnsi="Times New Roman" w:cs="Times New Roman"/>
        <w:sz w:val="20"/>
        <w:szCs w:val="18"/>
      </w:rPr>
      <w:tab/>
    </w:r>
    <w:r w:rsidRPr="00AE19B4">
      <w:rPr>
        <w:rStyle w:val="PageNumber"/>
        <w:rFonts w:ascii="Times New Roman" w:hAnsi="Times New Roman" w:cs="Times New Roman"/>
        <w:sz w:val="20"/>
        <w:szCs w:val="18"/>
      </w:rPr>
      <w:fldChar w:fldCharType="begin"/>
    </w:r>
    <w:r w:rsidRPr="00AE19B4">
      <w:rPr>
        <w:rStyle w:val="PageNumber"/>
        <w:rFonts w:ascii="Times New Roman" w:hAnsi="Times New Roman" w:cs="Times New Roman"/>
        <w:sz w:val="20"/>
        <w:szCs w:val="18"/>
      </w:rPr>
      <w:instrText xml:space="preserve">page </w:instrText>
    </w:r>
    <w:r w:rsidRPr="00AE19B4">
      <w:rPr>
        <w:rStyle w:val="PageNumber"/>
        <w:rFonts w:ascii="Times New Roman" w:hAnsi="Times New Roman" w:cs="Times New Roman"/>
        <w:sz w:val="20"/>
        <w:szCs w:val="18"/>
      </w:rPr>
      <w:fldChar w:fldCharType="separate"/>
    </w:r>
    <w:r w:rsidRPr="00AE19B4">
      <w:rPr>
        <w:rStyle w:val="PageNumber"/>
        <w:rFonts w:ascii="Times New Roman" w:hAnsi="Times New Roman" w:cs="Times New Roman"/>
        <w:sz w:val="20"/>
        <w:szCs w:val="18"/>
      </w:rPr>
      <w:t>2</w:t>
    </w:r>
    <w:r w:rsidRPr="00AE19B4">
      <w:rPr>
        <w:rStyle w:val="PageNumber"/>
        <w:rFonts w:ascii="Times New Roman" w:hAnsi="Times New Roman" w:cs="Times New Roman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FAB2B" w14:textId="77777777" w:rsidR="00AE19B4" w:rsidRPr="00AE19B4" w:rsidRDefault="00AE19B4" w:rsidP="00AE19B4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3016442C" w14:textId="2D744D19" w:rsidR="00AE19B4" w:rsidRPr="00AE19B4" w:rsidRDefault="00AE19B4" w:rsidP="00AE19B4">
    <w:pPr>
      <w:pStyle w:val="Header"/>
      <w:tabs>
        <w:tab w:val="clear" w:pos="4513"/>
        <w:tab w:val="clear" w:pos="9026"/>
        <w:tab w:val="lef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AE19B4">
      <w:rPr>
        <w:rStyle w:val="PageNumber"/>
        <w:rFonts w:ascii="Times New Roman" w:hAnsi="Times New Roman" w:cs="Times New Roman"/>
        <w:sz w:val="20"/>
        <w:szCs w:val="18"/>
      </w:rPr>
      <w:tab/>
    </w:r>
  </w:p>
  <w:p w14:paraId="6142249F" w14:textId="77777777" w:rsidR="00AE19B4" w:rsidRPr="00AE19B4" w:rsidRDefault="00AE19B4" w:rsidP="00AE19B4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4183E365" w14:textId="77777777" w:rsidR="00AE19B4" w:rsidRPr="00AE19B4" w:rsidRDefault="00AE19B4" w:rsidP="00AE19B4">
    <w:pPr>
      <w:pStyle w:val="Footer"/>
      <w:rPr>
        <w:rFonts w:ascii="Times New Roman" w:hAnsi="Times New Roman" w:cs="Times New Roman"/>
        <w:sz w:val="20"/>
        <w:szCs w:val="18"/>
      </w:rPr>
    </w:pPr>
    <w:r w:rsidRPr="00AE19B4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AE19B4">
      <w:rPr>
        <w:rFonts w:ascii="Times New Roman" w:hAnsi="Times New Roman" w:cs="Times New Roman"/>
        <w:noProof/>
        <w:sz w:val="20"/>
        <w:szCs w:val="18"/>
      </w:rPr>
      <w:fldChar w:fldCharType="begin"/>
    </w:r>
    <w:r w:rsidRPr="00AE19B4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AE19B4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AE19B4">
      <w:rPr>
        <w:rFonts w:ascii="Times New Roman" w:hAnsi="Times New Roman" w:cs="Times New Roman"/>
        <w:noProof/>
        <w:sz w:val="20"/>
        <w:szCs w:val="18"/>
      </w:rPr>
      <w:t>Ó</w:t>
    </w:r>
    <w:r w:rsidRPr="00AE19B4">
      <w:rPr>
        <w:rFonts w:ascii="Times New Roman" w:hAnsi="Times New Roman" w:cs="Times New Roman"/>
        <w:noProof/>
        <w:sz w:val="20"/>
        <w:szCs w:val="18"/>
      </w:rPr>
      <w:fldChar w:fldCharType="end"/>
    </w:r>
    <w:r w:rsidRPr="00AE19B4">
      <w:rPr>
        <w:rFonts w:ascii="Times New Roman" w:hAnsi="Times New Roman" w:cs="Times New Roman"/>
        <w:noProof/>
        <w:sz w:val="20"/>
        <w:szCs w:val="18"/>
      </w:rPr>
      <w:t xml:space="preserve"> Valsts valodas centrs, 20</w:t>
    </w:r>
    <w:bookmarkEnd w:id="14"/>
    <w:bookmarkEnd w:id="15"/>
    <w:bookmarkEnd w:id="16"/>
    <w:r w:rsidRPr="00AE19B4">
      <w:rPr>
        <w:rFonts w:ascii="Times New Roman" w:hAnsi="Times New Roman" w:cs="Times New Roman"/>
        <w:noProof/>
        <w:sz w:val="20"/>
        <w:szCs w:val="18"/>
      </w:rPr>
      <w:t>20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9A386" w14:textId="77777777" w:rsidR="006071FA" w:rsidRPr="00DC0A63" w:rsidRDefault="006071FA">
      <w:pPr>
        <w:rPr>
          <w:noProof/>
        </w:rPr>
      </w:pPr>
      <w:r w:rsidRPr="00DC0A63">
        <w:rPr>
          <w:noProof/>
        </w:rPr>
        <w:separator/>
      </w:r>
    </w:p>
  </w:footnote>
  <w:footnote w:type="continuationSeparator" w:id="0">
    <w:p w14:paraId="223F3D68" w14:textId="77777777" w:rsidR="006071FA" w:rsidRPr="00DC0A63" w:rsidRDefault="006071FA">
      <w:pPr>
        <w:rPr>
          <w:noProof/>
        </w:rPr>
      </w:pPr>
      <w:r w:rsidRPr="00DC0A63">
        <w:rPr>
          <w:noProof/>
        </w:rPr>
        <w:continuationSeparator/>
      </w:r>
    </w:p>
  </w:footnote>
  <w:footnote w:id="1">
    <w:p w14:paraId="388EC124" w14:textId="03F3351A" w:rsidR="00D84C62" w:rsidRPr="001061D5" w:rsidRDefault="00D84C62" w:rsidP="001061D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Formestāns (4-hidroksiandrost-4-ēn-3,17-dions) ir aromatāzes inhibitors, taču tā struktūra līdzinās </w:t>
      </w:r>
      <w:r>
        <w:rPr>
          <w:rFonts w:ascii="Times New Roman" w:hAnsi="Times New Roman"/>
          <w:i/>
          <w:iCs/>
        </w:rPr>
        <w:t>EAAS</w:t>
      </w:r>
      <w:r>
        <w:rPr>
          <w:rFonts w:ascii="Times New Roman" w:hAnsi="Times New Roman"/>
        </w:rPr>
        <w:t xml:space="preserve"> un to var arī dabiskā veidā atrast urīna </w:t>
      </w:r>
      <w:r>
        <w:rPr>
          <w:rFonts w:ascii="Times New Roman" w:hAnsi="Times New Roman"/>
          <w:i/>
        </w:rPr>
        <w:t>paraugos</w:t>
      </w:r>
      <w:r>
        <w:rPr>
          <w:rFonts w:ascii="Times New Roman" w:hAnsi="Times New Roman"/>
        </w:rPr>
        <w:t xml:space="preserve">; tāpēc tā noteikšanai ir jāpiemēro </w:t>
      </w:r>
      <w:r>
        <w:rPr>
          <w:rFonts w:ascii="Times New Roman" w:hAnsi="Times New Roman"/>
          <w:u w:val="single" w:color="000000"/>
        </w:rPr>
        <w:t>analītiskās pārbaudes</w:t>
      </w:r>
      <w:r>
        <w:rPr>
          <w:rFonts w:ascii="Times New Roman" w:hAnsi="Times New Roman"/>
        </w:rPr>
        <w:t xml:space="preserve"> pieeja, kas ir identiska </w:t>
      </w:r>
      <w:r>
        <w:rPr>
          <w:rFonts w:ascii="Times New Roman" w:hAnsi="Times New Roman"/>
          <w:i/>
          <w:iCs/>
        </w:rPr>
        <w:t>TD EAAS</w:t>
      </w:r>
      <w:r>
        <w:rPr>
          <w:rFonts w:ascii="Times New Roman" w:hAnsi="Times New Roman"/>
        </w:rPr>
        <w:t xml:space="preserve"> [2] aprakstītajai pieejai.</w:t>
      </w:r>
    </w:p>
  </w:footnote>
  <w:footnote w:id="2">
    <w:p w14:paraId="2E9A2441" w14:textId="12466254" w:rsidR="00827637" w:rsidRPr="001061D5" w:rsidRDefault="00827637" w:rsidP="001061D5">
      <w:pPr>
        <w:pStyle w:val="Heading2"/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Vai saskaņā ar </w:t>
      </w:r>
      <w:r>
        <w:rPr>
          <w:rFonts w:ascii="Times New Roman" w:hAnsi="Times New Roman"/>
          <w:sz w:val="20"/>
          <w:u w:val="single" w:color="000000"/>
        </w:rPr>
        <w:t>laboratorijas</w:t>
      </w:r>
      <w:r>
        <w:rPr>
          <w:rFonts w:ascii="Times New Roman" w:hAnsi="Times New Roman"/>
          <w:sz w:val="20"/>
        </w:rPr>
        <w:t xml:space="preserve"> un </w:t>
      </w:r>
      <w:r>
        <w:rPr>
          <w:rFonts w:ascii="Times New Roman" w:hAnsi="Times New Roman"/>
          <w:i/>
          <w:sz w:val="20"/>
          <w:u w:val="single" w:color="000000"/>
        </w:rPr>
        <w:t>pārbaudes</w:t>
      </w:r>
      <w:r>
        <w:rPr>
          <w:rFonts w:ascii="Times New Roman" w:hAnsi="Times New Roman"/>
          <w:sz w:val="20"/>
          <w:u w:val="single" w:color="000000"/>
        </w:rPr>
        <w:t xml:space="preserve"> iestādes</w:t>
      </w:r>
      <w:r>
        <w:rPr>
          <w:rFonts w:ascii="Times New Roman" w:hAnsi="Times New Roman"/>
          <w:sz w:val="20"/>
        </w:rPr>
        <w:t xml:space="preserve"> vienošanos.</w:t>
      </w:r>
    </w:p>
  </w:footnote>
  <w:footnote w:id="3">
    <w:p w14:paraId="6F1A0DB7" w14:textId="5389344D" w:rsidR="00827637" w:rsidRPr="001061D5" w:rsidRDefault="00827637" w:rsidP="001061D5">
      <w:pPr>
        <w:pStyle w:val="FootnoteText"/>
        <w:jc w:val="both"/>
        <w:rPr>
          <w:rFonts w:ascii="Times New Roman" w:hAnsi="Times New Roman" w:cs="Times New Roman"/>
          <w:noProof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Ja izmērītais urīna </w:t>
      </w:r>
      <w:r>
        <w:rPr>
          <w:rFonts w:ascii="Times New Roman" w:hAnsi="Times New Roman"/>
          <w:i/>
        </w:rPr>
        <w:t>parauga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SG</w:t>
      </w:r>
      <w:r>
        <w:rPr>
          <w:rFonts w:ascii="Times New Roman" w:hAnsi="Times New Roman"/>
        </w:rPr>
        <w:t xml:space="preserve"> (SG</w:t>
      </w:r>
      <w:r>
        <w:rPr>
          <w:rFonts w:ascii="Times New Roman" w:hAnsi="Times New Roman"/>
          <w:i/>
          <w:vertAlign w:val="subscript"/>
        </w:rPr>
        <w:t>Paraugs</w:t>
      </w:r>
      <w:r>
        <w:rPr>
          <w:rFonts w:ascii="Times New Roman" w:hAnsi="Times New Roman"/>
        </w:rPr>
        <w:t>) ir lielāks par 1,018, koncentrāciju (brīvie un hidrolizētie glikurokonjugētie steroīdi) pielīdzina pēc formulas:</w:t>
      </w:r>
    </w:p>
    <w:p w14:paraId="2548F78A" w14:textId="7B8C6199" w:rsidR="004F0D9B" w:rsidRPr="001061D5" w:rsidRDefault="004F0D9B" w:rsidP="001061D5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ADE9151" wp14:editId="684D60ED">
            <wp:extent cx="2041451" cy="3195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82" cy="32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65983" w14:textId="51A8426B" w:rsidR="004F0D9B" w:rsidRPr="001061D5" w:rsidRDefault="004F0D9B" w:rsidP="001061D5">
      <w:pPr>
        <w:pStyle w:val="FootnoteText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</w:rPr>
        <w:t xml:space="preserve">[Norādījumus par </w:t>
      </w:r>
      <w:r>
        <w:rPr>
          <w:rFonts w:ascii="Times New Roman" w:hAnsi="Times New Roman"/>
          <w:i/>
          <w:iCs/>
        </w:rPr>
        <w:t>SG</w:t>
      </w:r>
      <w:r>
        <w:rPr>
          <w:rFonts w:ascii="Times New Roman" w:hAnsi="Times New Roman"/>
          <w:i/>
          <w:vertAlign w:val="subscript"/>
        </w:rPr>
        <w:t>Paraugs_</w:t>
      </w:r>
      <w:r>
        <w:rPr>
          <w:rFonts w:ascii="Times New Roman" w:hAnsi="Times New Roman"/>
          <w:i/>
          <w:iCs/>
          <w:vertAlign w:val="subscript"/>
        </w:rPr>
        <w:t>Max</w:t>
      </w:r>
      <w:r>
        <w:rPr>
          <w:rFonts w:ascii="Times New Roman" w:hAnsi="Times New Roman"/>
        </w:rPr>
        <w:t xml:space="preserve"> aprēķināšanu skatiet spēkā esošajā </w:t>
      </w:r>
      <w:r>
        <w:rPr>
          <w:rFonts w:ascii="Times New Roman" w:hAnsi="Times New Roman"/>
          <w:i/>
          <w:iCs/>
        </w:rPr>
        <w:t>TD DL</w:t>
      </w:r>
      <w:r>
        <w:rPr>
          <w:rFonts w:ascii="Times New Roman" w:hAnsi="Times New Roman"/>
        </w:rPr>
        <w:t>].</w:t>
      </w:r>
    </w:p>
    <w:p w14:paraId="3F08D18C" w14:textId="505BB70F" w:rsidR="004F0D9B" w:rsidRPr="001061D5" w:rsidRDefault="004F0D9B" w:rsidP="001061D5">
      <w:pPr>
        <w:pStyle w:val="FootnoteText"/>
        <w:jc w:val="both"/>
        <w:rPr>
          <w:rFonts w:ascii="Times New Roman" w:hAnsi="Times New Roman" w:cs="Times New Roman"/>
          <w:noProof/>
        </w:rPr>
      </w:pPr>
    </w:p>
    <w:tbl>
      <w:tblPr>
        <w:tblStyle w:val="TableGrid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7"/>
        <w:gridCol w:w="4551"/>
      </w:tblGrid>
      <w:tr w:rsidR="00235B5D" w:rsidRPr="001061D5" w14:paraId="61989BC2" w14:textId="77777777" w:rsidTr="00235B5D">
        <w:tc>
          <w:tcPr>
            <w:tcW w:w="4577" w:type="dxa"/>
          </w:tcPr>
          <w:p w14:paraId="71D676D5" w14:textId="49B67BF7" w:rsidR="00235B5D" w:rsidRPr="00235B5D" w:rsidRDefault="00235B5D" w:rsidP="00235B5D">
            <w:pPr>
              <w:pStyle w:val="FootnoteText"/>
              <w:jc w:val="center"/>
              <w:rPr>
                <w:rFonts w:ascii="Times New Roman" w:hAnsi="Times New Roman"/>
                <w:i/>
                <w:iCs/>
              </w:rPr>
            </w:pPr>
            <w:r w:rsidRPr="00235B5D">
              <w:rPr>
                <w:rFonts w:ascii="Times New Roman" w:hAnsi="Times New Roman"/>
                <w:i/>
                <w:iCs/>
              </w:rPr>
              <w:t>Angļu val.</w:t>
            </w:r>
          </w:p>
        </w:tc>
        <w:tc>
          <w:tcPr>
            <w:tcW w:w="4551" w:type="dxa"/>
          </w:tcPr>
          <w:p w14:paraId="4B99AD42" w14:textId="607551E5" w:rsidR="00235B5D" w:rsidRPr="00235B5D" w:rsidRDefault="00235B5D" w:rsidP="00235B5D">
            <w:pPr>
              <w:pStyle w:val="FootnoteTex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5B5D">
              <w:rPr>
                <w:rFonts w:ascii="Times New Roman" w:hAnsi="Times New Roman" w:cs="Times New Roman"/>
                <w:i/>
                <w:iCs/>
              </w:rPr>
              <w:t>Latviešu val.</w:t>
            </w:r>
          </w:p>
        </w:tc>
      </w:tr>
      <w:tr w:rsidR="00235B5D" w:rsidRPr="001061D5" w14:paraId="12A6CCCC" w14:textId="77777777" w:rsidTr="00235B5D">
        <w:tc>
          <w:tcPr>
            <w:tcW w:w="4577" w:type="dxa"/>
          </w:tcPr>
          <w:p w14:paraId="50D50070" w14:textId="60B9568B" w:rsidR="00235B5D" w:rsidRPr="001061D5" w:rsidRDefault="00235B5D" w:rsidP="00235B5D">
            <w:pPr>
              <w:pStyle w:val="FootnoteText"/>
              <w:jc w:val="both"/>
              <w:rPr>
                <w:rFonts w:ascii="Times New Roman" w:hAnsi="Times New Roman" w:cs="Times New Roman"/>
              </w:rPr>
            </w:pPr>
            <w:r w:rsidRPr="001061D5">
              <w:rPr>
                <w:rFonts w:ascii="Times New Roman" w:hAnsi="Times New Roman" w:cs="Times New Roman"/>
              </w:rPr>
              <w:t>Conc</w:t>
            </w:r>
            <w:r w:rsidRPr="001061D5">
              <w:rPr>
                <w:rFonts w:ascii="Times New Roman" w:hAnsi="Times New Roman" w:cs="Times New Roman"/>
                <w:vertAlign w:val="subscript"/>
              </w:rPr>
              <w:t>adj</w:t>
            </w:r>
          </w:p>
        </w:tc>
        <w:tc>
          <w:tcPr>
            <w:tcW w:w="4551" w:type="dxa"/>
          </w:tcPr>
          <w:p w14:paraId="167E9F02" w14:textId="77D195DD" w:rsidR="00235B5D" w:rsidRPr="001061D5" w:rsidRDefault="00235B5D" w:rsidP="00235B5D">
            <w:pPr>
              <w:pStyle w:val="Footnote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Koncentrācija</w:t>
            </w:r>
            <w:r>
              <w:rPr>
                <w:rFonts w:ascii="Times New Roman" w:hAnsi="Times New Roman"/>
                <w:vertAlign w:val="subscript"/>
              </w:rPr>
              <w:t>pielīdzinātā</w:t>
            </w:r>
          </w:p>
        </w:tc>
      </w:tr>
      <w:tr w:rsidR="00235B5D" w:rsidRPr="001061D5" w14:paraId="75F3C591" w14:textId="77777777" w:rsidTr="00235B5D">
        <w:tc>
          <w:tcPr>
            <w:tcW w:w="4577" w:type="dxa"/>
          </w:tcPr>
          <w:p w14:paraId="240B6303" w14:textId="6A28E300" w:rsidR="00235B5D" w:rsidRPr="001061D5" w:rsidRDefault="00235B5D" w:rsidP="00235B5D">
            <w:pPr>
              <w:pStyle w:val="FootnoteText"/>
              <w:jc w:val="both"/>
              <w:rPr>
                <w:rFonts w:ascii="Times New Roman" w:hAnsi="Times New Roman" w:cs="Times New Roman"/>
              </w:rPr>
            </w:pPr>
            <w:r w:rsidRPr="001061D5">
              <w:rPr>
                <w:rFonts w:ascii="Times New Roman" w:hAnsi="Times New Roman" w:cs="Times New Roman"/>
                <w:noProof/>
              </w:rPr>
              <w:t>SG</w:t>
            </w:r>
            <w:r w:rsidRPr="001061D5">
              <w:rPr>
                <w:rFonts w:ascii="Times New Roman" w:hAnsi="Times New Roman" w:cs="Times New Roman"/>
                <w:i/>
                <w:noProof/>
                <w:vertAlign w:val="subscript"/>
              </w:rPr>
              <w:t>Sample_</w:t>
            </w:r>
            <w:r w:rsidRPr="001061D5">
              <w:rPr>
                <w:rFonts w:ascii="Times New Roman" w:hAnsi="Times New Roman" w:cs="Times New Roman"/>
                <w:noProof/>
                <w:vertAlign w:val="subscript"/>
              </w:rPr>
              <w:t>Max</w:t>
            </w:r>
          </w:p>
        </w:tc>
        <w:tc>
          <w:tcPr>
            <w:tcW w:w="4551" w:type="dxa"/>
          </w:tcPr>
          <w:p w14:paraId="63E226B4" w14:textId="3E6F4016" w:rsidR="00235B5D" w:rsidRPr="001061D5" w:rsidRDefault="00235B5D" w:rsidP="00235B5D">
            <w:pPr>
              <w:pStyle w:val="Footnote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SG</w:t>
            </w:r>
            <w:r>
              <w:rPr>
                <w:rFonts w:ascii="Times New Roman" w:hAnsi="Times New Roman"/>
                <w:i/>
                <w:vertAlign w:val="subscript"/>
              </w:rPr>
              <w:t>Paraugs_</w:t>
            </w:r>
            <w:r>
              <w:rPr>
                <w:rFonts w:ascii="Times New Roman" w:hAnsi="Times New Roman"/>
                <w:i/>
                <w:iCs/>
                <w:vertAlign w:val="subscript"/>
              </w:rPr>
              <w:t>Max</w:t>
            </w:r>
          </w:p>
        </w:tc>
      </w:tr>
      <w:tr w:rsidR="00235B5D" w:rsidRPr="001061D5" w14:paraId="611D4BF7" w14:textId="77777777" w:rsidTr="00235B5D">
        <w:tc>
          <w:tcPr>
            <w:tcW w:w="4577" w:type="dxa"/>
          </w:tcPr>
          <w:p w14:paraId="23EF4762" w14:textId="42A74143" w:rsidR="00235B5D" w:rsidRPr="001061D5" w:rsidRDefault="00235B5D" w:rsidP="00235B5D">
            <w:pPr>
              <w:pStyle w:val="FootnoteText"/>
              <w:jc w:val="both"/>
              <w:rPr>
                <w:rFonts w:ascii="Times New Roman" w:hAnsi="Times New Roman" w:cs="Times New Roman"/>
              </w:rPr>
            </w:pPr>
            <w:r w:rsidRPr="001061D5">
              <w:rPr>
                <w:rFonts w:ascii="Times New Roman" w:hAnsi="Times New Roman" w:cs="Times New Roman"/>
              </w:rPr>
              <w:t>Conc</w:t>
            </w:r>
            <w:r w:rsidRPr="001061D5">
              <w:rPr>
                <w:rFonts w:ascii="Times New Roman" w:hAnsi="Times New Roman" w:cs="Times New Roman"/>
                <w:vertAlign w:val="subscript"/>
              </w:rPr>
              <w:t>measured</w:t>
            </w:r>
          </w:p>
        </w:tc>
        <w:tc>
          <w:tcPr>
            <w:tcW w:w="4551" w:type="dxa"/>
          </w:tcPr>
          <w:p w14:paraId="2D92503F" w14:textId="4CFA6F1F" w:rsidR="00235B5D" w:rsidRPr="001061D5" w:rsidRDefault="00235B5D" w:rsidP="00235B5D">
            <w:pPr>
              <w:pStyle w:val="Footnote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Koncentrācija</w:t>
            </w:r>
            <w:r>
              <w:rPr>
                <w:rFonts w:ascii="Times New Roman" w:hAnsi="Times New Roman"/>
                <w:vertAlign w:val="subscript"/>
              </w:rPr>
              <w:t>izmērītā</w:t>
            </w:r>
          </w:p>
        </w:tc>
      </w:tr>
    </w:tbl>
    <w:p w14:paraId="698A9410" w14:textId="77777777" w:rsidR="004F0D9B" w:rsidRPr="001061D5" w:rsidRDefault="004F0D9B" w:rsidP="001061D5">
      <w:pPr>
        <w:pStyle w:val="FootnoteText"/>
        <w:jc w:val="both"/>
        <w:rPr>
          <w:rFonts w:ascii="Times New Roman" w:hAnsi="Times New Roman" w:cs="Times New Roman"/>
        </w:rPr>
      </w:pPr>
    </w:p>
  </w:footnote>
  <w:footnote w:id="4">
    <w:p w14:paraId="2459313E" w14:textId="0982001B" w:rsidR="00EF232E" w:rsidRPr="001061D5" w:rsidRDefault="00EF232E" w:rsidP="001061D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Ieteicams izmantot sertificētu steroīdu maisījumu, kas aptver tādu δ</w:t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  <w:t xml:space="preserve">C vērtību diapazonu, kāds parasti ir atrodams attiecībā uz </w:t>
      </w:r>
      <w:r>
        <w:rPr>
          <w:rFonts w:ascii="Times New Roman" w:hAnsi="Times New Roman"/>
          <w:i/>
          <w:iCs/>
        </w:rPr>
        <w:t>TC</w:t>
      </w:r>
      <w:r>
        <w:rPr>
          <w:rFonts w:ascii="Times New Roman" w:hAnsi="Times New Roman"/>
        </w:rPr>
        <w:t xml:space="preserve"> un </w:t>
      </w:r>
      <w:r>
        <w:rPr>
          <w:rFonts w:ascii="Times New Roman" w:hAnsi="Times New Roman"/>
          <w:i/>
          <w:iCs/>
        </w:rPr>
        <w:t>ERC</w:t>
      </w:r>
      <w:r>
        <w:rPr>
          <w:rFonts w:ascii="Times New Roman" w:hAnsi="Times New Roman"/>
        </w:rPr>
        <w:t xml:space="preserve"> urīnā (</w:t>
      </w:r>
      <w:r>
        <w:rPr>
          <w:rFonts w:ascii="Times New Roman" w:hAnsi="Times New Roman"/>
          <w:i/>
        </w:rPr>
        <w:t>piemēram</w:t>
      </w:r>
      <w:r>
        <w:rPr>
          <w:rFonts w:ascii="Times New Roman" w:hAnsi="Times New Roman"/>
        </w:rPr>
        <w:t>, no -17 ‰ līdz -34 ‰).</w:t>
      </w:r>
    </w:p>
  </w:footnote>
  <w:footnote w:id="5">
    <w:p w14:paraId="3856B53A" w14:textId="41946064" w:rsidR="009805DF" w:rsidRPr="001061D5" w:rsidRDefault="009805DF" w:rsidP="001061D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Prasību par mērījumu iegūšanu no vismaz 20 sieviešu urīna atsauces paraugiem nepiemēro iegūtajiem 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</w:rPr>
        <w:t xml:space="preserve"> un 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</w:rPr>
        <w:t xml:space="preserve"> rezultātiem. Tomēr ir jāiegūst vismaz 40 atsauces rezultāti.</w:t>
      </w:r>
    </w:p>
  </w:footnote>
  <w:footnote w:id="6">
    <w:p w14:paraId="176E723C" w14:textId="184B7AE9" w:rsidR="000A797F" w:rsidRPr="001061D5" w:rsidRDefault="000A797F" w:rsidP="001061D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Tas neattiecas uz rezultātiem, kas, veicot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analīzi, ir iegūti attiecībā uz formestānu, boldenonu vai boldenona metabolītu(-iem).</w:t>
      </w:r>
    </w:p>
  </w:footnote>
  <w:footnote w:id="7">
    <w:p w14:paraId="7F7C0C38" w14:textId="7611DD12" w:rsidR="001061D5" w:rsidRPr="001061D5" w:rsidRDefault="001061D5" w:rsidP="001061D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Visi </w:t>
      </w:r>
      <w:r>
        <w:rPr>
          <w:rFonts w:ascii="Times New Roman" w:hAnsi="Times New Roman"/>
          <w:i/>
          <w:iCs/>
        </w:rPr>
        <w:t>TC</w:t>
      </w:r>
      <w:r>
        <w:rPr>
          <w:rFonts w:ascii="Times New Roman" w:hAnsi="Times New Roman"/>
        </w:rPr>
        <w:t xml:space="preserve"> varētu nebūt ietekmēti vienādā mērā. Pieņemot lēmumus, pamatojoties uz ∆δ</w:t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  <w:t xml:space="preserve">C kritēriju, kas noteikts 2.3.1. punkta i) līdz vii) apakšpunktā un 1. papildinājumā, ņem vērā </w:t>
      </w:r>
      <w:r>
        <w:rPr>
          <w:rFonts w:ascii="Times New Roman" w:hAnsi="Times New Roman"/>
          <w:u w:val="single" w:color="000000"/>
        </w:rPr>
        <w:t>mērījuma nenoteiktību</w:t>
      </w:r>
      <w:r>
        <w:rPr>
          <w:rFonts w:ascii="Times New Roman" w:hAnsi="Times New Roman"/>
        </w:rPr>
        <w:t>, kas attiecas uz δ</w:t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  <w:t>C vērtībām, kuras to ir izraisījušas.</w:t>
      </w:r>
    </w:p>
  </w:footnote>
  <w:footnote w:id="8">
    <w:p w14:paraId="1DF03E94" w14:textId="3AED069B" w:rsidR="001061D5" w:rsidRPr="001061D5" w:rsidRDefault="001061D5" w:rsidP="001061D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 w:color="000000"/>
        </w:rPr>
        <w:t>Laboratorija</w:t>
      </w:r>
      <w:r>
        <w:rPr>
          <w:rFonts w:ascii="Times New Roman" w:hAnsi="Times New Roman"/>
        </w:rPr>
        <w:t xml:space="preserve"> ņem vērā visus analītiskos pierādījumus (</w:t>
      </w:r>
      <w:r>
        <w:rPr>
          <w:rFonts w:ascii="Times New Roman" w:hAnsi="Times New Roman"/>
          <w:i/>
        </w:rPr>
        <w:t>piemēram</w:t>
      </w:r>
      <w:r>
        <w:rPr>
          <w:rFonts w:ascii="Times New Roman" w:hAnsi="Times New Roman"/>
        </w:rPr>
        <w:t xml:space="preserve">, steroīdu profila </w:t>
      </w:r>
      <w:r>
        <w:rPr>
          <w:rFonts w:ascii="Times New Roman" w:hAnsi="Times New Roman"/>
          <w:i/>
          <w:iCs/>
        </w:rPr>
        <w:t>marķieru</w:t>
      </w:r>
      <w:r>
        <w:rPr>
          <w:rFonts w:ascii="Times New Roman" w:hAnsi="Times New Roman"/>
        </w:rPr>
        <w:t xml:space="preserve"> koncentrāciju, citu </w:t>
      </w:r>
      <w:r>
        <w:rPr>
          <w:rFonts w:ascii="Times New Roman" w:hAnsi="Times New Roman"/>
          <w:i/>
          <w:iCs/>
        </w:rPr>
        <w:t>ERC-TC</w:t>
      </w:r>
      <w:r>
        <w:rPr>
          <w:rFonts w:ascii="Times New Roman" w:hAnsi="Times New Roman"/>
        </w:rPr>
        <w:t xml:space="preserve"> kombināciju ∆δ</w:t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  <w:t xml:space="preserve">C vērtības, kā arī nepieciešamības gadījumā izmanto papildu </w:t>
      </w:r>
      <w:r>
        <w:rPr>
          <w:rFonts w:ascii="Times New Roman" w:hAnsi="Times New Roman"/>
          <w:i/>
          <w:iCs/>
        </w:rPr>
        <w:t>ERC</w:t>
      </w:r>
      <w:r>
        <w:rPr>
          <w:rFonts w:ascii="Times New Roman" w:hAnsi="Times New Roman"/>
        </w:rPr>
        <w:t xml:space="preserve">), lai pareizi novērtētu, vai ir iegūti būtiski dati vai informācija, kas varētu likt apšaubīt vai atspēkot paziņojumu, ka atrade ir </w:t>
      </w:r>
      <w:r>
        <w:rPr>
          <w:rFonts w:ascii="Times New Roman" w:hAnsi="Times New Roman"/>
          <w:i/>
        </w:rPr>
        <w:t>nelabvēlīgs analīžu rezultāts</w:t>
      </w:r>
      <w:r>
        <w:rPr>
          <w:rFonts w:ascii="Times New Roman" w:hAnsi="Times New Roman"/>
        </w:rPr>
        <w:t xml:space="preserve"> vai </w:t>
      </w:r>
      <w:r>
        <w:rPr>
          <w:rFonts w:ascii="Times New Roman" w:hAnsi="Times New Roman"/>
          <w:i/>
        </w:rPr>
        <w:t>netipiska atrade</w:t>
      </w:r>
      <w:r>
        <w:rPr>
          <w:rFonts w:ascii="Times New Roman" w:hAnsi="Times New Roman"/>
        </w:rPr>
        <w:t>.</w:t>
      </w:r>
    </w:p>
  </w:footnote>
  <w:footnote w:id="9">
    <w:p w14:paraId="7BB0BBF5" w14:textId="1E133EFF" w:rsidR="00817EF6" w:rsidRPr="00817EF6" w:rsidRDefault="00817E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Konkrēta(-u) </w:t>
      </w:r>
      <w:r>
        <w:rPr>
          <w:rFonts w:ascii="Times New Roman" w:hAnsi="Times New Roman"/>
          <w:i/>
          <w:iCs/>
        </w:rPr>
        <w:t>ERC-TC</w:t>
      </w:r>
      <w:r>
        <w:rPr>
          <w:rFonts w:ascii="Times New Roman" w:hAnsi="Times New Roman"/>
        </w:rPr>
        <w:t xml:space="preserve"> pāra(-u) analīzes tehnisko ierobežojumu dēļ nevajadzētu anulēt paziņoto </w:t>
      </w:r>
      <w:r>
        <w:rPr>
          <w:rFonts w:ascii="Times New Roman" w:hAnsi="Times New Roman"/>
          <w:i/>
        </w:rPr>
        <w:t>nelabvēlīgo analīžu rezultātu</w:t>
      </w:r>
      <w:r>
        <w:rPr>
          <w:rFonts w:ascii="Times New Roman" w:hAnsi="Times New Roman"/>
        </w:rPr>
        <w:t xml:space="preserve">, kura pamatā ir ticami cita(-u) </w:t>
      </w:r>
      <w:r>
        <w:rPr>
          <w:rFonts w:ascii="Times New Roman" w:hAnsi="Times New Roman"/>
          <w:i/>
          <w:iCs/>
        </w:rPr>
        <w:t>parauga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ERC-TC</w:t>
      </w:r>
      <w:r>
        <w:rPr>
          <w:rFonts w:ascii="Times New Roman" w:hAnsi="Times New Roman"/>
        </w:rPr>
        <w:t xml:space="preserve"> pāra(-u) mērījumi un visu interpretācijai pieejamo analītisko pierādījumu izvērtējums.</w:t>
      </w:r>
    </w:p>
  </w:footnote>
  <w:footnote w:id="10">
    <w:p w14:paraId="0FCF93E4" w14:textId="6FEE6203" w:rsidR="00A1114A" w:rsidRPr="00A1114A" w:rsidRDefault="00A1114A" w:rsidP="00A1114A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 w:color="000000"/>
        </w:rPr>
        <w:t>Laboratorijai</w:t>
      </w:r>
      <w:r>
        <w:rPr>
          <w:rFonts w:ascii="Times New Roman" w:hAnsi="Times New Roman"/>
        </w:rPr>
        <w:t xml:space="preserve"> nav jāziņo ∆δ</w:t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  <w:t xml:space="preserve">C vērtības, kas ir automātiski aprēķinātas </w:t>
      </w:r>
      <w:r>
        <w:rPr>
          <w:rFonts w:ascii="Times New Roman" w:hAnsi="Times New Roman"/>
          <w:i/>
        </w:rPr>
        <w:t>ADAMS</w:t>
      </w:r>
      <w:r>
        <w:rPr>
          <w:rFonts w:ascii="Times New Roman" w:hAnsi="Times New Roman"/>
        </w:rPr>
        <w:t xml:space="preserve">, pamatojoties uz attiecīgajām </w:t>
      </w:r>
      <w:r>
        <w:rPr>
          <w:rFonts w:ascii="Times New Roman" w:hAnsi="Times New Roman"/>
          <w:i/>
          <w:iCs/>
        </w:rPr>
        <w:t>TC</w:t>
      </w:r>
      <w:r>
        <w:rPr>
          <w:rFonts w:ascii="Times New Roman" w:hAnsi="Times New Roman"/>
        </w:rPr>
        <w:t xml:space="preserve"> un </w:t>
      </w:r>
      <w:r>
        <w:rPr>
          <w:rFonts w:ascii="Times New Roman" w:hAnsi="Times New Roman"/>
          <w:i/>
          <w:iCs/>
        </w:rPr>
        <w:t>ERC</w:t>
      </w:r>
      <w:r>
        <w:rPr>
          <w:rFonts w:ascii="Times New Roman" w:hAnsi="Times New Roman"/>
        </w:rPr>
        <w:t xml:space="preserve"> ∆δ</w:t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  <w:t>C vērtībām.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5F86B" w14:textId="77777777" w:rsidR="00AE19B4" w:rsidRPr="00AE19B4" w:rsidRDefault="00AE19B4" w:rsidP="00AE19B4">
    <w:pPr>
      <w:pStyle w:val="Header"/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3FE7EDF9" w14:textId="1D79F27F" w:rsidR="00AE19B4" w:rsidRPr="00AE19B4" w:rsidRDefault="00AE19B4" w:rsidP="00AE19B4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AE19B4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3FA13FC6" w14:textId="77777777" w:rsidR="00AE19B4" w:rsidRPr="00AE19B4" w:rsidRDefault="00AE19B4" w:rsidP="00AE19B4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90FC" w14:textId="77777777" w:rsidR="00AE19B4" w:rsidRPr="00AE19B4" w:rsidRDefault="00AE19B4" w:rsidP="00AE19B4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6D87085C" w14:textId="77777777" w:rsidR="00AE19B4" w:rsidRPr="00AE19B4" w:rsidRDefault="00AE19B4" w:rsidP="00AE19B4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410DC"/>
    <w:multiLevelType w:val="hybridMultilevel"/>
    <w:tmpl w:val="004A5928"/>
    <w:lvl w:ilvl="0" w:tplc="C1B4BF9E">
      <w:start w:val="1"/>
      <w:numFmt w:val="decimal"/>
      <w:lvlText w:val="%1"/>
      <w:lvlJc w:val="left"/>
      <w:pPr>
        <w:ind w:left="598" w:hanging="478"/>
      </w:pPr>
      <w:rPr>
        <w:rFonts w:hint="default"/>
      </w:rPr>
    </w:lvl>
    <w:lvl w:ilvl="1" w:tplc="B87CDF1C">
      <w:start w:val="1"/>
      <w:numFmt w:val="decimal"/>
      <w:lvlText w:val="%1.%2"/>
      <w:lvlJc w:val="left"/>
      <w:pPr>
        <w:ind w:left="598" w:hanging="478"/>
      </w:pPr>
      <w:rPr>
        <w:rFonts w:ascii="Verdana" w:eastAsia="Verdana" w:hAnsi="Verdana" w:hint="default"/>
        <w:w w:val="99"/>
        <w:sz w:val="24"/>
        <w:szCs w:val="24"/>
      </w:rPr>
    </w:lvl>
    <w:lvl w:ilvl="2" w:tplc="E7567BDC">
      <w:start w:val="1"/>
      <w:numFmt w:val="decimal"/>
      <w:lvlText w:val="%1.%2.%3"/>
      <w:lvlJc w:val="left"/>
      <w:pPr>
        <w:ind w:left="120" w:hanging="720"/>
      </w:pPr>
      <w:rPr>
        <w:rFonts w:ascii="Verdana" w:eastAsia="Verdana" w:hAnsi="Verdana" w:hint="default"/>
        <w:w w:val="99"/>
        <w:sz w:val="24"/>
        <w:szCs w:val="24"/>
      </w:rPr>
    </w:lvl>
    <w:lvl w:ilvl="3" w:tplc="02E4667C">
      <w:start w:val="1"/>
      <w:numFmt w:val="bullet"/>
      <w:lvlText w:val=""/>
      <w:lvlJc w:val="left"/>
      <w:pPr>
        <w:ind w:left="561" w:hanging="188"/>
      </w:pPr>
      <w:rPr>
        <w:rFonts w:ascii="Symbol" w:eastAsia="Symbol" w:hAnsi="Symbol" w:hint="default"/>
        <w:sz w:val="22"/>
        <w:szCs w:val="22"/>
      </w:rPr>
    </w:lvl>
    <w:lvl w:ilvl="4" w:tplc="26EECC46">
      <w:start w:val="1"/>
      <w:numFmt w:val="bullet"/>
      <w:lvlText w:val="•"/>
      <w:lvlJc w:val="left"/>
      <w:pPr>
        <w:ind w:left="2683" w:hanging="188"/>
      </w:pPr>
      <w:rPr>
        <w:rFonts w:hint="default"/>
      </w:rPr>
    </w:lvl>
    <w:lvl w:ilvl="5" w:tplc="54406C8C">
      <w:start w:val="1"/>
      <w:numFmt w:val="bullet"/>
      <w:lvlText w:val="•"/>
      <w:lvlJc w:val="left"/>
      <w:pPr>
        <w:ind w:left="3726" w:hanging="188"/>
      </w:pPr>
      <w:rPr>
        <w:rFonts w:hint="default"/>
      </w:rPr>
    </w:lvl>
    <w:lvl w:ilvl="6" w:tplc="D4EC07CC">
      <w:start w:val="1"/>
      <w:numFmt w:val="bullet"/>
      <w:lvlText w:val="•"/>
      <w:lvlJc w:val="left"/>
      <w:pPr>
        <w:ind w:left="4769" w:hanging="188"/>
      </w:pPr>
      <w:rPr>
        <w:rFonts w:hint="default"/>
      </w:rPr>
    </w:lvl>
    <w:lvl w:ilvl="7" w:tplc="8EA01F66">
      <w:start w:val="1"/>
      <w:numFmt w:val="bullet"/>
      <w:lvlText w:val="•"/>
      <w:lvlJc w:val="left"/>
      <w:pPr>
        <w:ind w:left="5811" w:hanging="188"/>
      </w:pPr>
      <w:rPr>
        <w:rFonts w:hint="default"/>
      </w:rPr>
    </w:lvl>
    <w:lvl w:ilvl="8" w:tplc="F4F890E8">
      <w:start w:val="1"/>
      <w:numFmt w:val="bullet"/>
      <w:lvlText w:val="•"/>
      <w:lvlJc w:val="left"/>
      <w:pPr>
        <w:ind w:left="6854" w:hanging="188"/>
      </w:pPr>
      <w:rPr>
        <w:rFonts w:hint="default"/>
      </w:rPr>
    </w:lvl>
  </w:abstractNum>
  <w:abstractNum w:abstractNumId="1" w15:restartNumberingAfterBreak="0">
    <w:nsid w:val="27CC655F"/>
    <w:multiLevelType w:val="hybridMultilevel"/>
    <w:tmpl w:val="7DBAC026"/>
    <w:lvl w:ilvl="0" w:tplc="2AA0B3DA">
      <w:start w:val="2"/>
      <w:numFmt w:val="decimal"/>
      <w:lvlText w:val="%1"/>
      <w:lvlJc w:val="left"/>
      <w:pPr>
        <w:ind w:left="840" w:hanging="720"/>
      </w:pPr>
      <w:rPr>
        <w:rFonts w:hint="default"/>
      </w:rPr>
    </w:lvl>
    <w:lvl w:ilvl="1" w:tplc="4120D890">
      <w:start w:val="1"/>
      <w:numFmt w:val="decimal"/>
      <w:lvlText w:val="%1.%2"/>
      <w:lvlJc w:val="left"/>
      <w:pPr>
        <w:ind w:left="840" w:hanging="720"/>
      </w:pPr>
      <w:rPr>
        <w:rFonts w:ascii="Verdana" w:eastAsia="Verdana" w:hAnsi="Verdana" w:hint="default"/>
        <w:b/>
        <w:bCs/>
        <w:spacing w:val="-1"/>
        <w:sz w:val="24"/>
        <w:szCs w:val="24"/>
      </w:rPr>
    </w:lvl>
    <w:lvl w:ilvl="2" w:tplc="8528C464">
      <w:start w:val="1"/>
      <w:numFmt w:val="bullet"/>
      <w:lvlText w:val=""/>
      <w:lvlJc w:val="left"/>
      <w:pPr>
        <w:ind w:left="581" w:hanging="188"/>
      </w:pPr>
      <w:rPr>
        <w:rFonts w:ascii="Symbol" w:eastAsia="Symbol" w:hAnsi="Symbol" w:hint="default"/>
        <w:sz w:val="22"/>
        <w:szCs w:val="22"/>
      </w:rPr>
    </w:lvl>
    <w:lvl w:ilvl="3" w:tplc="AB52F68C">
      <w:start w:val="1"/>
      <w:numFmt w:val="bullet"/>
      <w:lvlText w:val="o"/>
      <w:lvlJc w:val="left"/>
      <w:pPr>
        <w:ind w:left="751" w:hanging="269"/>
      </w:pPr>
      <w:rPr>
        <w:rFonts w:ascii="Courier New" w:eastAsia="Courier New" w:hAnsi="Courier New" w:hint="default"/>
        <w:w w:val="97"/>
        <w:position w:val="2"/>
        <w:sz w:val="20"/>
        <w:szCs w:val="20"/>
      </w:rPr>
    </w:lvl>
    <w:lvl w:ilvl="4" w:tplc="FD5E9234">
      <w:start w:val="1"/>
      <w:numFmt w:val="bullet"/>
      <w:lvlText w:val=""/>
      <w:lvlJc w:val="left"/>
      <w:pPr>
        <w:ind w:left="1020" w:hanging="272"/>
      </w:pPr>
      <w:rPr>
        <w:rFonts w:ascii="Wingdings" w:eastAsia="Wingdings" w:hAnsi="Wingdings" w:hint="default"/>
        <w:sz w:val="22"/>
        <w:szCs w:val="22"/>
      </w:rPr>
    </w:lvl>
    <w:lvl w:ilvl="5" w:tplc="61C09A36">
      <w:start w:val="1"/>
      <w:numFmt w:val="bullet"/>
      <w:lvlText w:val="•"/>
      <w:lvlJc w:val="left"/>
      <w:pPr>
        <w:ind w:left="3283" w:hanging="272"/>
      </w:pPr>
      <w:rPr>
        <w:rFonts w:hint="default"/>
      </w:rPr>
    </w:lvl>
    <w:lvl w:ilvl="6" w:tplc="9F34FC76">
      <w:start w:val="1"/>
      <w:numFmt w:val="bullet"/>
      <w:lvlText w:val="•"/>
      <w:lvlJc w:val="left"/>
      <w:pPr>
        <w:ind w:left="4414" w:hanging="272"/>
      </w:pPr>
      <w:rPr>
        <w:rFonts w:hint="default"/>
      </w:rPr>
    </w:lvl>
    <w:lvl w:ilvl="7" w:tplc="08B2D0F0">
      <w:start w:val="1"/>
      <w:numFmt w:val="bullet"/>
      <w:lvlText w:val="•"/>
      <w:lvlJc w:val="left"/>
      <w:pPr>
        <w:ind w:left="5545" w:hanging="272"/>
      </w:pPr>
      <w:rPr>
        <w:rFonts w:hint="default"/>
      </w:rPr>
    </w:lvl>
    <w:lvl w:ilvl="8" w:tplc="2A2AF37A">
      <w:start w:val="1"/>
      <w:numFmt w:val="bullet"/>
      <w:lvlText w:val="•"/>
      <w:lvlJc w:val="left"/>
      <w:pPr>
        <w:ind w:left="6677" w:hanging="272"/>
      </w:pPr>
      <w:rPr>
        <w:rFonts w:hint="default"/>
      </w:rPr>
    </w:lvl>
  </w:abstractNum>
  <w:abstractNum w:abstractNumId="2" w15:restartNumberingAfterBreak="0">
    <w:nsid w:val="2F9406BB"/>
    <w:multiLevelType w:val="hybridMultilevel"/>
    <w:tmpl w:val="C1AC71D0"/>
    <w:lvl w:ilvl="0" w:tplc="C17AE50C">
      <w:start w:val="2"/>
      <w:numFmt w:val="decimal"/>
      <w:lvlText w:val="%1"/>
      <w:lvlJc w:val="left"/>
      <w:pPr>
        <w:ind w:left="640" w:hanging="478"/>
      </w:pPr>
      <w:rPr>
        <w:rFonts w:hint="default"/>
      </w:rPr>
    </w:lvl>
    <w:lvl w:ilvl="1" w:tplc="9F562B74">
      <w:start w:val="1"/>
      <w:numFmt w:val="decimal"/>
      <w:lvlText w:val="%1.%2"/>
      <w:lvlJc w:val="left"/>
      <w:pPr>
        <w:ind w:left="640" w:hanging="478"/>
      </w:pPr>
      <w:rPr>
        <w:rFonts w:ascii="Verdana" w:eastAsia="Verdana" w:hAnsi="Verdana" w:hint="default"/>
        <w:w w:val="99"/>
        <w:sz w:val="24"/>
        <w:szCs w:val="24"/>
      </w:rPr>
    </w:lvl>
    <w:lvl w:ilvl="2" w:tplc="870AF1C4">
      <w:start w:val="1"/>
      <w:numFmt w:val="decimal"/>
      <w:lvlText w:val="%1.%2.%3"/>
      <w:lvlJc w:val="left"/>
      <w:pPr>
        <w:ind w:left="840" w:hanging="720"/>
      </w:pPr>
      <w:rPr>
        <w:rFonts w:ascii="Verdana" w:eastAsia="Verdana" w:hAnsi="Verdana" w:hint="default"/>
        <w:w w:val="99"/>
        <w:sz w:val="24"/>
        <w:szCs w:val="24"/>
      </w:rPr>
    </w:lvl>
    <w:lvl w:ilvl="3" w:tplc="7448915A">
      <w:start w:val="1"/>
      <w:numFmt w:val="lowerRoman"/>
      <w:lvlText w:val="%4."/>
      <w:lvlJc w:val="left"/>
      <w:pPr>
        <w:ind w:left="653" w:hanging="228"/>
        <w:jc w:val="right"/>
      </w:pPr>
      <w:rPr>
        <w:rFonts w:ascii="Verdana" w:eastAsia="Verdana" w:hAnsi="Verdana" w:hint="default"/>
        <w:spacing w:val="-1"/>
        <w:sz w:val="22"/>
        <w:szCs w:val="22"/>
      </w:rPr>
    </w:lvl>
    <w:lvl w:ilvl="4" w:tplc="A606A29E">
      <w:start w:val="1"/>
      <w:numFmt w:val="bullet"/>
      <w:lvlText w:val="•"/>
      <w:lvlJc w:val="left"/>
      <w:pPr>
        <w:ind w:left="2865" w:hanging="228"/>
      </w:pPr>
      <w:rPr>
        <w:rFonts w:hint="default"/>
      </w:rPr>
    </w:lvl>
    <w:lvl w:ilvl="5" w:tplc="3076AB3A">
      <w:start w:val="1"/>
      <w:numFmt w:val="bullet"/>
      <w:lvlText w:val="•"/>
      <w:lvlJc w:val="left"/>
      <w:pPr>
        <w:ind w:left="3877" w:hanging="228"/>
      </w:pPr>
      <w:rPr>
        <w:rFonts w:hint="default"/>
      </w:rPr>
    </w:lvl>
    <w:lvl w:ilvl="6" w:tplc="7B422A18">
      <w:start w:val="1"/>
      <w:numFmt w:val="bullet"/>
      <w:lvlText w:val="•"/>
      <w:lvlJc w:val="left"/>
      <w:pPr>
        <w:ind w:left="4890" w:hanging="228"/>
      </w:pPr>
      <w:rPr>
        <w:rFonts w:hint="default"/>
      </w:rPr>
    </w:lvl>
    <w:lvl w:ilvl="7" w:tplc="3C0E6666">
      <w:start w:val="1"/>
      <w:numFmt w:val="bullet"/>
      <w:lvlText w:val="•"/>
      <w:lvlJc w:val="left"/>
      <w:pPr>
        <w:ind w:left="5902" w:hanging="228"/>
      </w:pPr>
      <w:rPr>
        <w:rFonts w:hint="default"/>
      </w:rPr>
    </w:lvl>
    <w:lvl w:ilvl="8" w:tplc="BE16C9B2">
      <w:start w:val="1"/>
      <w:numFmt w:val="bullet"/>
      <w:lvlText w:val="•"/>
      <w:lvlJc w:val="left"/>
      <w:pPr>
        <w:ind w:left="6915" w:hanging="228"/>
      </w:pPr>
      <w:rPr>
        <w:rFonts w:hint="default"/>
      </w:rPr>
    </w:lvl>
  </w:abstractNum>
  <w:abstractNum w:abstractNumId="3" w15:restartNumberingAfterBreak="0">
    <w:nsid w:val="3751504E"/>
    <w:multiLevelType w:val="hybridMultilevel"/>
    <w:tmpl w:val="10F612D4"/>
    <w:lvl w:ilvl="0" w:tplc="D452EB42">
      <w:start w:val="3"/>
      <w:numFmt w:val="decimal"/>
      <w:lvlText w:val="%1"/>
      <w:lvlJc w:val="left"/>
      <w:pPr>
        <w:ind w:left="840" w:hanging="730"/>
      </w:pPr>
      <w:rPr>
        <w:rFonts w:hint="default"/>
      </w:rPr>
    </w:lvl>
    <w:lvl w:ilvl="1" w:tplc="DAA8E3AA">
      <w:start w:val="1"/>
      <w:numFmt w:val="decimal"/>
      <w:lvlText w:val="%1.%2"/>
      <w:lvlJc w:val="left"/>
      <w:pPr>
        <w:ind w:left="840" w:hanging="730"/>
      </w:pPr>
      <w:rPr>
        <w:rFonts w:ascii="Verdana" w:eastAsia="Verdana" w:hAnsi="Verdana" w:hint="default"/>
        <w:b/>
        <w:bCs/>
        <w:spacing w:val="-1"/>
        <w:sz w:val="24"/>
        <w:szCs w:val="24"/>
      </w:rPr>
    </w:lvl>
    <w:lvl w:ilvl="2" w:tplc="769E16F6">
      <w:start w:val="1"/>
      <w:numFmt w:val="bullet"/>
      <w:lvlText w:val=""/>
      <w:lvlJc w:val="left"/>
      <w:pPr>
        <w:ind w:left="581" w:hanging="188"/>
      </w:pPr>
      <w:rPr>
        <w:rFonts w:ascii="Symbol" w:eastAsia="Symbol" w:hAnsi="Symbol" w:hint="default"/>
        <w:sz w:val="22"/>
        <w:szCs w:val="22"/>
      </w:rPr>
    </w:lvl>
    <w:lvl w:ilvl="3" w:tplc="382A2C2E">
      <w:start w:val="1"/>
      <w:numFmt w:val="bullet"/>
      <w:lvlText w:val="o"/>
      <w:lvlJc w:val="left"/>
      <w:pPr>
        <w:ind w:left="751" w:hanging="269"/>
      </w:pPr>
      <w:rPr>
        <w:rFonts w:ascii="Courier New" w:eastAsia="Courier New" w:hAnsi="Courier New" w:hint="default"/>
        <w:w w:val="97"/>
        <w:sz w:val="20"/>
        <w:szCs w:val="20"/>
      </w:rPr>
    </w:lvl>
    <w:lvl w:ilvl="4" w:tplc="3EB2C3FE">
      <w:start w:val="1"/>
      <w:numFmt w:val="bullet"/>
      <w:lvlText w:val="•"/>
      <w:lvlJc w:val="left"/>
      <w:pPr>
        <w:ind w:left="2865" w:hanging="269"/>
      </w:pPr>
      <w:rPr>
        <w:rFonts w:hint="default"/>
      </w:rPr>
    </w:lvl>
    <w:lvl w:ilvl="5" w:tplc="A20E5D6A">
      <w:start w:val="1"/>
      <w:numFmt w:val="bullet"/>
      <w:lvlText w:val="•"/>
      <w:lvlJc w:val="left"/>
      <w:pPr>
        <w:ind w:left="3877" w:hanging="269"/>
      </w:pPr>
      <w:rPr>
        <w:rFonts w:hint="default"/>
      </w:rPr>
    </w:lvl>
    <w:lvl w:ilvl="6" w:tplc="2D22EB5A">
      <w:start w:val="1"/>
      <w:numFmt w:val="bullet"/>
      <w:lvlText w:val="•"/>
      <w:lvlJc w:val="left"/>
      <w:pPr>
        <w:ind w:left="4890" w:hanging="269"/>
      </w:pPr>
      <w:rPr>
        <w:rFonts w:hint="default"/>
      </w:rPr>
    </w:lvl>
    <w:lvl w:ilvl="7" w:tplc="9918AC3C">
      <w:start w:val="1"/>
      <w:numFmt w:val="bullet"/>
      <w:lvlText w:val="•"/>
      <w:lvlJc w:val="left"/>
      <w:pPr>
        <w:ind w:left="5902" w:hanging="269"/>
      </w:pPr>
      <w:rPr>
        <w:rFonts w:hint="default"/>
      </w:rPr>
    </w:lvl>
    <w:lvl w:ilvl="8" w:tplc="EEFE2B10">
      <w:start w:val="1"/>
      <w:numFmt w:val="bullet"/>
      <w:lvlText w:val="•"/>
      <w:lvlJc w:val="left"/>
      <w:pPr>
        <w:ind w:left="6915" w:hanging="269"/>
      </w:pPr>
      <w:rPr>
        <w:rFonts w:hint="default"/>
      </w:rPr>
    </w:lvl>
  </w:abstractNum>
  <w:abstractNum w:abstractNumId="4" w15:restartNumberingAfterBreak="0">
    <w:nsid w:val="3A0501BE"/>
    <w:multiLevelType w:val="hybridMultilevel"/>
    <w:tmpl w:val="EAEE34C0"/>
    <w:lvl w:ilvl="0" w:tplc="F2A8E182">
      <w:start w:val="1"/>
      <w:numFmt w:val="bullet"/>
      <w:lvlText w:val=""/>
      <w:lvlJc w:val="left"/>
      <w:pPr>
        <w:ind w:left="581" w:hanging="188"/>
      </w:pPr>
      <w:rPr>
        <w:rFonts w:ascii="Symbol" w:eastAsia="Symbol" w:hAnsi="Symbol" w:hint="default"/>
        <w:sz w:val="24"/>
        <w:szCs w:val="24"/>
      </w:rPr>
    </w:lvl>
    <w:lvl w:ilvl="1" w:tplc="E59057AA">
      <w:start w:val="1"/>
      <w:numFmt w:val="bullet"/>
      <w:lvlText w:val="•"/>
      <w:lvlJc w:val="left"/>
      <w:pPr>
        <w:ind w:left="1417" w:hanging="188"/>
      </w:pPr>
      <w:rPr>
        <w:rFonts w:hint="default"/>
      </w:rPr>
    </w:lvl>
    <w:lvl w:ilvl="2" w:tplc="8FB249C0">
      <w:start w:val="1"/>
      <w:numFmt w:val="bullet"/>
      <w:lvlText w:val="•"/>
      <w:lvlJc w:val="left"/>
      <w:pPr>
        <w:ind w:left="2252" w:hanging="188"/>
      </w:pPr>
      <w:rPr>
        <w:rFonts w:hint="default"/>
      </w:rPr>
    </w:lvl>
    <w:lvl w:ilvl="3" w:tplc="BB123B80">
      <w:start w:val="1"/>
      <w:numFmt w:val="bullet"/>
      <w:lvlText w:val="•"/>
      <w:lvlJc w:val="left"/>
      <w:pPr>
        <w:ind w:left="3088" w:hanging="188"/>
      </w:pPr>
      <w:rPr>
        <w:rFonts w:hint="default"/>
      </w:rPr>
    </w:lvl>
    <w:lvl w:ilvl="4" w:tplc="F9E6B890">
      <w:start w:val="1"/>
      <w:numFmt w:val="bullet"/>
      <w:lvlText w:val="•"/>
      <w:lvlJc w:val="left"/>
      <w:pPr>
        <w:ind w:left="3924" w:hanging="188"/>
      </w:pPr>
      <w:rPr>
        <w:rFonts w:hint="default"/>
      </w:rPr>
    </w:lvl>
    <w:lvl w:ilvl="5" w:tplc="0EB46482">
      <w:start w:val="1"/>
      <w:numFmt w:val="bullet"/>
      <w:lvlText w:val="•"/>
      <w:lvlJc w:val="left"/>
      <w:pPr>
        <w:ind w:left="4760" w:hanging="188"/>
      </w:pPr>
      <w:rPr>
        <w:rFonts w:hint="default"/>
      </w:rPr>
    </w:lvl>
    <w:lvl w:ilvl="6" w:tplc="238E7664">
      <w:start w:val="1"/>
      <w:numFmt w:val="bullet"/>
      <w:lvlText w:val="•"/>
      <w:lvlJc w:val="left"/>
      <w:pPr>
        <w:ind w:left="5596" w:hanging="188"/>
      </w:pPr>
      <w:rPr>
        <w:rFonts w:hint="default"/>
      </w:rPr>
    </w:lvl>
    <w:lvl w:ilvl="7" w:tplc="37787890">
      <w:start w:val="1"/>
      <w:numFmt w:val="bullet"/>
      <w:lvlText w:val="•"/>
      <w:lvlJc w:val="left"/>
      <w:pPr>
        <w:ind w:left="6432" w:hanging="188"/>
      </w:pPr>
      <w:rPr>
        <w:rFonts w:hint="default"/>
      </w:rPr>
    </w:lvl>
    <w:lvl w:ilvl="8" w:tplc="B7606EF6">
      <w:start w:val="1"/>
      <w:numFmt w:val="bullet"/>
      <w:lvlText w:val="•"/>
      <w:lvlJc w:val="left"/>
      <w:pPr>
        <w:ind w:left="7268" w:hanging="188"/>
      </w:pPr>
      <w:rPr>
        <w:rFonts w:hint="default"/>
      </w:rPr>
    </w:lvl>
  </w:abstractNum>
  <w:abstractNum w:abstractNumId="5" w15:restartNumberingAfterBreak="0">
    <w:nsid w:val="48052B02"/>
    <w:multiLevelType w:val="hybridMultilevel"/>
    <w:tmpl w:val="62DAB426"/>
    <w:lvl w:ilvl="0" w:tplc="B89CCCB6">
      <w:start w:val="8"/>
      <w:numFmt w:val="lowerRoman"/>
      <w:lvlText w:val="%1."/>
      <w:lvlJc w:val="left"/>
      <w:pPr>
        <w:ind w:left="653" w:hanging="478"/>
        <w:jc w:val="right"/>
      </w:pPr>
      <w:rPr>
        <w:rFonts w:ascii="Verdana" w:eastAsia="Verdana" w:hAnsi="Verdana" w:hint="default"/>
        <w:spacing w:val="-2"/>
        <w:sz w:val="22"/>
        <w:szCs w:val="22"/>
      </w:rPr>
    </w:lvl>
    <w:lvl w:ilvl="1" w:tplc="F82A2FDC">
      <w:start w:val="1"/>
      <w:numFmt w:val="bullet"/>
      <w:lvlText w:val="•"/>
      <w:lvlJc w:val="left"/>
      <w:pPr>
        <w:ind w:left="1481" w:hanging="478"/>
      </w:pPr>
      <w:rPr>
        <w:rFonts w:hint="default"/>
      </w:rPr>
    </w:lvl>
    <w:lvl w:ilvl="2" w:tplc="566864AE">
      <w:start w:val="1"/>
      <w:numFmt w:val="bullet"/>
      <w:lvlText w:val="•"/>
      <w:lvlJc w:val="left"/>
      <w:pPr>
        <w:ind w:left="2310" w:hanging="478"/>
      </w:pPr>
      <w:rPr>
        <w:rFonts w:hint="default"/>
      </w:rPr>
    </w:lvl>
    <w:lvl w:ilvl="3" w:tplc="EBA4988A">
      <w:start w:val="1"/>
      <w:numFmt w:val="bullet"/>
      <w:lvlText w:val="•"/>
      <w:lvlJc w:val="left"/>
      <w:pPr>
        <w:ind w:left="3139" w:hanging="478"/>
      </w:pPr>
      <w:rPr>
        <w:rFonts w:hint="default"/>
      </w:rPr>
    </w:lvl>
    <w:lvl w:ilvl="4" w:tplc="90A46BA2">
      <w:start w:val="1"/>
      <w:numFmt w:val="bullet"/>
      <w:lvlText w:val="•"/>
      <w:lvlJc w:val="left"/>
      <w:pPr>
        <w:ind w:left="3967" w:hanging="478"/>
      </w:pPr>
      <w:rPr>
        <w:rFonts w:hint="default"/>
      </w:rPr>
    </w:lvl>
    <w:lvl w:ilvl="5" w:tplc="7DA22282">
      <w:start w:val="1"/>
      <w:numFmt w:val="bullet"/>
      <w:lvlText w:val="•"/>
      <w:lvlJc w:val="left"/>
      <w:pPr>
        <w:ind w:left="4796" w:hanging="478"/>
      </w:pPr>
      <w:rPr>
        <w:rFonts w:hint="default"/>
      </w:rPr>
    </w:lvl>
    <w:lvl w:ilvl="6" w:tplc="1D580D36">
      <w:start w:val="1"/>
      <w:numFmt w:val="bullet"/>
      <w:lvlText w:val="•"/>
      <w:lvlJc w:val="left"/>
      <w:pPr>
        <w:ind w:left="5625" w:hanging="478"/>
      </w:pPr>
      <w:rPr>
        <w:rFonts w:hint="default"/>
      </w:rPr>
    </w:lvl>
    <w:lvl w:ilvl="7" w:tplc="1CF073FE">
      <w:start w:val="1"/>
      <w:numFmt w:val="bullet"/>
      <w:lvlText w:val="•"/>
      <w:lvlJc w:val="left"/>
      <w:pPr>
        <w:ind w:left="6453" w:hanging="478"/>
      </w:pPr>
      <w:rPr>
        <w:rFonts w:hint="default"/>
      </w:rPr>
    </w:lvl>
    <w:lvl w:ilvl="8" w:tplc="36248F00">
      <w:start w:val="1"/>
      <w:numFmt w:val="bullet"/>
      <w:lvlText w:val="•"/>
      <w:lvlJc w:val="left"/>
      <w:pPr>
        <w:ind w:left="7282" w:hanging="478"/>
      </w:pPr>
      <w:rPr>
        <w:rFonts w:hint="default"/>
      </w:rPr>
    </w:lvl>
  </w:abstractNum>
  <w:abstractNum w:abstractNumId="6" w15:restartNumberingAfterBreak="0">
    <w:nsid w:val="49F16C90"/>
    <w:multiLevelType w:val="hybridMultilevel"/>
    <w:tmpl w:val="1DCECBD2"/>
    <w:lvl w:ilvl="0" w:tplc="E8324F1A">
      <w:start w:val="1"/>
      <w:numFmt w:val="bullet"/>
      <w:lvlText w:val=""/>
      <w:lvlJc w:val="left"/>
      <w:pPr>
        <w:ind w:left="581" w:hanging="188"/>
      </w:pPr>
      <w:rPr>
        <w:rFonts w:ascii="Symbol" w:eastAsia="Symbol" w:hAnsi="Symbol" w:hint="default"/>
        <w:sz w:val="22"/>
        <w:szCs w:val="22"/>
      </w:rPr>
    </w:lvl>
    <w:lvl w:ilvl="1" w:tplc="F15E6748">
      <w:start w:val="1"/>
      <w:numFmt w:val="bullet"/>
      <w:lvlText w:val="•"/>
      <w:lvlJc w:val="left"/>
      <w:pPr>
        <w:ind w:left="1417" w:hanging="188"/>
      </w:pPr>
      <w:rPr>
        <w:rFonts w:hint="default"/>
      </w:rPr>
    </w:lvl>
    <w:lvl w:ilvl="2" w:tplc="B0CE6ADA">
      <w:start w:val="1"/>
      <w:numFmt w:val="bullet"/>
      <w:lvlText w:val="•"/>
      <w:lvlJc w:val="left"/>
      <w:pPr>
        <w:ind w:left="2252" w:hanging="188"/>
      </w:pPr>
      <w:rPr>
        <w:rFonts w:hint="default"/>
      </w:rPr>
    </w:lvl>
    <w:lvl w:ilvl="3" w:tplc="8A6A7410">
      <w:start w:val="1"/>
      <w:numFmt w:val="bullet"/>
      <w:lvlText w:val="•"/>
      <w:lvlJc w:val="left"/>
      <w:pPr>
        <w:ind w:left="3088" w:hanging="188"/>
      </w:pPr>
      <w:rPr>
        <w:rFonts w:hint="default"/>
      </w:rPr>
    </w:lvl>
    <w:lvl w:ilvl="4" w:tplc="0D8AB21A">
      <w:start w:val="1"/>
      <w:numFmt w:val="bullet"/>
      <w:lvlText w:val="•"/>
      <w:lvlJc w:val="left"/>
      <w:pPr>
        <w:ind w:left="3924" w:hanging="188"/>
      </w:pPr>
      <w:rPr>
        <w:rFonts w:hint="default"/>
      </w:rPr>
    </w:lvl>
    <w:lvl w:ilvl="5" w:tplc="1E12FDA8">
      <w:start w:val="1"/>
      <w:numFmt w:val="bullet"/>
      <w:lvlText w:val="•"/>
      <w:lvlJc w:val="left"/>
      <w:pPr>
        <w:ind w:left="4760" w:hanging="188"/>
      </w:pPr>
      <w:rPr>
        <w:rFonts w:hint="default"/>
      </w:rPr>
    </w:lvl>
    <w:lvl w:ilvl="6" w:tplc="C3365FBC">
      <w:start w:val="1"/>
      <w:numFmt w:val="bullet"/>
      <w:lvlText w:val="•"/>
      <w:lvlJc w:val="left"/>
      <w:pPr>
        <w:ind w:left="5596" w:hanging="188"/>
      </w:pPr>
      <w:rPr>
        <w:rFonts w:hint="default"/>
      </w:rPr>
    </w:lvl>
    <w:lvl w:ilvl="7" w:tplc="1868C100">
      <w:start w:val="1"/>
      <w:numFmt w:val="bullet"/>
      <w:lvlText w:val="•"/>
      <w:lvlJc w:val="left"/>
      <w:pPr>
        <w:ind w:left="6432" w:hanging="188"/>
      </w:pPr>
      <w:rPr>
        <w:rFonts w:hint="default"/>
      </w:rPr>
    </w:lvl>
    <w:lvl w:ilvl="8" w:tplc="B9DCB6A0">
      <w:start w:val="1"/>
      <w:numFmt w:val="bullet"/>
      <w:lvlText w:val="•"/>
      <w:lvlJc w:val="left"/>
      <w:pPr>
        <w:ind w:left="7268" w:hanging="188"/>
      </w:pPr>
      <w:rPr>
        <w:rFonts w:hint="default"/>
      </w:rPr>
    </w:lvl>
  </w:abstractNum>
  <w:abstractNum w:abstractNumId="7" w15:restartNumberingAfterBreak="0">
    <w:nsid w:val="4BBC2110"/>
    <w:multiLevelType w:val="hybridMultilevel"/>
    <w:tmpl w:val="4A5C38BE"/>
    <w:lvl w:ilvl="0" w:tplc="54721B36">
      <w:start w:val="1"/>
      <w:numFmt w:val="bullet"/>
      <w:lvlText w:val=""/>
      <w:lvlJc w:val="left"/>
      <w:pPr>
        <w:ind w:left="581" w:hanging="188"/>
      </w:pPr>
      <w:rPr>
        <w:rFonts w:ascii="Symbol" w:eastAsia="Symbol" w:hAnsi="Symbol" w:hint="default"/>
        <w:sz w:val="22"/>
        <w:szCs w:val="22"/>
      </w:rPr>
    </w:lvl>
    <w:lvl w:ilvl="1" w:tplc="683C2B7E">
      <w:start w:val="1"/>
      <w:numFmt w:val="bullet"/>
      <w:lvlText w:val="o"/>
      <w:lvlJc w:val="left"/>
      <w:pPr>
        <w:ind w:left="751" w:hanging="269"/>
      </w:pPr>
      <w:rPr>
        <w:rFonts w:ascii="Courier New" w:eastAsia="Courier New" w:hAnsi="Courier New" w:hint="default"/>
        <w:w w:val="97"/>
        <w:sz w:val="20"/>
        <w:szCs w:val="20"/>
      </w:rPr>
    </w:lvl>
    <w:lvl w:ilvl="2" w:tplc="09125D9C">
      <w:start w:val="1"/>
      <w:numFmt w:val="bullet"/>
      <w:lvlText w:val="•"/>
      <w:lvlJc w:val="left"/>
      <w:pPr>
        <w:ind w:left="1661" w:hanging="269"/>
      </w:pPr>
      <w:rPr>
        <w:rFonts w:hint="default"/>
      </w:rPr>
    </w:lvl>
    <w:lvl w:ilvl="3" w:tplc="B328AEC4">
      <w:start w:val="1"/>
      <w:numFmt w:val="bullet"/>
      <w:lvlText w:val="•"/>
      <w:lvlJc w:val="left"/>
      <w:pPr>
        <w:ind w:left="2571" w:hanging="269"/>
      </w:pPr>
      <w:rPr>
        <w:rFonts w:hint="default"/>
      </w:rPr>
    </w:lvl>
    <w:lvl w:ilvl="4" w:tplc="1616D19A">
      <w:start w:val="1"/>
      <w:numFmt w:val="bullet"/>
      <w:lvlText w:val="•"/>
      <w:lvlJc w:val="left"/>
      <w:pPr>
        <w:ind w:left="3481" w:hanging="269"/>
      </w:pPr>
      <w:rPr>
        <w:rFonts w:hint="default"/>
      </w:rPr>
    </w:lvl>
    <w:lvl w:ilvl="5" w:tplc="C14ABBFA">
      <w:start w:val="1"/>
      <w:numFmt w:val="bullet"/>
      <w:lvlText w:val="•"/>
      <w:lvlJc w:val="left"/>
      <w:pPr>
        <w:ind w:left="4390" w:hanging="269"/>
      </w:pPr>
      <w:rPr>
        <w:rFonts w:hint="default"/>
      </w:rPr>
    </w:lvl>
    <w:lvl w:ilvl="6" w:tplc="FE34C9DE">
      <w:start w:val="1"/>
      <w:numFmt w:val="bullet"/>
      <w:lvlText w:val="•"/>
      <w:lvlJc w:val="left"/>
      <w:pPr>
        <w:ind w:left="5300" w:hanging="269"/>
      </w:pPr>
      <w:rPr>
        <w:rFonts w:hint="default"/>
      </w:rPr>
    </w:lvl>
    <w:lvl w:ilvl="7" w:tplc="EAF69812">
      <w:start w:val="1"/>
      <w:numFmt w:val="bullet"/>
      <w:lvlText w:val="•"/>
      <w:lvlJc w:val="left"/>
      <w:pPr>
        <w:ind w:left="6210" w:hanging="269"/>
      </w:pPr>
      <w:rPr>
        <w:rFonts w:hint="default"/>
      </w:rPr>
    </w:lvl>
    <w:lvl w:ilvl="8" w:tplc="87869F72">
      <w:start w:val="1"/>
      <w:numFmt w:val="bullet"/>
      <w:lvlText w:val="•"/>
      <w:lvlJc w:val="left"/>
      <w:pPr>
        <w:ind w:left="7120" w:hanging="269"/>
      </w:pPr>
      <w:rPr>
        <w:rFonts w:hint="default"/>
      </w:rPr>
    </w:lvl>
  </w:abstractNum>
  <w:abstractNum w:abstractNumId="8" w15:restartNumberingAfterBreak="0">
    <w:nsid w:val="534B24EF"/>
    <w:multiLevelType w:val="hybridMultilevel"/>
    <w:tmpl w:val="57E0825A"/>
    <w:lvl w:ilvl="0" w:tplc="3CDC0D46">
      <w:start w:val="3"/>
      <w:numFmt w:val="decimal"/>
      <w:lvlText w:val="%1"/>
      <w:lvlJc w:val="left"/>
      <w:pPr>
        <w:ind w:left="598" w:hanging="478"/>
      </w:pPr>
      <w:rPr>
        <w:rFonts w:hint="default"/>
      </w:rPr>
    </w:lvl>
    <w:lvl w:ilvl="1" w:tplc="83E80344">
      <w:start w:val="1"/>
      <w:numFmt w:val="decimal"/>
      <w:lvlText w:val="%1.%2"/>
      <w:lvlJc w:val="left"/>
      <w:pPr>
        <w:ind w:left="598" w:hanging="478"/>
      </w:pPr>
      <w:rPr>
        <w:rFonts w:ascii="Verdana" w:eastAsia="Verdana" w:hAnsi="Verdana" w:hint="default"/>
        <w:spacing w:val="1"/>
        <w:w w:val="99"/>
        <w:sz w:val="24"/>
        <w:szCs w:val="24"/>
      </w:rPr>
    </w:lvl>
    <w:lvl w:ilvl="2" w:tplc="B72E07FE">
      <w:start w:val="1"/>
      <w:numFmt w:val="decimal"/>
      <w:lvlText w:val="%1.%2.%3"/>
      <w:lvlJc w:val="left"/>
      <w:pPr>
        <w:ind w:left="840" w:hanging="720"/>
      </w:pPr>
      <w:rPr>
        <w:rFonts w:ascii="Verdana" w:eastAsia="Verdana" w:hAnsi="Verdana" w:hint="default"/>
        <w:w w:val="99"/>
        <w:sz w:val="24"/>
        <w:szCs w:val="24"/>
      </w:rPr>
    </w:lvl>
    <w:lvl w:ilvl="3" w:tplc="1B001E68">
      <w:start w:val="1"/>
      <w:numFmt w:val="bullet"/>
      <w:lvlText w:val=""/>
      <w:lvlJc w:val="left"/>
      <w:pPr>
        <w:ind w:left="561" w:hanging="188"/>
      </w:pPr>
      <w:rPr>
        <w:rFonts w:ascii="Symbol" w:eastAsia="Symbol" w:hAnsi="Symbol" w:hint="default"/>
        <w:sz w:val="22"/>
        <w:szCs w:val="22"/>
      </w:rPr>
    </w:lvl>
    <w:lvl w:ilvl="4" w:tplc="D94A7690">
      <w:start w:val="1"/>
      <w:numFmt w:val="bullet"/>
      <w:lvlText w:val="o"/>
      <w:lvlJc w:val="left"/>
      <w:pPr>
        <w:ind w:left="731" w:hanging="269"/>
      </w:pPr>
      <w:rPr>
        <w:rFonts w:ascii="Courier New" w:eastAsia="Courier New" w:hAnsi="Courier New" w:hint="default"/>
        <w:w w:val="97"/>
        <w:sz w:val="20"/>
        <w:szCs w:val="20"/>
      </w:rPr>
    </w:lvl>
    <w:lvl w:ilvl="5" w:tplc="E500C702">
      <w:start w:val="1"/>
      <w:numFmt w:val="bullet"/>
      <w:lvlText w:val="•"/>
      <w:lvlJc w:val="left"/>
      <w:pPr>
        <w:ind w:left="3148" w:hanging="269"/>
      </w:pPr>
      <w:rPr>
        <w:rFonts w:hint="default"/>
      </w:rPr>
    </w:lvl>
    <w:lvl w:ilvl="6" w:tplc="0FEE9B20">
      <w:start w:val="1"/>
      <w:numFmt w:val="bullet"/>
      <w:lvlText w:val="•"/>
      <w:lvlJc w:val="left"/>
      <w:pPr>
        <w:ind w:left="4303" w:hanging="269"/>
      </w:pPr>
      <w:rPr>
        <w:rFonts w:hint="default"/>
      </w:rPr>
    </w:lvl>
    <w:lvl w:ilvl="7" w:tplc="B8CCDC04">
      <w:start w:val="1"/>
      <w:numFmt w:val="bullet"/>
      <w:lvlText w:val="•"/>
      <w:lvlJc w:val="left"/>
      <w:pPr>
        <w:ind w:left="5457" w:hanging="269"/>
      </w:pPr>
      <w:rPr>
        <w:rFonts w:hint="default"/>
      </w:rPr>
    </w:lvl>
    <w:lvl w:ilvl="8" w:tplc="0ADE532E">
      <w:start w:val="1"/>
      <w:numFmt w:val="bullet"/>
      <w:lvlText w:val="•"/>
      <w:lvlJc w:val="left"/>
      <w:pPr>
        <w:ind w:left="6611" w:hanging="269"/>
      </w:pPr>
      <w:rPr>
        <w:rFonts w:hint="default"/>
      </w:rPr>
    </w:lvl>
  </w:abstractNum>
  <w:abstractNum w:abstractNumId="9" w15:restartNumberingAfterBreak="0">
    <w:nsid w:val="64210715"/>
    <w:multiLevelType w:val="hybridMultilevel"/>
    <w:tmpl w:val="BC22EC50"/>
    <w:lvl w:ilvl="0" w:tplc="7FE02DE0">
      <w:start w:val="4"/>
      <w:numFmt w:val="decimal"/>
      <w:lvlText w:val="%1"/>
      <w:lvlJc w:val="left"/>
      <w:pPr>
        <w:ind w:left="840" w:hanging="735"/>
      </w:pPr>
      <w:rPr>
        <w:rFonts w:hint="default"/>
      </w:rPr>
    </w:lvl>
    <w:lvl w:ilvl="1" w:tplc="4F5A843C">
      <w:start w:val="1"/>
      <w:numFmt w:val="decimal"/>
      <w:lvlText w:val="%1.%2"/>
      <w:lvlJc w:val="left"/>
      <w:pPr>
        <w:ind w:left="840" w:hanging="735"/>
      </w:pPr>
      <w:rPr>
        <w:rFonts w:ascii="Verdana" w:eastAsia="Verdana" w:hAnsi="Verdana" w:hint="default"/>
        <w:b/>
        <w:bCs/>
        <w:spacing w:val="-1"/>
        <w:sz w:val="24"/>
        <w:szCs w:val="24"/>
      </w:rPr>
    </w:lvl>
    <w:lvl w:ilvl="2" w:tplc="547C92D0">
      <w:start w:val="1"/>
      <w:numFmt w:val="bullet"/>
      <w:lvlText w:val=""/>
      <w:lvlJc w:val="left"/>
      <w:pPr>
        <w:ind w:left="581" w:hanging="188"/>
      </w:pPr>
      <w:rPr>
        <w:rFonts w:ascii="Symbol" w:eastAsia="Symbol" w:hAnsi="Symbol" w:hint="default"/>
        <w:sz w:val="24"/>
        <w:szCs w:val="24"/>
      </w:rPr>
    </w:lvl>
    <w:lvl w:ilvl="3" w:tplc="C884007A">
      <w:start w:val="1"/>
      <w:numFmt w:val="bullet"/>
      <w:lvlText w:val="•"/>
      <w:lvlJc w:val="left"/>
      <w:pPr>
        <w:ind w:left="2640" w:hanging="188"/>
      </w:pPr>
      <w:rPr>
        <w:rFonts w:hint="default"/>
      </w:rPr>
    </w:lvl>
    <w:lvl w:ilvl="4" w:tplc="918E6530">
      <w:start w:val="1"/>
      <w:numFmt w:val="bullet"/>
      <w:lvlText w:val="•"/>
      <w:lvlJc w:val="left"/>
      <w:pPr>
        <w:ind w:left="3540" w:hanging="188"/>
      </w:pPr>
      <w:rPr>
        <w:rFonts w:hint="default"/>
      </w:rPr>
    </w:lvl>
    <w:lvl w:ilvl="5" w:tplc="754ECD68">
      <w:start w:val="1"/>
      <w:numFmt w:val="bullet"/>
      <w:lvlText w:val="•"/>
      <w:lvlJc w:val="left"/>
      <w:pPr>
        <w:ind w:left="4440" w:hanging="188"/>
      </w:pPr>
      <w:rPr>
        <w:rFonts w:hint="default"/>
      </w:rPr>
    </w:lvl>
    <w:lvl w:ilvl="6" w:tplc="B614A9B6">
      <w:start w:val="1"/>
      <w:numFmt w:val="bullet"/>
      <w:lvlText w:val="•"/>
      <w:lvlJc w:val="left"/>
      <w:pPr>
        <w:ind w:left="5340" w:hanging="188"/>
      </w:pPr>
      <w:rPr>
        <w:rFonts w:hint="default"/>
      </w:rPr>
    </w:lvl>
    <w:lvl w:ilvl="7" w:tplc="358EE638">
      <w:start w:val="1"/>
      <w:numFmt w:val="bullet"/>
      <w:lvlText w:val="•"/>
      <w:lvlJc w:val="left"/>
      <w:pPr>
        <w:ind w:left="6240" w:hanging="188"/>
      </w:pPr>
      <w:rPr>
        <w:rFonts w:hint="default"/>
      </w:rPr>
    </w:lvl>
    <w:lvl w:ilvl="8" w:tplc="AD16C218">
      <w:start w:val="1"/>
      <w:numFmt w:val="bullet"/>
      <w:lvlText w:val="•"/>
      <w:lvlJc w:val="left"/>
      <w:pPr>
        <w:ind w:left="7140" w:hanging="188"/>
      </w:pPr>
      <w:rPr>
        <w:rFonts w:hint="default"/>
      </w:rPr>
    </w:lvl>
  </w:abstractNum>
  <w:abstractNum w:abstractNumId="10" w15:restartNumberingAfterBreak="0">
    <w:nsid w:val="7F7A2EEC"/>
    <w:multiLevelType w:val="hybridMultilevel"/>
    <w:tmpl w:val="93B86698"/>
    <w:lvl w:ilvl="0" w:tplc="32707716">
      <w:start w:val="1"/>
      <w:numFmt w:val="decimal"/>
      <w:lvlText w:val="%1."/>
      <w:lvlJc w:val="left"/>
      <w:pPr>
        <w:ind w:left="100" w:hanging="293"/>
      </w:pPr>
      <w:rPr>
        <w:rFonts w:ascii="Verdana" w:eastAsia="Verdana" w:hAnsi="Verdana" w:hint="default"/>
        <w:w w:val="99"/>
        <w:sz w:val="20"/>
        <w:szCs w:val="20"/>
      </w:rPr>
    </w:lvl>
    <w:lvl w:ilvl="1" w:tplc="E6BE937E">
      <w:start w:val="1"/>
      <w:numFmt w:val="bullet"/>
      <w:lvlText w:val="•"/>
      <w:lvlJc w:val="left"/>
      <w:pPr>
        <w:ind w:left="982" w:hanging="293"/>
      </w:pPr>
      <w:rPr>
        <w:rFonts w:hint="default"/>
      </w:rPr>
    </w:lvl>
    <w:lvl w:ilvl="2" w:tplc="C310D8A6">
      <w:start w:val="1"/>
      <w:numFmt w:val="bullet"/>
      <w:lvlText w:val="•"/>
      <w:lvlJc w:val="left"/>
      <w:pPr>
        <w:ind w:left="1864" w:hanging="293"/>
      </w:pPr>
      <w:rPr>
        <w:rFonts w:hint="default"/>
      </w:rPr>
    </w:lvl>
    <w:lvl w:ilvl="3" w:tplc="1B584110">
      <w:start w:val="1"/>
      <w:numFmt w:val="bullet"/>
      <w:lvlText w:val="•"/>
      <w:lvlJc w:val="left"/>
      <w:pPr>
        <w:ind w:left="2746" w:hanging="293"/>
      </w:pPr>
      <w:rPr>
        <w:rFonts w:hint="default"/>
      </w:rPr>
    </w:lvl>
    <w:lvl w:ilvl="4" w:tplc="90327712">
      <w:start w:val="1"/>
      <w:numFmt w:val="bullet"/>
      <w:lvlText w:val="•"/>
      <w:lvlJc w:val="left"/>
      <w:pPr>
        <w:ind w:left="3628" w:hanging="293"/>
      </w:pPr>
      <w:rPr>
        <w:rFonts w:hint="default"/>
      </w:rPr>
    </w:lvl>
    <w:lvl w:ilvl="5" w:tplc="76EA841C">
      <w:start w:val="1"/>
      <w:numFmt w:val="bullet"/>
      <w:lvlText w:val="•"/>
      <w:lvlJc w:val="left"/>
      <w:pPr>
        <w:ind w:left="4510" w:hanging="293"/>
      </w:pPr>
      <w:rPr>
        <w:rFonts w:hint="default"/>
      </w:rPr>
    </w:lvl>
    <w:lvl w:ilvl="6" w:tplc="934082D4">
      <w:start w:val="1"/>
      <w:numFmt w:val="bullet"/>
      <w:lvlText w:val="•"/>
      <w:lvlJc w:val="left"/>
      <w:pPr>
        <w:ind w:left="5392" w:hanging="293"/>
      </w:pPr>
      <w:rPr>
        <w:rFonts w:hint="default"/>
      </w:rPr>
    </w:lvl>
    <w:lvl w:ilvl="7" w:tplc="A002F614">
      <w:start w:val="1"/>
      <w:numFmt w:val="bullet"/>
      <w:lvlText w:val="•"/>
      <w:lvlJc w:val="left"/>
      <w:pPr>
        <w:ind w:left="6274" w:hanging="293"/>
      </w:pPr>
      <w:rPr>
        <w:rFonts w:hint="default"/>
      </w:rPr>
    </w:lvl>
    <w:lvl w:ilvl="8" w:tplc="1D3CE77E">
      <w:start w:val="1"/>
      <w:numFmt w:val="bullet"/>
      <w:lvlText w:val="•"/>
      <w:lvlJc w:val="left"/>
      <w:pPr>
        <w:ind w:left="7156" w:hanging="293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896"/>
    <w:rsid w:val="00035157"/>
    <w:rsid w:val="000A797F"/>
    <w:rsid w:val="001061D5"/>
    <w:rsid w:val="00235B5D"/>
    <w:rsid w:val="00301498"/>
    <w:rsid w:val="00340896"/>
    <w:rsid w:val="00372773"/>
    <w:rsid w:val="003D5C65"/>
    <w:rsid w:val="003E7445"/>
    <w:rsid w:val="004F0D9B"/>
    <w:rsid w:val="006071FA"/>
    <w:rsid w:val="0066619E"/>
    <w:rsid w:val="00817EF6"/>
    <w:rsid w:val="00827637"/>
    <w:rsid w:val="00903A4E"/>
    <w:rsid w:val="009805DF"/>
    <w:rsid w:val="00A1114A"/>
    <w:rsid w:val="00AE19B4"/>
    <w:rsid w:val="00CA11F8"/>
    <w:rsid w:val="00CF1148"/>
    <w:rsid w:val="00D84C62"/>
    <w:rsid w:val="00DC0A63"/>
    <w:rsid w:val="00EC259A"/>
    <w:rsid w:val="00E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532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7"/>
      <w:ind w:left="840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 Narrow" w:eastAsia="Arial Narrow" w:hAnsi="Arial Narrow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 w:hanging="478"/>
      <w:outlineLvl w:val="2"/>
    </w:pPr>
    <w:rPr>
      <w:rFonts w:ascii="Verdana" w:eastAsia="Verdana" w:hAnsi="Verdana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DC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A63"/>
  </w:style>
  <w:style w:type="paragraph" w:styleId="Footer">
    <w:name w:val="footer"/>
    <w:basedOn w:val="Normal"/>
    <w:link w:val="FooterChar"/>
    <w:unhideWhenUsed/>
    <w:rsid w:val="00DC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A63"/>
  </w:style>
  <w:style w:type="paragraph" w:styleId="FootnoteText">
    <w:name w:val="footnote text"/>
    <w:basedOn w:val="Normal"/>
    <w:link w:val="FootnoteTextChar"/>
    <w:uiPriority w:val="99"/>
    <w:semiHidden/>
    <w:unhideWhenUsed/>
    <w:rsid w:val="00D84C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C62"/>
    <w:rPr>
      <w:vertAlign w:val="superscript"/>
    </w:rPr>
  </w:style>
  <w:style w:type="table" w:styleId="TableGrid">
    <w:name w:val="Table Grid"/>
    <w:basedOn w:val="TableNormal"/>
    <w:uiPriority w:val="39"/>
    <w:rsid w:val="004F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E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C3E6-1CD1-49FB-B5CF-B73C1B22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11482</Words>
  <Characters>6545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2020-10-09T09:08:00Z</dcterms:created>
  <dcterms:modified xsi:type="dcterms:W3CDTF">2020-12-16T12:43:00Z</dcterms:modified>
</cp:coreProperties>
</file>